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8F403A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8F403A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61DE2" w:rsidRDefault="00A54DD6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Bill Payments</w:t>
                  </w:r>
                </w:p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8F403A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A54DD6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663C7A">
              <w:rPr>
                <w:rFonts w:cs="Calibri"/>
                <w:b/>
                <w:bCs/>
                <w:sz w:val="20"/>
                <w:szCs w:val="20"/>
              </w:rPr>
              <w:t xml:space="preserve">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8F403A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8F403A">
        <w:fldChar w:fldCharType="begin"/>
      </w:r>
      <w:r w:rsidR="00663C7A">
        <w:instrText xml:space="preserve"> TOC \o "1-3" \h \z \u </w:instrText>
      </w:r>
      <w:r w:rsidRPr="008F403A">
        <w:fldChar w:fldCharType="separate"/>
      </w:r>
      <w:hyperlink r:id="rId7" w:anchor="_Toc472606341" w:history="1">
        <w:r w:rsidR="005955E0">
          <w:rPr>
            <w:rStyle w:val="Hyperlink"/>
            <w:rFonts w:cs="Calibri"/>
            <w:noProof/>
            <w:spacing w:val="-1"/>
          </w:rPr>
          <w:t>BillPayments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1B5FDA">
          <w:rPr>
            <w:rStyle w:val="Hyperlink"/>
            <w:noProof/>
          </w:rPr>
          <w:t>Bill Payments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F403A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8F403A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A54DD6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4A3A1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BF0AA9">
        <w:rPr>
          <w:sz w:val="28"/>
          <w:szCs w:val="28"/>
        </w:rPr>
        <w:t>B</w:t>
      </w:r>
      <w:r w:rsidR="00A54DD6">
        <w:rPr>
          <w:sz w:val="28"/>
          <w:szCs w:val="28"/>
        </w:rPr>
        <w:t>ill</w:t>
      </w:r>
      <w:r>
        <w:rPr>
          <w:sz w:val="28"/>
          <w:szCs w:val="28"/>
        </w:rPr>
        <w:t xml:space="preserve"> </w:t>
      </w:r>
      <w:r w:rsidR="00BF0AA9">
        <w:rPr>
          <w:sz w:val="28"/>
          <w:szCs w:val="28"/>
        </w:rPr>
        <w:t>P</w:t>
      </w:r>
      <w:r w:rsidR="00A54DD6">
        <w:rPr>
          <w:sz w:val="28"/>
          <w:szCs w:val="28"/>
        </w:rPr>
        <w:t>ayments</w:t>
      </w:r>
      <w:r w:rsidR="00BF0AA9">
        <w:rPr>
          <w:sz w:val="28"/>
          <w:szCs w:val="28"/>
        </w:rPr>
        <w:t xml:space="preserve"> Service is U</w:t>
      </w:r>
      <w:r>
        <w:rPr>
          <w:sz w:val="28"/>
          <w:szCs w:val="28"/>
        </w:rPr>
        <w:t xml:space="preserve">sed to </w:t>
      </w:r>
      <w:r w:rsidR="00BF0AA9">
        <w:rPr>
          <w:sz w:val="28"/>
          <w:szCs w:val="28"/>
        </w:rPr>
        <w:t>Pay Thired Party B</w:t>
      </w:r>
      <w:r w:rsidR="00A54DD6">
        <w:rPr>
          <w:sz w:val="28"/>
          <w:szCs w:val="28"/>
        </w:rPr>
        <w:t xml:space="preserve">ills </w:t>
      </w:r>
      <w:r w:rsidR="00BF0AA9">
        <w:rPr>
          <w:sz w:val="28"/>
          <w:szCs w:val="28"/>
        </w:rPr>
        <w:t>From Particular Bank(Steward Bank) and it Will Give Acknowledge to The Particular C</w:t>
      </w:r>
      <w:r>
        <w:rPr>
          <w:sz w:val="28"/>
          <w:szCs w:val="28"/>
        </w:rPr>
        <w:t>ustomer.</w:t>
      </w: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A54DD6">
        <w:rPr>
          <w:rFonts w:ascii="Calibri" w:hAnsi="Calibri"/>
          <w:color w:val="auto"/>
        </w:rPr>
        <w:t>Bill</w:t>
      </w:r>
      <w:r>
        <w:rPr>
          <w:rFonts w:ascii="Calibri" w:hAnsi="Calibri"/>
          <w:color w:val="auto"/>
        </w:rPr>
        <w:t xml:space="preserve"> </w:t>
      </w:r>
      <w:r w:rsidR="00BF0AA9">
        <w:rPr>
          <w:rFonts w:ascii="Calibri" w:hAnsi="Calibri"/>
          <w:color w:val="auto"/>
        </w:rPr>
        <w:t>P</w:t>
      </w:r>
      <w:r w:rsidR="00A54DD6">
        <w:rPr>
          <w:rFonts w:ascii="Calibri" w:hAnsi="Calibri"/>
          <w:color w:val="auto"/>
        </w:rPr>
        <w:t>ayments</w:t>
      </w:r>
      <w:r w:rsidR="00BF0AA9">
        <w:rPr>
          <w:rFonts w:ascii="Calibri" w:hAnsi="Calibri"/>
          <w:color w:val="auto"/>
        </w:rPr>
        <w:t xml:space="preserve"> Request is Initiated by a User/Customer of Steward B</w:t>
      </w:r>
      <w:r>
        <w:rPr>
          <w:rFonts w:ascii="Calibri" w:hAnsi="Calibri"/>
          <w:color w:val="auto"/>
        </w:rPr>
        <w:t xml:space="preserve">ank to </w:t>
      </w:r>
      <w:r w:rsidR="00BF0AA9">
        <w:rPr>
          <w:rFonts w:ascii="Calibri" w:hAnsi="Calibri"/>
          <w:color w:val="auto"/>
        </w:rPr>
        <w:t>Pay  The Thired Party Bills and Give Acknowledge to The C</w:t>
      </w:r>
      <w:r w:rsidR="005955E0">
        <w:rPr>
          <w:rFonts w:ascii="Calibri" w:hAnsi="Calibri"/>
          <w:color w:val="auto"/>
        </w:rPr>
        <w:t>ustomer</w:t>
      </w:r>
      <w:r>
        <w:rPr>
          <w:rFonts w:ascii="Calibri" w:hAnsi="Calibri"/>
          <w:color w:val="auto"/>
        </w:rPr>
        <w:t>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BF0AA9" w:rsidRDefault="00BF0AA9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BF0AA9" w:rsidRDefault="00BF0AA9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BF0AA9" w:rsidRDefault="00BF0AA9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BF0AA9" w:rsidRDefault="00BF0AA9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lastRenderedPageBreak/>
        <w:t xml:space="preserve">     4.1</w:t>
      </w:r>
      <w:r w:rsidR="001B5FDA">
        <w:t xml:space="preserve">.1 </w:t>
      </w:r>
      <w:bookmarkEnd w:id="8"/>
      <w:r w:rsidR="005955E0">
        <w:t>Bill Payments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D901C4" w:rsidP="0061480A">
      <w:pPr>
        <w:rPr>
          <w:b/>
          <w:bCs/>
        </w:rPr>
      </w:pPr>
      <w:r w:rsidRPr="00D901C4">
        <w:rPr>
          <w:b/>
          <w:bCs/>
          <w:noProof/>
        </w:rPr>
        <w:drawing>
          <wp:inline distT="0" distB="0" distL="0" distR="0">
            <wp:extent cx="6431446" cy="2185593"/>
            <wp:effectExtent l="19050" t="0" r="7454" b="0"/>
            <wp:docPr id="3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Default="00EC7096" w:rsidP="00EC7096">
      <w:pPr>
        <w:rPr>
          <w:bCs/>
        </w:rPr>
      </w:pPr>
    </w:p>
    <w:p w:rsidR="00C130DC" w:rsidRPr="005F4B81" w:rsidRDefault="00C130DC" w:rsidP="00C130DC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C130DC" w:rsidRDefault="00C130DC" w:rsidP="00C130DC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rPr>
          <w:bCs/>
        </w:rPr>
      </w:pPr>
    </w:p>
    <w:p w:rsidR="00C130DC" w:rsidRPr="005F4B81" w:rsidRDefault="00C130DC" w:rsidP="00C130DC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C130DC" w:rsidRDefault="00C130DC" w:rsidP="00C130DC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BC4CBD">
        <w:rPr>
          <w:bCs/>
        </w:rPr>
        <w:t>Bill Payments</w:t>
      </w:r>
      <w:r>
        <w:rPr>
          <w:bCs/>
        </w:rPr>
        <w:t xml:space="preserve"> flow queue name(“</w:t>
      </w:r>
      <w:r w:rsidR="00E51744">
        <w:rPr>
          <w:bCs/>
        </w:rPr>
        <w:t>BP</w:t>
      </w:r>
      <w:r w:rsidRPr="005F4B81">
        <w:rPr>
          <w:bCs/>
        </w:rPr>
        <w:t>_SB_TCP_REQ</w:t>
      </w:r>
      <w:r>
        <w:rPr>
          <w:bCs/>
        </w:rPr>
        <w:t xml:space="preserve">”) and response queue name(“ALL_SB_TCP_RES”) based on the procces code and placed in enviranment </w:t>
      </w:r>
    </w:p>
    <w:p w:rsidR="00C130DC" w:rsidRDefault="00C130DC" w:rsidP="00C130DC">
      <w:pPr>
        <w:rPr>
          <w:bCs/>
        </w:rPr>
      </w:pP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lastRenderedPageBreak/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Pr="00FF6DE7" w:rsidRDefault="00C130DC" w:rsidP="00C130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130DC" w:rsidRDefault="00C130DC" w:rsidP="00C130DC">
      <w:pPr>
        <w:rPr>
          <w:bCs/>
        </w:rPr>
      </w:pPr>
    </w:p>
    <w:p w:rsidR="00C130DC" w:rsidRDefault="00C130DC" w:rsidP="00EC7096">
      <w:pPr>
        <w:rPr>
          <w:bCs/>
        </w:rPr>
      </w:pPr>
    </w:p>
    <w:p w:rsidR="00EC7096" w:rsidRPr="00EC7096" w:rsidRDefault="00EC7096" w:rsidP="00EC7096">
      <w:pPr>
        <w:rPr>
          <w:bCs/>
        </w:rPr>
      </w:pP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BF0AA9" w:rsidP="004A3A13">
      <w:pPr>
        <w:pStyle w:val="ListParagraph"/>
        <w:numPr>
          <w:ilvl w:val="0"/>
          <w:numId w:val="18"/>
        </w:numPr>
        <w:spacing w:before="240" w:after="60"/>
      </w:pPr>
      <w:r>
        <w:t>Postilion S</w:t>
      </w:r>
      <w:r w:rsidR="004A3A13">
        <w:t xml:space="preserve">ends </w:t>
      </w:r>
      <w:r>
        <w:t>Bill P</w:t>
      </w:r>
      <w:r w:rsidR="005955E0">
        <w:t>ayments</w:t>
      </w:r>
      <w:r>
        <w:t xml:space="preserve">  Message From  C</w:t>
      </w:r>
      <w:r w:rsidR="004A3A13">
        <w:t>hannel to App C</w:t>
      </w:r>
      <w:r>
        <w:t>onnect Enterprise TCPIP Server I</w:t>
      </w:r>
      <w:r w:rsidR="004A3A13">
        <w:t>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BF0AA9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</w:t>
      </w:r>
      <w:r w:rsidR="004A3A13">
        <w:t xml:space="preserve">he </w:t>
      </w:r>
      <w:r>
        <w:t>Request Message Sent by Postilion is S</w:t>
      </w:r>
      <w:r w:rsidR="004A3A13">
        <w:t>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BF0AA9" w:rsidP="004A3A13">
      <w:pPr>
        <w:pStyle w:val="ListParagraph"/>
        <w:numPr>
          <w:ilvl w:val="0"/>
          <w:numId w:val="18"/>
        </w:numPr>
        <w:spacing w:before="240" w:after="60"/>
      </w:pPr>
      <w:r>
        <w:t>TCPIP Server Input Processes The I</w:t>
      </w:r>
      <w:r w:rsidR="004A3A13">
        <w:t xml:space="preserve">ncoming </w:t>
      </w:r>
      <w:r w:rsidR="005955E0">
        <w:t>Bill Payments</w:t>
      </w:r>
      <w:r w:rsidR="004A3A13">
        <w:t xml:space="preserve">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BF0AA9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</w:t>
      </w:r>
      <w:r w:rsidR="00787CDD">
        <w:t>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BF0AA9" w:rsidP="00787CDD">
      <w:pPr>
        <w:pStyle w:val="ListParagraph"/>
        <w:numPr>
          <w:ilvl w:val="0"/>
          <w:numId w:val="20"/>
        </w:numPr>
        <w:spacing w:before="240" w:after="60"/>
      </w:pPr>
      <w:r>
        <w:t>Compute Node Then Filter Queues Based on Processing Code 38 Gets Q</w:t>
      </w:r>
      <w:r w:rsidR="00787CDD">
        <w:t xml:space="preserve">ueues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 w:rsid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="00787CDD"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87CDD">
        <w:t xml:space="preserve">and </w:t>
      </w:r>
      <w:r w:rsidR="00787CDD"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87CDD"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BF0AA9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</w:t>
      </w:r>
      <w:r w:rsidR="00787CDD">
        <w:t>et to Local</w:t>
      </w:r>
      <w:r>
        <w:t>Environment and Meassage. Then Set Queue Name Dynamically Using Esql to The Request Q</w:t>
      </w:r>
      <w:r w:rsidR="00787CDD">
        <w:t>ueue i.</w:t>
      </w:r>
      <w:r w:rsidR="005955E0">
        <w:t xml:space="preserve">e </w:t>
      </w:r>
      <w:r w:rsidR="00787CDD"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955E0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 w:rsid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</w:t>
      </w:r>
      <w:r w:rsidR="00787CDD">
        <w:t>pplication.</w:t>
      </w:r>
    </w:p>
    <w:p w:rsidR="009D417F" w:rsidRDefault="00BF0AA9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</w:t>
      </w:r>
      <w:r w:rsidR="009D417F">
        <w:t>ncoming Mes</w:t>
      </w:r>
      <w:r>
        <w:t>sage is Logged in Database and File System(U</w:t>
      </w:r>
      <w:r w:rsidR="009D417F">
        <w:t>sing Log4j).</w:t>
      </w:r>
    </w:p>
    <w:p w:rsidR="0044530D" w:rsidRDefault="0044530D" w:rsidP="00CB3F8D">
      <w:pPr>
        <w:rPr>
          <w:b/>
          <w:bCs/>
        </w:rPr>
      </w:pPr>
    </w:p>
    <w:p w:rsidR="00BF0AA9" w:rsidRDefault="00BF0AA9" w:rsidP="00CB3F8D">
      <w:pPr>
        <w:rPr>
          <w:b/>
          <w:bCs/>
        </w:rPr>
      </w:pPr>
    </w:p>
    <w:p w:rsidR="00BF0AA9" w:rsidRDefault="00BF0AA9" w:rsidP="00CB3F8D">
      <w:pPr>
        <w:rPr>
          <w:b/>
          <w:bCs/>
        </w:rPr>
      </w:pPr>
    </w:p>
    <w:p w:rsidR="00BF0AA9" w:rsidRPr="00436C24" w:rsidRDefault="00BF0AA9" w:rsidP="00CB3F8D">
      <w:pPr>
        <w:rPr>
          <w:b/>
          <w:bCs/>
        </w:rPr>
      </w:pPr>
    </w:p>
    <w:p w:rsidR="0044530D" w:rsidRDefault="009D417F" w:rsidP="0044530D">
      <w:pPr>
        <w:rPr>
          <w:b/>
          <w:bCs/>
        </w:rPr>
      </w:pPr>
      <w:r>
        <w:rPr>
          <w:b/>
          <w:bCs/>
        </w:rPr>
        <w:lastRenderedPageBreak/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E1B92">
        <w:rPr>
          <w:b/>
          <w:bCs/>
        </w:rPr>
        <w:t>StewardBankBillPayments</w:t>
      </w:r>
      <w:r w:rsidR="008B1D83">
        <w:rPr>
          <w:b/>
          <w:bCs/>
        </w:rPr>
        <w:t xml:space="preserve"> </w:t>
      </w:r>
      <w:r w:rsidR="0044530D" w:rsidRPr="0044530D">
        <w:rPr>
          <w:b/>
          <w:bCs/>
        </w:rPr>
        <w:t>.msgflow</w:t>
      </w:r>
    </w:p>
    <w:p w:rsidR="00436C24" w:rsidRDefault="00436C24" w:rsidP="0044530D">
      <w:pPr>
        <w:rPr>
          <w:b/>
          <w:bCs/>
        </w:rPr>
      </w:pPr>
    </w:p>
    <w:p w:rsidR="0044530D" w:rsidRDefault="002019C9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316631"/>
            <wp:effectExtent l="19050" t="0" r="3175" b="0"/>
            <wp:docPr id="9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31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8D" w:rsidRPr="000150B9" w:rsidRDefault="00CB3F8D" w:rsidP="00CB3F8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CB3F8D" w:rsidRDefault="00CB3F8D" w:rsidP="00CB3F8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4E1B92" w:rsidRDefault="004E1B92" w:rsidP="0044530D">
      <w:pPr>
        <w:rPr>
          <w:bCs/>
        </w:rPr>
      </w:pPr>
    </w:p>
    <w:p w:rsidR="00CB3F8D" w:rsidRDefault="00CB3F8D" w:rsidP="0044530D">
      <w:pPr>
        <w:rPr>
          <w:bCs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BillPayments_GenerateReqToT24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Bill Payments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CB3F8D" w:rsidRDefault="00CB3F8D" w:rsidP="00CB3F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CB3F8D" w:rsidRDefault="00CB3F8D" w:rsidP="00CB3F8D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96B4B" w:rsidRDefault="00C96B4B" w:rsidP="0044530D">
      <w:pPr>
        <w:rPr>
          <w:bCs/>
        </w:rPr>
      </w:pPr>
    </w:p>
    <w:p w:rsidR="00F176C9" w:rsidRPr="0010132A" w:rsidRDefault="00F176C9" w:rsidP="00F176C9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>CODE:</w:t>
      </w:r>
    </w:p>
    <w:p w:rsidR="00F176C9" w:rsidRDefault="00F176C9" w:rsidP="00F176C9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BankBillPayments_GenerateResToPostilion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-------------------- 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 Payments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35A16" w:rsidRDefault="00835A16" w:rsidP="00835A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176C9" w:rsidRDefault="00F176C9" w:rsidP="0044530D">
      <w:pPr>
        <w:rPr>
          <w:bCs/>
        </w:rPr>
      </w:pPr>
    </w:p>
    <w:p w:rsidR="008D78E4" w:rsidRDefault="008D78E4" w:rsidP="0044530D">
      <w:pPr>
        <w:rPr>
          <w:bCs/>
        </w:rPr>
      </w:pPr>
    </w:p>
    <w:p w:rsidR="008D78E4" w:rsidRPr="00F92710" w:rsidRDefault="008D78E4" w:rsidP="008D78E4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8D78E4" w:rsidRDefault="008D78E4" w:rsidP="008D78E4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8D78E4" w:rsidRDefault="008D78E4" w:rsidP="0044530D">
      <w:pPr>
        <w:rPr>
          <w:bCs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BankBillPayments_CaptureException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 Logging in DB----------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BillPayments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630E39" w:rsidRDefault="00630E39" w:rsidP="00630E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30E39" w:rsidRDefault="00630E39" w:rsidP="00630E39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176C9" w:rsidRDefault="00F176C9" w:rsidP="0044530D">
      <w:pPr>
        <w:rPr>
          <w:bCs/>
        </w:rPr>
      </w:pPr>
    </w:p>
    <w:p w:rsidR="00F176C9" w:rsidRDefault="00F176C9" w:rsidP="0044530D">
      <w:pPr>
        <w:rPr>
          <w:bCs/>
        </w:rPr>
      </w:pPr>
    </w:p>
    <w:p w:rsidR="00C96B4B" w:rsidRDefault="00C96B4B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BF0AA9" w:rsidP="009D417F">
      <w:pPr>
        <w:pStyle w:val="ListParagraph"/>
        <w:numPr>
          <w:ilvl w:val="0"/>
          <w:numId w:val="21"/>
        </w:numPr>
        <w:spacing w:before="240" w:after="60"/>
      </w:pPr>
      <w:r>
        <w:t>The Message is Routed From The IncomingRouterFlow to The Interface ESB Application T</w:t>
      </w:r>
      <w:r w:rsidR="009D417F">
        <w:t xml:space="preserve">hrough </w:t>
      </w:r>
      <w:r w:rsidR="004E1B92">
        <w:rPr>
          <w:rFonts w:ascii="Arial" w:hAnsi="Arial" w:cs="Arial"/>
          <w:color w:val="000000"/>
          <w:sz w:val="20"/>
          <w:szCs w:val="20"/>
          <w:shd w:val="clear" w:color="auto" w:fill="FFFFFF"/>
        </w:rPr>
        <w:t>BP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 queue in MQ_InputNode</w:t>
      </w:r>
      <w:r w:rsidR="002019C9">
        <w:rPr>
          <w:rFonts w:ascii="Arial" w:hAnsi="Arial" w:cs="Arial"/>
          <w:color w:val="000000"/>
          <w:sz w:val="20"/>
          <w:szCs w:val="20"/>
          <w:shd w:val="clear" w:color="auto" w:fill="FFFFFF"/>
        </w:rPr>
        <w:t>(BILL_PAYMENTS_REQ)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BF0AA9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</w:t>
      </w:r>
      <w:r w:rsidR="009D417F">
        <w:t xml:space="preserve">he </w:t>
      </w:r>
      <w:r w:rsidR="00BC4CBD">
        <w:rPr>
          <w:bCs/>
        </w:rPr>
        <w:t>Bill Payments</w:t>
      </w:r>
      <w:r>
        <w:t xml:space="preserve"> Send is DB Logged and The Data is Logged Using Log4j is S</w:t>
      </w:r>
      <w:r w:rsidR="009D417F">
        <w:t>pecified in Section 5.1.2.1.</w:t>
      </w:r>
    </w:p>
    <w:p w:rsidR="009D417F" w:rsidRDefault="00BF0AA9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</w:t>
      </w:r>
      <w:r w:rsidR="009D417F">
        <w:t>ueue.</w:t>
      </w:r>
    </w:p>
    <w:p w:rsidR="009D417F" w:rsidRDefault="00BF0AA9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</w:t>
      </w:r>
      <w:r w:rsidR="009D417F">
        <w:t xml:space="preserve">ode </w:t>
      </w:r>
      <w:r w:rsidR="009D417F" w:rsidRPr="00EA152A">
        <w:t>GeneratingReqToT24</w:t>
      </w:r>
      <w:r w:rsidR="009D417F">
        <w:t>.</w:t>
      </w:r>
    </w:p>
    <w:p w:rsidR="009D417F" w:rsidRDefault="00BF0AA9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</w:t>
      </w:r>
      <w:r w:rsidR="009D417F">
        <w:t>ode.</w:t>
      </w:r>
    </w:p>
    <w:p w:rsidR="009D417F" w:rsidRDefault="00BF0AA9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</w:t>
      </w:r>
      <w:r w:rsidR="009D417F">
        <w:t>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 w:rsidR="00BF0AA9">
        <w:t>, The T24 Response Message Will be Placed in T</w:t>
      </w:r>
      <w:r>
        <w:t>he Database by DB Logging a</w:t>
      </w:r>
      <w:r w:rsidR="00BF0AA9">
        <w:t>nd inserted I</w:t>
      </w:r>
      <w:r>
        <w:t>n</w:t>
      </w:r>
      <w:r w:rsidR="00BF0AA9">
        <w:t>to The Log F</w:t>
      </w:r>
      <w:r w:rsidR="004E1B92">
        <w:t>ile(BILLPAYMENTS</w:t>
      </w:r>
      <w:r>
        <w:t>.log) of Log4j.</w:t>
      </w:r>
    </w:p>
    <w:p w:rsidR="009D417F" w:rsidRDefault="00BF0AA9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</w:t>
      </w:r>
      <w:r w:rsidR="009D417F">
        <w:t>i</w:t>
      </w:r>
      <w:r>
        <w:t>ll Handle The E</w:t>
      </w:r>
      <w:r w:rsidR="009D417F">
        <w:t>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BF0AA9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</w:t>
      </w:r>
      <w:r w:rsidR="009D417F">
        <w:t>ro</w:t>
      </w:r>
      <w:r>
        <w:t>pagated to The Response Q</w:t>
      </w:r>
      <w:r w:rsidR="009D417F">
        <w:t>ueue (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9D417F">
        <w:t>).</w:t>
      </w:r>
    </w:p>
    <w:p w:rsidR="009D417F" w:rsidRDefault="00BF0AA9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</w:t>
      </w:r>
      <w:r w:rsidR="009D417F">
        <w:t>low (</w:t>
      </w:r>
      <w:r w:rsidR="004E1B92">
        <w:rPr>
          <w:b/>
          <w:bCs/>
        </w:rPr>
        <w:t>BillPayments</w:t>
      </w:r>
      <w:r>
        <w:t>) it Will Propagate to OutwardRouter Queue Which is Picked From The Environment V</w:t>
      </w:r>
      <w:r w:rsidR="009D417F">
        <w:t>ariables</w:t>
      </w:r>
    </w:p>
    <w:p w:rsidR="001459F1" w:rsidRDefault="00BF0AA9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</w:t>
      </w:r>
      <w:r w:rsidR="009D417F">
        <w:t>ariables and by</w:t>
      </w:r>
      <w:r>
        <w:t xml:space="preserve"> Setting T</w:t>
      </w:r>
      <w:r w:rsidR="009D417F">
        <w:t>hem in User Defined Properties.</w:t>
      </w: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436C24" w:rsidRDefault="00436C24" w:rsidP="00CB7564">
      <w:pPr>
        <w:rPr>
          <w:b/>
          <w:bCs/>
        </w:rPr>
      </w:pPr>
    </w:p>
    <w:p w:rsidR="00CB7564" w:rsidRPr="00CB7564" w:rsidRDefault="005E13FC" w:rsidP="00CB7564">
      <w:pPr>
        <w:rPr>
          <w:b/>
          <w:bCs/>
        </w:rPr>
      </w:pPr>
      <w:r w:rsidRPr="005E13FC">
        <w:rPr>
          <w:b/>
          <w:bCs/>
          <w:noProof/>
        </w:rPr>
        <w:lastRenderedPageBreak/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</w:t>
      </w:r>
      <w:r w:rsidR="003A6D74">
        <w:t xml:space="preserve"> Incoming Message From T</w:t>
      </w:r>
      <w:r w:rsidR="004E1B92">
        <w:t>he BillPayment</w:t>
      </w:r>
      <w:r w:rsidR="003A6D74">
        <w:t>Flow to The Response Q</w:t>
      </w:r>
      <w:r>
        <w:t xml:space="preserve">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3A6D74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The Compute Node RouteBasedOnProtocol is  U</w:t>
      </w:r>
      <w:r w:rsidR="001459F1">
        <w:t xml:space="preserve">sed </w:t>
      </w:r>
      <w:r>
        <w:t>to Route According to The Incoming M</w:t>
      </w:r>
      <w:r w:rsidR="001459F1">
        <w:t>essage.</w:t>
      </w:r>
    </w:p>
    <w:p w:rsidR="001459F1" w:rsidRDefault="003A6D74" w:rsidP="001459F1">
      <w:pPr>
        <w:pStyle w:val="ListParagraph"/>
        <w:numPr>
          <w:ilvl w:val="0"/>
          <w:numId w:val="27"/>
        </w:numPr>
        <w:spacing w:before="240" w:after="60"/>
      </w:pPr>
      <w:r>
        <w:t>TCPIP Server Output Processes T</w:t>
      </w:r>
      <w:r w:rsidR="001459F1">
        <w:t xml:space="preserve">he </w:t>
      </w:r>
      <w:r w:rsidR="004E1B92">
        <w:t>Bill Payments</w:t>
      </w:r>
      <w:r w:rsidR="001459F1">
        <w:t xml:space="preserve"> Message Response.</w:t>
      </w:r>
    </w:p>
    <w:p w:rsidR="001459F1" w:rsidRDefault="003A6D74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</w:t>
      </w:r>
      <w:r w:rsidR="001459F1">
        <w:t>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3A6D74" w:rsidP="001459F1">
      <w:pPr>
        <w:pStyle w:val="ListParagraph"/>
        <w:numPr>
          <w:ilvl w:val="0"/>
          <w:numId w:val="27"/>
        </w:numPr>
        <w:spacing w:before="240" w:after="60"/>
      </w:pPr>
      <w:r>
        <w:t>The Format of T</w:t>
      </w:r>
      <w:r w:rsidR="001459F1">
        <w:t xml:space="preserve">he </w:t>
      </w:r>
      <w:r w:rsidR="004E1B92">
        <w:t xml:space="preserve">Bill Payments </w:t>
      </w:r>
      <w:r>
        <w:t>Message Response W</w:t>
      </w:r>
      <w:r w:rsidR="001459F1">
        <w:t>ill b</w:t>
      </w:r>
      <w:r>
        <w:t>e in S</w:t>
      </w:r>
      <w:r w:rsidR="001459F1">
        <w:t xml:space="preserve">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The</w:t>
      </w:r>
      <w:r w:rsidR="003A6D74">
        <w:t xml:space="preserve"> TCPIP server O</w:t>
      </w:r>
      <w:r>
        <w:t>u</w:t>
      </w:r>
      <w:r w:rsidR="003A6D74">
        <w:t>tput of App Connect Enterprise Will Send T</w:t>
      </w:r>
      <w:r>
        <w:t xml:space="preserve">he </w:t>
      </w:r>
      <w:r w:rsidR="004E1B92">
        <w:t>Bill Payments</w:t>
      </w:r>
      <w:r w:rsidR="003A6D74">
        <w:t xml:space="preserve"> Response Back to The P</w:t>
      </w:r>
      <w:r>
        <w:t>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6D74" w:rsidP="003A1378">
      <w:pPr>
        <w:rPr>
          <w:i/>
          <w:color w:val="FF0000"/>
        </w:rPr>
      </w:pPr>
      <w:r>
        <w:t xml:space="preserve">   Following is The High Level Architecture D</w:t>
      </w:r>
      <w:r w:rsidR="003A1378">
        <w:t>iagram.</w:t>
      </w:r>
    </w:p>
    <w:p w:rsidR="003A1378" w:rsidRDefault="003A1378" w:rsidP="003A1378"/>
    <w:p w:rsidR="00BE6EF3" w:rsidRDefault="008F403A" w:rsidP="00BE6EF3">
      <w:pPr>
        <w:tabs>
          <w:tab w:val="left" w:pos="2136"/>
        </w:tabs>
        <w:spacing w:before="240" w:after="60"/>
        <w:ind w:left="363"/>
      </w:pPr>
      <w:r w:rsidRPr="008F403A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 style="mso-next-textbox:#Text Box 37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8F403A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 style="mso-next-textbox:#Text Box 19">
              <w:txbxContent>
                <w:p w:rsidR="00861DE2" w:rsidRPr="0003696C" w:rsidRDefault="00861DE2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8F403A" w:rsidP="00BE6EF3">
      <w:pPr>
        <w:spacing w:before="240" w:after="60"/>
        <w:ind w:left="363"/>
      </w:pPr>
      <w:r w:rsidRPr="008F403A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8F403A" w:rsidP="00BE6EF3">
      <w:pPr>
        <w:tabs>
          <w:tab w:val="left" w:pos="3864"/>
        </w:tabs>
        <w:spacing w:before="240" w:after="60"/>
        <w:ind w:left="363"/>
      </w:pPr>
      <w:r w:rsidRPr="008F403A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 style="mso-next-textbox:#Text Box 33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 style="mso-next-textbox:#Text Box 36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8F403A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 style="mso-next-textbox:#Text Box 20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8F403A" w:rsidP="00BE6EF3">
      <w:pPr>
        <w:spacing w:before="240" w:after="60"/>
        <w:ind w:left="363"/>
      </w:pPr>
      <w:r w:rsidRPr="008F403A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 style="mso-next-textbox:#Text Box 32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8F403A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8F403A" w:rsidP="00BE6EF3">
      <w:pPr>
        <w:tabs>
          <w:tab w:val="left" w:pos="6804"/>
        </w:tabs>
        <w:spacing w:before="240" w:after="60"/>
      </w:pPr>
      <w:r w:rsidRPr="008F403A">
        <w:rPr>
          <w:noProof/>
          <w:lang w:val="en-ZA"/>
        </w:rPr>
        <w:lastRenderedPageBreak/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 style="mso-next-textbox:#Text Box 34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8F403A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 style="mso-next-textbox:#Text Box 21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8F403A" w:rsidP="00BE6EF3">
      <w:pPr>
        <w:spacing w:before="240" w:after="60"/>
      </w:pPr>
      <w:r w:rsidRPr="008F403A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 style="mso-next-textbox:#Text Box 35"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8F403A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8F403A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 style="mso-next-textbox:#Text Box 22"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8F403A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4E1B92" w:rsidP="003A1378">
      <w:pPr>
        <w:ind w:left="135"/>
      </w:pPr>
      <w:r w:rsidRPr="004E1B92">
        <w:rPr>
          <w:noProof/>
        </w:rPr>
        <w:drawing>
          <wp:inline distT="0" distB="0" distL="0" distR="0">
            <wp:extent cx="5943600" cy="2631948"/>
            <wp:effectExtent l="19050" t="0" r="0" b="0"/>
            <wp:docPr id="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="002A577E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="002A577E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="002A577E">
        <w:rPr>
          <w:rFonts w:cs="Calibri"/>
          <w:color w:val="000000"/>
        </w:rPr>
        <w:t>le L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="002A577E">
        <w:rPr>
          <w:rFonts w:cs="Calibri"/>
          <w:color w:val="000000"/>
          <w:spacing w:val="1"/>
        </w:rPr>
        <w:t xml:space="preserve"> E</w:t>
      </w:r>
      <w:r w:rsidRPr="003A1378">
        <w:rPr>
          <w:rFonts w:cs="Calibri"/>
          <w:color w:val="000000"/>
          <w:spacing w:val="1"/>
        </w:rPr>
        <w:t>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="002A577E">
        <w:rPr>
          <w:rFonts w:cs="Calibri"/>
          <w:color w:val="000000"/>
        </w:rPr>
        <w:t>rnal Dependencies in The ESB Solution P</w:t>
      </w:r>
      <w:r w:rsidRPr="003A1378">
        <w:rPr>
          <w:rFonts w:cs="Calibri"/>
          <w:color w:val="000000"/>
        </w:rPr>
        <w:t>erspective.</w:t>
      </w:r>
    </w:p>
    <w:p w:rsidR="002A577E" w:rsidRDefault="002A577E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 w:rsidR="002A577E"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 w:rsidR="002A577E"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 w:rsidR="002A577E">
        <w:rPr>
          <w:rFonts w:cs="Calibri"/>
          <w:color w:val="000000"/>
        </w:rPr>
        <w:t>le L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 w:rsidR="002A577E">
        <w:rPr>
          <w:rFonts w:cs="Calibri"/>
          <w:color w:val="000000"/>
        </w:rPr>
        <w:t>s Internal Dependencies in The ESB Solution P</w:t>
      </w:r>
      <w:r>
        <w:rPr>
          <w:rFonts w:cs="Calibri"/>
          <w:color w:val="000000"/>
        </w:rPr>
        <w:t>erspective.</w:t>
      </w:r>
    </w:p>
    <w:p w:rsidR="002A577E" w:rsidRDefault="002A577E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Default="00BE6EF3" w:rsidP="00BE6EF3"/>
    <w:p w:rsidR="00BE6EF3" w:rsidRDefault="00BE6EF3" w:rsidP="00BE6EF3"/>
    <w:p w:rsidR="00BE6EF3" w:rsidRDefault="00BE6EF3" w:rsidP="00BE6EF3"/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r w:rsidR="00781563">
        <w:t>Bill Payments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4E1B9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047D18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lastRenderedPageBreak/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C60C4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C60C48">
              <w:rPr>
                <w:rFonts w:cs="Calibri"/>
                <w:spacing w:val="1"/>
                <w:position w:val="1"/>
              </w:rPr>
              <w:t>Bill Payments</w:t>
            </w:r>
            <w:r w:rsidR="00BD050F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</w:t>
            </w:r>
            <w:r w:rsidRPr="004150E9">
              <w:rPr>
                <w:rFonts w:cs="Calibri"/>
                <w:spacing w:val="1"/>
                <w:position w:val="1"/>
              </w:rPr>
              <w:lastRenderedPageBreak/>
              <w:t>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lastRenderedPageBreak/>
              <w:t xml:space="preserve">Contains the timestamp, to know when </w:t>
            </w:r>
            <w:r>
              <w:rPr>
                <w:rFonts w:cs="Calibri"/>
                <w:spacing w:val="1"/>
                <w:position w:val="1"/>
              </w:rPr>
              <w:lastRenderedPageBreak/>
              <w:t>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details of message system audit trace. 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Default="00B32D42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B32D42" w:rsidTr="00861DE2">
        <w:trPr>
          <w:trHeight w:val="212"/>
        </w:trPr>
        <w:tc>
          <w:tcPr>
            <w:tcW w:w="1008" w:type="dxa"/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D42" w:rsidRDefault="00B32D42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D42" w:rsidRPr="00B32D42" w:rsidRDefault="00B32D42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32D42" w:rsidRPr="004150E9" w:rsidRDefault="00B32D42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32D42" w:rsidRDefault="00B32D4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 xml:space="preserve">Contains the details of the error and its </w:t>
            </w:r>
            <w:r>
              <w:lastRenderedPageBreak/>
              <w:t>description.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9E5DA1" w:rsidRDefault="004912ED" w:rsidP="00861DE2">
            <w:r w:rsidRPr="00B32D42">
              <w:t>TIME_LOCAL_TRANSACTION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Default="004912ED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r>
              <w:rPr>
                <w:rFonts w:cs="Calibri"/>
                <w:spacing w:val="1"/>
                <w:position w:val="1"/>
              </w:rPr>
              <w:t>Contains the details of message system audit trace.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4912ED" w:rsidRDefault="004912ED" w:rsidP="00861DE2">
            <w:r w:rsidRPr="00B32D42">
              <w:t>DATE_LOCAL_TRANSACTION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Date Local Transaction.</w:t>
            </w:r>
          </w:p>
        </w:tc>
      </w:tr>
      <w:tr w:rsidR="004912ED" w:rsidTr="00861DE2">
        <w:trPr>
          <w:trHeight w:val="212"/>
        </w:trPr>
        <w:tc>
          <w:tcPr>
            <w:tcW w:w="1008" w:type="dxa"/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2ED" w:rsidRDefault="004912ED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912ED" w:rsidRPr="00B32D42" w:rsidRDefault="004912ED" w:rsidP="00861DE2">
            <w:r w:rsidRPr="00B32D42">
              <w:t>RETRIEVAL_REFERENCE_NUMBER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912ED" w:rsidRPr="004150E9" w:rsidRDefault="004912ED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912ED" w:rsidRDefault="004912ED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details of message Retrieval reference number.</w:t>
            </w:r>
          </w:p>
        </w:tc>
      </w:tr>
    </w:tbl>
    <w:p w:rsidR="00811D81" w:rsidRDefault="00811D81" w:rsidP="00811D81"/>
    <w:p w:rsidR="004912ED" w:rsidRDefault="004912ED" w:rsidP="00811D81"/>
    <w:p w:rsidR="009652C0" w:rsidRDefault="009652C0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C772F3" w:rsidRDefault="00C772F3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lastRenderedPageBreak/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C772F3" w:rsidTr="00B4752C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C772F3" w:rsidRDefault="00C772F3" w:rsidP="00B4752C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C772F3" w:rsidTr="00B4752C">
        <w:trPr>
          <w:trHeight w:val="420"/>
        </w:trPr>
        <w:tc>
          <w:tcPr>
            <w:tcW w:w="1390" w:type="dxa"/>
            <w:vMerge w:val="restart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C772F3" w:rsidTr="00B4752C">
        <w:trPr>
          <w:trHeight w:val="454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BP_SB_TCP_REQ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C772F3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Bill Payments.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C772F3" w:rsidTr="00B4752C">
        <w:trPr>
          <w:trHeight w:val="23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197"/>
        </w:trPr>
        <w:tc>
          <w:tcPr>
            <w:tcW w:w="1390" w:type="dxa"/>
            <w:vMerge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Thisqueue is used to DB Log the error/unsuccessful  transactions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C772F3" w:rsidTr="00B4752C">
        <w:trPr>
          <w:trHeight w:val="699"/>
        </w:trPr>
        <w:tc>
          <w:tcPr>
            <w:tcW w:w="1390" w:type="dxa"/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C772F3" w:rsidRDefault="00C772F3" w:rsidP="00B4752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C772F3" w:rsidRDefault="00C772F3" w:rsidP="00B4752C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C772F3" w:rsidRDefault="00C772F3" w:rsidP="00B4752C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Default="00CF162D" w:rsidP="009652C0">
      <w:pPr>
        <w:pStyle w:val="ListParagraph"/>
        <w:ind w:left="555"/>
      </w:pPr>
    </w:p>
    <w:p w:rsidR="00CF162D" w:rsidRPr="009652C0" w:rsidRDefault="00CF162D" w:rsidP="009652C0">
      <w:pPr>
        <w:pStyle w:val="ListParagraph"/>
        <w:ind w:left="555"/>
      </w:pPr>
    </w:p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C772F3" w:rsidRDefault="00C772F3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Default="005F6437" w:rsidP="00F65AC3"/>
    <w:p w:rsidR="005F6437" w:rsidRPr="00F65AC3" w:rsidRDefault="005F6437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8A3316" w:rsidP="00861DE2">
            <w:pPr>
              <w:spacing w:after="0"/>
            </w:pPr>
            <w:r>
              <w:object w:dxaOrig="204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75pt;height:40.7pt" o:ole="">
                  <v:imagedata r:id="rId12" o:title=""/>
                </v:shape>
                <o:OLEObject Type="Embed" ProgID="Package" ShapeID="_x0000_i1025" DrawAspect="Content" ObjectID="_1652171653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8A3316" w:rsidP="00861DE2">
            <w:pPr>
              <w:rPr>
                <w:rFonts w:cs="Calibri"/>
                <w:spacing w:val="1"/>
                <w:position w:val="1"/>
              </w:rPr>
            </w:pPr>
            <w:r w:rsidRPr="008F403A">
              <w:rPr>
                <w:rFonts w:cs="Calibri"/>
                <w:spacing w:val="1"/>
                <w:position w:val="1"/>
              </w:rPr>
              <w:object w:dxaOrig="2040" w:dyaOrig="810">
                <v:shape id="_x0000_i1026" type="#_x0000_t75" style="width:101.75pt;height:40.7pt" o:ole="">
                  <v:imagedata r:id="rId14" o:title=""/>
                </v:shape>
                <o:OLEObject Type="Embed" ProgID="Package" ShapeID="_x0000_i1026" DrawAspect="Content" ObjectID="_1652171654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8A3316" w:rsidP="00861DE2">
            <w:pPr>
              <w:spacing w:after="0"/>
            </w:pPr>
            <w:r>
              <w:object w:dxaOrig="1996" w:dyaOrig="810">
                <v:shape id="_x0000_i1027" type="#_x0000_t75" style="width:100.15pt;height:40.7pt" o:ole="">
                  <v:imagedata r:id="rId16" o:title=""/>
                </v:shape>
                <o:OLEObject Type="Embed" ProgID="Package" ShapeID="_x0000_i1027" DrawAspect="Content" ObjectID="_1652171655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8A3316" w:rsidRDefault="008A3316" w:rsidP="00861DE2"/>
          <w:p w:rsidR="009652C0" w:rsidRPr="008A3316" w:rsidRDefault="008A3316" w:rsidP="008A3316">
            <w:pPr>
              <w:ind w:firstLine="720"/>
            </w:pPr>
            <w:r>
              <w:object w:dxaOrig="1996" w:dyaOrig="810">
                <v:shape id="_x0000_i1028" type="#_x0000_t75" style="width:100.15pt;height:40.7pt" o:ole="">
                  <v:imagedata r:id="rId18" o:title=""/>
                </v:shape>
                <o:OLEObject Type="Embed" ProgID="Package" ShapeID="_x0000_i1028" DrawAspect="Content" ObjectID="_1652171656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8A3316" w:rsidP="00861DE2">
            <w:pPr>
              <w:rPr>
                <w:rFonts w:cs="Calibri"/>
                <w:spacing w:val="1"/>
                <w:position w:val="1"/>
              </w:rPr>
            </w:pPr>
            <w:r w:rsidRPr="008F403A">
              <w:rPr>
                <w:rFonts w:cs="Calibri"/>
                <w:spacing w:val="1"/>
                <w:position w:val="1"/>
              </w:rPr>
              <w:object w:dxaOrig="2040" w:dyaOrig="810">
                <v:shape id="_x0000_i1029" type="#_x0000_t75" style="width:101.75pt;height:40.7pt" o:ole="">
                  <v:imagedata r:id="rId20" o:title=""/>
                </v:shape>
                <o:OLEObject Type="Embed" ProgID="Package" ShapeID="_x0000_i1029" DrawAspect="Content" ObjectID="_1652171657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8A3316" w:rsidP="00273714">
            <w:pPr>
              <w:jc w:val="center"/>
            </w:pPr>
            <w:r>
              <w:object w:dxaOrig="2040" w:dyaOrig="810">
                <v:shape id="_x0000_i1030" type="#_x0000_t75" style="width:101.75pt;height:40.7pt" o:ole="">
                  <v:imagedata r:id="rId22" o:title=""/>
                </v:shape>
                <o:OLEObject Type="Embed" ProgID="Package" ShapeID="_x0000_i1030" DrawAspect="Content" ObjectID="_1652171658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8A3316" w:rsidP="00861DE2">
            <w:pPr>
              <w:rPr>
                <w:rFonts w:cs="Calibri"/>
                <w:spacing w:val="1"/>
                <w:position w:val="1"/>
              </w:rPr>
            </w:pPr>
            <w:r w:rsidRPr="008F403A">
              <w:rPr>
                <w:rFonts w:cs="Calibri"/>
                <w:spacing w:val="1"/>
                <w:position w:val="1"/>
              </w:rPr>
              <w:object w:dxaOrig="1996" w:dyaOrig="810">
                <v:shape id="_x0000_i1031" type="#_x0000_t75" style="width:100.15pt;height:40.7pt" o:ole="">
                  <v:imagedata r:id="rId24" o:title=""/>
                </v:shape>
                <o:OLEObject Type="Embed" ProgID="Package" ShapeID="_x0000_i1031" DrawAspect="Content" ObjectID="_1652171659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8A3316" w:rsidP="00861DE2">
            <w:pPr>
              <w:rPr>
                <w:rFonts w:cs="Calibri"/>
                <w:spacing w:val="1"/>
                <w:position w:val="1"/>
              </w:rPr>
            </w:pPr>
            <w:r w:rsidRPr="008F403A">
              <w:rPr>
                <w:rFonts w:cs="Calibri"/>
                <w:spacing w:val="1"/>
                <w:position w:val="1"/>
              </w:rPr>
              <w:object w:dxaOrig="1996" w:dyaOrig="810">
                <v:shape id="_x0000_i1032" type="#_x0000_t75" style="width:100.15pt;height:40.7pt" o:ole="">
                  <v:imagedata r:id="rId26" o:title=""/>
                </v:shape>
                <o:OLEObject Type="Embed" ProgID="Package" ShapeID="_x0000_i1032" DrawAspect="Content" ObjectID="_1652171660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058" w:rsidRDefault="00266058" w:rsidP="003C69DC">
      <w:pPr>
        <w:spacing w:after="0" w:line="240" w:lineRule="auto"/>
      </w:pPr>
      <w:r>
        <w:separator/>
      </w:r>
    </w:p>
  </w:endnote>
  <w:endnote w:type="continuationSeparator" w:id="1">
    <w:p w:rsidR="00266058" w:rsidRDefault="00266058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861DE2" w:rsidRDefault="00861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058" w:rsidRDefault="00266058" w:rsidP="003C69DC">
      <w:pPr>
        <w:spacing w:after="0" w:line="240" w:lineRule="auto"/>
      </w:pPr>
      <w:r>
        <w:separator/>
      </w:r>
    </w:p>
  </w:footnote>
  <w:footnote w:type="continuationSeparator" w:id="1">
    <w:p w:rsidR="00266058" w:rsidRDefault="00266058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7791"/>
    <w:rsid w:val="0003051B"/>
    <w:rsid w:val="000340CE"/>
    <w:rsid w:val="00047D18"/>
    <w:rsid w:val="000637B8"/>
    <w:rsid w:val="00074BFF"/>
    <w:rsid w:val="000F3C79"/>
    <w:rsid w:val="001459F1"/>
    <w:rsid w:val="001734EF"/>
    <w:rsid w:val="001A0855"/>
    <w:rsid w:val="001B5FDA"/>
    <w:rsid w:val="001C2495"/>
    <w:rsid w:val="001C605C"/>
    <w:rsid w:val="00200EDB"/>
    <w:rsid w:val="002019C9"/>
    <w:rsid w:val="0024312A"/>
    <w:rsid w:val="00266058"/>
    <w:rsid w:val="00273714"/>
    <w:rsid w:val="002A577E"/>
    <w:rsid w:val="002F4647"/>
    <w:rsid w:val="00321ABD"/>
    <w:rsid w:val="00321F6F"/>
    <w:rsid w:val="00380043"/>
    <w:rsid w:val="003A1378"/>
    <w:rsid w:val="003A6D74"/>
    <w:rsid w:val="003B078C"/>
    <w:rsid w:val="003C69DC"/>
    <w:rsid w:val="003E783E"/>
    <w:rsid w:val="003F607D"/>
    <w:rsid w:val="004149CA"/>
    <w:rsid w:val="0043231D"/>
    <w:rsid w:val="00436C24"/>
    <w:rsid w:val="0044530D"/>
    <w:rsid w:val="00470842"/>
    <w:rsid w:val="004912ED"/>
    <w:rsid w:val="004A3A13"/>
    <w:rsid w:val="004D37B2"/>
    <w:rsid w:val="004E1B92"/>
    <w:rsid w:val="004E656D"/>
    <w:rsid w:val="00536DC1"/>
    <w:rsid w:val="005955E0"/>
    <w:rsid w:val="005E13FC"/>
    <w:rsid w:val="005F3CCA"/>
    <w:rsid w:val="005F6437"/>
    <w:rsid w:val="0061480A"/>
    <w:rsid w:val="00630E39"/>
    <w:rsid w:val="00657FB1"/>
    <w:rsid w:val="006604C8"/>
    <w:rsid w:val="00663C7A"/>
    <w:rsid w:val="00665D03"/>
    <w:rsid w:val="006957C5"/>
    <w:rsid w:val="006A37AC"/>
    <w:rsid w:val="00711B5C"/>
    <w:rsid w:val="00737AF3"/>
    <w:rsid w:val="00771609"/>
    <w:rsid w:val="00772569"/>
    <w:rsid w:val="00781563"/>
    <w:rsid w:val="00787087"/>
    <w:rsid w:val="00787CDD"/>
    <w:rsid w:val="00797ACB"/>
    <w:rsid w:val="007C5CD8"/>
    <w:rsid w:val="007E41CC"/>
    <w:rsid w:val="00811D81"/>
    <w:rsid w:val="008207A2"/>
    <w:rsid w:val="00834E9C"/>
    <w:rsid w:val="00835A16"/>
    <w:rsid w:val="00861DE2"/>
    <w:rsid w:val="008A08A7"/>
    <w:rsid w:val="008A3316"/>
    <w:rsid w:val="008B1D83"/>
    <w:rsid w:val="008D78E4"/>
    <w:rsid w:val="008F403A"/>
    <w:rsid w:val="0093641C"/>
    <w:rsid w:val="009652C0"/>
    <w:rsid w:val="009A2051"/>
    <w:rsid w:val="009D417F"/>
    <w:rsid w:val="009F1956"/>
    <w:rsid w:val="009F4D49"/>
    <w:rsid w:val="009F6D3F"/>
    <w:rsid w:val="00A54DD6"/>
    <w:rsid w:val="00A87BE0"/>
    <w:rsid w:val="00AB2D96"/>
    <w:rsid w:val="00B32D42"/>
    <w:rsid w:val="00B92B64"/>
    <w:rsid w:val="00BC4CBD"/>
    <w:rsid w:val="00BD050F"/>
    <w:rsid w:val="00BE2CD9"/>
    <w:rsid w:val="00BE3F8C"/>
    <w:rsid w:val="00BE6034"/>
    <w:rsid w:val="00BE6EF3"/>
    <w:rsid w:val="00BE7425"/>
    <w:rsid w:val="00BF0AA9"/>
    <w:rsid w:val="00C130DC"/>
    <w:rsid w:val="00C16C4E"/>
    <w:rsid w:val="00C24C66"/>
    <w:rsid w:val="00C56B71"/>
    <w:rsid w:val="00C60C48"/>
    <w:rsid w:val="00C613D0"/>
    <w:rsid w:val="00C772F3"/>
    <w:rsid w:val="00C95E15"/>
    <w:rsid w:val="00C96B4B"/>
    <w:rsid w:val="00CA60B6"/>
    <w:rsid w:val="00CB3F8D"/>
    <w:rsid w:val="00CB7564"/>
    <w:rsid w:val="00CF162D"/>
    <w:rsid w:val="00CF2DC0"/>
    <w:rsid w:val="00D10F11"/>
    <w:rsid w:val="00D7010E"/>
    <w:rsid w:val="00D765CA"/>
    <w:rsid w:val="00D901C4"/>
    <w:rsid w:val="00DD243B"/>
    <w:rsid w:val="00DF1B85"/>
    <w:rsid w:val="00DF3440"/>
    <w:rsid w:val="00DF59CB"/>
    <w:rsid w:val="00E44505"/>
    <w:rsid w:val="00E51744"/>
    <w:rsid w:val="00E83CCD"/>
    <w:rsid w:val="00EC7096"/>
    <w:rsid w:val="00F176C9"/>
    <w:rsid w:val="00F46AB5"/>
    <w:rsid w:val="00F47882"/>
    <w:rsid w:val="00F65AC3"/>
    <w:rsid w:val="00F76904"/>
    <w:rsid w:val="00F90868"/>
    <w:rsid w:val="00FD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7" type="connector" idref="#Connector: Elbow 25"/>
        <o:r id="V:Rule8" type="connector" idref="#Connector: Elbow 30"/>
        <o:r id="V:Rule9" type="connector" idref="#Connector: Elbow 28"/>
        <o:r id="V:Rule10" type="connector" idref="#Connector: Elbow 27"/>
        <o:r id="V:Rule11" type="connector" idref="#Connector: Elbow 31"/>
        <o:r id="V:Rule12" type="connector" idref="#Connector: Elbow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43</Pages>
  <Words>8001</Words>
  <Characters>45606</Characters>
  <Application>Microsoft Office Word</Application>
  <DocSecurity>0</DocSecurity>
  <Lines>380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123</cp:revision>
  <dcterms:created xsi:type="dcterms:W3CDTF">2020-04-21T11:55:00Z</dcterms:created>
  <dcterms:modified xsi:type="dcterms:W3CDTF">2020-05-28T06:17:00Z</dcterms:modified>
</cp:coreProperties>
</file>