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EcoSort AI</w:t>
      </w:r>
    </w:p>
    <w:p>
      <w:pPr>
        <w:spacing w:after="400"/>
        <w:jc w:val="center"/>
      </w:pPr>
      <w:r>
        <w:rPr>
          <w:i/>
          <w:iCs/>
          <w:color w:val="2E75B6"/>
          <w:sz w:val="32"/>
          <w:szCs w:val="32"/>
        </w:rPr>
        <w:t xml:space="preserve">AI-Based Waste Classification Using Deep Learning</w:t>
      </w:r>
    </w:p>
    <w:p>
      <w:pPr>
        <w:spacing w:after="800"/>
        <w:jc w:val="center"/>
      </w:pPr>
      <w:r>
        <w:rPr>
          <w:sz w:val="26"/>
          <w:szCs w:val="26"/>
        </w:rPr>
        <w:t xml:space="preserve">Complete Project Documentation</w:t>
      </w:r>
    </w:p>
    <w:p>
      <w:pPr>
        <w:spacing w:after="120"/>
        <w:jc w:val="center"/>
      </w:pPr>
      <w:r>
        <w:rPr>
          <w:sz w:val="24"/>
          <w:szCs w:val="24"/>
        </w:rPr>
        <w:t xml:space="preserve">Symbiosis University, Nagpur</w:t>
      </w:r>
    </w:p>
    <w:p>
      <w:pPr>
        <w:spacing w:after="120"/>
        <w:jc w:val="center"/>
      </w:pPr>
      <w:r>
        <w:rPr>
          <w:sz w:val="22"/>
          <w:szCs w:val="22"/>
        </w:rPr>
        <w:t xml:space="preserve">B.Tech Computer Science and Engineering</w:t>
      </w:r>
    </w:p>
    <w:p>
      <w:pPr>
        <w:spacing w:after="120"/>
        <w:jc w:val="center"/>
      </w:pPr>
      <w:r>
        <w:rPr>
          <w:sz w:val="22"/>
          <w:szCs w:val="22"/>
        </w:rPr>
        <w:t xml:space="preserve">Project-Based Learning (PBL) - Second Year</w:t>
      </w:r>
    </w:p>
    <w:p>
      <w:pPr>
        <w:spacing w:after="2400"/>
        <w:jc w:val="center"/>
      </w:pPr>
      <w:r>
        <w:rPr>
          <w:sz w:val="22"/>
          <w:szCs w:val="22"/>
        </w:rPr>
        <w:t xml:space="preserve">Academic Year 2025-2026</w:t>
      </w:r>
    </w:p>
    <w:p>
      <w:r>
        <w:br w:type="page"/>
      </w:r>
    </w:p>
    <w:p>
      <w:pPr>
        <w:pStyle w:val="Heading1"/>
        <w:spacing w:after="160" w:before="360"/>
      </w:pPr>
      <w:r>
        <w:rPr>
          <w:b/>
          <w:bCs/>
          <w:color w:val="1F4E79"/>
          <w:sz w:val="32"/>
          <w:szCs w:val="32"/>
        </w:rPr>
        <w:t xml:space="preserve">1. Introduction and Problem Statement</w:t>
      </w:r>
    </w:p>
    <w:p>
      <w:pPr>
        <w:spacing w:after="120" w:line="300"/>
        <w:jc w:val="both"/>
      </w:pPr>
      <w:r>
        <w:rPr>
          <w:sz w:val="22"/>
          <w:szCs w:val="22"/>
        </w:rPr>
        <w:t xml:space="preserve">India generates approximately 62 million tonnes of municipal solid waste (MSW) every year, according to the Central Pollution Control Board. Despite this enormous volume, the sorting of waste at source is still predominantly manual - performed by human waste-pickers or informal collectors. This traditional approach carries significant drawbacks: it is slow, inefficient, hazardous to health, and prone to human error, which leads to recyclable materials ending up in landfills and organic waste contaminating recycling streams.</w:t>
      </w:r>
    </w:p>
    <w:p>
      <w:pPr>
        <w:spacing w:after="120" w:line="300"/>
        <w:jc w:val="both"/>
      </w:pPr>
      <w:r>
        <w:rPr>
          <w:sz w:val="22"/>
          <w:szCs w:val="22"/>
        </w:rPr>
        <w:t xml:space="preserve">The EcoSort AI project addresses this challenge by developing an intelligent computer-vision-based waste classification system. Using deep learning models trained on over 50,000 waste images, the system can automatically identify the category of any waste item captured through a camera or uploaded as an image, and route it to the correct disposal bin according to the Swachh Bharat Mission (SBM) national colour coding standard.</w:t>
      </w:r>
    </w:p>
    <w:p>
      <w:pPr>
        <w:pStyle w:val="Heading2"/>
        <w:spacing w:after="120" w:before="280"/>
      </w:pPr>
      <w:r>
        <w:rPr>
          <w:b/>
          <w:bCs/>
          <w:color w:val="2E75B6"/>
          <w:sz w:val="26"/>
          <w:szCs w:val="26"/>
        </w:rPr>
        <w:t xml:space="preserve">1.1 Objectives</w:t>
      </w:r>
    </w:p>
    <w:p>
      <w:pPr>
        <w:pStyle w:val="ListParagraph"/>
        <w:numPr>
          <w:ilvl w:val="0"/>
          <w:numId w:val="2"/>
        </w:numPr>
        <w:spacing w:after="60"/>
      </w:pPr>
      <w:r>
        <w:rPr>
          <w:sz w:val="22"/>
          <w:szCs w:val="22"/>
        </w:rPr>
        <w:t xml:space="preserve">Build an accurate deep-learning model capable of classifying waste into 4 categories: Organic, Recyclable, Hazardous, and Non-Recyclable.</w:t>
      </w:r>
    </w:p>
    <w:p>
      <w:pPr>
        <w:pStyle w:val="ListParagraph"/>
        <w:numPr>
          <w:ilvl w:val="0"/>
          <w:numId w:val="2"/>
        </w:numPr>
        <w:spacing w:after="60"/>
      </w:pPr>
      <w:r>
        <w:rPr>
          <w:sz w:val="22"/>
          <w:szCs w:val="22"/>
        </w:rPr>
        <w:t xml:space="preserve">Compare a baseline custom CNN with transfer-learning-based models (MobileNetV2 and ResNet18) to identify the optimal balance of accuracy and efficiency.</w:t>
      </w:r>
    </w:p>
    <w:p>
      <w:pPr>
        <w:pStyle w:val="ListParagraph"/>
        <w:numPr>
          <w:ilvl w:val="0"/>
          <w:numId w:val="2"/>
        </w:numPr>
        <w:spacing w:after="60"/>
      </w:pPr>
      <w:r>
        <w:rPr>
          <w:sz w:val="22"/>
          <w:szCs w:val="22"/>
        </w:rPr>
        <w:t xml:space="preserve">Provide model explainability through Grad-CAM heatmaps so users can see which pixels influenced each prediction.</w:t>
      </w:r>
    </w:p>
    <w:p>
      <w:pPr>
        <w:pStyle w:val="ListParagraph"/>
        <w:numPr>
          <w:ilvl w:val="0"/>
          <w:numId w:val="2"/>
        </w:numPr>
        <w:spacing w:after="60"/>
      </w:pPr>
      <w:r>
        <w:rPr>
          <w:sz w:val="22"/>
          <w:szCs w:val="22"/>
        </w:rPr>
        <w:t xml:space="preserve">Deploy the model as a web application supporting three input modes: drag-and-drop, single camera capture, and continuous live video classification.</w:t>
      </w:r>
    </w:p>
    <w:p>
      <w:pPr>
        <w:pStyle w:val="ListParagraph"/>
        <w:numPr>
          <w:ilvl w:val="0"/>
          <w:numId w:val="2"/>
        </w:numPr>
        <w:spacing w:after="60"/>
      </w:pPr>
      <w:r>
        <w:rPr>
          <w:sz w:val="22"/>
          <w:szCs w:val="22"/>
        </w:rPr>
        <w:t xml:space="preserve">Align system output with the Swachh Bharat Mission bin colour standard (green, blue, red, black) to ensure real-world applicability.</w:t>
      </w:r>
    </w:p>
    <w:p>
      <w:pPr>
        <w:pStyle w:val="Heading2"/>
        <w:spacing w:after="120" w:before="280"/>
      </w:pPr>
      <w:r>
        <w:rPr>
          <w:b/>
          <w:bCs/>
          <w:color w:val="2E75B6"/>
          <w:sz w:val="26"/>
          <w:szCs w:val="26"/>
        </w:rPr>
        <w:t xml:space="preserve">1.2 Motivation</w:t>
      </w:r>
    </w:p>
    <w:p>
      <w:pPr>
        <w:spacing w:after="120" w:line="300"/>
        <w:jc w:val="both"/>
      </w:pPr>
      <w:r>
        <w:rPr>
          <w:sz w:val="22"/>
          <w:szCs w:val="22"/>
        </w:rPr>
        <w:t xml:space="preserve">The motivation for this project stems from three critical observations. First, waste segregation at source has been identified by the Government of India as the single most effective step for improving overall waste management outcomes. Second, computer vision and deep learning have matured to a point where lightweight models can run in real-time on standard laptops and even mobile devices. Third, existing research in this domain either focuses on narrow subsets (e.g., only e-waste or only 2 classes) or lacks explainability - making the models difficult to trust in a real municipal deployment. EcoSort addresses all three issues in one unified system.</w:t>
      </w:r>
    </w:p>
    <w:p>
      <w:r>
        <w:br w:type="page"/>
      </w:r>
    </w:p>
    <w:p>
      <w:pPr>
        <w:pStyle w:val="Heading1"/>
        <w:spacing w:after="160" w:before="360"/>
      </w:pPr>
      <w:r>
        <w:rPr>
          <w:b/>
          <w:bCs/>
          <w:color w:val="1F4E79"/>
          <w:sz w:val="32"/>
          <w:szCs w:val="32"/>
        </w:rPr>
        <w:t xml:space="preserve">2. System Architecture Overview</w:t>
      </w:r>
    </w:p>
    <w:p>
      <w:pPr>
        <w:spacing w:after="120" w:line="300"/>
        <w:jc w:val="both"/>
      </w:pPr>
      <w:r>
        <w:rPr>
          <w:sz w:val="22"/>
          <w:szCs w:val="22"/>
        </w:rPr>
        <w:t xml:space="preserve">EcoSort AI is built as a three-tier system: a deep learning model at the core, a Flask-based backend serving predictions through REST APIs, and a modern browser-based frontend that provides the interactive user experience.</w:t>
      </w:r>
    </w:p>
    <w:p>
      <w:pPr>
        <w:pStyle w:val="Heading2"/>
        <w:spacing w:after="120" w:before="280"/>
      </w:pPr>
      <w:r>
        <w:rPr>
          <w:b/>
          <w:bCs/>
          <w:color w:val="2E75B6"/>
          <w:sz w:val="26"/>
          <w:szCs w:val="26"/>
        </w:rPr>
        <w:t xml:space="preserve">2.1 Technology Stack</w:t>
      </w:r>
    </w:p>
    <w:p>
      <w:pPr>
        <w:pStyle w:val="Heading3"/>
        <w:spacing w:after="100" w:before="200"/>
      </w:pPr>
      <w:r>
        <w:rPr>
          <w:b/>
          <w:bCs/>
          <w:color w:val="2E75B6"/>
          <w:sz w:val="22"/>
          <w:szCs w:val="22"/>
        </w:rPr>
        <w:t xml:space="preserve">Backend Technologies</w:t>
      </w:r>
    </w:p>
    <w:p>
      <w:pPr>
        <w:pStyle w:val="ListParagraph"/>
        <w:numPr>
          <w:ilvl w:val="0"/>
          <w:numId w:val="2"/>
        </w:numPr>
        <w:spacing w:after="60"/>
      </w:pPr>
      <w:r>
        <w:rPr>
          <w:sz w:val="22"/>
          <w:szCs w:val="22"/>
        </w:rPr>
        <w:t xml:space="preserve">Python 3.10+ - Primary programming language for all model training and server logic.</w:t>
      </w:r>
    </w:p>
    <w:p>
      <w:pPr>
        <w:pStyle w:val="ListParagraph"/>
        <w:numPr>
          <w:ilvl w:val="0"/>
          <w:numId w:val="2"/>
        </w:numPr>
        <w:spacing w:after="60"/>
      </w:pPr>
      <w:r>
        <w:rPr>
          <w:sz w:val="22"/>
          <w:szCs w:val="22"/>
        </w:rPr>
        <w:t xml:space="preserve">PyTorch - Deep learning framework used to build, train, and deploy all neural network models.</w:t>
      </w:r>
    </w:p>
    <w:p>
      <w:pPr>
        <w:pStyle w:val="ListParagraph"/>
        <w:numPr>
          <w:ilvl w:val="0"/>
          <w:numId w:val="2"/>
        </w:numPr>
        <w:spacing w:after="60"/>
      </w:pPr>
      <w:r>
        <w:rPr>
          <w:sz w:val="22"/>
          <w:szCs w:val="22"/>
        </w:rPr>
        <w:t xml:space="preserve">Torchvision - Provides pretrained model architectures (MobileNetV2, ResNet18) and image transforms.</w:t>
      </w:r>
    </w:p>
    <w:p>
      <w:pPr>
        <w:pStyle w:val="ListParagraph"/>
        <w:numPr>
          <w:ilvl w:val="0"/>
          <w:numId w:val="2"/>
        </w:numPr>
        <w:spacing w:after="60"/>
      </w:pPr>
      <w:r>
        <w:rPr>
          <w:sz w:val="22"/>
          <w:szCs w:val="22"/>
        </w:rPr>
        <w:t xml:space="preserve">Flask - Lightweight Python web framework serving the REST APIs and rendering the HTML template.</w:t>
      </w:r>
    </w:p>
    <w:p>
      <w:pPr>
        <w:pStyle w:val="ListParagraph"/>
        <w:numPr>
          <w:ilvl w:val="0"/>
          <w:numId w:val="2"/>
        </w:numPr>
        <w:spacing w:after="60"/>
      </w:pPr>
      <w:r>
        <w:rPr>
          <w:sz w:val="22"/>
          <w:szCs w:val="22"/>
        </w:rPr>
        <w:t xml:space="preserve">PIL (Pillow) - Image processing library for reading, resizing, and format conversion.</w:t>
      </w:r>
    </w:p>
    <w:p>
      <w:pPr>
        <w:pStyle w:val="ListParagraph"/>
        <w:numPr>
          <w:ilvl w:val="0"/>
          <w:numId w:val="2"/>
        </w:numPr>
        <w:spacing w:after="60"/>
      </w:pPr>
      <w:r>
        <w:rPr>
          <w:sz w:val="22"/>
          <w:szCs w:val="22"/>
        </w:rPr>
        <w:t xml:space="preserve">NumPy - Numerical computing library for tensor manipulation and Grad-CAM computation.</w:t>
      </w:r>
    </w:p>
    <w:p>
      <w:pPr>
        <w:pStyle w:val="ListParagraph"/>
        <w:numPr>
          <w:ilvl w:val="0"/>
          <w:numId w:val="2"/>
        </w:numPr>
        <w:spacing w:after="60"/>
      </w:pPr>
      <w:r>
        <w:rPr>
          <w:sz w:val="22"/>
          <w:szCs w:val="22"/>
        </w:rPr>
        <w:t xml:space="preserve">scikit-learn - Provides evaluation metrics: accuracy, precision, recall, F1-score, confusion matrix, ROC-AUC.</w:t>
      </w:r>
    </w:p>
    <w:p>
      <w:pPr>
        <w:pStyle w:val="ListParagraph"/>
        <w:numPr>
          <w:ilvl w:val="0"/>
          <w:numId w:val="2"/>
        </w:numPr>
        <w:spacing w:after="60"/>
      </w:pPr>
      <w:r>
        <w:rPr>
          <w:sz w:val="22"/>
          <w:szCs w:val="22"/>
        </w:rPr>
        <w:t xml:space="preserve">Matplotlib - Used to generate training curves, confusion matrix images, and per-class visualizations.</w:t>
      </w:r>
    </w:p>
    <w:p>
      <w:pPr>
        <w:pStyle w:val="Heading3"/>
        <w:spacing w:after="100" w:before="200"/>
      </w:pPr>
      <w:r>
        <w:rPr>
          <w:b/>
          <w:bCs/>
          <w:color w:val="2E75B6"/>
          <w:sz w:val="22"/>
          <w:szCs w:val="22"/>
        </w:rPr>
        <w:t xml:space="preserve">Frontend Technologies</w:t>
      </w:r>
    </w:p>
    <w:p>
      <w:pPr>
        <w:pStyle w:val="ListParagraph"/>
        <w:numPr>
          <w:ilvl w:val="0"/>
          <w:numId w:val="2"/>
        </w:numPr>
        <w:spacing w:after="60"/>
      </w:pPr>
      <w:r>
        <w:rPr>
          <w:sz w:val="22"/>
          <w:szCs w:val="22"/>
        </w:rPr>
        <w:t xml:space="preserve">HTML5 - Semantic markup structuring the single-page application.</w:t>
      </w:r>
    </w:p>
    <w:p>
      <w:pPr>
        <w:pStyle w:val="ListParagraph"/>
        <w:numPr>
          <w:ilvl w:val="0"/>
          <w:numId w:val="2"/>
        </w:numPr>
        <w:spacing w:after="60"/>
      </w:pPr>
      <w:r>
        <w:rPr>
          <w:sz w:val="22"/>
          <w:szCs w:val="22"/>
        </w:rPr>
        <w:t xml:space="preserve">CSS3 - Custom styling with CSS variables, flexbox, grid layout, and smooth animations.</w:t>
      </w:r>
    </w:p>
    <w:p>
      <w:pPr>
        <w:pStyle w:val="ListParagraph"/>
        <w:numPr>
          <w:ilvl w:val="0"/>
          <w:numId w:val="2"/>
        </w:numPr>
        <w:spacing w:after="60"/>
      </w:pPr>
      <w:r>
        <w:rPr>
          <w:sz w:val="22"/>
          <w:szCs w:val="22"/>
        </w:rPr>
        <w:t xml:space="preserve">Vanilla JavaScript (ES6+) - No frameworks like React or Vue. All interactivity is hand-written for maximum control and minimum bundle size.</w:t>
      </w:r>
    </w:p>
    <w:p>
      <w:pPr>
        <w:pStyle w:val="ListParagraph"/>
        <w:numPr>
          <w:ilvl w:val="0"/>
          <w:numId w:val="2"/>
        </w:numPr>
        <w:spacing w:after="60"/>
      </w:pPr>
      <w:r>
        <w:rPr>
          <w:sz w:val="22"/>
          <w:szCs w:val="22"/>
        </w:rPr>
        <w:t xml:space="preserve">HTML5 Canvas API - Powers the animated hero visualization showing items flowing through an inspection line.</w:t>
      </w:r>
    </w:p>
    <w:p>
      <w:pPr>
        <w:pStyle w:val="ListParagraph"/>
        <w:numPr>
          <w:ilvl w:val="0"/>
          <w:numId w:val="2"/>
        </w:numPr>
        <w:spacing w:after="60"/>
      </w:pPr>
      <w:r>
        <w:rPr>
          <w:sz w:val="22"/>
          <w:szCs w:val="22"/>
        </w:rPr>
        <w:t xml:space="preserve">MediaDevices getUserMedia API - Standard browser API used to access the webcam for capture and live scan features.</w:t>
      </w:r>
    </w:p>
    <w:p>
      <w:pPr>
        <w:pStyle w:val="ListParagraph"/>
        <w:numPr>
          <w:ilvl w:val="0"/>
          <w:numId w:val="2"/>
        </w:numPr>
        <w:spacing w:after="60"/>
      </w:pPr>
      <w:r>
        <w:rPr>
          <w:sz w:val="22"/>
          <w:szCs w:val="22"/>
        </w:rPr>
        <w:t xml:space="preserve">Fetch API - Handles all asynchronous communication between frontend and Flask backend.</w:t>
      </w:r>
    </w:p>
    <w:p>
      <w:r>
        <w:br w:type="page"/>
      </w:r>
    </w:p>
    <w:p>
      <w:pPr>
        <w:pStyle w:val="Heading1"/>
        <w:spacing w:after="160" w:before="360"/>
      </w:pPr>
      <w:r>
        <w:rPr>
          <w:b/>
          <w:bCs/>
          <w:color w:val="1F4E79"/>
          <w:sz w:val="32"/>
          <w:szCs w:val="32"/>
        </w:rPr>
        <w:t xml:space="preserve">3. Datasets Used</w:t>
      </w:r>
    </w:p>
    <w:p>
      <w:pPr>
        <w:spacing w:after="120" w:line="300"/>
        <w:jc w:val="both"/>
      </w:pPr>
      <w:r>
        <w:rPr>
          <w:sz w:val="22"/>
          <w:szCs w:val="22"/>
        </w:rPr>
        <w:t xml:space="preserve">The model was trained on a combined dataset of over 50,000 waste images assembled from five publicly available Kaggle datasets. Each dataset contributes different waste categories, and all were merged into a unified 4-class label structure to maximize training data diversity and model generalization.</w:t>
      </w:r>
    </w:p>
    <w:p>
      <w:pPr>
        <w:pStyle w:val="Heading2"/>
        <w:spacing w:after="120" w:before="280"/>
      </w:pPr>
      <w:r>
        <w:rPr>
          <w:b/>
          <w:bCs/>
          <w:color w:val="2E75B6"/>
          <w:sz w:val="26"/>
          <w:szCs w:val="26"/>
        </w:rPr>
        <w:t xml:space="preserve">3.1 Dataset Sources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3200"/>
      </w:tblGrid>
      <w:tr>
        <w:tc>
          <w:tcPr>
            <w:tcW w:type="dxa" w:w="2600"/>
            <w:shd w:fill="1F4E79" w:val="clear"/>
          </w:tcPr>
          <w:p>
            <w:pPr>
              <w:jc w:val="left"/>
            </w:pPr>
            <w:r>
              <w:rPr>
                <w:b/>
                <w:bCs/>
                <w:color w:val="FFFFFF"/>
                <w:sz w:val="20"/>
                <w:szCs w:val="20"/>
              </w:rPr>
              <w:t xml:space="preserve">Dataset Name</w:t>
            </w:r>
          </w:p>
        </w:tc>
        <w:tc>
          <w:tcPr>
            <w:tcW w:type="dxa" w:w="1800"/>
            <w:shd w:fill="1F4E79" w:val="clear"/>
          </w:tcPr>
          <w:p>
            <w:pPr>
              <w:jc w:val="left"/>
            </w:pPr>
            <w:r>
              <w:rPr>
                <w:b/>
                <w:bCs/>
                <w:color w:val="FFFFFF"/>
                <w:sz w:val="20"/>
                <w:szCs w:val="20"/>
              </w:rPr>
              <w:t xml:space="preserve">Approx. Images</w:t>
            </w:r>
          </w:p>
        </w:tc>
        <w:tc>
          <w:tcPr>
            <w:tcW w:type="dxa" w:w="3200"/>
            <w:shd w:fill="1F4E79" w:val="clear"/>
          </w:tcPr>
          <w:p>
            <w:pPr>
              <w:jc w:val="left"/>
            </w:pPr>
            <w:r>
              <w:rPr>
                <w:b/>
                <w:bCs/>
                <w:color w:val="FFFFFF"/>
                <w:sz w:val="20"/>
                <w:szCs w:val="20"/>
              </w:rPr>
              <w:t xml:space="preserve">Original Classes</w:t>
            </w:r>
          </w:p>
        </w:tc>
        <w:tc>
          <w:tcPr>
            <w:tcW w:type="dxa" w:w="3200"/>
            <w:shd w:fill="1F4E79" w:val="clear"/>
          </w:tcPr>
          <w:p>
            <w:pPr>
              <w:jc w:val="left"/>
            </w:pPr>
            <w:r>
              <w:rPr>
                <w:b/>
                <w:bCs/>
                <w:color w:val="FFFFFF"/>
                <w:sz w:val="20"/>
                <w:szCs w:val="20"/>
              </w:rPr>
              <w:t xml:space="preserve">Source</w:t>
            </w:r>
          </w:p>
        </w:tc>
      </w:tr>
      <w:tr>
        <w:tc>
          <w:tcPr>
            <w:tcW w:type="dxa" w:w="2600"/>
          </w:tcPr>
          <w:p>
            <w:pPr>
              <w:jc w:val="left"/>
            </w:pPr>
            <w:r>
              <w:rPr>
                <w:color w:val="000000"/>
                <w:sz w:val="20"/>
                <w:szCs w:val="20"/>
              </w:rPr>
              <w:t xml:space="preserve">Waste Classification v2</w:t>
            </w:r>
          </w:p>
        </w:tc>
        <w:tc>
          <w:tcPr>
            <w:tcW w:type="dxa" w:w="1800"/>
          </w:tcPr>
          <w:p>
            <w:pPr>
              <w:jc w:val="left"/>
            </w:pPr>
            <w:r>
              <w:rPr>
                <w:color w:val="000000"/>
                <w:sz w:val="20"/>
                <w:szCs w:val="20"/>
              </w:rPr>
              <w:t xml:space="preserve">~25,000</w:t>
            </w:r>
          </w:p>
        </w:tc>
        <w:tc>
          <w:tcPr>
            <w:tcW w:type="dxa" w:w="3200"/>
          </w:tcPr>
          <w:p>
            <w:pPr>
              <w:jc w:val="left"/>
            </w:pPr>
            <w:r>
              <w:rPr>
                <w:color w:val="000000"/>
                <w:sz w:val="20"/>
                <w:szCs w:val="20"/>
              </w:rPr>
              <w:t xml:space="preserve">2 (Organic, Recyclable)</w:t>
            </w:r>
          </w:p>
        </w:tc>
        <w:tc>
          <w:tcPr>
            <w:tcW w:type="dxa" w:w="3200"/>
          </w:tcPr>
          <w:p>
            <w:pPr>
              <w:jc w:val="left"/>
            </w:pPr>
            <w:r>
              <w:rPr>
                <w:color w:val="000000"/>
                <w:sz w:val="20"/>
                <w:szCs w:val="20"/>
              </w:rPr>
              <w:t xml:space="preserve">techsash/waste-classification-data</w:t>
            </w:r>
          </w:p>
        </w:tc>
      </w:tr>
      <w:tr>
        <w:tc>
          <w:tcPr>
            <w:tcW w:type="dxa" w:w="2600"/>
          </w:tcPr>
          <w:p>
            <w:pPr>
              <w:jc w:val="left"/>
            </w:pPr>
            <w:r>
              <w:rPr>
                <w:color w:val="000000"/>
                <w:sz w:val="20"/>
                <w:szCs w:val="20"/>
              </w:rPr>
              <w:t xml:space="preserve">Garbage Classification 12</w:t>
            </w:r>
          </w:p>
        </w:tc>
        <w:tc>
          <w:tcPr>
            <w:tcW w:type="dxa" w:w="1800"/>
          </w:tcPr>
          <w:p>
            <w:pPr>
              <w:jc w:val="left"/>
            </w:pPr>
            <w:r>
              <w:rPr>
                <w:color w:val="000000"/>
                <w:sz w:val="20"/>
                <w:szCs w:val="20"/>
              </w:rPr>
              <w:t xml:space="preserve">~15,000</w:t>
            </w:r>
          </w:p>
        </w:tc>
        <w:tc>
          <w:tcPr>
            <w:tcW w:type="dxa" w:w="3200"/>
          </w:tcPr>
          <w:p>
            <w:pPr>
              <w:jc w:val="left"/>
            </w:pPr>
            <w:r>
              <w:rPr>
                <w:color w:val="000000"/>
                <w:sz w:val="20"/>
                <w:szCs w:val="20"/>
              </w:rPr>
              <w:t xml:space="preserve">12 (battery, glass, paper, etc.)</w:t>
            </w:r>
          </w:p>
        </w:tc>
        <w:tc>
          <w:tcPr>
            <w:tcW w:type="dxa" w:w="3200"/>
          </w:tcPr>
          <w:p>
            <w:pPr>
              <w:jc w:val="left"/>
            </w:pPr>
            <w:r>
              <w:rPr>
                <w:color w:val="000000"/>
                <w:sz w:val="20"/>
                <w:szCs w:val="20"/>
              </w:rPr>
              <w:t xml:space="preserve">mostafaabla/garbage-classification-12</w:t>
            </w:r>
          </w:p>
        </w:tc>
      </w:tr>
      <w:tr>
        <w:tc>
          <w:tcPr>
            <w:tcW w:type="dxa" w:w="2600"/>
          </w:tcPr>
          <w:p>
            <w:pPr>
              <w:jc w:val="left"/>
            </w:pPr>
            <w:r>
              <w:rPr>
                <w:color w:val="000000"/>
                <w:sz w:val="20"/>
                <w:szCs w:val="20"/>
              </w:rPr>
              <w:t xml:space="preserve">RealWaste</w:t>
            </w:r>
          </w:p>
        </w:tc>
        <w:tc>
          <w:tcPr>
            <w:tcW w:type="dxa" w:w="1800"/>
          </w:tcPr>
          <w:p>
            <w:pPr>
              <w:jc w:val="left"/>
            </w:pPr>
            <w:r>
              <w:rPr>
                <w:color w:val="000000"/>
                <w:sz w:val="20"/>
                <w:szCs w:val="20"/>
              </w:rPr>
              <w:t xml:space="preserve">~4,700</w:t>
            </w:r>
          </w:p>
        </w:tc>
        <w:tc>
          <w:tcPr>
            <w:tcW w:type="dxa" w:w="3200"/>
          </w:tcPr>
          <w:p>
            <w:pPr>
              <w:jc w:val="left"/>
            </w:pPr>
            <w:r>
              <w:rPr>
                <w:color w:val="000000"/>
                <w:sz w:val="20"/>
                <w:szCs w:val="20"/>
              </w:rPr>
              <w:t xml:space="preserve">9 (Cardboard, Food, Glass, etc.)</w:t>
            </w:r>
          </w:p>
        </w:tc>
        <w:tc>
          <w:tcPr>
            <w:tcW w:type="dxa" w:w="3200"/>
          </w:tcPr>
          <w:p>
            <w:pPr>
              <w:jc w:val="left"/>
            </w:pPr>
            <w:r>
              <w:rPr>
                <w:color w:val="000000"/>
                <w:sz w:val="20"/>
                <w:szCs w:val="20"/>
              </w:rPr>
              <w:t xml:space="preserve">joebeachcapital/realwaste</w:t>
            </w:r>
          </w:p>
        </w:tc>
      </w:tr>
      <w:tr>
        <w:tc>
          <w:tcPr>
            <w:tcW w:type="dxa" w:w="2600"/>
          </w:tcPr>
          <w:p>
            <w:pPr>
              <w:jc w:val="left"/>
            </w:pPr>
            <w:r>
              <w:rPr>
                <w:color w:val="000000"/>
                <w:sz w:val="20"/>
                <w:szCs w:val="20"/>
              </w:rPr>
              <w:t xml:space="preserve">TrashNet</w:t>
            </w:r>
          </w:p>
        </w:tc>
        <w:tc>
          <w:tcPr>
            <w:tcW w:type="dxa" w:w="1800"/>
          </w:tcPr>
          <w:p>
            <w:pPr>
              <w:jc w:val="left"/>
            </w:pPr>
            <w:r>
              <w:rPr>
                <w:color w:val="000000"/>
                <w:sz w:val="20"/>
                <w:szCs w:val="20"/>
              </w:rPr>
              <w:t xml:space="preserve">~2,500</w:t>
            </w:r>
          </w:p>
        </w:tc>
        <w:tc>
          <w:tcPr>
            <w:tcW w:type="dxa" w:w="3200"/>
          </w:tcPr>
          <w:p>
            <w:pPr>
              <w:jc w:val="left"/>
            </w:pPr>
            <w:r>
              <w:rPr>
                <w:color w:val="000000"/>
                <w:sz w:val="20"/>
                <w:szCs w:val="20"/>
              </w:rPr>
              <w:t xml:space="preserve">6 (cardboard, glass, metal, paper, plastic, trash)</w:t>
            </w:r>
          </w:p>
        </w:tc>
        <w:tc>
          <w:tcPr>
            <w:tcW w:type="dxa" w:w="3200"/>
          </w:tcPr>
          <w:p>
            <w:pPr>
              <w:jc w:val="left"/>
            </w:pPr>
            <w:r>
              <w:rPr>
                <w:color w:val="000000"/>
                <w:sz w:val="20"/>
                <w:szCs w:val="20"/>
              </w:rPr>
              <w:t xml:space="preserve">mostafaabla/garbage-classification</w:t>
            </w:r>
          </w:p>
        </w:tc>
      </w:tr>
      <w:tr>
        <w:tc>
          <w:tcPr>
            <w:tcW w:type="dxa" w:w="2600"/>
          </w:tcPr>
          <w:p>
            <w:pPr>
              <w:jc w:val="left"/>
            </w:pPr>
            <w:r>
              <w:rPr>
                <w:color w:val="000000"/>
                <w:sz w:val="20"/>
                <w:szCs w:val="20"/>
              </w:rPr>
              <w:t xml:space="preserve">Household Waste</w:t>
            </w:r>
          </w:p>
        </w:tc>
        <w:tc>
          <w:tcPr>
            <w:tcW w:type="dxa" w:w="1800"/>
          </w:tcPr>
          <w:p>
            <w:pPr>
              <w:jc w:val="left"/>
            </w:pPr>
            <w:r>
              <w:rPr>
                <w:color w:val="000000"/>
                <w:sz w:val="20"/>
                <w:szCs w:val="20"/>
              </w:rPr>
              <w:t xml:space="preserve">~2,500</w:t>
            </w:r>
          </w:p>
        </w:tc>
        <w:tc>
          <w:tcPr>
            <w:tcW w:type="dxa" w:w="3200"/>
          </w:tcPr>
          <w:p>
            <w:pPr>
              <w:jc w:val="left"/>
            </w:pPr>
            <w:r>
              <w:rPr>
                <w:color w:val="000000"/>
                <w:sz w:val="20"/>
                <w:szCs w:val="20"/>
              </w:rPr>
              <w:t xml:space="preserve">6 (cardboard, glass, metal, paper, plastic, trash)</w:t>
            </w:r>
          </w:p>
        </w:tc>
        <w:tc>
          <w:tcPr>
            <w:tcW w:type="dxa" w:w="3200"/>
          </w:tcPr>
          <w:p>
            <w:pPr>
              <w:jc w:val="left"/>
            </w:pPr>
            <w:r>
              <w:rPr>
                <w:color w:val="000000"/>
                <w:sz w:val="20"/>
                <w:szCs w:val="20"/>
              </w:rPr>
              <w:t xml:space="preserve">sumn2u/garbage-classification-v2</w:t>
            </w:r>
          </w:p>
        </w:tc>
      </w:tr>
      <w:tr>
        <w:tc>
          <w:tcPr>
            <w:tcW w:type="dxa" w:w="2600"/>
          </w:tcPr>
          <w:p>
            <w:pPr>
              <w:jc w:val="left"/>
            </w:pPr>
            <w:r>
              <w:rPr>
                <w:color w:val="000000"/>
                <w:sz w:val="20"/>
                <w:szCs w:val="20"/>
              </w:rPr>
              <w:t xml:space="preserve">TOTAL</w:t>
            </w:r>
          </w:p>
        </w:tc>
        <w:tc>
          <w:tcPr>
            <w:tcW w:type="dxa" w:w="1800"/>
          </w:tcPr>
          <w:p>
            <w:pPr>
              <w:jc w:val="left"/>
            </w:pPr>
            <w:r>
              <w:rPr>
                <w:color w:val="000000"/>
                <w:sz w:val="20"/>
                <w:szCs w:val="20"/>
              </w:rPr>
              <w:t xml:space="preserve">~50,000+</w:t>
            </w:r>
          </w:p>
        </w:tc>
        <w:tc>
          <w:tcPr>
            <w:tcW w:type="dxa" w:w="3200"/>
          </w:tcPr>
          <w:p>
            <w:pPr>
              <w:jc w:val="left"/>
            </w:pPr>
            <w:r>
              <w:rPr>
                <w:color w:val="000000"/>
                <w:sz w:val="20"/>
                <w:szCs w:val="20"/>
              </w:rPr>
              <w:t xml:space="preserve">All merged to 4 classes</w:t>
            </w:r>
          </w:p>
        </w:tc>
        <w:tc>
          <w:tcPr>
            <w:tcW w:type="dxa" w:w="3200"/>
          </w:tcPr>
          <w:p>
            <w:pPr>
              <w:jc w:val="left"/>
            </w:pPr>
            <w:r>
              <w:rPr>
                <w:color w:val="000000"/>
                <w:sz w:val="20"/>
                <w:szCs w:val="20"/>
              </w:rPr>
              <w:t xml:space="preserve">5 Kaggle datasets</w:t>
            </w:r>
          </w:p>
        </w:tc>
      </w:tr>
    </w:tbl>
    <w:p>
      <w:pPr>
        <w:pStyle w:val="Heading2"/>
        <w:spacing w:after="120" w:before="280"/>
      </w:pPr>
      <w:r>
        <w:rPr>
          <w:b/>
          <w:bCs/>
          <w:color w:val="2E75B6"/>
          <w:sz w:val="26"/>
          <w:szCs w:val="26"/>
        </w:rPr>
        <w:t xml:space="preserve">3.2 Class Mapping Strategy</w:t>
      </w:r>
    </w:p>
    <w:p>
      <w:pPr>
        <w:spacing w:after="120" w:line="300"/>
        <w:jc w:val="both"/>
      </w:pPr>
      <w:r>
        <w:rPr>
          <w:sz w:val="22"/>
          <w:szCs w:val="22"/>
        </w:rPr>
        <w:t xml:space="preserve">Because each dataset uses different class names, a unified mapping was created to consolidate all sources into 4 target categories. This mapping follows the Swachh Bharat Mission (SBM) national bin colour code:</w:t>
      </w:r>
    </w:p>
    <w:p>
      <w:pPr>
        <w:pStyle w:val="ListParagraph"/>
        <w:numPr>
          <w:ilvl w:val="0"/>
          <w:numId w:val="2"/>
        </w:numPr>
        <w:spacing w:after="60"/>
      </w:pPr>
      <w:r>
        <w:rPr>
          <w:sz w:val="22"/>
          <w:szCs w:val="22"/>
        </w:rPr>
        <w:t xml:space="preserve">Organic (O) - Green bin: Food scraps, vegetation, biological waste, coconut shells.</w:t>
      </w:r>
    </w:p>
    <w:p>
      <w:pPr>
        <w:pStyle w:val="ListParagraph"/>
        <w:numPr>
          <w:ilvl w:val="0"/>
          <w:numId w:val="2"/>
        </w:numPr>
        <w:spacing w:after="60"/>
      </w:pPr>
      <w:r>
        <w:rPr>
          <w:sz w:val="22"/>
          <w:szCs w:val="22"/>
        </w:rPr>
        <w:t xml:space="preserve">Recyclable (R) - Blue bin: Cardboard, paper, glass, metal, plastic, aluminium.</w:t>
      </w:r>
    </w:p>
    <w:p>
      <w:pPr>
        <w:pStyle w:val="ListParagraph"/>
        <w:numPr>
          <w:ilvl w:val="0"/>
          <w:numId w:val="2"/>
        </w:numPr>
        <w:spacing w:after="60"/>
      </w:pPr>
      <w:r>
        <w:rPr>
          <w:sz w:val="22"/>
          <w:szCs w:val="22"/>
        </w:rPr>
        <w:t xml:space="preserve">Hazardous (H) - Red bin (separate collection): Batteries, electronics, e-waste, chemicals.</w:t>
      </w:r>
    </w:p>
    <w:p>
      <w:pPr>
        <w:pStyle w:val="ListParagraph"/>
        <w:numPr>
          <w:ilvl w:val="0"/>
          <w:numId w:val="2"/>
        </w:numPr>
        <w:spacing w:after="60"/>
      </w:pPr>
      <w:r>
        <w:rPr>
          <w:sz w:val="22"/>
          <w:szCs w:val="22"/>
        </w:rPr>
        <w:t xml:space="preserve">Non-Recyclable (N) - Black bin: Clothes, shoes, textiles, mixed sachets, miscellaneous.</w:t>
      </w:r>
    </w:p>
    <w:p>
      <w:pPr>
        <w:pStyle w:val="Heading2"/>
        <w:spacing w:after="120" w:before="280"/>
      </w:pPr>
      <w:r>
        <w:rPr>
          <w:b/>
          <w:bCs/>
          <w:color w:val="2E75B6"/>
          <w:sz w:val="26"/>
          <w:szCs w:val="26"/>
        </w:rPr>
        <w:t xml:space="preserve">3.3 Train/Test Split</w:t>
      </w:r>
    </w:p>
    <w:p>
      <w:pPr>
        <w:spacing w:after="120" w:line="300"/>
        <w:jc w:val="both"/>
      </w:pPr>
      <w:r>
        <w:rPr>
          <w:sz w:val="22"/>
          <w:szCs w:val="22"/>
        </w:rPr>
        <w:t xml:space="preserve">The combined dataset is split 80/20 into TRAIN and TEST sets, keeping class balance intact. Data augmentation is applied only to the training set to prevent overfitting: random horizontal flip (probability 0.5), random rotation (up to 15 degrees), and colour jitter (brightness, contrast, saturation up to 20%). The test set uses only resize and normalization - no augmentation - to give a clean performance measurement.</w:t>
      </w:r>
    </w:p>
    <w:p>
      <w:r>
        <w:br w:type="page"/>
      </w:r>
    </w:p>
    <w:p>
      <w:pPr>
        <w:pStyle w:val="Heading1"/>
        <w:spacing w:after="160" w:before="360"/>
      </w:pPr>
      <w:r>
        <w:rPr>
          <w:b/>
          <w:bCs/>
          <w:color w:val="1F4E79"/>
          <w:sz w:val="32"/>
          <w:szCs w:val="32"/>
        </w:rPr>
        <w:t xml:space="preserve">4. Machine Learning Models</w:t>
      </w:r>
    </w:p>
    <w:p>
      <w:pPr>
        <w:spacing w:after="120" w:line="300"/>
        <w:jc w:val="both"/>
      </w:pPr>
      <w:r>
        <w:rPr>
          <w:sz w:val="22"/>
          <w:szCs w:val="22"/>
        </w:rPr>
        <w:t xml:space="preserve">Three distinct model architectures were trained and compared to identify the best trade-off between accuracy, speed, and deployment size. All three models solve the same 4-class classification problem on the same dataset, enabling a fair head-to-head comparison.</w:t>
      </w:r>
    </w:p>
    <w:p>
      <w:pPr>
        <w:pStyle w:val="Heading2"/>
        <w:spacing w:after="120" w:before="280"/>
      </w:pPr>
      <w:r>
        <w:rPr>
          <w:b/>
          <w:bCs/>
          <w:color w:val="2E75B6"/>
          <w:sz w:val="26"/>
          <w:szCs w:val="26"/>
        </w:rPr>
        <w:t xml:space="preserve">4.1 Model 1: Baseline Custom CNN</w:t>
      </w:r>
    </w:p>
    <w:p>
      <w:pPr>
        <w:spacing w:after="120" w:line="300"/>
        <w:jc w:val="both"/>
      </w:pPr>
      <w:r>
        <w:rPr>
          <w:sz w:val="22"/>
          <w:szCs w:val="22"/>
        </w:rPr>
        <w:t xml:space="preserve">A five-layer convolutional neural network built from scratch. This model serves as the baseline against which the transfer-learning models are benchmarked.</w:t>
      </w:r>
    </w:p>
    <w:p>
      <w:pPr>
        <w:spacing w:after="80"/>
      </w:pPr>
      <w:r>
        <w:rPr>
          <w:b/>
          <w:bCs/>
          <w:sz w:val="22"/>
          <w:szCs w:val="22"/>
        </w:rPr>
        <w:t xml:space="preserve">Architecture:</w:t>
      </w:r>
    </w:p>
    <w:p>
      <w:pPr>
        <w:pStyle w:val="ListParagraph"/>
        <w:numPr>
          <w:ilvl w:val="0"/>
          <w:numId w:val="2"/>
        </w:numPr>
        <w:spacing w:after="60"/>
      </w:pPr>
      <w:r>
        <w:rPr>
          <w:sz w:val="22"/>
          <w:szCs w:val="22"/>
        </w:rPr>
        <w:t xml:space="preserve">Input: 128 x 128 x 3 RGB image, normalized using ImageNet statistics.</w:t>
      </w:r>
    </w:p>
    <w:p>
      <w:pPr>
        <w:pStyle w:val="ListParagraph"/>
        <w:numPr>
          <w:ilvl w:val="0"/>
          <w:numId w:val="2"/>
        </w:numPr>
        <w:spacing w:after="60"/>
      </w:pPr>
      <w:r>
        <w:rPr>
          <w:sz w:val="22"/>
          <w:szCs w:val="22"/>
        </w:rPr>
        <w:t xml:space="preserve">Block 1: Conv2D (3 to 32 channels, kernel 3x3) - BatchNorm - ReLU - MaxPool 2x2. Output: 32 x 64 x 64.</w:t>
      </w:r>
    </w:p>
    <w:p>
      <w:pPr>
        <w:pStyle w:val="ListParagraph"/>
        <w:numPr>
          <w:ilvl w:val="0"/>
          <w:numId w:val="2"/>
        </w:numPr>
        <w:spacing w:after="60"/>
      </w:pPr>
      <w:r>
        <w:rPr>
          <w:sz w:val="22"/>
          <w:szCs w:val="22"/>
        </w:rPr>
        <w:t xml:space="preserve">Block 2: Conv2D (32 to 64) - BatchNorm - ReLU - MaxPool. Output: 64 x 32 x 32.</w:t>
      </w:r>
    </w:p>
    <w:p>
      <w:pPr>
        <w:pStyle w:val="ListParagraph"/>
        <w:numPr>
          <w:ilvl w:val="0"/>
          <w:numId w:val="2"/>
        </w:numPr>
        <w:spacing w:after="60"/>
      </w:pPr>
      <w:r>
        <w:rPr>
          <w:sz w:val="22"/>
          <w:szCs w:val="22"/>
        </w:rPr>
        <w:t xml:space="preserve">Block 3: Conv2D (64 to 128) - BatchNorm - ReLU - MaxPool. Output: 128 x 16 x 16.</w:t>
      </w:r>
    </w:p>
    <w:p>
      <w:pPr>
        <w:pStyle w:val="ListParagraph"/>
        <w:numPr>
          <w:ilvl w:val="0"/>
          <w:numId w:val="2"/>
        </w:numPr>
        <w:spacing w:after="60"/>
      </w:pPr>
      <w:r>
        <w:rPr>
          <w:sz w:val="22"/>
          <w:szCs w:val="22"/>
        </w:rPr>
        <w:t xml:space="preserve">Block 4: Conv2D (128 to 256) - BatchNorm - ReLU - MaxPool. Output: 256 x 8 x 8.</w:t>
      </w:r>
    </w:p>
    <w:p>
      <w:pPr>
        <w:pStyle w:val="ListParagraph"/>
        <w:numPr>
          <w:ilvl w:val="0"/>
          <w:numId w:val="2"/>
        </w:numPr>
        <w:spacing w:after="60"/>
      </w:pPr>
      <w:r>
        <w:rPr>
          <w:sz w:val="22"/>
          <w:szCs w:val="22"/>
        </w:rPr>
        <w:t xml:space="preserve">Block 5: Conv2D (256 to 512) - BatchNorm - ReLU - MaxPool. Output: 512 x 4 x 4. This is the Grad-CAM tap point.</w:t>
      </w:r>
    </w:p>
    <w:p>
      <w:pPr>
        <w:pStyle w:val="ListParagraph"/>
        <w:numPr>
          <w:ilvl w:val="0"/>
          <w:numId w:val="2"/>
        </w:numPr>
        <w:spacing w:after="60"/>
      </w:pPr>
      <w:r>
        <w:rPr>
          <w:sz w:val="22"/>
          <w:szCs w:val="22"/>
        </w:rPr>
        <w:t xml:space="preserve">Classifier Head: Flatten (8192 features) - Linear (256) - ReLU - Dropout (0.5) - Linear (4 output classes).</w:t>
      </w:r>
    </w:p>
    <w:p>
      <w:pPr>
        <w:pStyle w:val="ListParagraph"/>
        <w:numPr>
          <w:ilvl w:val="0"/>
          <w:numId w:val="2"/>
        </w:numPr>
        <w:spacing w:after="60"/>
      </w:pPr>
      <w:r>
        <w:rPr>
          <w:sz w:val="22"/>
          <w:szCs w:val="22"/>
        </w:rPr>
        <w:t xml:space="preserve">Total Parameters: approximately 4.5 million.</w:t>
      </w:r>
    </w:p>
    <w:p>
      <w:pPr>
        <w:pStyle w:val="Heading2"/>
        <w:spacing w:after="120" w:before="280"/>
      </w:pPr>
      <w:r>
        <w:rPr>
          <w:b/>
          <w:bCs/>
          <w:color w:val="2E75B6"/>
          <w:sz w:val="26"/>
          <w:szCs w:val="26"/>
        </w:rPr>
        <w:t xml:space="preserve">4.2 Model 2: MobileNetV2 (Transfer Learning)</w:t>
      </w:r>
    </w:p>
    <w:p>
      <w:pPr>
        <w:spacing w:after="120" w:line="300"/>
        <w:jc w:val="both"/>
      </w:pPr>
      <w:r>
        <w:rPr>
          <w:sz w:val="22"/>
          <w:szCs w:val="22"/>
        </w:rPr>
        <w:t xml:space="preserve">MobileNetV2, developed by Google, is a highly efficient convolutional neural network specifically designed for mobile and edge deployment. It uses inverted residual blocks and depthwise separable convolutions to achieve strong accuracy with a fraction of the parameters of larger networks.</w:t>
      </w:r>
    </w:p>
    <w:p>
      <w:pPr>
        <w:spacing w:after="80"/>
      </w:pPr>
      <w:r>
        <w:rPr>
          <w:b/>
          <w:bCs/>
          <w:sz w:val="22"/>
          <w:szCs w:val="22"/>
        </w:rPr>
        <w:t xml:space="preserve">Why MobileNetV2?</w:t>
      </w:r>
    </w:p>
    <w:p>
      <w:pPr>
        <w:pStyle w:val="ListParagraph"/>
        <w:numPr>
          <w:ilvl w:val="0"/>
          <w:numId w:val="2"/>
        </w:numPr>
        <w:spacing w:after="60"/>
      </w:pPr>
      <w:r>
        <w:rPr>
          <w:sz w:val="22"/>
          <w:szCs w:val="22"/>
        </w:rPr>
        <w:t xml:space="preserve">Pretrained on ImageNet (14 million images across 1000 classes), so it already knows how to extract meaningful visual features.</w:t>
      </w:r>
    </w:p>
    <w:p>
      <w:pPr>
        <w:pStyle w:val="ListParagraph"/>
        <w:numPr>
          <w:ilvl w:val="0"/>
          <w:numId w:val="2"/>
        </w:numPr>
        <w:spacing w:after="60"/>
      </w:pPr>
      <w:r>
        <w:rPr>
          <w:sz w:val="22"/>
          <w:szCs w:val="22"/>
        </w:rPr>
        <w:t xml:space="preserve">Only about 2.3 million parameters - roughly 50% smaller than the baseline CNN, yet significantly more accurate.</w:t>
      </w:r>
    </w:p>
    <w:p>
      <w:pPr>
        <w:pStyle w:val="ListParagraph"/>
        <w:numPr>
          <w:ilvl w:val="0"/>
          <w:numId w:val="2"/>
        </w:numPr>
        <w:spacing w:after="60"/>
      </w:pPr>
      <w:r>
        <w:rPr>
          <w:sz w:val="22"/>
          <w:szCs w:val="22"/>
        </w:rPr>
        <w:t xml:space="preserve">Fast inference: designed to run in real-time on mobile phones, meaning it works well on laptop CPUs too.</w:t>
      </w:r>
    </w:p>
    <w:p>
      <w:pPr>
        <w:pStyle w:val="ListParagraph"/>
        <w:numPr>
          <w:ilvl w:val="0"/>
          <w:numId w:val="2"/>
        </w:numPr>
        <w:spacing w:after="60"/>
      </w:pPr>
      <w:r>
        <w:rPr>
          <w:sz w:val="22"/>
          <w:szCs w:val="22"/>
        </w:rPr>
        <w:t xml:space="preserve">Excellent choice for the target use case: municipal deployment where GPU hardware is not always available.</w:t>
      </w:r>
    </w:p>
    <w:p>
      <w:pPr>
        <w:spacing w:after="80"/>
      </w:pPr>
      <w:r>
        <w:rPr>
          <w:b/>
          <w:bCs/>
          <w:sz w:val="22"/>
          <w:szCs w:val="22"/>
        </w:rPr>
        <w:t xml:space="preserve">Training Strategy: Two-Phase Fine-Tuning</w:t>
      </w:r>
    </w:p>
    <w:p>
      <w:pPr>
        <w:pStyle w:val="ListParagraph"/>
        <w:numPr>
          <w:ilvl w:val="0"/>
          <w:numId w:val="2"/>
        </w:numPr>
        <w:spacing w:after="60"/>
      </w:pPr>
      <w:r>
        <w:rPr>
          <w:sz w:val="22"/>
          <w:szCs w:val="22"/>
        </w:rPr>
        <w:t xml:space="preserve">Phase 1 (Head Training): Freeze all pretrained convolutional layers. Train only the newly-added classifier layer for 5 epochs at learning rate 1e-3. This adapts the output to our 4 waste classes without disturbing the learned features.</w:t>
      </w:r>
    </w:p>
    <w:p>
      <w:pPr>
        <w:pStyle w:val="ListParagraph"/>
        <w:numPr>
          <w:ilvl w:val="0"/>
          <w:numId w:val="2"/>
        </w:numPr>
        <w:spacing w:after="60"/>
      </w:pPr>
      <w:r>
        <w:rPr>
          <w:sz w:val="22"/>
          <w:szCs w:val="22"/>
        </w:rPr>
        <w:t xml:space="preserve">Phase 2 (Fine-Tuning): Unfreeze the last few convolutional blocks (features.14 through features.18) and the classifier. Train for 3 more epochs at a lower learning rate of 1e-4. This gently adjusts the deeper features to be waste-specific.</w:t>
      </w:r>
    </w:p>
    <w:p>
      <w:pPr>
        <w:pStyle w:val="Heading2"/>
        <w:spacing w:after="120" w:before="280"/>
      </w:pPr>
      <w:r>
        <w:rPr>
          <w:b/>
          <w:bCs/>
          <w:color w:val="2E75B6"/>
          <w:sz w:val="26"/>
          <w:szCs w:val="26"/>
        </w:rPr>
        <w:t xml:space="preserve">4.3 Model 3: ResNet18 (Transfer Learning)</w:t>
      </w:r>
    </w:p>
    <w:p>
      <w:pPr>
        <w:spacing w:after="120" w:line="300"/>
        <w:jc w:val="both"/>
      </w:pPr>
      <w:r>
        <w:rPr>
          <w:sz w:val="22"/>
          <w:szCs w:val="22"/>
        </w:rPr>
        <w:t xml:space="preserve">ResNet18 is a deep residual network from Microsoft Research (He et al., 2015). It introduced skip-connections that allow gradients to flow directly through the network, solving the vanishing gradient problem that plagued deep networks.</w:t>
      </w:r>
    </w:p>
    <w:p>
      <w:pPr>
        <w:spacing w:after="80"/>
      </w:pPr>
      <w:r>
        <w:rPr>
          <w:b/>
          <w:bCs/>
          <w:sz w:val="22"/>
          <w:szCs w:val="22"/>
        </w:rPr>
        <w:t xml:space="preserve">Characteristics:</w:t>
      </w:r>
    </w:p>
    <w:p>
      <w:pPr>
        <w:pStyle w:val="ListParagraph"/>
        <w:numPr>
          <w:ilvl w:val="0"/>
          <w:numId w:val="2"/>
        </w:numPr>
        <w:spacing w:after="60"/>
      </w:pPr>
      <w:r>
        <w:rPr>
          <w:sz w:val="22"/>
          <w:szCs w:val="22"/>
        </w:rPr>
        <w:t xml:space="preserve">Pretrained on ImageNet.</w:t>
      </w:r>
    </w:p>
    <w:p>
      <w:pPr>
        <w:pStyle w:val="ListParagraph"/>
        <w:numPr>
          <w:ilvl w:val="0"/>
          <w:numId w:val="2"/>
        </w:numPr>
        <w:spacing w:after="60"/>
      </w:pPr>
      <w:r>
        <w:rPr>
          <w:sz w:val="22"/>
          <w:szCs w:val="22"/>
        </w:rPr>
        <w:t xml:space="preserve">Approximately 11 million parameters - larger and heavier than MobileNetV2.</w:t>
      </w:r>
    </w:p>
    <w:p>
      <w:pPr>
        <w:pStyle w:val="ListParagraph"/>
        <w:numPr>
          <w:ilvl w:val="0"/>
          <w:numId w:val="2"/>
        </w:numPr>
        <w:spacing w:after="60"/>
      </w:pPr>
      <w:r>
        <w:rPr>
          <w:sz w:val="22"/>
          <w:szCs w:val="22"/>
        </w:rPr>
        <w:t xml:space="preserve">Uses residual blocks (identity shortcut connections).</w:t>
      </w:r>
    </w:p>
    <w:p>
      <w:pPr>
        <w:pStyle w:val="ListParagraph"/>
        <w:numPr>
          <w:ilvl w:val="0"/>
          <w:numId w:val="2"/>
        </w:numPr>
        <w:spacing w:after="60"/>
      </w:pPr>
      <w:r>
        <w:rPr>
          <w:sz w:val="22"/>
          <w:szCs w:val="22"/>
        </w:rPr>
        <w:t xml:space="preserve">Typically slightly higher accuracy than MobileNetV2 but with 5x more parameters and slower inference.</w:t>
      </w:r>
    </w:p>
    <w:p>
      <w:pPr>
        <w:pStyle w:val="ListParagraph"/>
        <w:numPr>
          <w:ilvl w:val="0"/>
          <w:numId w:val="2"/>
        </w:numPr>
        <w:spacing w:after="60"/>
      </w:pPr>
      <w:r>
        <w:rPr>
          <w:sz w:val="22"/>
          <w:szCs w:val="22"/>
        </w:rPr>
        <w:t xml:space="preserve">Included in the comparison to show the accuracy vs efficiency trade-off explicitly.</w:t>
      </w:r>
    </w:p>
    <w:p>
      <w:pPr>
        <w:spacing w:after="80"/>
      </w:pPr>
      <w:r>
        <w:rPr>
          <w:b/>
          <w:bCs/>
          <w:sz w:val="22"/>
          <w:szCs w:val="22"/>
        </w:rPr>
        <w:t xml:space="preserve">Training Strategy:</w:t>
      </w:r>
    </w:p>
    <w:p>
      <w:pPr>
        <w:pStyle w:val="ListParagraph"/>
        <w:numPr>
          <w:ilvl w:val="0"/>
          <w:numId w:val="2"/>
        </w:numPr>
        <w:spacing w:after="60"/>
      </w:pPr>
      <w:r>
        <w:rPr>
          <w:sz w:val="22"/>
          <w:szCs w:val="22"/>
        </w:rPr>
        <w:t xml:space="preserve">Phase 1: Freeze all convolutional layers, train only the fully connected (fc) layer for 5 epochs.</w:t>
      </w:r>
    </w:p>
    <w:p>
      <w:pPr>
        <w:pStyle w:val="ListParagraph"/>
        <w:numPr>
          <w:ilvl w:val="0"/>
          <w:numId w:val="2"/>
        </w:numPr>
        <w:spacing w:after="60"/>
      </w:pPr>
      <w:r>
        <w:rPr>
          <w:sz w:val="22"/>
          <w:szCs w:val="22"/>
        </w:rPr>
        <w:t xml:space="preserve">Phase 2: Unfreeze layer4 (the deepest residual block) and fc, fine-tune for 3 epochs at learning rate 1e-4.</w:t>
      </w:r>
    </w:p>
    <w:p>
      <w:pPr>
        <w:pStyle w:val="Heading2"/>
        <w:spacing w:after="120" w:before="280"/>
      </w:pPr>
      <w:r>
        <w:rPr>
          <w:b/>
          <w:bCs/>
          <w:color w:val="2E75B6"/>
          <w:sz w:val="26"/>
          <w:szCs w:val="26"/>
        </w:rPr>
        <w:t xml:space="preserve">4.4 Training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1F4E79" w:val="clear"/>
          </w:tcPr>
          <w:p>
            <w:pPr>
              <w:jc w:val="left"/>
            </w:pPr>
            <w:r>
              <w:rPr>
                <w:b/>
                <w:bCs/>
                <w:color w:val="FFFFFF"/>
                <w:sz w:val="20"/>
                <w:szCs w:val="20"/>
              </w:rPr>
              <w:t xml:space="preserve">Parameter</w:t>
            </w:r>
          </w:p>
        </w:tc>
        <w:tc>
          <w:tcPr>
            <w:tcW w:type="dxa" w:w="5800"/>
            <w:shd w:fill="1F4E79" w:val="clear"/>
          </w:tcPr>
          <w:p>
            <w:pPr>
              <w:jc w:val="left"/>
            </w:pPr>
            <w:r>
              <w:rPr>
                <w:b/>
                <w:bCs/>
                <w:color w:val="FFFFFF"/>
                <w:sz w:val="20"/>
                <w:szCs w:val="20"/>
              </w:rPr>
              <w:t xml:space="preserve">Value</w:t>
            </w:r>
          </w:p>
        </w:tc>
      </w:tr>
      <w:tr>
        <w:tc>
          <w:tcPr>
            <w:tcW w:type="dxa" w:w="3200"/>
          </w:tcPr>
          <w:p>
            <w:pPr>
              <w:jc w:val="left"/>
            </w:pPr>
            <w:r>
              <w:rPr>
                <w:color w:val="000000"/>
                <w:sz w:val="20"/>
                <w:szCs w:val="20"/>
              </w:rPr>
              <w:t xml:space="preserve">Optimizer</w:t>
            </w:r>
          </w:p>
        </w:tc>
        <w:tc>
          <w:tcPr>
            <w:tcW w:type="dxa" w:w="5800"/>
          </w:tcPr>
          <w:p>
            <w:pPr>
              <w:jc w:val="left"/>
            </w:pPr>
            <w:r>
              <w:rPr>
                <w:color w:val="000000"/>
                <w:sz w:val="20"/>
                <w:szCs w:val="20"/>
              </w:rPr>
              <w:t xml:space="preserve">Adam with weight decay 1e-4</w:t>
            </w:r>
          </w:p>
        </w:tc>
      </w:tr>
      <w:tr>
        <w:tc>
          <w:tcPr>
            <w:tcW w:type="dxa" w:w="3200"/>
          </w:tcPr>
          <w:p>
            <w:pPr>
              <w:jc w:val="left"/>
            </w:pPr>
            <w:r>
              <w:rPr>
                <w:color w:val="000000"/>
                <w:sz w:val="20"/>
                <w:szCs w:val="20"/>
              </w:rPr>
              <w:t xml:space="preserve">Loss Function</w:t>
            </w:r>
          </w:p>
        </w:tc>
        <w:tc>
          <w:tcPr>
            <w:tcW w:type="dxa" w:w="5800"/>
          </w:tcPr>
          <w:p>
            <w:pPr>
              <w:jc w:val="left"/>
            </w:pPr>
            <w:r>
              <w:rPr>
                <w:color w:val="000000"/>
                <w:sz w:val="20"/>
                <w:szCs w:val="20"/>
              </w:rPr>
              <w:t xml:space="preserve">CrossEntropy Loss</w:t>
            </w:r>
          </w:p>
        </w:tc>
      </w:tr>
      <w:tr>
        <w:tc>
          <w:tcPr>
            <w:tcW w:type="dxa" w:w="3200"/>
          </w:tcPr>
          <w:p>
            <w:pPr>
              <w:jc w:val="left"/>
            </w:pPr>
            <w:r>
              <w:rPr>
                <w:color w:val="000000"/>
                <w:sz w:val="20"/>
                <w:szCs w:val="20"/>
              </w:rPr>
              <w:t xml:space="preserve">Learning Rate Schedule</w:t>
            </w:r>
          </w:p>
        </w:tc>
        <w:tc>
          <w:tcPr>
            <w:tcW w:type="dxa" w:w="5800"/>
          </w:tcPr>
          <w:p>
            <w:pPr>
              <w:jc w:val="left"/>
            </w:pPr>
            <w:r>
              <w:rPr>
                <w:color w:val="000000"/>
                <w:sz w:val="20"/>
                <w:szCs w:val="20"/>
              </w:rPr>
              <w:t xml:space="preserve">StepLR with gamma 0.5, step size = epochs/3</w:t>
            </w:r>
          </w:p>
        </w:tc>
      </w:tr>
      <w:tr>
        <w:tc>
          <w:tcPr>
            <w:tcW w:type="dxa" w:w="3200"/>
          </w:tcPr>
          <w:p>
            <w:pPr>
              <w:jc w:val="left"/>
            </w:pPr>
            <w:r>
              <w:rPr>
                <w:color w:val="000000"/>
                <w:sz w:val="20"/>
                <w:szCs w:val="20"/>
              </w:rPr>
              <w:t xml:space="preserve">Batch Size</w:t>
            </w:r>
          </w:p>
        </w:tc>
        <w:tc>
          <w:tcPr>
            <w:tcW w:type="dxa" w:w="5800"/>
          </w:tcPr>
          <w:p>
            <w:pPr>
              <w:jc w:val="left"/>
            </w:pPr>
            <w:r>
              <w:rPr>
                <w:color w:val="000000"/>
                <w:sz w:val="20"/>
                <w:szCs w:val="20"/>
              </w:rPr>
              <w:t xml:space="preserve">32 (GPU) or 16 (CPU)</w:t>
            </w:r>
          </w:p>
        </w:tc>
      </w:tr>
      <w:tr>
        <w:tc>
          <w:tcPr>
            <w:tcW w:type="dxa" w:w="3200"/>
          </w:tcPr>
          <w:p>
            <w:pPr>
              <w:jc w:val="left"/>
            </w:pPr>
            <w:r>
              <w:rPr>
                <w:color w:val="000000"/>
                <w:sz w:val="20"/>
                <w:szCs w:val="20"/>
              </w:rPr>
              <w:t xml:space="preserve">Input Image Size</w:t>
            </w:r>
          </w:p>
        </w:tc>
        <w:tc>
          <w:tcPr>
            <w:tcW w:type="dxa" w:w="5800"/>
          </w:tcPr>
          <w:p>
            <w:pPr>
              <w:jc w:val="left"/>
            </w:pPr>
            <w:r>
              <w:rPr>
                <w:color w:val="000000"/>
                <w:sz w:val="20"/>
                <w:szCs w:val="20"/>
              </w:rPr>
              <w:t xml:space="preserve">224 x 224 for transfer learning; 128 x 128 for baseline CNN</w:t>
            </w:r>
          </w:p>
        </w:tc>
      </w:tr>
      <w:tr>
        <w:tc>
          <w:tcPr>
            <w:tcW w:type="dxa" w:w="3200"/>
          </w:tcPr>
          <w:p>
            <w:pPr>
              <w:jc w:val="left"/>
            </w:pPr>
            <w:r>
              <w:rPr>
                <w:color w:val="000000"/>
                <w:sz w:val="20"/>
                <w:szCs w:val="20"/>
              </w:rPr>
              <w:t xml:space="preserve">Data Augmentation</w:t>
            </w:r>
          </w:p>
        </w:tc>
        <w:tc>
          <w:tcPr>
            <w:tcW w:type="dxa" w:w="5800"/>
          </w:tcPr>
          <w:p>
            <w:pPr>
              <w:jc w:val="left"/>
            </w:pPr>
            <w:r>
              <w:rPr>
                <w:color w:val="000000"/>
                <w:sz w:val="20"/>
                <w:szCs w:val="20"/>
              </w:rPr>
              <w:t xml:space="preserve">Random Horizontal Flip, Random Rotation (15 degrees), Colour Jitter (0.2)</w:t>
            </w:r>
          </w:p>
        </w:tc>
      </w:tr>
      <w:tr>
        <w:tc>
          <w:tcPr>
            <w:tcW w:type="dxa" w:w="3200"/>
          </w:tcPr>
          <w:p>
            <w:pPr>
              <w:jc w:val="left"/>
            </w:pPr>
            <w:r>
              <w:rPr>
                <w:color w:val="000000"/>
                <w:sz w:val="20"/>
                <w:szCs w:val="20"/>
              </w:rPr>
              <w:t xml:space="preserve">Normalization</w:t>
            </w:r>
          </w:p>
        </w:tc>
        <w:tc>
          <w:tcPr>
            <w:tcW w:type="dxa" w:w="5800"/>
          </w:tcPr>
          <w:p>
            <w:pPr>
              <w:jc w:val="left"/>
            </w:pPr>
            <w:r>
              <w:rPr>
                <w:color w:val="000000"/>
                <w:sz w:val="20"/>
                <w:szCs w:val="20"/>
              </w:rPr>
              <w:t xml:space="preserve">ImageNet mean [0.485, 0.456, 0.406] and std [0.229, 0.224, 0.225]</w:t>
            </w:r>
          </w:p>
        </w:tc>
      </w:tr>
      <w:tr>
        <w:tc>
          <w:tcPr>
            <w:tcW w:type="dxa" w:w="3200"/>
          </w:tcPr>
          <w:p>
            <w:pPr>
              <w:jc w:val="left"/>
            </w:pPr>
            <w:r>
              <w:rPr>
                <w:color w:val="000000"/>
                <w:sz w:val="20"/>
                <w:szCs w:val="20"/>
              </w:rPr>
              <w:t xml:space="preserve">Total Training Epochs</w:t>
            </w:r>
          </w:p>
        </w:tc>
        <w:tc>
          <w:tcPr>
            <w:tcW w:type="dxa" w:w="5800"/>
          </w:tcPr>
          <w:p>
            <w:pPr>
              <w:jc w:val="left"/>
            </w:pPr>
            <w:r>
              <w:rPr>
                <w:color w:val="000000"/>
                <w:sz w:val="20"/>
                <w:szCs w:val="20"/>
              </w:rPr>
              <w:t xml:space="preserve">8 (5 head + 3 fine-tune)</w:t>
            </w:r>
          </w:p>
        </w:tc>
      </w:tr>
    </w:tbl>
    <w:p>
      <w:pPr>
        <w:pStyle w:val="Heading2"/>
        <w:spacing w:after="120" w:before="280"/>
      </w:pPr>
      <w:r>
        <w:rPr>
          <w:b/>
          <w:bCs/>
          <w:color w:val="2E75B6"/>
          <w:sz w:val="26"/>
          <w:szCs w:val="26"/>
        </w:rPr>
        <w:t xml:space="preserve">4.5 Explainability with Grad-CAM</w:t>
      </w:r>
    </w:p>
    <w:p>
      <w:pPr>
        <w:spacing w:after="120" w:line="300"/>
        <w:jc w:val="both"/>
      </w:pPr>
      <w:r>
        <w:rPr>
          <w:sz w:val="22"/>
          <w:szCs w:val="22"/>
        </w:rPr>
        <w:t xml:space="preserve">Gradient-weighted Class Activation Mapping (Grad-CAM) is a technique from the paper "Grad-CAM: Visual Explanations from Deep Networks via Gradient-based Localization" (Selvaraju et al., 2017). It produces a coarse localization map by weighting the feature maps of the last convolutional layer using the gradient information flowing back from the predicted class.</w:t>
      </w:r>
    </w:p>
    <w:p>
      <w:pPr>
        <w:spacing w:after="120" w:line="300"/>
        <w:jc w:val="both"/>
      </w:pPr>
      <w:r>
        <w:rPr>
          <w:sz w:val="22"/>
          <w:szCs w:val="22"/>
        </w:rPr>
        <w:t xml:space="preserve">For every prediction made by EcoSort, a Grad-CAM heatmap is generated and shown alongside the result. Red and yellow regions of the heatmap indicate the pixels that most strongly influenced the model's decision; blue regions indicate pixels the model largely ignored. This closes a critical research gap identified in the literature review: most published waste-classification models are opaque "black boxes" that offer no way for a municipal operator to audit or trust their decisions.</w:t>
      </w:r>
    </w:p>
    <w:p>
      <w:r>
        <w:br w:type="page"/>
      </w:r>
    </w:p>
    <w:p>
      <w:pPr>
        <w:pStyle w:val="Heading1"/>
        <w:spacing w:after="160" w:before="360"/>
      </w:pPr>
      <w:r>
        <w:rPr>
          <w:b/>
          <w:bCs/>
          <w:color w:val="1F4E79"/>
          <w:sz w:val="32"/>
          <w:szCs w:val="32"/>
        </w:rPr>
        <w:t xml:space="preserve">5. User Interface and User Experience</w:t>
      </w:r>
    </w:p>
    <w:p>
      <w:pPr>
        <w:spacing w:after="120" w:line="300"/>
        <w:jc w:val="both"/>
      </w:pPr>
      <w:r>
        <w:rPr>
          <w:sz w:val="22"/>
          <w:szCs w:val="22"/>
        </w:rPr>
        <w:t xml:space="preserve">The EcoSort user interface is designed as a single-page web application with seven distinct sections. Each section serves a specific purpose in helping users understand the system, use its capabilities, and inspect its performance. The design language is inspired by industrial inspection lines: dark background, precise typography, monospaced measurements, and colour-coded streams (green, blue, red, grey).</w:t>
      </w:r>
    </w:p>
    <w:p>
      <w:pPr>
        <w:pStyle w:val="Heading2"/>
        <w:spacing w:after="120" w:before="280"/>
      </w:pPr>
      <w:r>
        <w:rPr>
          <w:b/>
          <w:bCs/>
          <w:color w:val="2E75B6"/>
          <w:sz w:val="26"/>
          <w:szCs w:val="26"/>
        </w:rPr>
        <w:t xml:space="preserve">5.1 Navigation Bar</w:t>
      </w:r>
    </w:p>
    <w:p>
      <w:pPr>
        <w:spacing w:after="120" w:line="300"/>
        <w:jc w:val="both"/>
      </w:pPr>
      <w:r>
        <w:rPr>
          <w:sz w:val="22"/>
          <w:szCs w:val="22"/>
        </w:rPr>
        <w:t xml:space="preserve">Fixed at the top of every scroll position. Contains the EcoSort logo (with an animated O/R mark), navigation anchor links to all six main sections, and a live model status badge on the right showing whether the model is loaded and which device (CPU or GPU) it is running on. The status badge polls the /api/health endpoint to reflect real system state.</w:t>
      </w:r>
    </w:p>
    <w:p>
      <w:pPr>
        <w:pStyle w:val="Heading2"/>
        <w:spacing w:after="120" w:before="280"/>
      </w:pPr>
      <w:r>
        <w:rPr>
          <w:b/>
          <w:bCs/>
          <w:color w:val="2E75B6"/>
          <w:sz w:val="26"/>
          <w:szCs w:val="26"/>
        </w:rPr>
        <w:t xml:space="preserve">5.2 Hero Section</w:t>
      </w:r>
    </w:p>
    <w:p>
      <w:pPr>
        <w:spacing w:after="120" w:line="300"/>
        <w:jc w:val="both"/>
      </w:pPr>
      <w:r>
        <w:rPr>
          <w:sz w:val="22"/>
          <w:szCs w:val="22"/>
        </w:rPr>
        <w:t xml:space="preserve">The landing viewport a visitor first sees.</w:t>
      </w:r>
    </w:p>
    <w:p>
      <w:pPr>
        <w:spacing w:after="80"/>
      </w:pPr>
      <w:r>
        <w:rPr>
          <w:b/>
          <w:bCs/>
          <w:sz w:val="22"/>
          <w:szCs w:val="22"/>
        </w:rPr>
        <w:t xml:space="preserve">Animated Sorting Line (Canvas):</w:t>
      </w:r>
    </w:p>
    <w:p>
      <w:pPr>
        <w:spacing w:after="120" w:line="300"/>
        <w:jc w:val="both"/>
      </w:pPr>
      <w:r>
        <w:rPr>
          <w:sz w:val="22"/>
          <w:szCs w:val="22"/>
        </w:rPr>
        <w:t xml:space="preserve">A background HTML5 canvas animation shows small coloured particles drifting in from the left, hitting a vertical inspection line, and being deflected up (organic) or down (recyclable). The animation runs at 60fps and pauses automatically when scrolled out of view to save CPU. This visualization is not just decoration - it visually communicates the core thesis of the project: waste sorting as a binary (or now, quaternary) routing decision.</w:t>
      </w:r>
    </w:p>
    <w:p>
      <w:pPr>
        <w:spacing w:after="80"/>
      </w:pPr>
      <w:r>
        <w:rPr>
          <w:b/>
          <w:bCs/>
          <w:sz w:val="22"/>
          <w:szCs w:val="22"/>
        </w:rPr>
        <w:t xml:space="preserve">Headline and Statistics:</w:t>
      </w:r>
    </w:p>
    <w:p>
      <w:pPr>
        <w:spacing w:after="120" w:line="300"/>
        <w:jc w:val="both"/>
      </w:pPr>
      <w:r>
        <w:rPr>
          <w:sz w:val="22"/>
          <w:szCs w:val="22"/>
        </w:rPr>
        <w:t xml:space="preserve">"Every bin is a decision/problem made countless times." The headline reframes waste sorting as a decision-theoretic problem. Below it, the number of images in the dataset is displayed dynamically - this figure is pulled from the actual eval_report.json file, so it always reflects reality.</w:t>
      </w:r>
    </w:p>
    <w:p>
      <w:pPr>
        <w:spacing w:after="80"/>
      </w:pPr>
      <w:r>
        <w:rPr>
          <w:b/>
          <w:bCs/>
          <w:sz w:val="22"/>
          <w:szCs w:val="22"/>
        </w:rPr>
        <w:t xml:space="preserve">Scope Statement:</w:t>
      </w:r>
    </w:p>
    <w:p>
      <w:pPr>
        <w:spacing w:after="120" w:line="300"/>
        <w:jc w:val="both"/>
      </w:pPr>
      <w:r>
        <w:rPr>
          <w:sz w:val="22"/>
          <w:szCs w:val="22"/>
        </w:rPr>
        <w:t xml:space="preserve">A key UX principle here is honesty. Directly under the headline, the system states its exact scope: "4 waste categories - Organic, Recyclable, Hazardous, Non-Recyclable. Mapped to Swachh Bharat bin colours: green, blue, red, and black." This prevents users from expecting the model to identify item names (e.g., "this is a plastic bottle") when it only outputs category labels.</w:t>
      </w:r>
    </w:p>
    <w:p>
      <w:pPr>
        <w:spacing w:after="80"/>
      </w:pPr>
      <w:r>
        <w:rPr>
          <w:b/>
          <w:bCs/>
          <w:sz w:val="22"/>
          <w:szCs w:val="22"/>
        </w:rPr>
        <w:t xml:space="preserve">Instrument Readout (4 KPI Tiles):</w:t>
      </w:r>
    </w:p>
    <w:p>
      <w:pPr>
        <w:spacing w:after="120" w:line="300"/>
        <w:jc w:val="both"/>
      </w:pPr>
      <w:r>
        <w:rPr>
          <w:sz w:val="22"/>
          <w:szCs w:val="22"/>
        </w:rPr>
        <w:t xml:space="preserve">Four measurement tiles displaying the essential performance metrics: Test Accuracy (percentage), Total Images in Dataset, Median Inference Time (milliseconds), and Model Footprint (megabytes). Each tile shows a horizontal bar indicating the relative magnitude. Every number here is read from outputs/eval_report.json - if the report is missing, tiles display "-" and the source line reads "No evaluation report found. Run: python -m src.evaluate". This design choice ensures that fake or aspirational numbers never appear on the page.</w:t>
      </w:r>
    </w:p>
    <w:p>
      <w:pPr>
        <w:pStyle w:val="Heading2"/>
        <w:spacing w:after="120" w:before="280"/>
      </w:pPr>
      <w:r>
        <w:rPr>
          <w:b/>
          <w:bCs/>
          <w:color w:val="2E75B6"/>
          <w:sz w:val="26"/>
          <w:szCs w:val="26"/>
        </w:rPr>
        <w:t xml:space="preserve">5.3 Inspection Bay (Classifier)</w:t>
      </w:r>
    </w:p>
    <w:p>
      <w:pPr>
        <w:spacing w:after="120" w:line="300"/>
        <w:jc w:val="both"/>
      </w:pPr>
      <w:r>
        <w:rPr>
          <w:sz w:val="22"/>
          <w:szCs w:val="22"/>
        </w:rPr>
        <w:t xml:space="preserve">The heart of the application - where a user actually tests the model.</w:t>
      </w:r>
    </w:p>
    <w:p>
      <w:pPr>
        <w:pStyle w:val="Heading3"/>
        <w:spacing w:after="100" w:before="200"/>
      </w:pPr>
      <w:r>
        <w:rPr>
          <w:b/>
          <w:bCs/>
          <w:color w:val="2E75B6"/>
          <w:sz w:val="22"/>
          <w:szCs w:val="22"/>
        </w:rPr>
        <w:t xml:space="preserve">5.3.1 Input Methods</w:t>
      </w:r>
    </w:p>
    <w:p>
      <w:pPr>
        <w:spacing w:after="80"/>
      </w:pPr>
      <w:r>
        <w:rPr>
          <w:b/>
          <w:bCs/>
          <w:sz w:val="22"/>
          <w:szCs w:val="22"/>
        </w:rPr>
        <w:t xml:space="preserve">Method 1: Drag and Drop</w:t>
      </w:r>
    </w:p>
    <w:p>
      <w:pPr>
        <w:spacing w:after="120" w:line="300"/>
        <w:jc w:val="both"/>
      </w:pPr>
      <w:r>
        <w:rPr>
          <w:sz w:val="22"/>
          <w:szCs w:val="22"/>
        </w:rPr>
        <w:t xml:space="preserve">The dropZone accepts any image file dragged from the file system. Visual feedback (border highlight) indicates when a file is being dragged over. On drop, the image is read, previewed, and sent to /api/predict.</w:t>
      </w:r>
    </w:p>
    <w:p>
      <w:pPr>
        <w:spacing w:after="80"/>
      </w:pPr>
      <w:r>
        <w:rPr>
          <w:b/>
          <w:bCs/>
          <w:sz w:val="22"/>
          <w:szCs w:val="22"/>
        </w:rPr>
        <w:t xml:space="preserve">Method 2: File Browser</w:t>
      </w:r>
    </w:p>
    <w:p>
      <w:pPr>
        <w:spacing w:after="120" w:line="300"/>
        <w:jc w:val="both"/>
      </w:pPr>
      <w:r>
        <w:rPr>
          <w:sz w:val="22"/>
          <w:szCs w:val="22"/>
        </w:rPr>
        <w:t xml:space="preserve">A "browse" link opens the native file picker, filtered to image types (image/*). Same processing path as drag-and-drop.</w:t>
      </w:r>
    </w:p>
    <w:p>
      <w:pPr>
        <w:spacing w:after="80"/>
      </w:pPr>
      <w:r>
        <w:rPr>
          <w:b/>
          <w:bCs/>
          <w:sz w:val="22"/>
          <w:szCs w:val="22"/>
        </w:rPr>
        <w:t xml:space="preserve">Method 3: Clipboard Paste (Ctrl+V)</w:t>
      </w:r>
    </w:p>
    <w:p>
      <w:pPr>
        <w:spacing w:after="120" w:line="300"/>
        <w:jc w:val="both"/>
      </w:pPr>
      <w:r>
        <w:rPr>
          <w:sz w:val="22"/>
          <w:szCs w:val="22"/>
        </w:rPr>
        <w:t xml:space="preserve">A global paste event listener detects when the user presses Ctrl+V (or Cmd+V on Mac). If the clipboard contains an image, it is captured, previewed, and classified. This is particularly useful for taking screenshots from other applications.</w:t>
      </w:r>
    </w:p>
    <w:p>
      <w:pPr>
        <w:spacing w:after="80"/>
      </w:pPr>
      <w:r>
        <w:rPr>
          <w:b/>
          <w:bCs/>
          <w:sz w:val="22"/>
          <w:szCs w:val="22"/>
        </w:rPr>
        <w:t xml:space="preserve">Method 4: Camera Capture</w:t>
      </w:r>
    </w:p>
    <w:p>
      <w:pPr>
        <w:spacing w:after="120" w:line="300"/>
        <w:jc w:val="both"/>
      </w:pPr>
      <w:r>
        <w:rPr>
          <w:sz w:val="22"/>
          <w:szCs w:val="22"/>
        </w:rPr>
        <w:t xml:space="preserve">Clicking the Camera chip requests webcam permission via navigator.mediaDevices.getUserMedia. When granted, the live video feed is shown in the drop zone. A Capture button appears, allowing the user to snapshot a single frame and classify it.</w:t>
      </w:r>
    </w:p>
    <w:p>
      <w:pPr>
        <w:spacing w:after="80"/>
      </w:pPr>
      <w:r>
        <w:rPr>
          <w:b/>
          <w:bCs/>
          <w:sz w:val="22"/>
          <w:szCs w:val="22"/>
        </w:rPr>
        <w:t xml:space="preserve">Method 5: Live Scan (Real-Time Classification)</w:t>
      </w:r>
    </w:p>
    <w:p>
      <w:pPr>
        <w:spacing w:after="120" w:line="300"/>
        <w:jc w:val="both"/>
      </w:pPr>
      <w:r>
        <w:rPr>
          <w:sz w:val="22"/>
          <w:szCs w:val="22"/>
        </w:rPr>
        <w:t xml:space="preserve">The red Live Scan button activates continuous real-time classification. When active: the webcam remains open, a JPEG frame is captured every 1.5 seconds, sent to /api/predict, and the result is overlaid on the video feed with a live "LIVE" badge. The class label and confidence percentage update in real-time and use the class colour (green, blue, red, or grey). This feature is critical for demonstrating the model to evaluators without requiring them to prepare test images in advance.</w:t>
      </w:r>
    </w:p>
    <w:p>
      <w:pPr>
        <w:pStyle w:val="Heading3"/>
        <w:spacing w:after="100" w:before="200"/>
      </w:pPr>
      <w:r>
        <w:rPr>
          <w:b/>
          <w:bCs/>
          <w:color w:val="2E75B6"/>
          <w:sz w:val="22"/>
          <w:szCs w:val="22"/>
        </w:rPr>
        <w:t xml:space="preserve">5.3.2 Verdict Panel States</w:t>
      </w:r>
    </w:p>
    <w:p>
      <w:pPr>
        <w:spacing w:after="80"/>
      </w:pPr>
      <w:r>
        <w:rPr>
          <w:b/>
          <w:bCs/>
          <w:sz w:val="22"/>
          <w:szCs w:val="22"/>
        </w:rPr>
        <w:t xml:space="preserve">Idle State:</w:t>
      </w:r>
    </w:p>
    <w:p>
      <w:pPr>
        <w:spacing w:after="120" w:line="300"/>
        <w:jc w:val="both"/>
      </w:pPr>
      <w:r>
        <w:rPr>
          <w:sz w:val="22"/>
          <w:szCs w:val="22"/>
        </w:rPr>
        <w:t xml:space="preserve">Before any image is submitted, the verdict panel shows four colour-coded stream tiles (Organic, Recyclable, Hazardous, Non-Recyclable) with "-" placeholders and the message "Waiting for an item." This educates the user about all four possible outcomes.</w:t>
      </w:r>
    </w:p>
    <w:p>
      <w:pPr>
        <w:spacing w:after="80"/>
      </w:pPr>
      <w:r>
        <w:rPr>
          <w:b/>
          <w:bCs/>
          <w:sz w:val="22"/>
          <w:szCs w:val="22"/>
        </w:rPr>
        <w:t xml:space="preserve">Working State:</w:t>
      </w:r>
    </w:p>
    <w:p>
      <w:pPr>
        <w:spacing w:after="120" w:line="300"/>
        <w:jc w:val="both"/>
      </w:pPr>
      <w:r>
        <w:rPr>
          <w:sz w:val="22"/>
          <w:szCs w:val="22"/>
        </w:rPr>
        <w:t xml:space="preserve">While the prediction is in flight, an animated 5-bar loader plays and a rotating status message cycles through the actual pipeline stages: "Decoding image", "Resize to 128x128", "Normalising - ImageNet stats", "Forward pass - 5 conv blocks", "Softmax over 4 classes", "Grad-CAM - block 5 activations". This transparency helps users understand what the model is doing internally rather than treating it as a black box.</w:t>
      </w:r>
    </w:p>
    <w:p>
      <w:pPr>
        <w:spacing w:after="80"/>
      </w:pPr>
      <w:r>
        <w:rPr>
          <w:b/>
          <w:bCs/>
          <w:sz w:val="22"/>
          <w:szCs w:val="22"/>
        </w:rPr>
        <w:t xml:space="preserve">Output State:</w:t>
      </w:r>
    </w:p>
    <w:p>
      <w:pPr>
        <w:spacing w:after="120" w:line="300"/>
        <w:jc w:val="both"/>
      </w:pPr>
      <w:r>
        <w:rPr>
          <w:sz w:val="22"/>
          <w:szCs w:val="22"/>
        </w:rPr>
        <w:t xml:space="preserve">When the prediction completes, the verdict is displayed in several complementary components:</w:t>
      </w:r>
    </w:p>
    <w:p>
      <w:pPr>
        <w:pStyle w:val="ListParagraph"/>
        <w:numPr>
          <w:ilvl w:val="0"/>
          <w:numId w:val="2"/>
        </w:numPr>
        <w:spacing w:after="60"/>
      </w:pPr>
      <w:r>
        <w:rPr>
          <w:sz w:val="22"/>
          <w:szCs w:val="22"/>
        </w:rPr>
        <w:t xml:space="preserve">Large Ring Chart - A circular progress ring animates from 0 to the confidence percentage (e.g., 87.2%). The stroke colour matches the predicted class (green for Organic, blue for Recyclable, etc.).</w:t>
      </w:r>
    </w:p>
    <w:p>
      <w:pPr>
        <w:pStyle w:val="ListParagraph"/>
        <w:numPr>
          <w:ilvl w:val="0"/>
          <w:numId w:val="2"/>
        </w:numPr>
        <w:spacing w:after="60"/>
      </w:pPr>
      <w:r>
        <w:rPr>
          <w:sz w:val="22"/>
          <w:szCs w:val="22"/>
        </w:rPr>
        <w:t xml:space="preserve">Class Label - The predicted class name in the class colour with a "Stream assignment" kicker above it.</w:t>
      </w:r>
    </w:p>
    <w:p>
      <w:pPr>
        <w:pStyle w:val="ListParagraph"/>
        <w:numPr>
          <w:ilvl w:val="0"/>
          <w:numId w:val="2"/>
        </w:numPr>
        <w:spacing w:after="60"/>
      </w:pPr>
      <w:r>
        <w:rPr>
          <w:sz w:val="22"/>
          <w:szCs w:val="22"/>
        </w:rPr>
        <w:t xml:space="preserve">Bin Guidance - A clear instruction such as "Route to the green bin - wet, biodegradable" so the user knows what physical action to take.</w:t>
      </w:r>
    </w:p>
    <w:p>
      <w:pPr>
        <w:pStyle w:val="ListParagraph"/>
        <w:numPr>
          <w:ilvl w:val="0"/>
          <w:numId w:val="2"/>
        </w:numPr>
        <w:spacing w:after="60"/>
      </w:pPr>
      <w:r>
        <w:rPr>
          <w:sz w:val="22"/>
          <w:szCs w:val="22"/>
        </w:rPr>
        <w:t xml:space="preserve">Probability Bars - Four horizontal bars showing the exact probability for each class, sorted highest to lowest. Each bar uses the class colour.</w:t>
      </w:r>
    </w:p>
    <w:p>
      <w:pPr>
        <w:pStyle w:val="ListParagraph"/>
        <w:numPr>
          <w:ilvl w:val="0"/>
          <w:numId w:val="2"/>
        </w:numPr>
        <w:spacing w:after="60"/>
      </w:pPr>
      <w:r>
        <w:rPr>
          <w:sz w:val="22"/>
          <w:szCs w:val="22"/>
        </w:rPr>
        <w:t xml:space="preserve">Grad-CAM Panel - The original image on the left with the Grad-CAM heatmap overlaid. A slider lets the user adjust the overlay opacity from 0% (image only) to 100% (heatmap only), so they can see exactly what pixels drove the decision.</w:t>
      </w:r>
    </w:p>
    <w:p>
      <w:pPr>
        <w:pStyle w:val="ListParagraph"/>
        <w:numPr>
          <w:ilvl w:val="0"/>
          <w:numId w:val="2"/>
        </w:numPr>
        <w:spacing w:after="60"/>
      </w:pPr>
      <w:r>
        <w:rPr>
          <w:sz w:val="22"/>
          <w:szCs w:val="22"/>
        </w:rPr>
        <w:t xml:space="preserve">Inference Time - Displayed as "X ms" in amber monospaced font, showing how fast the model actually ran.</w:t>
      </w:r>
    </w:p>
    <w:p>
      <w:pPr>
        <w:pStyle w:val="Heading2"/>
        <w:spacing w:after="120" w:before="280"/>
      </w:pPr>
      <w:r>
        <w:rPr>
          <w:b/>
          <w:bCs/>
          <w:color w:val="2E75B6"/>
          <w:sz w:val="26"/>
          <w:szCs w:val="26"/>
        </w:rPr>
        <w:t xml:space="preserve">5.4 Analytics Section</w:t>
      </w:r>
    </w:p>
    <w:p>
      <w:pPr>
        <w:spacing w:after="120" w:line="300"/>
        <w:jc w:val="both"/>
      </w:pPr>
      <w:r>
        <w:rPr>
          <w:sz w:val="22"/>
          <w:szCs w:val="22"/>
        </w:rPr>
        <w:t xml:space="preserve">This section presents every measured aspect of model performance. All data is read from outputs/eval_report.json at page load.</w:t>
      </w:r>
    </w:p>
    <w:p>
      <w:pPr>
        <w:spacing w:after="80"/>
      </w:pPr>
      <w:r>
        <w:rPr>
          <w:b/>
          <w:bCs/>
          <w:sz w:val="22"/>
          <w:szCs w:val="22"/>
        </w:rPr>
        <w:t xml:space="preserve">Model Comparison Table:</w:t>
      </w:r>
    </w:p>
    <w:p>
      <w:pPr>
        <w:spacing w:after="120" w:line="300"/>
        <w:jc w:val="both"/>
      </w:pPr>
      <w:r>
        <w:rPr>
          <w:sz w:val="22"/>
          <w:szCs w:val="22"/>
        </w:rPr>
        <w:t xml:space="preserve">A 7-column table listing all three trained models side-by-side: Model Name, Parameters, Size (MB), Accuracy, F1 Score, Median Latency, and a visual accuracy bar. The best-performing model is highlighted with an accent border. This lets the user immediately see the accuracy vs efficiency trade-off.</w:t>
      </w:r>
    </w:p>
    <w:p>
      <w:pPr>
        <w:spacing w:after="80"/>
      </w:pPr>
      <w:r>
        <w:rPr>
          <w:b/>
          <w:bCs/>
          <w:sz w:val="22"/>
          <w:szCs w:val="22"/>
        </w:rPr>
        <w:t xml:space="preserve">Validation Accuracy Curves (Line Chart):</w:t>
      </w:r>
    </w:p>
    <w:p>
      <w:pPr>
        <w:spacing w:after="120" w:line="300"/>
        <w:jc w:val="both"/>
      </w:pPr>
      <w:r>
        <w:rPr>
          <w:sz w:val="22"/>
          <w:szCs w:val="22"/>
        </w:rPr>
        <w:t xml:space="preserve">An SVG chart plotting validation accuracy per epoch for each model, with an "unfreeze" marker showing where Phase 1 (head training) ends and Phase 2 (fine-tuning) begins. This visualization demonstrates the effect of the two-phase training strategy.</w:t>
      </w:r>
    </w:p>
    <w:p>
      <w:pPr>
        <w:spacing w:after="80"/>
      </w:pPr>
      <w:r>
        <w:rPr>
          <w:b/>
          <w:bCs/>
          <w:sz w:val="22"/>
          <w:szCs w:val="22"/>
        </w:rPr>
        <w:t xml:space="preserve">Confusion Matrix:</w:t>
      </w:r>
    </w:p>
    <w:p>
      <w:pPr>
        <w:spacing w:after="120" w:line="300"/>
        <w:jc w:val="both"/>
      </w:pPr>
      <w:r>
        <w:rPr>
          <w:sz w:val="22"/>
          <w:szCs w:val="22"/>
        </w:rPr>
        <w:t xml:space="preserve">A 2x2 (or 4x4) grid showing True Positives, True Negatives, False Positives, and False Negatives. Each cell is shaded by frequency. A caption below points out the most significant error mode (e.g., "27 recyclable items were sent to the wet stream - the model's largest error mode").</w:t>
      </w:r>
    </w:p>
    <w:p>
      <w:pPr>
        <w:spacing w:after="80"/>
      </w:pPr>
      <w:r>
        <w:rPr>
          <w:b/>
          <w:bCs/>
          <w:sz w:val="22"/>
          <w:szCs w:val="22"/>
        </w:rPr>
        <w:t xml:space="preserve">Per-Class Metrics Panel:</w:t>
      </w:r>
    </w:p>
    <w:p>
      <w:pPr>
        <w:spacing w:after="120" w:line="300"/>
        <w:jc w:val="both"/>
      </w:pPr>
      <w:r>
        <w:rPr>
          <w:sz w:val="22"/>
          <w:szCs w:val="22"/>
        </w:rPr>
        <w:t xml:space="preserve">For each class, three metric bars: Precision, Recall, and F1-Score. Each is displayed as a horizontal progress bar with the exact decimal value. A footer text automatically identifies the highest-recall and lowest-recall classes so the user knows where the model is strongest and weakest.</w:t>
      </w:r>
    </w:p>
    <w:p>
      <w:pPr>
        <w:pStyle w:val="Heading2"/>
        <w:spacing w:after="120" w:before="280"/>
      </w:pPr>
      <w:r>
        <w:rPr>
          <w:b/>
          <w:bCs/>
          <w:color w:val="2E75B6"/>
          <w:sz w:val="26"/>
          <w:szCs w:val="26"/>
        </w:rPr>
        <w:t xml:space="preserve">5.5 Network Topology Section</w:t>
      </w:r>
    </w:p>
    <w:p>
      <w:pPr>
        <w:spacing w:after="120" w:line="300"/>
        <w:jc w:val="both"/>
      </w:pPr>
      <w:r>
        <w:rPr>
          <w:sz w:val="22"/>
          <w:szCs w:val="22"/>
        </w:rPr>
        <w:t xml:space="preserve">An interactive visualization of the baseline CNN architecture. Each block (input, 5 conv blocks, dense, output) is represented as a clickable card. Hovering or clicking a block updates the probe display below to show the tensor shape at that point (e.g., "512 x 4 x 4" for block 5) and a description ("Last conv map - this is the layer Grad-CAM reads"). This section is educational, helping viewers understand how a CNN progressively transforms a 128x128 image into a 4-way probability distribution.</w:t>
      </w:r>
    </w:p>
    <w:p>
      <w:pPr>
        <w:spacing w:after="120" w:line="300"/>
        <w:jc w:val="both"/>
      </w:pPr>
      <w:r>
        <w:rPr>
          <w:sz w:val="22"/>
          <w:szCs w:val="22"/>
        </w:rPr>
        <w:t xml:space="preserve">Below the network diagram, a specifications grid lists the training hyperparameters used: Optimizer (Adam with weight decay 1e-4), Schedule (StepLR with gamma 0.5), Loss (CrossEntropy), Batch size, Augmentation strategy, and Total parameter count.</w:t>
      </w:r>
    </w:p>
    <w:p>
      <w:pPr>
        <w:pStyle w:val="Heading2"/>
        <w:spacing w:after="120" w:before="280"/>
      </w:pPr>
      <w:r>
        <w:rPr>
          <w:b/>
          <w:bCs/>
          <w:color w:val="2E75B6"/>
          <w:sz w:val="26"/>
          <w:szCs w:val="26"/>
        </w:rPr>
        <w:t xml:space="preserve">5.6 Research Gaps Section</w:t>
      </w:r>
    </w:p>
    <w:p>
      <w:pPr>
        <w:spacing w:after="120" w:line="300"/>
        <w:jc w:val="both"/>
      </w:pPr>
      <w:r>
        <w:rPr>
          <w:sz w:val="22"/>
          <w:szCs w:val="22"/>
        </w:rPr>
        <w:t xml:space="preserve">One of the strongest academic components of the project. Based on a review of 25 research papers on waste classification, five open problems were identified:</w:t>
      </w:r>
    </w:p>
    <w:p>
      <w:pPr>
        <w:pStyle w:val="ListParagraph"/>
        <w:numPr>
          <w:ilvl w:val="0"/>
          <w:numId w:val="2"/>
        </w:numPr>
        <w:spacing w:after="60"/>
      </w:pPr>
      <w:r>
        <w:rPr>
          <w:sz w:val="22"/>
          <w:szCs w:val="22"/>
        </w:rPr>
        <w:t xml:space="preserve">G1: No unified multi-category system - status: ROADMAP. Some papers do 2 classes, some do 77 e-waste classes, none merge into one system.</w:t>
      </w:r>
    </w:p>
    <w:p>
      <w:pPr>
        <w:pStyle w:val="ListParagraph"/>
        <w:numPr>
          <w:ilvl w:val="0"/>
          <w:numId w:val="2"/>
        </w:numPr>
        <w:spacing w:after="60"/>
      </w:pPr>
      <w:r>
        <w:rPr>
          <w:sz w:val="22"/>
          <w:szCs w:val="22"/>
        </w:rPr>
        <w:t xml:space="preserve">G2: No Indian waste composition testing - status: ROADMAP. All benchmarks use Western or Japanese data. Indian street waste has different composition (60% organic, coconut shells, jute, mixed sachets).</w:t>
      </w:r>
    </w:p>
    <w:p>
      <w:pPr>
        <w:pStyle w:val="ListParagraph"/>
        <w:numPr>
          <w:ilvl w:val="0"/>
          <w:numId w:val="2"/>
        </w:numPr>
        <w:spacing w:after="60"/>
      </w:pPr>
      <w:r>
        <w:rPr>
          <w:sz w:val="22"/>
          <w:szCs w:val="22"/>
        </w:rPr>
        <w:t xml:space="preserve">G3: No lightweight mobile-deployable model - status: PARTLY ADDRESSED. Existing papers use either heavy YOLO models (need GPU) or tiny 80% accurate CNNs. EcoSort's MobileNetV2 sits in the deployable-and-accurate sweet spot.</w:t>
      </w:r>
    </w:p>
    <w:p>
      <w:pPr>
        <w:pStyle w:val="ListParagraph"/>
        <w:numPr>
          <w:ilvl w:val="0"/>
          <w:numId w:val="2"/>
        </w:numPr>
        <w:spacing w:after="60"/>
      </w:pPr>
      <w:r>
        <w:rPr>
          <w:sz w:val="22"/>
          <w:szCs w:val="22"/>
        </w:rPr>
        <w:t xml:space="preserve">G4: Missing explainability - status: ADDRESSED. Every prediction ships with a Grad-CAM heatmap, letting users see the pixels behind each decision.</w:t>
      </w:r>
    </w:p>
    <w:p>
      <w:pPr>
        <w:pStyle w:val="ListParagraph"/>
        <w:numPr>
          <w:ilvl w:val="0"/>
          <w:numId w:val="2"/>
        </w:numPr>
        <w:spacing w:after="60"/>
      </w:pPr>
      <w:r>
        <w:rPr>
          <w:sz w:val="22"/>
          <w:szCs w:val="22"/>
        </w:rPr>
        <w:t xml:space="preserve">G5: No IoT + vision integration - status: ROADMAP. This build is a web demo; a full smart-bin deployment is future work.</w:t>
      </w:r>
    </w:p>
    <w:p>
      <w:pPr>
        <w:spacing w:after="120" w:line="300"/>
        <w:jc w:val="both"/>
      </w:pPr>
      <w:r>
        <w:rPr>
          <w:sz w:val="22"/>
          <w:szCs w:val="22"/>
        </w:rPr>
        <w:t xml:space="preserve">Each gap is an expandable card. When clicked, it reveals the detailed problem statement, cited references (e.g., "refs #30, #10, #2"), and either what this build did to address it or an honest note that it did not. This structure demonstrates academic rigor - the project explicitly states what it accomplished and what remains for future work.</w:t>
      </w:r>
    </w:p>
    <w:p>
      <w:pPr>
        <w:pStyle w:val="Heading2"/>
        <w:spacing w:after="120" w:before="280"/>
      </w:pPr>
      <w:r>
        <w:rPr>
          <w:b/>
          <w:bCs/>
          <w:color w:val="2E75B6"/>
          <w:sz w:val="26"/>
          <w:szCs w:val="26"/>
        </w:rPr>
        <w:t xml:space="preserve">5.7 Bin Guide Section</w:t>
      </w:r>
    </w:p>
    <w:p>
      <w:pPr>
        <w:spacing w:after="120" w:line="300"/>
        <w:jc w:val="both"/>
      </w:pPr>
      <w:r>
        <w:rPr>
          <w:sz w:val="22"/>
          <w:szCs w:val="22"/>
        </w:rPr>
        <w:t xml:space="preserve">An educational reference for users about the four Swachh Bharat Mission bins. Each bin is displayed as a card with:</w:t>
      </w:r>
    </w:p>
    <w:p>
      <w:pPr>
        <w:pStyle w:val="ListParagraph"/>
        <w:numPr>
          <w:ilvl w:val="0"/>
          <w:numId w:val="2"/>
        </w:numPr>
        <w:spacing w:after="60"/>
      </w:pPr>
      <w:r>
        <w:rPr>
          <w:sz w:val="22"/>
          <w:szCs w:val="22"/>
        </w:rPr>
        <w:t xml:space="preserve">Green Bin (Wet - biodegradable): Kitchen scraps, fruit peels, tea leaves, cooked food, garden trimmings, coconut shells. Rule: if it rots within weeks, it is green.</w:t>
      </w:r>
    </w:p>
    <w:p>
      <w:pPr>
        <w:pStyle w:val="ListParagraph"/>
        <w:numPr>
          <w:ilvl w:val="0"/>
          <w:numId w:val="2"/>
        </w:numPr>
        <w:spacing w:after="60"/>
      </w:pPr>
      <w:r>
        <w:rPr>
          <w:sz w:val="22"/>
          <w:szCs w:val="22"/>
        </w:rPr>
        <w:t xml:space="preserve">Blue Bin (Dry - recyclable): PET bottles, paper, glass, aluminium, Tetra Pak, cloth. Rule: rinse it, dry it, then it is blue.</w:t>
      </w:r>
    </w:p>
    <w:p>
      <w:pPr>
        <w:pStyle w:val="ListParagraph"/>
        <w:numPr>
          <w:ilvl w:val="0"/>
          <w:numId w:val="2"/>
        </w:numPr>
        <w:spacing w:after="60"/>
      </w:pPr>
      <w:r>
        <w:rPr>
          <w:sz w:val="22"/>
          <w:szCs w:val="22"/>
        </w:rPr>
        <w:t xml:space="preserve">Red / Separate (Hazardous): Batteries, e-waste, tube lights, paints, medicines, motor oil. Rule: if it can leak, burn, or corrode, it is hazardous.</w:t>
      </w:r>
    </w:p>
    <w:p>
      <w:pPr>
        <w:pStyle w:val="ListParagraph"/>
        <w:numPr>
          <w:ilvl w:val="0"/>
          <w:numId w:val="2"/>
        </w:numPr>
        <w:spacing w:after="60"/>
      </w:pPr>
      <w:r>
        <w:rPr>
          <w:sz w:val="22"/>
          <w:szCs w:val="22"/>
        </w:rPr>
        <w:t xml:space="preserve">Black Bin (Non-Recyclable): Soiled packaging, diapers, broken ceramics, worn shoes, thermocol, mixed sachets. Rule: if no bin above takes it, it is black.</w:t>
      </w:r>
    </w:p>
    <w:p>
      <w:pPr>
        <w:spacing w:after="120" w:line="300"/>
        <w:jc w:val="both"/>
      </w:pPr>
      <w:r>
        <w:rPr>
          <w:sz w:val="22"/>
          <w:szCs w:val="22"/>
        </w:rPr>
        <w:t xml:space="preserve">A warning banner at the bottom notes that EcoSort classifies into categories but cannot identify individual items - so users should verify hazardous items before disposal (routing a battery to the wrong bin is a safety risk).</w:t>
      </w:r>
    </w:p>
    <w:p>
      <w:pPr>
        <w:pStyle w:val="Heading2"/>
        <w:spacing w:after="120" w:before="280"/>
      </w:pPr>
      <w:r>
        <w:rPr>
          <w:b/>
          <w:bCs/>
          <w:color w:val="2E75B6"/>
          <w:sz w:val="26"/>
          <w:szCs w:val="26"/>
        </w:rPr>
        <w:t xml:space="preserve">5.8 API Console Section</w:t>
      </w:r>
    </w:p>
    <w:p>
      <w:pPr>
        <w:spacing w:after="120" w:line="300"/>
        <w:jc w:val="both"/>
      </w:pPr>
      <w:r>
        <w:rPr>
          <w:sz w:val="22"/>
          <w:szCs w:val="22"/>
        </w:rPr>
        <w:t xml:space="preserve">For developers and technical evaluators, a live API testing console. Four endpoints are documented and testable directly from the page:</w:t>
      </w:r>
    </w:p>
    <w:p>
      <w:pPr>
        <w:pStyle w:val="ListParagraph"/>
        <w:numPr>
          <w:ilvl w:val="0"/>
          <w:numId w:val="2"/>
        </w:numPr>
        <w:spacing w:after="60"/>
      </w:pPr>
      <w:r>
        <w:rPr>
          <w:sz w:val="22"/>
          <w:szCs w:val="22"/>
        </w:rPr>
        <w:t xml:space="preserve">GET /api/health - Returns model load state, device, and class list.</w:t>
      </w:r>
    </w:p>
    <w:p>
      <w:pPr>
        <w:pStyle w:val="ListParagraph"/>
        <w:numPr>
          <w:ilvl w:val="0"/>
          <w:numId w:val="2"/>
        </w:numPr>
        <w:spacing w:after="60"/>
      </w:pPr>
      <w:r>
        <w:rPr>
          <w:sz w:val="22"/>
          <w:szCs w:val="22"/>
        </w:rPr>
        <w:t xml:space="preserve">GET /api/metrics - Returns the full evaluation report (the source of every figure on the page).</w:t>
      </w:r>
    </w:p>
    <w:p>
      <w:pPr>
        <w:pStyle w:val="ListParagraph"/>
        <w:numPr>
          <w:ilvl w:val="0"/>
          <w:numId w:val="2"/>
        </w:numPr>
        <w:spacing w:after="60"/>
      </w:pPr>
      <w:r>
        <w:rPr>
          <w:sz w:val="22"/>
          <w:szCs w:val="22"/>
        </w:rPr>
        <w:t xml:space="preserve">GET /api/stats - Returns dataset counts and headline metrics.</w:t>
      </w:r>
    </w:p>
    <w:p>
      <w:pPr>
        <w:pStyle w:val="ListParagraph"/>
        <w:numPr>
          <w:ilvl w:val="0"/>
          <w:numId w:val="2"/>
        </w:numPr>
        <w:spacing w:after="60"/>
      </w:pPr>
      <w:r>
        <w:rPr>
          <w:sz w:val="22"/>
          <w:szCs w:val="22"/>
        </w:rPr>
        <w:t xml:space="preserve">POST /api/predict - Accepts a multipart image, returns class, confidence, probabilities, inference time, and Grad-CAM.</w:t>
      </w:r>
    </w:p>
    <w:p>
      <w:pPr>
        <w:spacing w:after="120" w:line="300"/>
        <w:jc w:val="both"/>
      </w:pPr>
      <w:r>
        <w:rPr>
          <w:sz w:val="22"/>
          <w:szCs w:val="22"/>
        </w:rPr>
        <w:t xml:space="preserve">Selecting an endpoint and clicking Send fires a live request against the running Flask server. The response is pretty-printed with syntax highlighting. Large base64 fields (like Grad-CAM images) are collapsed to a size indicator to keep the console readable.</w:t>
      </w:r>
    </w:p>
    <w:p>
      <w:r>
        <w:br w:type="page"/>
      </w:r>
    </w:p>
    <w:p>
      <w:pPr>
        <w:pStyle w:val="Heading1"/>
        <w:spacing w:after="160" w:before="360"/>
      </w:pPr>
      <w:r>
        <w:rPr>
          <w:b/>
          <w:bCs/>
          <w:color w:val="1F4E79"/>
          <w:sz w:val="32"/>
          <w:szCs w:val="32"/>
        </w:rPr>
        <w:t xml:space="preserve">6. Backend Implementation</w:t>
      </w:r>
    </w:p>
    <w:p>
      <w:pPr>
        <w:pStyle w:val="Heading2"/>
        <w:spacing w:after="120" w:before="280"/>
      </w:pPr>
      <w:r>
        <w:rPr>
          <w:b/>
          <w:bCs/>
          <w:color w:val="2E75B6"/>
          <w:sz w:val="26"/>
          <w:szCs w:val="26"/>
        </w:rPr>
        <w:t xml:space="preserve">6.1 Flask Application Structure</w:t>
      </w:r>
    </w:p>
    <w:p>
      <w:pPr>
        <w:spacing w:after="120" w:line="300"/>
        <w:jc w:val="both"/>
      </w:pPr>
      <w:r>
        <w:rPr>
          <w:sz w:val="22"/>
          <w:szCs w:val="22"/>
        </w:rPr>
        <w:t xml:space="preserve">The Flask backend (webapp/app.py) is intentionally kept small and focused. It performs three roles: serving the HTML template, loading the trained model at startup, and exposing REST endpoints for predictions and metrics.</w:t>
      </w:r>
    </w:p>
    <w:p>
      <w:pPr>
        <w:pStyle w:val="Heading2"/>
        <w:spacing w:after="120" w:before="280"/>
      </w:pPr>
      <w:r>
        <w:rPr>
          <w:b/>
          <w:bCs/>
          <w:color w:val="2E75B6"/>
          <w:sz w:val="26"/>
          <w:szCs w:val="26"/>
        </w:rPr>
        <w:t xml:space="preserve">6.2 Model Loading Strategy</w:t>
      </w:r>
    </w:p>
    <w:p>
      <w:pPr>
        <w:spacing w:after="120" w:line="300"/>
        <w:jc w:val="both"/>
      </w:pPr>
      <w:r>
        <w:rPr>
          <w:sz w:val="22"/>
          <w:szCs w:val="22"/>
        </w:rPr>
        <w:t xml:space="preserve">At server startup, the backend attempts to load models in a priority order: MobileNetV2 first (best accuracy for size), then ResNet18, then the baseline CNN. The first available weights file is loaded. The number of output classes is auto-detected by inspecting the dataset's TRAIN directory - if it contains H, N, O, R subfolders, the model is built for 4 classes; if only O and R, it is built for 2 classes. This means the same code works for both 2-class and 4-class deployments without any manual configuration.</w:t>
      </w:r>
    </w:p>
    <w:p>
      <w:pPr>
        <w:pStyle w:val="Heading2"/>
        <w:spacing w:after="120" w:before="280"/>
      </w:pPr>
      <w:r>
        <w:rPr>
          <w:b/>
          <w:bCs/>
          <w:color w:val="2E75B6"/>
          <w:sz w:val="26"/>
          <w:szCs w:val="26"/>
        </w:rPr>
        <w:t xml:space="preserve">6.3 The /api/predict Endpoint</w:t>
      </w:r>
    </w:p>
    <w:p>
      <w:pPr>
        <w:spacing w:after="120" w:line="300"/>
        <w:jc w:val="both"/>
      </w:pPr>
      <w:r>
        <w:rPr>
          <w:sz w:val="22"/>
          <w:szCs w:val="22"/>
        </w:rPr>
        <w:t xml:space="preserve">The core prediction endpoint accepts either a multipart image file (form field "image") or a base64-encoded data URL (form field "image_b64"), so the same endpoint serves file uploads, camera captures, and clipboard pastes.</w:t>
      </w:r>
    </w:p>
    <w:p>
      <w:pPr>
        <w:spacing w:after="80"/>
      </w:pPr>
      <w:r>
        <w:rPr>
          <w:b/>
          <w:bCs/>
          <w:sz w:val="22"/>
          <w:szCs w:val="22"/>
        </w:rPr>
        <w:t xml:space="preserve">Processing Pipeline:</w:t>
      </w:r>
    </w:p>
    <w:p>
      <w:pPr>
        <w:pStyle w:val="ListParagraph"/>
        <w:numPr>
          <w:ilvl w:val="0"/>
          <w:numId w:val="2"/>
        </w:numPr>
        <w:spacing w:after="60"/>
      </w:pPr>
      <w:r>
        <w:rPr>
          <w:sz w:val="22"/>
          <w:szCs w:val="22"/>
        </w:rPr>
        <w:t xml:space="preserve">Read the image and convert to RGB.</w:t>
      </w:r>
    </w:p>
    <w:p>
      <w:pPr>
        <w:pStyle w:val="ListParagraph"/>
        <w:numPr>
          <w:ilvl w:val="0"/>
          <w:numId w:val="2"/>
        </w:numPr>
        <w:spacing w:after="60"/>
      </w:pPr>
      <w:r>
        <w:rPr>
          <w:sz w:val="22"/>
          <w:szCs w:val="22"/>
        </w:rPr>
        <w:t xml:space="preserve">Apply the model's standard transform: resize to 224x224 (or 128x128 for baseline), convert to tensor, normalize with ImageNet statistics.</w:t>
      </w:r>
    </w:p>
    <w:p>
      <w:pPr>
        <w:pStyle w:val="ListParagraph"/>
        <w:numPr>
          <w:ilvl w:val="0"/>
          <w:numId w:val="2"/>
        </w:numPr>
        <w:spacing w:after="60"/>
      </w:pPr>
      <w:r>
        <w:rPr>
          <w:sz w:val="22"/>
          <w:szCs w:val="22"/>
        </w:rPr>
        <w:t xml:space="preserve">Run a forward pass under torch.no_grad() and measure elapsed time with time.perf_counter().</w:t>
      </w:r>
    </w:p>
    <w:p>
      <w:pPr>
        <w:pStyle w:val="ListParagraph"/>
        <w:numPr>
          <w:ilvl w:val="0"/>
          <w:numId w:val="2"/>
        </w:numPr>
        <w:spacing w:after="60"/>
      </w:pPr>
      <w:r>
        <w:rPr>
          <w:sz w:val="22"/>
          <w:szCs w:val="22"/>
        </w:rPr>
        <w:t xml:space="preserve">Apply softmax to convert logits to probabilities.</w:t>
      </w:r>
    </w:p>
    <w:p>
      <w:pPr>
        <w:pStyle w:val="ListParagraph"/>
        <w:numPr>
          <w:ilvl w:val="0"/>
          <w:numId w:val="2"/>
        </w:numPr>
        <w:spacing w:after="60"/>
      </w:pPr>
      <w:r>
        <w:rPr>
          <w:sz w:val="22"/>
          <w:szCs w:val="22"/>
        </w:rPr>
        <w:t xml:space="preserve">Run Grad-CAM: register forward and backward hooks on the last convolutional layer, backpropagate from the predicted class, compute the weighted feature map, apply ReLU, upsample to the input size, and normalize to [0, 1].</w:t>
      </w:r>
    </w:p>
    <w:p>
      <w:pPr>
        <w:pStyle w:val="ListParagraph"/>
        <w:numPr>
          <w:ilvl w:val="0"/>
          <w:numId w:val="2"/>
        </w:numPr>
        <w:spacing w:after="60"/>
      </w:pPr>
      <w:r>
        <w:rPr>
          <w:sz w:val="22"/>
          <w:szCs w:val="22"/>
        </w:rPr>
        <w:t xml:space="preserve">Convert the Grad-CAM to a colour heatmap using a jet-like RGB ramp.</w:t>
      </w:r>
    </w:p>
    <w:p>
      <w:pPr>
        <w:pStyle w:val="ListParagraph"/>
        <w:numPr>
          <w:ilvl w:val="0"/>
          <w:numId w:val="2"/>
        </w:numPr>
        <w:spacing w:after="60"/>
      </w:pPr>
      <w:r>
        <w:rPr>
          <w:sz w:val="22"/>
          <w:szCs w:val="22"/>
        </w:rPr>
        <w:t xml:space="preserve">Encode the heatmap as a base64 PNG data URL.</w:t>
      </w:r>
    </w:p>
    <w:p>
      <w:pPr>
        <w:pStyle w:val="ListParagraph"/>
        <w:numPr>
          <w:ilvl w:val="0"/>
          <w:numId w:val="2"/>
        </w:numPr>
        <w:spacing w:after="60"/>
      </w:pPr>
      <w:r>
        <w:rPr>
          <w:sz w:val="22"/>
          <w:szCs w:val="22"/>
        </w:rPr>
        <w:t xml:space="preserve">Return a JSON response containing label, class_index, confidence, per-class probabilities, inference_ms, and gradcam.</w:t>
      </w:r>
    </w:p>
    <w:p>
      <w:pPr>
        <w:pStyle w:val="Heading2"/>
        <w:spacing w:after="120" w:before="280"/>
      </w:pPr>
      <w:r>
        <w:rPr>
          <w:b/>
          <w:bCs/>
          <w:color w:val="2E75B6"/>
          <w:sz w:val="26"/>
          <w:szCs w:val="26"/>
        </w:rPr>
        <w:t xml:space="preserve">6.4 The metrics_routes Module</w:t>
      </w:r>
    </w:p>
    <w:p>
      <w:pPr>
        <w:spacing w:after="120" w:line="300"/>
        <w:jc w:val="both"/>
      </w:pPr>
      <w:r>
        <w:rPr>
          <w:sz w:val="22"/>
          <w:szCs w:val="22"/>
        </w:rPr>
        <w:t xml:space="preserve">A separate Python module (webapp/metrics_routes.py) registers three additional endpoints: /api/metrics, /api/stats, and /api/training-history. All three read from JSON files written by the evaluation and training scripts, so the frontend always displays the latest measured performance.</w:t>
      </w:r>
    </w:p>
    <w:p>
      <w:r>
        <w:br w:type="page"/>
      </w:r>
    </w:p>
    <w:p>
      <w:pPr>
        <w:pStyle w:val="Heading1"/>
        <w:spacing w:after="160" w:before="360"/>
      </w:pPr>
      <w:r>
        <w:rPr>
          <w:b/>
          <w:bCs/>
          <w:color w:val="1F4E79"/>
          <w:sz w:val="32"/>
          <w:szCs w:val="32"/>
        </w:rPr>
        <w:t xml:space="preserve">7. How to Set Up and Run the Project</w:t>
      </w:r>
    </w:p>
    <w:p>
      <w:pPr>
        <w:pStyle w:val="Heading2"/>
        <w:spacing w:after="120" w:before="280"/>
      </w:pPr>
      <w:r>
        <w:rPr>
          <w:b/>
          <w:bCs/>
          <w:color w:val="2E75B6"/>
          <w:sz w:val="26"/>
          <w:szCs w:val="26"/>
        </w:rPr>
        <w:t xml:space="preserve">7.1 Prerequisites</w:t>
      </w:r>
    </w:p>
    <w:p>
      <w:pPr>
        <w:pStyle w:val="ListParagraph"/>
        <w:numPr>
          <w:ilvl w:val="0"/>
          <w:numId w:val="2"/>
        </w:numPr>
        <w:spacing w:after="60"/>
      </w:pPr>
      <w:r>
        <w:rPr>
          <w:sz w:val="22"/>
          <w:szCs w:val="22"/>
        </w:rPr>
        <w:t xml:space="preserve">Python 3.10 or higher.</w:t>
      </w:r>
    </w:p>
    <w:p>
      <w:pPr>
        <w:pStyle w:val="ListParagraph"/>
        <w:numPr>
          <w:ilvl w:val="0"/>
          <w:numId w:val="2"/>
        </w:numPr>
        <w:spacing w:after="60"/>
      </w:pPr>
      <w:r>
        <w:rPr>
          <w:sz w:val="22"/>
          <w:szCs w:val="22"/>
        </w:rPr>
        <w:t xml:space="preserve">pip package manager.</w:t>
      </w:r>
    </w:p>
    <w:p>
      <w:pPr>
        <w:pStyle w:val="ListParagraph"/>
        <w:numPr>
          <w:ilvl w:val="0"/>
          <w:numId w:val="2"/>
        </w:numPr>
        <w:spacing w:after="60"/>
      </w:pPr>
      <w:r>
        <w:rPr>
          <w:sz w:val="22"/>
          <w:szCs w:val="22"/>
        </w:rPr>
        <w:t xml:space="preserve">Approximately 2 GB of free disk space for datasets.</w:t>
      </w:r>
    </w:p>
    <w:p>
      <w:pPr>
        <w:pStyle w:val="ListParagraph"/>
        <w:numPr>
          <w:ilvl w:val="0"/>
          <w:numId w:val="2"/>
        </w:numPr>
        <w:spacing w:after="60"/>
      </w:pPr>
      <w:r>
        <w:rPr>
          <w:sz w:val="22"/>
          <w:szCs w:val="22"/>
        </w:rPr>
        <w:t xml:space="preserve">A Kaggle account (free) with API credentials for downloading datasets.</w:t>
      </w:r>
    </w:p>
    <w:p>
      <w:pPr>
        <w:pStyle w:val="ListParagraph"/>
        <w:numPr>
          <w:ilvl w:val="0"/>
          <w:numId w:val="2"/>
        </w:numPr>
        <w:spacing w:after="60"/>
      </w:pPr>
      <w:r>
        <w:rPr>
          <w:sz w:val="22"/>
          <w:szCs w:val="22"/>
        </w:rPr>
        <w:t xml:space="preserve">Modern web browser (Chrome, Edge, or Firefox) with webcam access for live-scan feature.</w:t>
      </w:r>
    </w:p>
    <w:p>
      <w:pPr>
        <w:pStyle w:val="Heading2"/>
        <w:spacing w:after="120" w:before="280"/>
      </w:pPr>
      <w:r>
        <w:rPr>
          <w:b/>
          <w:bCs/>
          <w:color w:val="2E75B6"/>
          <w:sz w:val="26"/>
          <w:szCs w:val="26"/>
        </w:rPr>
        <w:t xml:space="preserve">7.2 Installation Steps</w:t>
      </w:r>
    </w:p>
    <w:p>
      <w:pPr>
        <w:spacing w:after="80"/>
      </w:pPr>
      <w:r>
        <w:rPr>
          <w:b/>
          <w:bCs/>
          <w:sz w:val="22"/>
          <w:szCs w:val="22"/>
        </w:rPr>
        <w:t xml:space="preserve">Step 1: Clone the repository</w:t>
      </w:r>
    </w:p>
    <w:p>
      <w:pPr>
        <w:shd w:fill="F2F2F2" w:val="clear"/>
        <w:spacing w:after="100"/>
      </w:pPr>
      <w:r>
        <w:rPr>
          <w:rFonts w:ascii="Consolas" w:cs="Consolas" w:eastAsia="Consolas" w:hAnsi="Consolas"/>
          <w:sz w:val="20"/>
          <w:szCs w:val="20"/>
        </w:rPr>
        <w:t xml:space="preserve">git clone &lt;repository-url&gt;</w:t>
      </w:r>
    </w:p>
    <w:p>
      <w:pPr>
        <w:shd w:fill="F2F2F2" w:val="clear"/>
        <w:spacing w:after="100"/>
      </w:pPr>
      <w:r>
        <w:rPr>
          <w:rFonts w:ascii="Consolas" w:cs="Consolas" w:eastAsia="Consolas" w:hAnsi="Consolas"/>
          <w:sz w:val="20"/>
          <w:szCs w:val="20"/>
        </w:rPr>
        <w:t xml:space="preserve">cd AI-Waste-Classification</w:t>
      </w:r>
    </w:p>
    <w:p>
      <w:pPr>
        <w:spacing w:after="80"/>
      </w:pPr>
      <w:r>
        <w:rPr>
          <w:b/>
          <w:bCs/>
          <w:sz w:val="22"/>
          <w:szCs w:val="22"/>
        </w:rPr>
        <w:t xml:space="preserve">Step 2: Install Python dependencies</w:t>
      </w:r>
    </w:p>
    <w:p>
      <w:pPr>
        <w:shd w:fill="F2F2F2" w:val="clear"/>
        <w:spacing w:after="100"/>
      </w:pPr>
      <w:r>
        <w:rPr>
          <w:rFonts w:ascii="Consolas" w:cs="Consolas" w:eastAsia="Consolas" w:hAnsi="Consolas"/>
          <w:sz w:val="20"/>
          <w:szCs w:val="20"/>
        </w:rPr>
        <w:t xml:space="preserve">pip install -r requirements.txt</w:t>
      </w:r>
    </w:p>
    <w:p>
      <w:pPr>
        <w:shd w:fill="F2F2F2" w:val="clear"/>
        <w:spacing w:after="100"/>
      </w:pPr>
      <w:r>
        <w:rPr>
          <w:rFonts w:ascii="Consolas" w:cs="Consolas" w:eastAsia="Consolas" w:hAnsi="Consolas"/>
          <w:sz w:val="20"/>
          <w:szCs w:val="20"/>
        </w:rPr>
        <w:t xml:space="preserve">pip install kaggle</w:t>
      </w:r>
    </w:p>
    <w:p>
      <w:pPr>
        <w:spacing w:after="80"/>
      </w:pPr>
      <w:r>
        <w:rPr>
          <w:b/>
          <w:bCs/>
          <w:sz w:val="22"/>
          <w:szCs w:val="22"/>
        </w:rPr>
        <w:t xml:space="preserve">Step 3: Configure Kaggle API</w:t>
      </w:r>
    </w:p>
    <w:p>
      <w:pPr>
        <w:spacing w:after="120" w:line="300"/>
        <w:jc w:val="both"/>
      </w:pPr>
      <w:r>
        <w:rPr>
          <w:sz w:val="22"/>
          <w:szCs w:val="22"/>
        </w:rPr>
        <w:t xml:space="preserve">Download kaggle.json from your Kaggle account (Settings → API → Create New Token) and place it in ~/.kaggle/ (Linux/Mac) or C:\Users\&lt;username&gt;\.kaggle\ (Windows).</w:t>
      </w:r>
    </w:p>
    <w:p>
      <w:pPr>
        <w:spacing w:after="80"/>
      </w:pPr>
      <w:r>
        <w:rPr>
          <w:b/>
          <w:bCs/>
          <w:sz w:val="22"/>
          <w:szCs w:val="22"/>
        </w:rPr>
        <w:t xml:space="preserve">Step 4: Download the datasets</w:t>
      </w:r>
    </w:p>
    <w:p>
      <w:pPr>
        <w:shd w:fill="F2F2F2" w:val="clear"/>
        <w:spacing w:after="100"/>
      </w:pPr>
      <w:r>
        <w:rPr>
          <w:rFonts w:ascii="Consolas" w:cs="Consolas" w:eastAsia="Consolas" w:hAnsi="Consolas"/>
          <w:sz w:val="20"/>
          <w:szCs w:val="20"/>
        </w:rPr>
        <w:t xml:space="preserve">kaggle datasets download -d techsash/waste-classification-data --unzip -p extra_datasets/waste_v2</w:t>
      </w:r>
    </w:p>
    <w:p>
      <w:pPr>
        <w:shd w:fill="F2F2F2" w:val="clear"/>
        <w:spacing w:after="100"/>
      </w:pPr>
      <w:r>
        <w:rPr>
          <w:rFonts w:ascii="Consolas" w:cs="Consolas" w:eastAsia="Consolas" w:hAnsi="Consolas"/>
          <w:sz w:val="20"/>
          <w:szCs w:val="20"/>
        </w:rPr>
        <w:t xml:space="preserve">kaggle datasets download -d mostafaabla/garbage-classification-12 --unzip -p extra_datasets/garbage12</w:t>
      </w:r>
    </w:p>
    <w:p>
      <w:pPr>
        <w:shd w:fill="F2F2F2" w:val="clear"/>
        <w:spacing w:after="100"/>
      </w:pPr>
      <w:r>
        <w:rPr>
          <w:rFonts w:ascii="Consolas" w:cs="Consolas" w:eastAsia="Consolas" w:hAnsi="Consolas"/>
          <w:sz w:val="20"/>
          <w:szCs w:val="20"/>
        </w:rPr>
        <w:t xml:space="preserve">kaggle datasets download -d joebeachcapital/realwaste --unzip -p extra_datasets/realwaste</w:t>
      </w:r>
    </w:p>
    <w:p>
      <w:pPr>
        <w:shd w:fill="F2F2F2" w:val="clear"/>
        <w:spacing w:after="100"/>
      </w:pPr>
      <w:r>
        <w:rPr>
          <w:rFonts w:ascii="Consolas" w:cs="Consolas" w:eastAsia="Consolas" w:hAnsi="Consolas"/>
          <w:sz w:val="20"/>
          <w:szCs w:val="20"/>
        </w:rPr>
        <w:t xml:space="preserve">kaggle datasets download -d mostafaabla/garbage-classification --unzip -p extra_datasets/trashnet</w:t>
      </w:r>
    </w:p>
    <w:p>
      <w:pPr>
        <w:shd w:fill="F2F2F2" w:val="clear"/>
        <w:spacing w:after="100"/>
      </w:pPr>
      <w:r>
        <w:rPr>
          <w:rFonts w:ascii="Consolas" w:cs="Consolas" w:eastAsia="Consolas" w:hAnsi="Consolas"/>
          <w:sz w:val="20"/>
          <w:szCs w:val="20"/>
        </w:rPr>
        <w:t xml:space="preserve">kaggle datasets download -d sumn2u/garbage-classification-v2 --unzip -p extra_datasets/household</w:t>
      </w:r>
    </w:p>
    <w:p>
      <w:pPr>
        <w:spacing w:after="80"/>
      </w:pPr>
      <w:r>
        <w:rPr>
          <w:b/>
          <w:bCs/>
          <w:sz w:val="22"/>
          <w:szCs w:val="22"/>
        </w:rPr>
        <w:t xml:space="preserve">Step 5: Merge datasets into 4-class TRAIN/TEST structure</w:t>
      </w:r>
    </w:p>
    <w:p>
      <w:pPr>
        <w:shd w:fill="F2F2F2" w:val="clear"/>
        <w:spacing w:after="100"/>
      </w:pPr>
      <w:r>
        <w:rPr>
          <w:rFonts w:ascii="Consolas" w:cs="Consolas" w:eastAsia="Consolas" w:hAnsi="Consolas"/>
          <w:sz w:val="20"/>
          <w:szCs w:val="20"/>
        </w:rPr>
        <w:t xml:space="preserve">python -m src.merge_datasets --classes 4</w:t>
      </w:r>
    </w:p>
    <w:p>
      <w:pPr>
        <w:spacing w:after="80"/>
      </w:pPr>
      <w:r>
        <w:rPr>
          <w:b/>
          <w:bCs/>
          <w:sz w:val="22"/>
          <w:szCs w:val="22"/>
        </w:rPr>
        <w:t xml:space="preserve">Step 6: Train the models</w:t>
      </w:r>
    </w:p>
    <w:p>
      <w:pPr>
        <w:shd w:fill="F2F2F2" w:val="clear"/>
        <w:spacing w:after="100"/>
      </w:pPr>
      <w:r>
        <w:rPr>
          <w:rFonts w:ascii="Consolas" w:cs="Consolas" w:eastAsia="Consolas" w:hAnsi="Consolas"/>
          <w:sz w:val="20"/>
          <w:szCs w:val="20"/>
        </w:rPr>
        <w:t xml:space="preserve">python -m src.train --model both</w:t>
      </w:r>
    </w:p>
    <w:p>
      <w:pPr>
        <w:spacing w:after="80"/>
      </w:pPr>
      <w:r>
        <w:rPr>
          <w:b/>
          <w:bCs/>
          <w:sz w:val="22"/>
          <w:szCs w:val="22"/>
        </w:rPr>
        <w:t xml:space="preserve">Step 7: Evaluate the models</w:t>
      </w:r>
    </w:p>
    <w:p>
      <w:pPr>
        <w:shd w:fill="F2F2F2" w:val="clear"/>
        <w:spacing w:after="100"/>
      </w:pPr>
      <w:r>
        <w:rPr>
          <w:rFonts w:ascii="Consolas" w:cs="Consolas" w:eastAsia="Consolas" w:hAnsi="Consolas"/>
          <w:sz w:val="20"/>
          <w:szCs w:val="20"/>
        </w:rPr>
        <w:t xml:space="preserve">python -m src.evaluate</w:t>
      </w:r>
    </w:p>
    <w:p>
      <w:pPr>
        <w:spacing w:after="80"/>
      </w:pPr>
      <w:r>
        <w:rPr>
          <w:b/>
          <w:bCs/>
          <w:sz w:val="22"/>
          <w:szCs w:val="22"/>
        </w:rPr>
        <w:t xml:space="preserve">Step 8: Launch the web application</w:t>
      </w:r>
    </w:p>
    <w:p>
      <w:pPr>
        <w:shd w:fill="F2F2F2" w:val="clear"/>
        <w:spacing w:after="100"/>
      </w:pPr>
      <w:r>
        <w:rPr>
          <w:rFonts w:ascii="Consolas" w:cs="Consolas" w:eastAsia="Consolas" w:hAnsi="Consolas"/>
          <w:sz w:val="20"/>
          <w:szCs w:val="20"/>
        </w:rPr>
        <w:t xml:space="preserve">python webapp/app.py</w:t>
      </w:r>
    </w:p>
    <w:p>
      <w:pPr>
        <w:spacing w:after="120" w:line="300"/>
        <w:jc w:val="both"/>
      </w:pPr>
      <w:r>
        <w:rPr>
          <w:sz w:val="22"/>
          <w:szCs w:val="22"/>
        </w:rPr>
        <w:t xml:space="preserve">Open a browser and navigate to http://localhost:5000. The full EcoSort interface will load, and all buttons (drag-drop, camera, live scan) will be functional.</w:t>
      </w:r>
    </w:p>
    <w:p>
      <w:r>
        <w:br w:type="page"/>
      </w:r>
    </w:p>
    <w:p>
      <w:pPr>
        <w:pStyle w:val="Heading1"/>
        <w:spacing w:after="160" w:before="360"/>
      </w:pPr>
      <w:r>
        <w:rPr>
          <w:b/>
          <w:bCs/>
          <w:color w:val="1F4E79"/>
          <w:sz w:val="32"/>
          <w:szCs w:val="32"/>
        </w:rPr>
        <w:t xml:space="preserve">8. Design Principles and UX Rationale</w:t>
      </w:r>
    </w:p>
    <w:p>
      <w:pPr>
        <w:pStyle w:val="Heading2"/>
        <w:spacing w:after="120" w:before="280"/>
      </w:pPr>
      <w:r>
        <w:rPr>
          <w:b/>
          <w:bCs/>
          <w:color w:val="2E75B6"/>
          <w:sz w:val="26"/>
          <w:szCs w:val="26"/>
        </w:rPr>
        <w:t xml:space="preserve">8.1 Honesty in Numbers</w:t>
      </w:r>
    </w:p>
    <w:p>
      <w:pPr>
        <w:spacing w:after="120" w:line="300"/>
        <w:jc w:val="both"/>
      </w:pPr>
      <w:r>
        <w:rPr>
          <w:sz w:val="22"/>
          <w:szCs w:val="22"/>
        </w:rPr>
        <w:t xml:space="preserve">Every number displayed on the interface is a measured value read from outputs/eval_report.json - never a hardcoded or aspirational figure. If a metric has not been measured yet, the page explicitly displays "No evaluation report found. Run: python -m src.evaluate" instead of showing a placeholder. This design choice was made because academic and municipal audiences must be able to trust the figures shown.</w:t>
      </w:r>
    </w:p>
    <w:p>
      <w:pPr>
        <w:pStyle w:val="Heading2"/>
        <w:spacing w:after="120" w:before="280"/>
      </w:pPr>
      <w:r>
        <w:rPr>
          <w:b/>
          <w:bCs/>
          <w:color w:val="2E75B6"/>
          <w:sz w:val="26"/>
          <w:szCs w:val="26"/>
        </w:rPr>
        <w:t xml:space="preserve">8.2 Provenance Banner</w:t>
      </w:r>
    </w:p>
    <w:p>
      <w:pPr>
        <w:spacing w:after="120" w:line="300"/>
        <w:jc w:val="both"/>
      </w:pPr>
      <w:r>
        <w:rPr>
          <w:sz w:val="22"/>
          <w:szCs w:val="22"/>
        </w:rPr>
        <w:t xml:space="preserve">When training is done in QUICK mode (a small CPU-friendly subset run), a provenance banner appears below the hero stating exactly what the numbers represent: subset sizes, image resolution, epochs, and device. This prevents QUICK-mode figures from being misread as full-dataset results in a report.</w:t>
      </w:r>
    </w:p>
    <w:p>
      <w:pPr>
        <w:pStyle w:val="Heading2"/>
        <w:spacing w:after="120" w:before="280"/>
      </w:pPr>
      <w:r>
        <w:rPr>
          <w:b/>
          <w:bCs/>
          <w:color w:val="2E75B6"/>
          <w:sz w:val="26"/>
          <w:szCs w:val="26"/>
        </w:rPr>
        <w:t xml:space="preserve">8.3 Colour Coding</w:t>
      </w:r>
    </w:p>
    <w:p>
      <w:pPr>
        <w:spacing w:after="120" w:line="300"/>
        <w:jc w:val="both"/>
      </w:pPr>
      <w:r>
        <w:rPr>
          <w:sz w:val="22"/>
          <w:szCs w:val="22"/>
        </w:rPr>
        <w:t xml:space="preserve">A consistent four-colour palette runs throughout the application, matching Swachh Bharat bins: Green (#3FBF6E) for Organic, Blue (#2E9FE0) for Recyclable, Red-orange (#E8734D) for Hazardous, and Grey-purple (#9B8CA3) for Non-Recyclable. This consistency reinforces the mapping at every touchpoint - from the animated hero to the probability bars to the bin guide cards.</w:t>
      </w:r>
    </w:p>
    <w:p>
      <w:pPr>
        <w:pStyle w:val="Heading2"/>
        <w:spacing w:after="120" w:before="280"/>
      </w:pPr>
      <w:r>
        <w:rPr>
          <w:b/>
          <w:bCs/>
          <w:color w:val="2E75B6"/>
          <w:sz w:val="26"/>
          <w:szCs w:val="26"/>
        </w:rPr>
        <w:t xml:space="preserve">8.4 Explainability Everywhere</w:t>
      </w:r>
    </w:p>
    <w:p>
      <w:pPr>
        <w:spacing w:after="120" w:line="300"/>
        <w:jc w:val="both"/>
      </w:pPr>
      <w:r>
        <w:rPr>
          <w:sz w:val="22"/>
          <w:szCs w:val="22"/>
        </w:rPr>
        <w:t xml:space="preserve">Grad-CAM is not just a technical feature - it is a UX commitment. Every single prediction ships with a heatmap showing which pixels drove the decision. Users are never asked to trust a mystery output. This is a direct response to research gap G4 identified in the literature review.</w:t>
      </w:r>
    </w:p>
    <w:p>
      <w:pPr>
        <w:pStyle w:val="Heading2"/>
        <w:spacing w:after="120" w:before="280"/>
      </w:pPr>
      <w:r>
        <w:rPr>
          <w:b/>
          <w:bCs/>
          <w:color w:val="2E75B6"/>
          <w:sz w:val="26"/>
          <w:szCs w:val="26"/>
        </w:rPr>
        <w:t xml:space="preserve">8.5 Progressive Disclosure</w:t>
      </w:r>
    </w:p>
    <w:p>
      <w:pPr>
        <w:spacing w:after="120" w:line="300"/>
        <w:jc w:val="both"/>
      </w:pPr>
      <w:r>
        <w:rPr>
          <w:sz w:val="22"/>
          <w:szCs w:val="22"/>
        </w:rPr>
        <w:t xml:space="preserve">The interface is organized so that a casual visitor sees the story first (hero, tagline, key stats), technical users can dive deeper (analytics, network topology), and developers get direct API access (API console). Every user finds the level of depth appropriate for their role.</w:t>
      </w:r>
    </w:p>
    <w:p>
      <w:pPr>
        <w:pStyle w:val="Heading2"/>
        <w:spacing w:after="120" w:before="280"/>
      </w:pPr>
      <w:r>
        <w:rPr>
          <w:b/>
          <w:bCs/>
          <w:color w:val="2E75B6"/>
          <w:sz w:val="26"/>
          <w:szCs w:val="26"/>
        </w:rPr>
        <w:t xml:space="preserve">8.6 Reduced Motion Support</w:t>
      </w:r>
    </w:p>
    <w:p>
      <w:pPr>
        <w:spacing w:after="120" w:line="300"/>
        <w:jc w:val="both"/>
      </w:pPr>
      <w:r>
        <w:rPr>
          <w:sz w:val="22"/>
          <w:szCs w:val="22"/>
        </w:rPr>
        <w:t xml:space="preserve">The application respects the prefers-reduced-motion browser setting. Users who have set their operating system to reduce motion see static equivalents of animations instead of animated ones. This is an accessibility requirement often overlooked in student projects.</w:t>
      </w:r>
    </w:p>
    <w:p>
      <w:r>
        <w:br w:type="page"/>
      </w:r>
    </w:p>
    <w:p>
      <w:pPr>
        <w:pStyle w:val="Heading1"/>
        <w:spacing w:after="160" w:before="360"/>
      </w:pPr>
      <w:r>
        <w:rPr>
          <w:b/>
          <w:bCs/>
          <w:color w:val="1F4E79"/>
          <w:sz w:val="32"/>
          <w:szCs w:val="32"/>
        </w:rPr>
        <w:t xml:space="preserve">9. Project Achievements</w:t>
      </w:r>
    </w:p>
    <w:p>
      <w:pPr>
        <w:pStyle w:val="ListParagraph"/>
        <w:numPr>
          <w:ilvl w:val="0"/>
          <w:numId w:val="2"/>
        </w:numPr>
        <w:spacing w:after="60"/>
      </w:pPr>
      <w:r>
        <w:rPr>
          <w:sz w:val="22"/>
          <w:szCs w:val="22"/>
        </w:rPr>
        <w:t xml:space="preserve">Successfully merged 5 heterogeneous Kaggle datasets into a unified 50,000+ image, 4-class training corpus.</w:t>
      </w:r>
    </w:p>
    <w:p>
      <w:pPr>
        <w:pStyle w:val="ListParagraph"/>
        <w:numPr>
          <w:ilvl w:val="0"/>
          <w:numId w:val="2"/>
        </w:numPr>
        <w:spacing w:after="60"/>
      </w:pPr>
      <w:r>
        <w:rPr>
          <w:sz w:val="22"/>
          <w:szCs w:val="22"/>
        </w:rPr>
        <w:t xml:space="preserve">Trained and compared 3 different neural network architectures (baseline CNN, MobileNetV2, ResNet18) using proper two-phase transfer learning.</w:t>
      </w:r>
    </w:p>
    <w:p>
      <w:pPr>
        <w:pStyle w:val="ListParagraph"/>
        <w:numPr>
          <w:ilvl w:val="0"/>
          <w:numId w:val="2"/>
        </w:numPr>
        <w:spacing w:after="60"/>
      </w:pPr>
      <w:r>
        <w:rPr>
          <w:sz w:val="22"/>
          <w:szCs w:val="22"/>
        </w:rPr>
        <w:t xml:space="preserve">Achieved measurable accuracy figures on a held-out test set, with all metrics displayed on the web interface from a real eval_report.json file.</w:t>
      </w:r>
    </w:p>
    <w:p>
      <w:pPr>
        <w:pStyle w:val="ListParagraph"/>
        <w:numPr>
          <w:ilvl w:val="0"/>
          <w:numId w:val="2"/>
        </w:numPr>
        <w:spacing w:after="60"/>
      </w:pPr>
      <w:r>
        <w:rPr>
          <w:sz w:val="22"/>
          <w:szCs w:val="22"/>
        </w:rPr>
        <w:t xml:space="preserve">Implemented Grad-CAM explainability so every prediction ships with visual evidence.</w:t>
      </w:r>
    </w:p>
    <w:p>
      <w:pPr>
        <w:pStyle w:val="ListParagraph"/>
        <w:numPr>
          <w:ilvl w:val="0"/>
          <w:numId w:val="2"/>
        </w:numPr>
        <w:spacing w:after="60"/>
      </w:pPr>
      <w:r>
        <w:rPr>
          <w:sz w:val="22"/>
          <w:szCs w:val="22"/>
        </w:rPr>
        <w:t xml:space="preserve">Built a full-featured web application with three input modes: drag-and-drop, single camera capture, and real-time live scan at 1.5-second intervals.</w:t>
      </w:r>
    </w:p>
    <w:p>
      <w:pPr>
        <w:pStyle w:val="ListParagraph"/>
        <w:numPr>
          <w:ilvl w:val="0"/>
          <w:numId w:val="2"/>
        </w:numPr>
        <w:spacing w:after="60"/>
      </w:pPr>
      <w:r>
        <w:rPr>
          <w:sz w:val="22"/>
          <w:szCs w:val="22"/>
        </w:rPr>
        <w:t xml:space="preserve">Aligned classification output with the Swachh Bharat Mission national bin colour standard.</w:t>
      </w:r>
    </w:p>
    <w:p>
      <w:pPr>
        <w:pStyle w:val="ListParagraph"/>
        <w:numPr>
          <w:ilvl w:val="0"/>
          <w:numId w:val="2"/>
        </w:numPr>
        <w:spacing w:after="60"/>
      </w:pPr>
      <w:r>
        <w:rPr>
          <w:sz w:val="22"/>
          <w:szCs w:val="22"/>
        </w:rPr>
        <w:t xml:space="preserve">Provided complete API documentation and a live testing console for developers.</w:t>
      </w:r>
    </w:p>
    <w:p>
      <w:pPr>
        <w:pStyle w:val="ListParagraph"/>
        <w:numPr>
          <w:ilvl w:val="0"/>
          <w:numId w:val="2"/>
        </w:numPr>
        <w:spacing w:after="60"/>
      </w:pPr>
      <w:r>
        <w:rPr>
          <w:sz w:val="22"/>
          <w:szCs w:val="22"/>
        </w:rPr>
        <w:t xml:space="preserve">Identified and documented 5 research gaps from a 25-paper literature review, closing one (explainability) and partly closing another (lightweight deployment).</w:t>
      </w:r>
    </w:p>
    <w:p>
      <w:pPr>
        <w:pStyle w:val="ListParagraph"/>
        <w:numPr>
          <w:ilvl w:val="0"/>
          <w:numId w:val="2"/>
        </w:numPr>
        <w:spacing w:after="60"/>
      </w:pPr>
      <w:r>
        <w:rPr>
          <w:sz w:val="22"/>
          <w:szCs w:val="22"/>
        </w:rPr>
        <w:t xml:space="preserve">Designed the entire user interface with a commitment to honest reporting - no fake numbers appear anywhere on the page.</w:t>
      </w:r>
    </w:p>
    <w:p>
      <w:pPr>
        <w:pStyle w:val="Heading1"/>
        <w:spacing w:after="160" w:before="360"/>
      </w:pPr>
      <w:r>
        <w:rPr>
          <w:b/>
          <w:bCs/>
          <w:color w:val="1F4E79"/>
          <w:sz w:val="32"/>
          <w:szCs w:val="32"/>
        </w:rPr>
        <w:t xml:space="preserve">10. Future Work and Roadmap</w:t>
      </w:r>
    </w:p>
    <w:p>
      <w:pPr>
        <w:pStyle w:val="ListParagraph"/>
        <w:numPr>
          <w:ilvl w:val="0"/>
          <w:numId w:val="2"/>
        </w:numPr>
        <w:spacing w:after="60"/>
      </w:pPr>
      <w:r>
        <w:rPr>
          <w:sz w:val="22"/>
          <w:szCs w:val="22"/>
        </w:rPr>
        <w:t xml:space="preserve">G1 - Unified multi-category system: Extend beyond 4 broad classes to a full item-level hierarchy that identifies individual objects (e.g., "PET bottle" within Recyclable).</w:t>
      </w:r>
    </w:p>
    <w:p>
      <w:pPr>
        <w:pStyle w:val="ListParagraph"/>
        <w:numPr>
          <w:ilvl w:val="0"/>
          <w:numId w:val="2"/>
        </w:numPr>
        <w:spacing w:after="60"/>
      </w:pPr>
      <w:r>
        <w:rPr>
          <w:sz w:val="22"/>
          <w:szCs w:val="22"/>
        </w:rPr>
        <w:t xml:space="preserve">G2 - Indian waste testing: Collect and annotate a dataset from Indian municipal streams (Nagpur, Delhi, Mumbai) to benchmark real-world performance.</w:t>
      </w:r>
    </w:p>
    <w:p>
      <w:pPr>
        <w:pStyle w:val="ListParagraph"/>
        <w:numPr>
          <w:ilvl w:val="0"/>
          <w:numId w:val="2"/>
        </w:numPr>
        <w:spacing w:after="60"/>
      </w:pPr>
      <w:r>
        <w:rPr>
          <w:sz w:val="22"/>
          <w:szCs w:val="22"/>
        </w:rPr>
        <w:t xml:space="preserve">G3 - On-device deployment: Convert MobileNetV2 to TensorFlow Lite or ONNX Runtime and build an Android app for field use by waste-pickers and municipal workers.</w:t>
      </w:r>
    </w:p>
    <w:p>
      <w:pPr>
        <w:pStyle w:val="ListParagraph"/>
        <w:numPr>
          <w:ilvl w:val="0"/>
          <w:numId w:val="2"/>
        </w:numPr>
        <w:spacing w:after="60"/>
      </w:pPr>
      <w:r>
        <w:rPr>
          <w:sz w:val="22"/>
          <w:szCs w:val="22"/>
        </w:rPr>
        <w:t xml:space="preserve">G5 - IoT smart bin: Integrate the model with a Raspberry Pi + camera + servo hardware kit to physically sort items into the correct bin without human intervention.</w:t>
      </w:r>
    </w:p>
    <w:p>
      <w:pPr>
        <w:pStyle w:val="ListParagraph"/>
        <w:numPr>
          <w:ilvl w:val="0"/>
          <w:numId w:val="2"/>
        </w:numPr>
        <w:spacing w:after="60"/>
      </w:pPr>
      <w:r>
        <w:rPr>
          <w:sz w:val="22"/>
          <w:szCs w:val="22"/>
        </w:rPr>
        <w:t xml:space="preserve">Extended dataset: Add more images of Indian-specific waste items like coconut shells, jute bags, and mixed sachets that are under-represented in Western datasets.</w:t>
      </w:r>
    </w:p>
    <w:p>
      <w:pPr>
        <w:pStyle w:val="ListParagraph"/>
        <w:numPr>
          <w:ilvl w:val="0"/>
          <w:numId w:val="2"/>
        </w:numPr>
        <w:spacing w:after="60"/>
      </w:pPr>
      <w:r>
        <w:rPr>
          <w:sz w:val="22"/>
          <w:szCs w:val="22"/>
        </w:rPr>
        <w:t xml:space="preserve">Multi-language interface: Add Hindi and Marathi language support for wider adoption in Maharashtra and North India.</w:t>
      </w:r>
    </w:p>
    <w:p>
      <w:r>
        <w:br w:type="page"/>
      </w:r>
    </w:p>
    <w:p>
      <w:pPr>
        <w:pStyle w:val="Heading1"/>
        <w:spacing w:after="160" w:before="360"/>
      </w:pPr>
      <w:r>
        <w:rPr>
          <w:b/>
          <w:bCs/>
          <w:color w:val="1F4E79"/>
          <w:sz w:val="32"/>
          <w:szCs w:val="32"/>
        </w:rPr>
        <w:t xml:space="preserve">11. References</w:t>
      </w:r>
    </w:p>
    <w:p>
      <w:pPr>
        <w:pStyle w:val="ListParagraph"/>
        <w:numPr>
          <w:ilvl w:val="0"/>
          <w:numId w:val="2"/>
        </w:numPr>
        <w:spacing w:after="60"/>
      </w:pPr>
      <w:r>
        <w:rPr>
          <w:sz w:val="22"/>
          <w:szCs w:val="22"/>
        </w:rPr>
        <w:t xml:space="preserve">Central Pollution Control Board, Annual Report on Solid Waste Management, Government of India.</w:t>
      </w:r>
    </w:p>
    <w:p>
      <w:pPr>
        <w:pStyle w:val="ListParagraph"/>
        <w:numPr>
          <w:ilvl w:val="0"/>
          <w:numId w:val="2"/>
        </w:numPr>
        <w:spacing w:after="60"/>
      </w:pPr>
      <w:r>
        <w:rPr>
          <w:sz w:val="22"/>
          <w:szCs w:val="22"/>
        </w:rPr>
        <w:t xml:space="preserve">Sekar, Waste Classification Data, Kaggle dataset (techsash/waste-classification-data).</w:t>
      </w:r>
    </w:p>
    <w:p>
      <w:pPr>
        <w:pStyle w:val="ListParagraph"/>
        <w:numPr>
          <w:ilvl w:val="0"/>
          <w:numId w:val="2"/>
        </w:numPr>
        <w:spacing w:after="60"/>
      </w:pPr>
      <w:r>
        <w:rPr>
          <w:sz w:val="22"/>
          <w:szCs w:val="22"/>
        </w:rPr>
        <w:t xml:space="preserve">Abla, Garbage Classification 12, Kaggle dataset (mostafaabla/garbage-classification-12).</w:t>
      </w:r>
    </w:p>
    <w:p>
      <w:pPr>
        <w:pStyle w:val="ListParagraph"/>
        <w:numPr>
          <w:ilvl w:val="0"/>
          <w:numId w:val="2"/>
        </w:numPr>
        <w:spacing w:after="60"/>
      </w:pPr>
      <w:r>
        <w:rPr>
          <w:sz w:val="22"/>
          <w:szCs w:val="22"/>
        </w:rPr>
        <w:t xml:space="preserve">Beachcapital, RealWaste, Kaggle dataset (joebeachcapital/realwaste).</w:t>
      </w:r>
    </w:p>
    <w:p>
      <w:pPr>
        <w:pStyle w:val="ListParagraph"/>
        <w:numPr>
          <w:ilvl w:val="0"/>
          <w:numId w:val="2"/>
        </w:numPr>
        <w:spacing w:after="60"/>
      </w:pPr>
      <w:r>
        <w:rPr>
          <w:sz w:val="22"/>
          <w:szCs w:val="22"/>
        </w:rPr>
        <w:t xml:space="preserve">Sandler et al., "MobileNetV2: Inverted Residuals and Linear Bottlenecks", CVPR 2018.</w:t>
      </w:r>
    </w:p>
    <w:p>
      <w:pPr>
        <w:pStyle w:val="ListParagraph"/>
        <w:numPr>
          <w:ilvl w:val="0"/>
          <w:numId w:val="2"/>
        </w:numPr>
        <w:spacing w:after="60"/>
      </w:pPr>
      <w:r>
        <w:rPr>
          <w:sz w:val="22"/>
          <w:szCs w:val="22"/>
        </w:rPr>
        <w:t xml:space="preserve">He et al., "Deep Residual Learning for Image Recognition", CVPR 2016 (ResNet).</w:t>
      </w:r>
    </w:p>
    <w:p>
      <w:pPr>
        <w:pStyle w:val="ListParagraph"/>
        <w:numPr>
          <w:ilvl w:val="0"/>
          <w:numId w:val="2"/>
        </w:numPr>
        <w:spacing w:after="60"/>
      </w:pPr>
      <w:r>
        <w:rPr>
          <w:sz w:val="22"/>
          <w:szCs w:val="22"/>
        </w:rPr>
        <w:t xml:space="preserve">Selvaraju et al., "Grad-CAM: Visual Explanations from Deep Networks via Gradient-based Localization", ICCV 2017.</w:t>
      </w:r>
    </w:p>
    <w:p>
      <w:pPr>
        <w:pStyle w:val="ListParagraph"/>
        <w:numPr>
          <w:ilvl w:val="0"/>
          <w:numId w:val="2"/>
        </w:numPr>
        <w:spacing w:after="60"/>
      </w:pPr>
      <w:r>
        <w:rPr>
          <w:sz w:val="22"/>
          <w:szCs w:val="22"/>
        </w:rPr>
        <w:t xml:space="preserve">Nnamoko et al., "Solid Waste Image Classification Using Deep Convolutional Neural Network", Infrastructures 7(4):47, 2022.</w:t>
      </w:r>
    </w:p>
    <w:p>
      <w:pPr>
        <w:pStyle w:val="ListParagraph"/>
        <w:numPr>
          <w:ilvl w:val="0"/>
          <w:numId w:val="2"/>
        </w:numPr>
        <w:spacing w:after="60"/>
      </w:pPr>
      <w:r>
        <w:rPr>
          <w:sz w:val="22"/>
          <w:szCs w:val="22"/>
        </w:rPr>
        <w:t xml:space="preserve">Swachh Bharat Mission, Ministry of Housing and Urban Affairs, Government of India - bin colour standard specification.</w:t>
      </w:r>
    </w:p>
    <w:p>
      <w:pPr>
        <w:spacing w:before="1200"/>
        <w:jc w:val="center"/>
      </w:pPr>
      <w:r>
        <w:rPr>
          <w:i/>
          <w:iCs/>
          <w:color w:val="888888"/>
          <w:sz w:val="20"/>
          <w:szCs w:val="20"/>
        </w:rPr>
        <w:t xml:space="preserve">--- End of Document ---</w:t>
      </w:r>
    </w:p>
    <w:p>
      <w:pPr>
        <w:spacing w:before="200"/>
        <w:jc w:val="center"/>
      </w:pPr>
      <w:r>
        <w:rPr>
          <w:color w:val="888888"/>
          <w:sz w:val="18"/>
          <w:szCs w:val="18"/>
        </w:rPr>
        <w:t xml:space="preserve">EcoSort AI - Project Documentation</w:t>
      </w:r>
    </w:p>
    <w:p>
      <w:pPr>
        <w:jc w:val="center"/>
      </w:pPr>
      <w:r>
        <w:rPr>
          <w:color w:val="888888"/>
          <w:sz w:val="18"/>
          <w:szCs w:val="18"/>
        </w:rPr>
        <w:t xml:space="preserve">Symbiosis University, Nagpur - Academic Year 2025-2026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EcoSort AI - Complete Project Documentation</dc:title>
  <dc:creator>Simran</dc:creator>
  <cp:lastModifiedBy>Un-named</cp:lastModifiedBy>
  <cp:revision>1</cp:revision>
  <dcterms:created xsi:type="dcterms:W3CDTF">2026-09-03T05:26:54.363Z</dcterms:created>
  <dcterms:modified xsi:type="dcterms:W3CDTF">2026-09-03T05:26:54.363Z</dcterms:modified>
</cp:coreProperties>
</file>

<file path=docProps/custom.xml><?xml version="1.0" encoding="utf-8"?>
<Properties xmlns="http://schemas.openxmlformats.org/officeDocument/2006/custom-properties" xmlns:vt="http://schemas.openxmlformats.org/officeDocument/2006/docPropsVTypes"/>
</file>