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96" w:rsidRPr="00897896" w:rsidRDefault="00897896" w:rsidP="0089789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File System Navigation</w:t>
      </w:r>
    </w:p>
    <w:p w:rsidR="00897896" w:rsidRPr="00897896" w:rsidRDefault="00897896" w:rsidP="00825CBB">
      <w:pPr>
        <w:spacing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The command line or Command-Line Interface (CLI) is a way to interact with your computer. As a user, you issue commands to your computer in the form of typing text in the Interface. You can do many things on the command line including:</w:t>
      </w:r>
    </w:p>
    <w:p w:rsidR="00897896" w:rsidRPr="00897896" w:rsidRDefault="0000535E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Creating folders.</w:t>
      </w:r>
    </w:p>
    <w:p w:rsidR="00897896" w:rsidRPr="00897896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Creating files</w:t>
      </w:r>
      <w:r w:rsidR="0000535E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7896" w:rsidRPr="00897896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Deleting files.</w:t>
      </w:r>
    </w:p>
    <w:p w:rsidR="00897896" w:rsidRPr="00897896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Deleting folders.</w:t>
      </w:r>
    </w:p>
    <w:p w:rsidR="00897896" w:rsidRPr="00897896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Moving folders.</w:t>
      </w:r>
    </w:p>
    <w:p w:rsidR="00897896" w:rsidRPr="00897896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Moving files.</w:t>
      </w:r>
    </w:p>
    <w:p w:rsidR="00897896" w:rsidRPr="00897896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How to get to your home directory.</w:t>
      </w:r>
    </w:p>
    <w:p w:rsidR="00897896" w:rsidRPr="00897896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How do you show where you </w:t>
      </w:r>
      <w:proofErr w:type="gram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are.</w:t>
      </w:r>
      <w:proofErr w:type="gramEnd"/>
    </w:p>
    <w:p w:rsidR="00897896" w:rsidRPr="00897896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How do you do auto complete.</w:t>
      </w:r>
    </w:p>
    <w:p w:rsidR="0000535E" w:rsidRPr="0000535E" w:rsidRDefault="00897896" w:rsidP="00825CBB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Navigate through and around your folders.</w:t>
      </w:r>
    </w:p>
    <w:tbl>
      <w:tblPr>
        <w:tblW w:w="8984" w:type="dxa"/>
        <w:tblInd w:w="93" w:type="dxa"/>
        <w:tblLook w:val="04A0" w:firstRow="1" w:lastRow="0" w:firstColumn="1" w:lastColumn="0" w:noHBand="0" w:noVBand="1"/>
      </w:tblPr>
      <w:tblGrid>
        <w:gridCol w:w="5339"/>
        <w:gridCol w:w="2002"/>
        <w:gridCol w:w="1643"/>
      </w:tblGrid>
      <w:tr w:rsidR="0000535E" w:rsidRPr="0000535E" w:rsidTr="00825CBB">
        <w:trPr>
          <w:trHeight w:val="311"/>
        </w:trPr>
        <w:tc>
          <w:tcPr>
            <w:tcW w:w="533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A9A9A9"/>
            <w:hideMark/>
          </w:tcPr>
          <w:p w:rsidR="0000535E" w:rsidRPr="0000535E" w:rsidRDefault="0000535E" w:rsidP="000053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053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Command's Purpose</w:t>
            </w:r>
          </w:p>
        </w:tc>
        <w:tc>
          <w:tcPr>
            <w:tcW w:w="2002" w:type="dxa"/>
            <w:tcBorders>
              <w:top w:val="single" w:sz="8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A9A9A9"/>
            <w:hideMark/>
          </w:tcPr>
          <w:p w:rsidR="0000535E" w:rsidRPr="0000535E" w:rsidRDefault="0000535E" w:rsidP="000053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053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MS-DOS</w:t>
            </w:r>
          </w:p>
        </w:tc>
        <w:tc>
          <w:tcPr>
            <w:tcW w:w="1643" w:type="dxa"/>
            <w:tcBorders>
              <w:top w:val="single" w:sz="8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A9A9A9"/>
            <w:hideMark/>
          </w:tcPr>
          <w:p w:rsidR="0000535E" w:rsidRPr="0000535E" w:rsidRDefault="0000535E" w:rsidP="0000535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0535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Linux</w:t>
            </w:r>
          </w:p>
        </w:tc>
      </w:tr>
      <w:tr w:rsidR="0000535E" w:rsidRPr="0000535E" w:rsidTr="00825CBB">
        <w:trPr>
          <w:trHeight w:val="296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Creating folders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mkdir</w:t>
            </w:r>
            <w:proofErr w:type="spellEnd"/>
          </w:p>
        </w:tc>
      </w:tr>
      <w:tr w:rsidR="0000535E" w:rsidRPr="0000535E" w:rsidTr="00825CBB">
        <w:trPr>
          <w:trHeight w:val="1185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Creating files 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fsutil</w:t>
            </w:r>
            <w:proofErr w:type="spellEnd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file </w:t>
            </w: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createnew</w:t>
            </w:r>
            <w:proofErr w:type="spellEnd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&lt;filename&gt; &lt;size&gt;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touch filename</w:t>
            </w:r>
          </w:p>
        </w:tc>
      </w:tr>
      <w:tr w:rsidR="0000535E" w:rsidRPr="0000535E" w:rsidTr="00825CBB">
        <w:trPr>
          <w:trHeight w:val="592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Deleting files.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del filename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rm</w:t>
            </w:r>
            <w:proofErr w:type="spellEnd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filename</w:t>
            </w:r>
          </w:p>
        </w:tc>
      </w:tr>
      <w:tr w:rsidR="0000535E" w:rsidRPr="0000535E" w:rsidTr="00825CBB">
        <w:trPr>
          <w:trHeight w:val="592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Deleting folders.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mkdir</w:t>
            </w:r>
            <w:proofErr w:type="spellEnd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dirname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mkdir</w:t>
            </w:r>
            <w:proofErr w:type="spellEnd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dirname</w:t>
            </w:r>
            <w:proofErr w:type="spellEnd"/>
          </w:p>
        </w:tc>
      </w:tr>
      <w:tr w:rsidR="0000535E" w:rsidRPr="0000535E" w:rsidTr="00825CBB">
        <w:trPr>
          <w:trHeight w:val="296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Moving folders.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rmdir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rmdir</w:t>
            </w:r>
            <w:proofErr w:type="spellEnd"/>
          </w:p>
        </w:tc>
      </w:tr>
      <w:tr w:rsidR="0000535E" w:rsidRPr="0000535E" w:rsidTr="00825CBB">
        <w:trPr>
          <w:trHeight w:val="889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Moving files.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move filename </w:t>
            </w: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dirname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 xml:space="preserve">mv filename </w:t>
            </w: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dirname</w:t>
            </w:r>
            <w:proofErr w:type="spellEnd"/>
          </w:p>
        </w:tc>
      </w:tr>
      <w:tr w:rsidR="0000535E" w:rsidRPr="0000535E" w:rsidTr="00825CBB">
        <w:trPr>
          <w:trHeight w:val="296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How to get to your home directory.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cd \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cd \</w:t>
            </w:r>
          </w:p>
        </w:tc>
      </w:tr>
      <w:tr w:rsidR="0000535E" w:rsidRPr="0000535E" w:rsidTr="00825CBB">
        <w:trPr>
          <w:trHeight w:val="296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 xml:space="preserve">How do you show where you </w:t>
            </w:r>
            <w:proofErr w:type="gramStart"/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are.</w:t>
            </w:r>
            <w:proofErr w:type="gramEnd"/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chdir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pwd</w:t>
            </w:r>
            <w:proofErr w:type="spellEnd"/>
          </w:p>
        </w:tc>
      </w:tr>
      <w:tr w:rsidR="0000535E" w:rsidRPr="0000535E" w:rsidTr="00825CBB">
        <w:trPr>
          <w:trHeight w:val="296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How do you do auto complete.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tab</w:t>
            </w:r>
          </w:p>
        </w:tc>
        <w:tc>
          <w:tcPr>
            <w:tcW w:w="1643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tab</w:t>
            </w:r>
          </w:p>
        </w:tc>
      </w:tr>
      <w:tr w:rsidR="0000535E" w:rsidRPr="0000535E" w:rsidTr="00825CBB">
        <w:trPr>
          <w:trHeight w:val="311"/>
        </w:trPr>
        <w:tc>
          <w:tcPr>
            <w:tcW w:w="5339" w:type="dxa"/>
            <w:tcBorders>
              <w:top w:val="nil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00535E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Navigate through and around your folders.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8" w:space="0" w:color="000000"/>
              <w:right w:val="single" w:sz="4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proofErr w:type="spellStart"/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dir</w:t>
            </w:r>
            <w:proofErr w:type="spellEnd"/>
          </w:p>
        </w:tc>
        <w:tc>
          <w:tcPr>
            <w:tcW w:w="16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CDCDC"/>
            <w:hideMark/>
          </w:tcPr>
          <w:p w:rsidR="0000535E" w:rsidRPr="0000535E" w:rsidRDefault="0000535E" w:rsidP="00825CBB">
            <w:pPr>
              <w:spacing w:after="0" w:line="240" w:lineRule="auto"/>
              <w:ind w:firstLineChars="100" w:firstLine="200"/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</w:pPr>
            <w:r w:rsidRPr="0000535E">
              <w:rPr>
                <w:rFonts w:ascii="Courier" w:eastAsia="Times New Roman" w:hAnsi="Courier" w:cs="Times New Roman"/>
                <w:color w:val="000000"/>
                <w:sz w:val="20"/>
                <w:szCs w:val="20"/>
              </w:rPr>
              <w:t>ls</w:t>
            </w:r>
          </w:p>
        </w:tc>
      </w:tr>
    </w:tbl>
    <w:p w:rsidR="0000535E" w:rsidRPr="00897896" w:rsidRDefault="0000535E" w:rsidP="0000535E">
      <w:p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897896" w:rsidRPr="00897896" w:rsidRDefault="00897896" w:rsidP="0089789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spellStart"/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Git</w:t>
      </w:r>
      <w:proofErr w:type="spellEnd"/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 Commands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is a source code management system that is widely used in the software development world and performed predominantly on the command line. Using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emphasizes data integrity and speed. With every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working directory, it’s a full-fledged repository that has full file version-tracking capabilities as well as a complete history. Important actions performed with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commands include: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Initializing your current working directory as a </w:t>
      </w:r>
      <w:proofErr w:type="spellStart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git</w:t>
      </w:r>
      <w:proofErr w:type="spellEnd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 repository.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Adding a remote to your local repository.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Getting the status of your local repository.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Stage files for a commit.</w:t>
      </w:r>
      <w:bookmarkStart w:id="0" w:name="_GoBack"/>
      <w:bookmarkEnd w:id="0"/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Make a commit.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Get a list of previous commits for the current local repository you’re in.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Push your commits to a master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Push your commits to a specific branch.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How to pull down changes from another branch and merge them into your local branch</w:t>
      </w:r>
    </w:p>
    <w:p w:rsidR="00897896" w:rsidRPr="00897896" w:rsidRDefault="00897896" w:rsidP="0014444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You can combine both downloading/fetching changes and merging those changes into your local repository with one </w:t>
      </w:r>
      <w:proofErr w:type="spellStart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git</w:t>
      </w:r>
      <w:proofErr w:type="spellEnd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 command.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How do you get a remote branch that you don’t have onto your local computer.</w:t>
      </w:r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How do you make a </w:t>
      </w:r>
      <w:proofErr w:type="gramStart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branch.</w:t>
      </w:r>
      <w:proofErr w:type="gramEnd"/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How do you push up a local </w:t>
      </w:r>
      <w:proofErr w:type="gramStart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branch.</w:t>
      </w:r>
      <w:proofErr w:type="gramEnd"/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How do you delete a local </w:t>
      </w:r>
      <w:proofErr w:type="gramStart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branch.</w:t>
      </w:r>
      <w:proofErr w:type="gramEnd"/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How do you delete a remote </w:t>
      </w:r>
      <w:proofErr w:type="gramStart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branch.</w:t>
      </w:r>
      <w:proofErr w:type="gramEnd"/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How do you merge a branch into another </w:t>
      </w:r>
      <w:proofErr w:type="gramStart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branch.</w:t>
      </w:r>
      <w:proofErr w:type="gramEnd"/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 xml:space="preserve">How do you see all your </w:t>
      </w:r>
      <w:proofErr w:type="gramStart"/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branches.</w:t>
      </w:r>
      <w:proofErr w:type="gramEnd"/>
    </w:p>
    <w:p w:rsidR="00897896" w:rsidRPr="00897896" w:rsidRDefault="00897896" w:rsidP="00144445">
      <w:pPr>
        <w:numPr>
          <w:ilvl w:val="0"/>
          <w:numId w:val="2"/>
        </w:numPr>
        <w:spacing w:before="240" w:after="24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897896">
        <w:rPr>
          <w:rFonts w:ascii="Helvetica" w:eastAsia="Times New Roman" w:hAnsi="Helvetica" w:cs="Helvetica"/>
          <w:color w:val="333333"/>
          <w:sz w:val="20"/>
          <w:szCs w:val="20"/>
        </w:rPr>
        <w:t>Download changes from a branch without auto-merging.</w:t>
      </w:r>
    </w:p>
    <w:p w:rsidR="00897896" w:rsidRPr="00897896" w:rsidRDefault="00897896" w:rsidP="0089789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spellStart"/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lastRenderedPageBreak/>
        <w:t>Heroku</w:t>
      </w:r>
      <w:proofErr w:type="spellEnd"/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 - App Deployment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Heroku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is a cloud Platform as a Service (PaaS) that plays well with the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git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source code management system and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Github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. Just as you would push your changes to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Github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, you can push your code to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Heroku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to instantly deploy your code and have an app ready to go. Important actions to perform when deploying your code to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Heroku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are:</w:t>
      </w:r>
    </w:p>
    <w:p w:rsidR="00897896" w:rsidRPr="00897896" w:rsidRDefault="00897896" w:rsidP="00897896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Creating a new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heroku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app for your current local repository right on the command line.</w:t>
      </w:r>
    </w:p>
    <w:p w:rsidR="00897896" w:rsidRPr="00897896" w:rsidRDefault="00897896" w:rsidP="00897896">
      <w:pPr>
        <w:numPr>
          <w:ilvl w:val="0"/>
          <w:numId w:val="3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Pushing/deploying your code to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heroku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right on the command line:</w:t>
      </w:r>
    </w:p>
    <w:p w:rsidR="00897896" w:rsidRPr="00897896" w:rsidRDefault="00897896" w:rsidP="00897896">
      <w:pPr>
        <w:numPr>
          <w:ilvl w:val="1"/>
          <w:numId w:val="3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For basic HTML/CSS/JS.</w:t>
      </w:r>
    </w:p>
    <w:p w:rsidR="00897896" w:rsidRPr="00897896" w:rsidRDefault="00897896" w:rsidP="0089789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HTML Basics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HyperText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Markup Language (HTML) is the markup language that gives structure to your webpage. The four (4) core components or elements that consist of a basic webpage are:</w:t>
      </w:r>
    </w:p>
    <w:p w:rsidR="00897896" w:rsidRPr="00897896" w:rsidRDefault="00897896" w:rsidP="00897896">
      <w:pPr>
        <w:numPr>
          <w:ilvl w:val="0"/>
          <w:numId w:val="4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Document type declaration tag or element.</w:t>
      </w:r>
    </w:p>
    <w:p w:rsidR="00897896" w:rsidRPr="00897896" w:rsidRDefault="00897896" w:rsidP="00897896">
      <w:pPr>
        <w:numPr>
          <w:ilvl w:val="0"/>
          <w:numId w:val="4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The actual HTML tag or element.</w:t>
      </w:r>
    </w:p>
    <w:p w:rsidR="00897896" w:rsidRPr="00897896" w:rsidRDefault="00897896" w:rsidP="00897896">
      <w:pPr>
        <w:numPr>
          <w:ilvl w:val="0"/>
          <w:numId w:val="4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The head tag or element.</w:t>
      </w:r>
    </w:p>
    <w:p w:rsidR="00897896" w:rsidRPr="00897896" w:rsidRDefault="00897896" w:rsidP="00897896">
      <w:pPr>
        <w:numPr>
          <w:ilvl w:val="0"/>
          <w:numId w:val="4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The body tag or element.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Within the head tag are two important and meaningful nested tags or elements, specifically:</w:t>
      </w:r>
    </w:p>
    <w:p w:rsidR="00897896" w:rsidRPr="00897896" w:rsidRDefault="00897896" w:rsidP="00897896">
      <w:pPr>
        <w:numPr>
          <w:ilvl w:val="0"/>
          <w:numId w:val="5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Title tag or element.</w:t>
      </w:r>
    </w:p>
    <w:p w:rsidR="00897896" w:rsidRPr="00897896" w:rsidRDefault="00897896" w:rsidP="00897896">
      <w:pPr>
        <w:numPr>
          <w:ilvl w:val="0"/>
          <w:numId w:val="5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Link tags with their associated attributes.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Within the body tag are the actual contents of your web page that you want to show the user/viewer of your web page. There are several important tags or elements to remember, specifically:</w:t>
      </w:r>
    </w:p>
    <w:p w:rsidR="00897896" w:rsidRPr="00897896" w:rsidRDefault="00897896" w:rsidP="00897896">
      <w:pPr>
        <w:numPr>
          <w:ilvl w:val="0"/>
          <w:numId w:val="6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Various sized heading tags or elements (sizes 1 to 6).</w:t>
      </w:r>
    </w:p>
    <w:p w:rsidR="00897896" w:rsidRPr="00897896" w:rsidRDefault="00897896" w:rsidP="00897896">
      <w:pPr>
        <w:numPr>
          <w:ilvl w:val="0"/>
          <w:numId w:val="6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Div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tags or elements with their associated attributes.</w:t>
      </w:r>
    </w:p>
    <w:p w:rsidR="00897896" w:rsidRPr="00897896" w:rsidRDefault="00897896" w:rsidP="00897896">
      <w:pPr>
        <w:numPr>
          <w:ilvl w:val="0"/>
          <w:numId w:val="6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Image tag or element their associated attributes.</w:t>
      </w:r>
    </w:p>
    <w:p w:rsidR="00897896" w:rsidRPr="00897896" w:rsidRDefault="00897896" w:rsidP="00897896">
      <w:pPr>
        <w:numPr>
          <w:ilvl w:val="0"/>
          <w:numId w:val="6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Script tag or element their associated attributes.</w:t>
      </w:r>
    </w:p>
    <w:p w:rsidR="00897896" w:rsidRPr="00897896" w:rsidRDefault="00897896" w:rsidP="0089789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proofErr w:type="spellStart"/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Javascript</w:t>
      </w:r>
      <w:proofErr w:type="spellEnd"/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 xml:space="preserve"> Basics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is an interpreted, dynamic, and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untyped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programming language that is highly flexible. Outside of the web browser, it is standardized as </w:t>
      </w:r>
      <w:r w:rsidRPr="0089789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ECMAScript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 and has a specification that you can review to properly apply and write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It is one of the three core technologies of the World Wide Web (WWW), which makes viewing websites highly interactive and dynamic. You can create a wide variety of applications, tools and libraries using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The important aspects to keep in mind while using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are: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Declaring variables to capture data.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Writing/defining functions in two different ways so actions can be performed on data and returning values if desired. These two different ways can be written as: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a</w:t>
      </w:r>
      <w:proofErr w:type="gram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function declaration (either anonymous or named function).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an</w:t>
      </w:r>
      <w:proofErr w:type="gram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anonymous function expression (assigning an anonymous function to a variable).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Properly load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code for a web page either through: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VanillaJS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(</w:t>
      </w:r>
      <w:r w:rsidRPr="00897896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.</w:t>
      </w:r>
      <w:proofErr w:type="spellStart"/>
      <w:r w:rsidRPr="00897896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onload</w:t>
      </w:r>
      <w:proofErr w:type="spellEnd"/>
      <w:r w:rsidRPr="00897896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()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) or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jQuery (</w:t>
      </w:r>
      <w:r w:rsidRPr="00897896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.ready()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)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Why one is better than the other.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Using ways to store data of various types (“strings”, numbers,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boolean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- true/false):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Using arrays to store data, which are </w:t>
      </w:r>
      <w:proofErr w:type="gram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essentially an</w:t>
      </w:r>
      <w:proofErr w:type="gram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ordered lists.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Using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objects to store data, which are basically unordered lists.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Using arrays to store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objects so you can store more data in a single go.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Creating flow control to execute specific lines of code according to conditions such as: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Using if...else statements to execute pieces of code if a specified condition is evaluated to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true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Using switch...case statements to evaluate an expression and matching that expression’s value to a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case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clause and executing statements associated with that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case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Use comparison operators to compare values which evaluate to true, such as:</w:t>
      </w:r>
    </w:p>
    <w:p w:rsidR="00897896" w:rsidRPr="00897896" w:rsidRDefault="00897896" w:rsidP="00897896">
      <w:pPr>
        <w:numPr>
          <w:ilvl w:val="2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Strict Equal (===).</w:t>
      </w:r>
    </w:p>
    <w:p w:rsidR="00897896" w:rsidRPr="00897896" w:rsidRDefault="00897896" w:rsidP="00897896">
      <w:pPr>
        <w:numPr>
          <w:ilvl w:val="2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String note equal (</w:t>
      </w:r>
      <w:proofErr w:type="gram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!=</w:t>
      </w:r>
      <w:proofErr w:type="gram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=).</w:t>
      </w:r>
    </w:p>
    <w:p w:rsidR="00897896" w:rsidRPr="00897896" w:rsidRDefault="00897896" w:rsidP="00897896">
      <w:pPr>
        <w:numPr>
          <w:ilvl w:val="2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Great Than or Greater Than or Equal To (&gt; or &gt;=).</w:t>
      </w:r>
    </w:p>
    <w:p w:rsidR="00897896" w:rsidRPr="00897896" w:rsidRDefault="00897896" w:rsidP="00897896">
      <w:pPr>
        <w:numPr>
          <w:ilvl w:val="2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Less Than or Less Than or Equal To (&lt; or &lt;=).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Use arithmetic operators to perform simple arithmetic. These arithmetic operators are: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( + ) Addition between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Number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 types.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( - ) Subtraction between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Number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 types.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( * ) Multiplication of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Number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 types.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( / ) Division of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Number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 types.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( %) Modulus which return the remainder of a Division operation between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Number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 types.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( ++ )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Incrementor</w:t>
      </w:r>
      <w:proofErr w:type="spellEnd"/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( -- )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Decrementor</w:t>
      </w:r>
      <w:proofErr w:type="spellEnd"/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Using iterators to loop through arrays to access elements containing pieces of data.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Creating/using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VanillaJS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(plain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) event listeners to allow interaction with a web page.</w:t>
      </w:r>
    </w:p>
    <w:p w:rsidR="00897896" w:rsidRPr="00897896" w:rsidRDefault="00897896" w:rsidP="00897896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gram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using</w:t>
      </w:r>
      <w:proofErr w:type="gram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jQuery as an external library to more easily create event listeners such as a click or hover event.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Using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VanillaJS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(plain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) to traverse the Document Object Model (DOM).</w:t>
      </w:r>
    </w:p>
    <w:p w:rsidR="00897896" w:rsidRPr="00897896" w:rsidRDefault="00897896" w:rsidP="00897896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Using jQuery as an external library to easily traverse the DOM.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Using Vanilla JS (plain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) to manipulate the DOM.</w:t>
      </w:r>
    </w:p>
    <w:p w:rsidR="00897896" w:rsidRPr="00897896" w:rsidRDefault="00897896" w:rsidP="00897896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Using jQuery as an external library to manipulate the DOM.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Using Vanilla JS (plain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) to apply attributes and styling to DOM elements.</w:t>
      </w:r>
    </w:p>
    <w:p w:rsidR="00897896" w:rsidRPr="00897896" w:rsidRDefault="00897896" w:rsidP="00897896">
      <w:pPr>
        <w:numPr>
          <w:ilvl w:val="1"/>
          <w:numId w:val="7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Using jQuery as an external library to more easily apply attributes and styling to DOM elements.</w:t>
      </w:r>
    </w:p>
    <w:p w:rsidR="00897896" w:rsidRPr="00897896" w:rsidRDefault="00897896" w:rsidP="00897896">
      <w:pPr>
        <w:numPr>
          <w:ilvl w:val="0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Using callback functions to perform asynchronous tasks. These callbacks can be in the form of: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Anonymous functions.</w:t>
      </w:r>
    </w:p>
    <w:p w:rsidR="00897896" w:rsidRPr="00897896" w:rsidRDefault="00897896" w:rsidP="00897896">
      <w:pPr>
        <w:numPr>
          <w:ilvl w:val="1"/>
          <w:numId w:val="7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Function expressions (assigning variables to function declarations).</w:t>
      </w:r>
    </w:p>
    <w:p w:rsidR="00897896" w:rsidRPr="00897896" w:rsidRDefault="00897896" w:rsidP="0089789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Application Programming Interface - Consuming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An Application Programming Interface (API) is a structured set of tools, routines, and protocols for software to interact with other pieces of software. To consume an API means to access essentially another database with stores of data.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The most common way to consume an API is using the external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Javascript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library, jQuery. The most often used of the jQuery methods which allow you to make an asynchronous HTTP request:</w:t>
      </w:r>
    </w:p>
    <w:p w:rsidR="00897896" w:rsidRPr="00897896" w:rsidRDefault="00897896" w:rsidP="00897896">
      <w:pPr>
        <w:numPr>
          <w:ilvl w:val="0"/>
          <w:numId w:val="8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jQuery.ajax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()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OR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$.ajax()</w:t>
      </w:r>
    </w:p>
    <w:p w:rsidR="00897896" w:rsidRPr="00897896" w:rsidRDefault="00897896" w:rsidP="00897896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897896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Firebase</w:t>
      </w:r>
    </w:p>
    <w:p w:rsidR="00897896" w:rsidRPr="00897896" w:rsidRDefault="00897896" w:rsidP="00897896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Firebase is a backend as a service and cloud services provider that provides a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realtime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database through an API, specifically a REST </w:t>
      </w:r>
      <w:proofErr w:type="gram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API, that</w:t>
      </w:r>
      <w:proofErr w:type="gram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allows application data to be synchronized across clients (mobile, tablets, web) that is stored on </w:t>
      </w:r>
      <w:proofErr w:type="spellStart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Firebases’s</w:t>
      </w:r>
      <w:proofErr w:type="spellEnd"/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 xml:space="preserve"> cloud. Firebase also acts as a user authentication service using only client-side code.</w:t>
      </w:r>
    </w:p>
    <w:p w:rsidR="00897896" w:rsidRPr="00897896" w:rsidRDefault="00897896" w:rsidP="00897896">
      <w:pPr>
        <w:numPr>
          <w:ilvl w:val="0"/>
          <w:numId w:val="9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Create a reference to a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Firebase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database so we can store data.</w:t>
      </w:r>
    </w:p>
    <w:p w:rsidR="00897896" w:rsidRPr="00897896" w:rsidRDefault="00897896" w:rsidP="00897896">
      <w:pPr>
        <w:numPr>
          <w:ilvl w:val="0"/>
          <w:numId w:val="9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Save data to our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Firebase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database using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.</w:t>
      </w:r>
      <w:proofErr w:type="gramStart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push(</w:t>
      </w:r>
      <w:proofErr w:type="gramEnd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7896" w:rsidRPr="00897896" w:rsidRDefault="00897896" w:rsidP="00897896">
      <w:pPr>
        <w:numPr>
          <w:ilvl w:val="0"/>
          <w:numId w:val="9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Listen to your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Firebase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database when your data changes with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.</w:t>
      </w:r>
      <w:proofErr w:type="gramStart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on(</w:t>
      </w:r>
      <w:proofErr w:type="gramEnd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“</w:t>
      </w:r>
      <w:r w:rsidRPr="00897896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value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”, </w:t>
      </w:r>
      <w:proofErr w:type="spellStart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callBack</w:t>
      </w:r>
      <w:proofErr w:type="spellEnd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897896" w:rsidRPr="00897896" w:rsidRDefault="00897896" w:rsidP="00897896">
      <w:pPr>
        <w:numPr>
          <w:ilvl w:val="0"/>
          <w:numId w:val="9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Listen to your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Firebase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database when a </w:t>
      </w:r>
      <w:r w:rsidRPr="00897896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new child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is added with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.</w:t>
      </w:r>
      <w:proofErr w:type="gramStart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on(</w:t>
      </w:r>
      <w:proofErr w:type="gramEnd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“</w:t>
      </w:r>
      <w:proofErr w:type="spellStart"/>
      <w:r w:rsidRPr="00897896">
        <w:rPr>
          <w:rFonts w:ascii="Helvetica" w:eastAsia="Times New Roman" w:hAnsi="Helvetica" w:cs="Helvetica"/>
          <w:b/>
          <w:bCs/>
          <w:i/>
          <w:iCs/>
          <w:color w:val="333333"/>
          <w:sz w:val="24"/>
          <w:szCs w:val="24"/>
        </w:rPr>
        <w:t>child_added</w:t>
      </w:r>
      <w:proofErr w:type="spellEnd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”, </w:t>
      </w:r>
      <w:proofErr w:type="spellStart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callBack</w:t>
      </w:r>
      <w:proofErr w:type="spellEnd"/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).</w:t>
      </w:r>
    </w:p>
    <w:p w:rsidR="00897896" w:rsidRPr="00897896" w:rsidRDefault="00897896" w:rsidP="00897896">
      <w:pPr>
        <w:numPr>
          <w:ilvl w:val="0"/>
          <w:numId w:val="9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Display your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Firebase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data using </w:t>
      </w:r>
      <w:r w:rsidRPr="00897896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jQuery</w:t>
      </w:r>
      <w:r w:rsidRPr="00897896">
        <w:rPr>
          <w:rFonts w:ascii="Helvetica" w:eastAsia="Times New Roman" w:hAnsi="Helvetica" w:cs="Helvetica"/>
          <w:color w:val="333333"/>
          <w:sz w:val="24"/>
          <w:szCs w:val="24"/>
        </w:rPr>
        <w:t> in the DOM.</w:t>
      </w:r>
    </w:p>
    <w:p w:rsidR="00E53BBE" w:rsidRDefault="00E53BBE"/>
    <w:sectPr w:rsidR="00E5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D7E64"/>
    <w:multiLevelType w:val="multilevel"/>
    <w:tmpl w:val="18D8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016A09"/>
    <w:multiLevelType w:val="multilevel"/>
    <w:tmpl w:val="5E24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A214DE"/>
    <w:multiLevelType w:val="multilevel"/>
    <w:tmpl w:val="9BB26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BC5384"/>
    <w:multiLevelType w:val="multilevel"/>
    <w:tmpl w:val="4D8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4609A"/>
    <w:multiLevelType w:val="multilevel"/>
    <w:tmpl w:val="91A2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AF3C4C"/>
    <w:multiLevelType w:val="multilevel"/>
    <w:tmpl w:val="FD3A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57659D"/>
    <w:multiLevelType w:val="multilevel"/>
    <w:tmpl w:val="EBF0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1180242"/>
    <w:multiLevelType w:val="multilevel"/>
    <w:tmpl w:val="8EB8C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0F6DDB"/>
    <w:multiLevelType w:val="multilevel"/>
    <w:tmpl w:val="56F6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96"/>
    <w:rsid w:val="0000535E"/>
    <w:rsid w:val="00144445"/>
    <w:rsid w:val="00220C7C"/>
    <w:rsid w:val="00825CBB"/>
    <w:rsid w:val="00897896"/>
    <w:rsid w:val="00E5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7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78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7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7896"/>
  </w:style>
  <w:style w:type="character" w:styleId="Emphasis">
    <w:name w:val="Emphasis"/>
    <w:basedOn w:val="DefaultParagraphFont"/>
    <w:uiPriority w:val="20"/>
    <w:qFormat/>
    <w:rsid w:val="00897896"/>
    <w:rPr>
      <w:i/>
      <w:iCs/>
    </w:rPr>
  </w:style>
  <w:style w:type="character" w:styleId="Strong">
    <w:name w:val="Strong"/>
    <w:basedOn w:val="DefaultParagraphFont"/>
    <w:uiPriority w:val="22"/>
    <w:qFormat/>
    <w:rsid w:val="00897896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20C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978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789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7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97896"/>
  </w:style>
  <w:style w:type="character" w:styleId="Emphasis">
    <w:name w:val="Emphasis"/>
    <w:basedOn w:val="DefaultParagraphFont"/>
    <w:uiPriority w:val="20"/>
    <w:qFormat/>
    <w:rsid w:val="00897896"/>
    <w:rPr>
      <w:i/>
      <w:iCs/>
    </w:rPr>
  </w:style>
  <w:style w:type="character" w:styleId="Strong">
    <w:name w:val="Strong"/>
    <w:basedOn w:val="DefaultParagraphFont"/>
    <w:uiPriority w:val="22"/>
    <w:qFormat/>
    <w:rsid w:val="00897896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220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3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3</cp:revision>
  <dcterms:created xsi:type="dcterms:W3CDTF">2016-07-04T12:31:00Z</dcterms:created>
  <dcterms:modified xsi:type="dcterms:W3CDTF">2016-07-04T13:55:00Z</dcterms:modified>
</cp:coreProperties>
</file>