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ind w:left="0" w:right="0" w:firstLine="0"/>
        <w:jc w:val="center"/>
        <w:rPr/>
      </w:pPr>
      <w:r w:rsidDel="00000000" w:rsidR="00000000" w:rsidRPr="00000000">
        <w:rPr>
          <w:rtl w:val="0"/>
        </w:rPr>
      </w:r>
    </w:p>
    <w:p w:rsidR="00000000" w:rsidDel="00000000" w:rsidP="00000000" w:rsidRDefault="00000000" w:rsidRPr="00000000" w14:paraId="00000002">
      <w:pPr>
        <w:ind w:left="0" w:right="0" w:firstLine="0"/>
        <w:jc w:val="center"/>
        <w:rPr/>
      </w:pPr>
      <w:r w:rsidDel="00000000" w:rsidR="00000000" w:rsidRPr="00000000">
        <w:rPr>
          <w:rtl w:val="0"/>
        </w:rPr>
      </w:r>
    </w:p>
    <w:p w:rsidR="00000000" w:rsidDel="00000000" w:rsidP="00000000" w:rsidRDefault="00000000" w:rsidRPr="00000000" w14:paraId="00000003">
      <w:pPr>
        <w:pStyle w:val="Title"/>
        <w:ind w:left="0" w:right="0" w:firstLine="0"/>
        <w:jc w:val="left"/>
        <w:rPr/>
      </w:pPr>
      <w:bookmarkStart w:colFirst="0" w:colLast="0" w:name="_8bkyve5sdshv" w:id="0"/>
      <w:bookmarkEnd w:id="0"/>
      <w:r w:rsidDel="00000000" w:rsidR="00000000" w:rsidRPr="00000000">
        <w:rPr>
          <w:rtl w:val="0"/>
        </w:rPr>
        <w:t xml:space="preserve">The AI Compliance Gap in Financial Services — And How Agentic Workflows Close It</w:t>
      </w:r>
    </w:p>
    <w:p w:rsidR="00000000" w:rsidDel="00000000" w:rsidP="00000000" w:rsidRDefault="00000000" w:rsidRPr="00000000" w14:paraId="00000004">
      <w:pPr>
        <w:ind w:left="0" w:right="0" w:firstLine="0"/>
        <w:jc w:val="center"/>
        <w:rPr/>
      </w:pPr>
      <w:r w:rsidDel="00000000" w:rsidR="00000000" w:rsidRPr="00000000">
        <w:rPr>
          <w:rtl w:val="0"/>
        </w:rPr>
      </w:r>
    </w:p>
    <w:p w:rsidR="00000000" w:rsidDel="00000000" w:rsidP="00000000" w:rsidRDefault="00000000" w:rsidRPr="00000000" w14:paraId="00000005">
      <w:pPr>
        <w:ind w:left="0" w:right="0" w:firstLine="0"/>
        <w:jc w:val="center"/>
        <w:rPr/>
      </w:pPr>
      <w:r w:rsidDel="00000000" w:rsidR="00000000" w:rsidRPr="00000000">
        <w:rPr>
          <w:rtl w:val="0"/>
        </w:rPr>
      </w:r>
    </w:p>
    <w:p w:rsidR="00000000" w:rsidDel="00000000" w:rsidP="00000000" w:rsidRDefault="00000000" w:rsidRPr="00000000" w14:paraId="00000006">
      <w:pPr>
        <w:pStyle w:val="Heading4"/>
        <w:ind w:left="0" w:right="0" w:firstLine="0"/>
        <w:jc w:val="center"/>
        <w:rPr>
          <w:rFonts w:ascii="Figtree" w:cs="Figtree" w:eastAsia="Figtree" w:hAnsi="Figtree"/>
          <w:color w:val="1d1d1d"/>
        </w:rPr>
      </w:pPr>
      <w:bookmarkStart w:colFirst="0" w:colLast="0" w:name="_mb5d45kn77hu" w:id="1"/>
      <w:bookmarkEnd w:id="1"/>
      <w:r w:rsidDel="00000000" w:rsidR="00000000" w:rsidRPr="00000000">
        <w:rPr>
          <w:rFonts w:ascii="Figtree" w:cs="Figtree" w:eastAsia="Figtree" w:hAnsi="Figtree"/>
          <w:color w:val="1d1d1d"/>
          <w:rtl w:val="0"/>
        </w:rPr>
        <w:t xml:space="preserve">By </w:t>
      </w:r>
      <w:hyperlink r:id="rId6">
        <w:r w:rsidDel="00000000" w:rsidR="00000000" w:rsidRPr="00000000">
          <w:rPr>
            <w:rFonts w:ascii="Figtree" w:cs="Figtree" w:eastAsia="Figtree" w:hAnsi="Figtree"/>
            <w:color w:val="0000ee"/>
            <w:u w:val="single"/>
            <w:shd w:fill="f1d1a0" w:val="clear"/>
            <w:rtl w:val="0"/>
          </w:rPr>
          <w:t xml:space="preserve">Padmakar Bhosale</w:t>
        </w:r>
      </w:hyperlink>
      <w:r w:rsidDel="00000000" w:rsidR="00000000" w:rsidRPr="00000000">
        <w:rPr>
          <w:rFonts w:ascii="Figtree" w:cs="Figtree" w:eastAsia="Figtree" w:hAnsi="Figtree"/>
          <w:color w:val="1d1d1d"/>
          <w:rtl w:val="0"/>
        </w:rPr>
        <w:t xml:space="preserve"> </w:t>
      </w:r>
      <w:r w:rsidDel="00000000" w:rsidR="00000000" w:rsidRPr="00000000">
        <w:rPr>
          <w:rFonts w:ascii="Figtree" w:cs="Figtree" w:eastAsia="Figtree" w:hAnsi="Figtree"/>
          <w:color w:val="1d1d1d"/>
          <w:shd w:fill="bccada" w:val="clear"/>
          <w:rtl w:val="0"/>
        </w:rPr>
        <w:t xml:space="preserve">Mar 15, 2026</w:t>
      </w:r>
      <w:r w:rsidDel="00000000" w:rsidR="00000000" w:rsidRPr="00000000">
        <w:rPr>
          <w:rtl w:val="0"/>
        </w:rPr>
      </w:r>
    </w:p>
    <w:p w:rsidR="00000000" w:rsidDel="00000000" w:rsidP="00000000" w:rsidRDefault="00000000" w:rsidRPr="00000000" w14:paraId="00000007">
      <w:pPr>
        <w:ind w:left="0" w:right="0" w:firstLine="0"/>
        <w:jc w:val="center"/>
        <w:rPr/>
      </w:pPr>
      <w:r w:rsidDel="00000000" w:rsidR="00000000" w:rsidRPr="00000000">
        <w:rPr>
          <w:rtl w:val="0"/>
        </w:rPr>
      </w:r>
    </w:p>
    <w:p w:rsidR="00000000" w:rsidDel="00000000" w:rsidP="00000000" w:rsidRDefault="00000000" w:rsidRPr="00000000" w14:paraId="00000008">
      <w:pPr>
        <w:pStyle w:val="Heading3"/>
        <w:ind w:left="0" w:right="0" w:firstLine="0"/>
        <w:rPr/>
      </w:pPr>
      <w:bookmarkStart w:colFirst="0" w:colLast="0" w:name="_kdc386vy0bzc" w:id="2"/>
      <w:bookmarkEnd w:id="2"/>
      <w:r w:rsidDel="00000000" w:rsidR="00000000" w:rsidRPr="00000000">
        <w:rPr>
          <w:rtl w:val="0"/>
        </w:rPr>
        <w:t xml:space="preserve">Tagline</w:t>
      </w:r>
    </w:p>
    <w:p w:rsidR="00000000" w:rsidDel="00000000" w:rsidP="00000000" w:rsidRDefault="00000000" w:rsidRPr="00000000" w14:paraId="00000009">
      <w:pPr>
        <w:ind w:left="0" w:right="0" w:firstLine="0"/>
        <w:rPr/>
      </w:pPr>
      <w:r w:rsidDel="00000000" w:rsidR="00000000" w:rsidRPr="00000000">
        <w:rPr>
          <w:rtl w:val="0"/>
        </w:rPr>
        <w:t xml:space="preserve">In Financial Services, the primary barrier to Agentic AI adoption is predictability—the AI decision-making "black box." This post details a transparent "Glass Box" framework using four integrated pillars: Compliance-as-Code for enforcement, OpenTelemetry for auditability, LLM-as-a-Judge for autonomous oversight, and Human-in-the-Loop for regulatory approval. Every architectural claim is mapped to primary regulatory sources and backed by an implementation code on GitHub.</w:t>
      </w:r>
    </w:p>
    <w:p w:rsidR="00000000" w:rsidDel="00000000" w:rsidP="00000000" w:rsidRDefault="00000000" w:rsidRPr="00000000" w14:paraId="0000000A">
      <w:pPr>
        <w:ind w:left="0" w:right="0" w:firstLine="0"/>
        <w:rPr>
          <w:color w:val="1d1d1d"/>
        </w:rPr>
      </w:pPr>
      <w:r w:rsidDel="00000000" w:rsidR="00000000" w:rsidRPr="00000000">
        <w:rPr>
          <w:rtl w:val="0"/>
        </w:rPr>
      </w:r>
    </w:p>
    <w:p w:rsidR="00000000" w:rsidDel="00000000" w:rsidP="00000000" w:rsidRDefault="00000000" w:rsidRPr="00000000" w14:paraId="0000000B">
      <w:pPr>
        <w:pStyle w:val="Heading3"/>
        <w:ind w:left="0" w:right="0" w:firstLine="0"/>
        <w:rPr/>
      </w:pPr>
      <w:bookmarkStart w:colFirst="0" w:colLast="0" w:name="_pkgsml8z9ez" w:id="3"/>
      <w:bookmarkEnd w:id="3"/>
      <w:r w:rsidDel="00000000" w:rsidR="00000000" w:rsidRPr="00000000">
        <w:rPr>
          <w:rtl w:val="0"/>
        </w:rPr>
        <w:t xml:space="preserve">About the Author</w:t>
      </w:r>
    </w:p>
    <w:p w:rsidR="00000000" w:rsidDel="00000000" w:rsidP="00000000" w:rsidRDefault="00000000" w:rsidRPr="00000000" w14:paraId="0000000C">
      <w:pPr>
        <w:ind w:left="0" w:right="0" w:firstLine="0"/>
        <w:rPr/>
      </w:pPr>
      <w:r w:rsidDel="00000000" w:rsidR="00000000" w:rsidRPr="00000000">
        <w:rPr>
          <w:rtl w:val="0"/>
        </w:rPr>
        <w:t xml:space="preserve">The author is a security and compliance specialist who has operationalized regulated-BSF architectures for G-SIBs and Tier-1 financial institutions. He authored the AWS whitepaper Architecting for PCI DSS Scoping and Segmentation on AWS and technical guides for PCI DSS compliance using AWS serverless architecture [A2][A3]. This article extends his 'compliance-by-architecture' principles to agentic AI systems—specifically Foundation Models, RAG pipelines, and multi-agent financial advisory workflows—and is supported by a practical implementation.</w:t>
      </w:r>
    </w:p>
    <w:p w:rsidR="00000000" w:rsidDel="00000000" w:rsidP="00000000" w:rsidRDefault="00000000" w:rsidRPr="00000000" w14:paraId="0000000D">
      <w:pPr>
        <w:ind w:left="0" w:right="0" w:firstLine="0"/>
        <w:rPr>
          <w:color w:val="1d1d1d"/>
        </w:rPr>
      </w:pPr>
      <w:r w:rsidDel="00000000" w:rsidR="00000000" w:rsidRPr="00000000">
        <w:rPr>
          <w:rtl w:val="0"/>
        </w:rPr>
      </w:r>
    </w:p>
    <w:p w:rsidR="00000000" w:rsidDel="00000000" w:rsidP="00000000" w:rsidRDefault="00000000" w:rsidRPr="00000000" w14:paraId="0000000E">
      <w:pPr>
        <w:pStyle w:val="Heading1"/>
        <w:ind w:left="0" w:right="0" w:firstLine="0"/>
        <w:jc w:val="left"/>
        <w:rPr/>
      </w:pPr>
      <w:bookmarkStart w:colFirst="0" w:colLast="0" w:name="_83hk9tgn9co8" w:id="4"/>
      <w:bookmarkEnd w:id="4"/>
      <w:r w:rsidDel="00000000" w:rsidR="00000000" w:rsidRPr="00000000">
        <w:rPr>
          <w:rtl w:val="0"/>
        </w:rPr>
        <w:t xml:space="preserve">The Regulatory Requirements: The Existing Mandates</w:t>
      </w:r>
      <w:r w:rsidDel="00000000" w:rsidR="00000000" w:rsidRPr="00000000">
        <w:rPr>
          <w:rtl w:val="0"/>
        </w:rPr>
      </w:r>
    </w:p>
    <w:p w:rsidR="00000000" w:rsidDel="00000000" w:rsidP="00000000" w:rsidRDefault="00000000" w:rsidRPr="00000000" w14:paraId="0000000F">
      <w:pPr>
        <w:ind w:left="0" w:right="0" w:firstLine="0"/>
        <w:rPr/>
      </w:pPr>
      <w:r w:rsidDel="00000000" w:rsidR="00000000" w:rsidRPr="00000000">
        <w:rPr>
          <w:rtl w:val="0"/>
        </w:rPr>
      </w:r>
    </w:p>
    <w:p w:rsidR="00000000" w:rsidDel="00000000" w:rsidP="00000000" w:rsidRDefault="00000000" w:rsidRPr="00000000" w14:paraId="00000010">
      <w:pPr>
        <w:ind w:left="0" w:right="0" w:firstLine="0"/>
        <w:rPr/>
      </w:pPr>
      <w:r w:rsidDel="00000000" w:rsidR="00000000" w:rsidRPr="00000000">
        <w:rPr>
          <w:rtl w:val="0"/>
        </w:rPr>
        <w:t xml:space="preserve">Regulatory bodies require transparency, truthfulness, and human oversight from AI systems operating in financial services. </w:t>
      </w:r>
    </w:p>
    <w:p w:rsidR="00000000" w:rsidDel="00000000" w:rsidP="00000000" w:rsidRDefault="00000000" w:rsidRPr="00000000" w14:paraId="00000011">
      <w:pPr>
        <w:ind w:left="0" w:right="0" w:firstLine="0"/>
        <w:rPr/>
      </w:pPr>
      <w:r w:rsidDel="00000000" w:rsidR="00000000" w:rsidRPr="00000000">
        <w:rPr>
          <w:rtl w:val="0"/>
        </w:rPr>
      </w:r>
    </w:p>
    <w:p w:rsidR="00000000" w:rsidDel="00000000" w:rsidP="00000000" w:rsidRDefault="00000000" w:rsidRPr="00000000" w14:paraId="00000012">
      <w:pPr>
        <w:ind w:left="0" w:right="0" w:firstLine="0"/>
        <w:rPr/>
      </w:pPr>
      <w:r w:rsidDel="00000000" w:rsidR="00000000" w:rsidRPr="00000000">
        <w:rPr>
          <w:rtl w:val="0"/>
        </w:rPr>
        <w:t xml:space="preserve">In June 2024, FINRA published Regulatory Notice 24-09, Artificial Intelligence (AI) in the Securities Industry [1], identifying three structural requirements that AI systems must satisfy to meet existing FINRA obligations:</w:t>
      </w:r>
    </w:p>
    <w:p w:rsidR="00000000" w:rsidDel="00000000" w:rsidP="00000000" w:rsidRDefault="00000000" w:rsidRPr="00000000" w14:paraId="00000013">
      <w:pPr>
        <w:ind w:left="0" w:right="0" w:firstLine="0"/>
        <w:rPr/>
      </w:pPr>
      <w:r w:rsidDel="00000000" w:rsidR="00000000" w:rsidRPr="00000000">
        <w:rPr>
          <w:rtl w:val="0"/>
        </w:rPr>
      </w:r>
    </w:p>
    <w:p w:rsidR="00000000" w:rsidDel="00000000" w:rsidP="00000000" w:rsidRDefault="00000000" w:rsidRPr="00000000" w14:paraId="00000014">
      <w:pPr>
        <w:numPr>
          <w:ilvl w:val="0"/>
          <w:numId w:val="1"/>
        </w:numPr>
        <w:ind w:left="540" w:right="0" w:hanging="270"/>
      </w:pPr>
      <w:r w:rsidDel="00000000" w:rsidR="00000000" w:rsidRPr="00000000">
        <w:rPr>
          <w:rtl w:val="0"/>
        </w:rPr>
        <w:t xml:space="preserve">Truthfulness — AI-generated outputs in financial advisory contexts must be accurate and free of unauthorized claims. FINRA Rule 2210(d)(1) [2] requires that all communications with the public — regardless of whether they originate from a human or an AI system — be fair, balanced, and not misleading.</w:t>
      </w:r>
    </w:p>
    <w:p w:rsidR="00000000" w:rsidDel="00000000" w:rsidP="00000000" w:rsidRDefault="00000000" w:rsidRPr="00000000" w14:paraId="00000015">
      <w:pPr>
        <w:ind w:left="540" w:right="0" w:hanging="270"/>
        <w:rPr/>
      </w:pPr>
      <w:r w:rsidDel="00000000" w:rsidR="00000000" w:rsidRPr="00000000">
        <w:rPr>
          <w:rtl w:val="0"/>
        </w:rPr>
      </w:r>
    </w:p>
    <w:p w:rsidR="00000000" w:rsidDel="00000000" w:rsidP="00000000" w:rsidRDefault="00000000" w:rsidRPr="00000000" w14:paraId="00000016">
      <w:pPr>
        <w:numPr>
          <w:ilvl w:val="0"/>
          <w:numId w:val="1"/>
        </w:numPr>
        <w:ind w:left="540" w:right="0" w:hanging="270"/>
      </w:pPr>
      <w:r w:rsidDel="00000000" w:rsidR="00000000" w:rsidRPr="00000000">
        <w:rPr>
          <w:rtl w:val="0"/>
        </w:rPr>
        <w:t xml:space="preserve">Transparency — The basis for AI-generated recommendations must be explainable and auditable. FINRA Rule 3110 [3] requires that firms establish and maintain supervisory systems sufficient to achieve compliance with applicable securities laws and regulations, which requires that the basis for every recommendation be reviewable.</w:t>
      </w:r>
    </w:p>
    <w:p w:rsidR="00000000" w:rsidDel="00000000" w:rsidP="00000000" w:rsidRDefault="00000000" w:rsidRPr="00000000" w14:paraId="00000017">
      <w:pPr>
        <w:ind w:left="540" w:right="0" w:hanging="270"/>
        <w:rPr/>
      </w:pPr>
      <w:r w:rsidDel="00000000" w:rsidR="00000000" w:rsidRPr="00000000">
        <w:rPr>
          <w:rtl w:val="0"/>
        </w:rPr>
      </w:r>
    </w:p>
    <w:p w:rsidR="00000000" w:rsidDel="00000000" w:rsidP="00000000" w:rsidRDefault="00000000" w:rsidRPr="00000000" w14:paraId="00000018">
      <w:pPr>
        <w:numPr>
          <w:ilvl w:val="0"/>
          <w:numId w:val="1"/>
        </w:numPr>
        <w:ind w:left="540" w:right="0" w:hanging="270"/>
      </w:pPr>
      <w:r w:rsidDel="00000000" w:rsidR="00000000" w:rsidRPr="00000000">
        <w:rPr>
          <w:rtl w:val="0"/>
        </w:rPr>
        <w:t xml:space="preserve">Human oversight — FINRA Rule 3110 [3] requires supervision of all investment recommendations. AI systems that generate and act on recommendations must preserve that supervision requirement as a structural property of the system.</w:t>
      </w:r>
    </w:p>
    <w:p w:rsidR="00000000" w:rsidDel="00000000" w:rsidP="00000000" w:rsidRDefault="00000000" w:rsidRPr="00000000" w14:paraId="00000019">
      <w:pPr>
        <w:ind w:left="0" w:right="0" w:firstLine="0"/>
        <w:rPr/>
      </w:pPr>
      <w:r w:rsidDel="00000000" w:rsidR="00000000" w:rsidRPr="00000000">
        <w:rPr>
          <w:rtl w:val="0"/>
        </w:rPr>
      </w:r>
    </w:p>
    <w:p w:rsidR="00000000" w:rsidDel="00000000" w:rsidP="00000000" w:rsidRDefault="00000000" w:rsidRPr="00000000" w14:paraId="0000001A">
      <w:pPr>
        <w:ind w:left="0" w:right="0" w:firstLine="0"/>
        <w:rPr/>
      </w:pPr>
      <w:r w:rsidDel="00000000" w:rsidR="00000000" w:rsidRPr="00000000">
        <w:rPr>
          <w:rtl w:val="0"/>
        </w:rPr>
        <w:t xml:space="preserve">NIST published the AI Risk Management Framework 1.0 in January 2023 [4], establishing four core functions — GOVERN, MAP, MEASURE, MANAGE — that define trustworthy AI. The framework requires bias and fairness evaluation, transparency and explainability, robustness against adversarial inputs, and privacy risk management as measurable properties of AI systems.</w:t>
      </w:r>
    </w:p>
    <w:p w:rsidR="00000000" w:rsidDel="00000000" w:rsidP="00000000" w:rsidRDefault="00000000" w:rsidRPr="00000000" w14:paraId="0000001B">
      <w:pPr>
        <w:ind w:left="0" w:right="0" w:firstLine="0"/>
        <w:rPr/>
      </w:pPr>
      <w:r w:rsidDel="00000000" w:rsidR="00000000" w:rsidRPr="00000000">
        <w:rPr>
          <w:rtl w:val="0"/>
        </w:rPr>
      </w:r>
    </w:p>
    <w:p w:rsidR="00000000" w:rsidDel="00000000" w:rsidP="00000000" w:rsidRDefault="00000000" w:rsidRPr="00000000" w14:paraId="0000001C">
      <w:pPr>
        <w:ind w:left="0" w:right="0" w:firstLine="0"/>
        <w:rPr/>
      </w:pPr>
      <w:r w:rsidDel="00000000" w:rsidR="00000000" w:rsidRPr="00000000">
        <w:rPr>
          <w:rtl w:val="0"/>
        </w:rPr>
        <w:t xml:space="preserve">PCI DSS v4.0, published by the PCI Security Standards Council in March 2022 [5], Requirements 3.2 through 3.4 prohibit the storage, processing, or transmission of sensitive authentication data — including Primary Account Numbers, CVV values, expiry dates, and full magnetic stripe data — outside of the defined cardholder data environment. AI pipelines fall outside that environment. Card data must never enter them.</w:t>
      </w:r>
    </w:p>
    <w:p w:rsidR="00000000" w:rsidDel="00000000" w:rsidP="00000000" w:rsidRDefault="00000000" w:rsidRPr="00000000" w14:paraId="0000001D">
      <w:pPr>
        <w:ind w:left="0" w:right="0" w:firstLine="0"/>
        <w:rPr/>
      </w:pPr>
      <w:r w:rsidDel="00000000" w:rsidR="00000000" w:rsidRPr="00000000">
        <w:rPr>
          <w:rtl w:val="0"/>
        </w:rPr>
      </w:r>
    </w:p>
    <w:p w:rsidR="00000000" w:rsidDel="00000000" w:rsidP="00000000" w:rsidRDefault="00000000" w:rsidRPr="00000000" w14:paraId="0000001E">
      <w:pPr>
        <w:ind w:left="0" w:right="0" w:firstLine="0"/>
        <w:rPr/>
      </w:pPr>
      <w:r w:rsidDel="00000000" w:rsidR="00000000" w:rsidRPr="00000000">
        <w:rPr>
          <w:rtl w:val="0"/>
        </w:rPr>
        <w:t xml:space="preserve">These are the published standards. The architecture described in this article implements all of them — inline, in real time, across every stage of a fully agentic financial advisory workflow.</w:t>
      </w:r>
    </w:p>
    <w:p w:rsidR="00000000" w:rsidDel="00000000" w:rsidP="00000000" w:rsidRDefault="00000000" w:rsidRPr="00000000" w14:paraId="0000001F">
      <w:pPr>
        <w:ind w:left="0" w:right="0" w:firstLine="0"/>
        <w:rPr/>
      </w:pPr>
      <w:r w:rsidDel="00000000" w:rsidR="00000000" w:rsidRPr="00000000">
        <w:rPr>
          <w:rtl w:val="0"/>
        </w:rPr>
      </w:r>
    </w:p>
    <w:p w:rsidR="00000000" w:rsidDel="00000000" w:rsidP="00000000" w:rsidRDefault="00000000" w:rsidRPr="00000000" w14:paraId="00000020">
      <w:pPr>
        <w:pStyle w:val="Heading1"/>
        <w:ind w:left="0" w:right="0" w:firstLine="0"/>
        <w:jc w:val="left"/>
        <w:rPr/>
      </w:pPr>
      <w:bookmarkStart w:colFirst="0" w:colLast="0" w:name="_pm1m1ua9cn1a" w:id="5"/>
      <w:bookmarkEnd w:id="5"/>
      <w:r w:rsidDel="00000000" w:rsidR="00000000" w:rsidRPr="00000000">
        <w:rPr>
          <w:rtl w:val="0"/>
        </w:rPr>
        <w:t xml:space="preserve">The Compliance Gap Is Architectural</w:t>
      </w:r>
    </w:p>
    <w:p w:rsidR="00000000" w:rsidDel="00000000" w:rsidP="00000000" w:rsidRDefault="00000000" w:rsidRPr="00000000" w14:paraId="00000021">
      <w:pPr>
        <w:ind w:left="0" w:right="0" w:firstLine="0"/>
        <w:rPr/>
      </w:pPr>
      <w:r w:rsidDel="00000000" w:rsidR="00000000" w:rsidRPr="00000000">
        <w:rPr>
          <w:rtl w:val="0"/>
        </w:rPr>
      </w:r>
    </w:p>
    <w:p w:rsidR="00000000" w:rsidDel="00000000" w:rsidP="00000000" w:rsidRDefault="00000000" w:rsidRPr="00000000" w14:paraId="00000022">
      <w:pPr>
        <w:ind w:left="0" w:right="0" w:firstLine="0"/>
        <w:rPr/>
      </w:pPr>
      <w:r w:rsidDel="00000000" w:rsidR="00000000" w:rsidRPr="00000000">
        <w:rPr>
          <w:rtl w:val="0"/>
        </w:rPr>
        <w:t xml:space="preserve">FINRA RN 24-09 [1], NIST AI RMF 1.0 [4], and PCI DSS v4.0 [5] impose obligations that activate simultaneously on every AI input and every AI output in a financial services context.</w:t>
      </w:r>
    </w:p>
    <w:p w:rsidR="00000000" w:rsidDel="00000000" w:rsidP="00000000" w:rsidRDefault="00000000" w:rsidRPr="00000000" w14:paraId="00000023">
      <w:pPr>
        <w:ind w:left="0" w:right="0" w:firstLine="0"/>
        <w:rPr/>
      </w:pPr>
      <w:r w:rsidDel="00000000" w:rsidR="00000000" w:rsidRPr="00000000">
        <w:rPr>
          <w:rtl w:val="0"/>
        </w:rPr>
      </w:r>
    </w:p>
    <w:p w:rsidR="00000000" w:rsidDel="00000000" w:rsidP="00000000" w:rsidRDefault="00000000" w:rsidRPr="00000000" w14:paraId="00000024">
      <w:pPr>
        <w:ind w:left="0" w:right="0" w:firstLine="0"/>
        <w:rPr/>
      </w:pPr>
      <w:r w:rsidDel="00000000" w:rsidR="00000000" w:rsidRPr="00000000">
        <w:rPr>
          <w:b w:val="1"/>
          <w:bCs w:val="1"/>
          <w:rtl w:val="0"/>
        </w:rPr>
        <w:t xml:space="preserve">FINRA</w:t>
      </w:r>
      <w:r w:rsidDel="00000000" w:rsidR="00000000" w:rsidRPr="00000000">
        <w:rPr>
          <w:rtl w:val="0"/>
        </w:rPr>
        <w:t xml:space="preserve"> requires Suitability grounding, mandatory AI disclosure, human supervision before automated execution, and prohibition of unauthorized claims including guaranteed returns and risk-free language [1][2][3]. Similarly, SEC 17a-4 required AI-generated recommendation must be fair, balanced, and archived.</w:t>
      </w:r>
    </w:p>
    <w:p w:rsidR="00000000" w:rsidDel="00000000" w:rsidP="00000000" w:rsidRDefault="00000000" w:rsidRPr="00000000" w14:paraId="00000025">
      <w:pPr>
        <w:ind w:left="0" w:right="0" w:firstLine="0"/>
        <w:rPr/>
      </w:pPr>
      <w:r w:rsidDel="00000000" w:rsidR="00000000" w:rsidRPr="00000000">
        <w:rPr>
          <w:rtl w:val="0"/>
        </w:rPr>
      </w:r>
    </w:p>
    <w:p w:rsidR="00000000" w:rsidDel="00000000" w:rsidP="00000000" w:rsidRDefault="00000000" w:rsidRPr="00000000" w14:paraId="00000026">
      <w:pPr>
        <w:ind w:left="0" w:right="0" w:firstLine="0"/>
        <w:rPr/>
      </w:pPr>
      <w:r w:rsidDel="00000000" w:rsidR="00000000" w:rsidRPr="00000000">
        <w:rPr>
          <w:b w:val="1"/>
          <w:bCs w:val="1"/>
          <w:rtl w:val="0"/>
        </w:rPr>
        <w:t xml:space="preserve">NIST AI RMF</w:t>
      </w:r>
      <w:r w:rsidDel="00000000" w:rsidR="00000000" w:rsidRPr="00000000">
        <w:rPr>
          <w:rtl w:val="0"/>
        </w:rPr>
        <w:t xml:space="preserve"> requires bias evaluation against protected demographic classes, explainability markers in AI decisions, robustness against adversarial inputs including prompt injection, and PII protection throughout the AI pipeline [4]. Similarly, ​​SEC 206(4)-7 required firms to prove "reasonable supervision" over AI agents. This requires real-time intervention capabilities.</w:t>
      </w:r>
    </w:p>
    <w:p w:rsidR="00000000" w:rsidDel="00000000" w:rsidP="00000000" w:rsidRDefault="00000000" w:rsidRPr="00000000" w14:paraId="00000027">
      <w:pPr>
        <w:ind w:left="0" w:right="0" w:firstLine="0"/>
        <w:rPr/>
      </w:pPr>
      <w:r w:rsidDel="00000000" w:rsidR="00000000" w:rsidRPr="00000000">
        <w:rPr>
          <w:rtl w:val="0"/>
        </w:rPr>
      </w:r>
    </w:p>
    <w:p w:rsidR="00000000" w:rsidDel="00000000" w:rsidP="00000000" w:rsidRDefault="00000000" w:rsidRPr="00000000" w14:paraId="00000028">
      <w:pPr>
        <w:ind w:left="0" w:right="0" w:firstLine="0"/>
        <w:rPr/>
      </w:pPr>
      <w:r w:rsidDel="00000000" w:rsidR="00000000" w:rsidRPr="00000000">
        <w:rPr>
          <w:b w:val="1"/>
          <w:bCs w:val="1"/>
          <w:rtl w:val="0"/>
        </w:rPr>
        <w:t xml:space="preserve">PCI DSS</w:t>
      </w:r>
      <w:r w:rsidDel="00000000" w:rsidR="00000000" w:rsidRPr="00000000">
        <w:rPr>
          <w:rtl w:val="0"/>
        </w:rPr>
        <w:t xml:space="preserve"> v4.0 requires that Primary Account Numbers, CVV values, expiry dates, and magnetic stripe data never enter an AI system under any circumstances [5]. The framework GDPR/CCPA/SEC S-P required safeguarding PII and preventing algorithmic bias. The architecture must ensure that Foundation Models do not inadvertently leak or misuse sensitive client data.</w:t>
      </w:r>
    </w:p>
    <w:p w:rsidR="00000000" w:rsidDel="00000000" w:rsidP="00000000" w:rsidRDefault="00000000" w:rsidRPr="00000000" w14:paraId="00000029">
      <w:pPr>
        <w:ind w:left="0" w:right="0" w:firstLine="0"/>
        <w:rPr/>
      </w:pPr>
      <w:r w:rsidDel="00000000" w:rsidR="00000000" w:rsidRPr="00000000">
        <w:rPr>
          <w:rtl w:val="0"/>
        </w:rPr>
      </w:r>
    </w:p>
    <w:p w:rsidR="00000000" w:rsidDel="00000000" w:rsidP="00000000" w:rsidRDefault="00000000" w:rsidRPr="00000000" w14:paraId="0000002A">
      <w:pPr>
        <w:ind w:left="0" w:right="0" w:firstLine="0"/>
        <w:rPr/>
      </w:pPr>
      <w:r w:rsidDel="00000000" w:rsidR="00000000" w:rsidRPr="00000000">
        <w:rPr>
          <w:rtl w:val="0"/>
        </w:rPr>
        <w:t xml:space="preserve">Three frameworks. Thirteen specific obligations. All activate simultaneously on every AI decision. The Glass Box architecture described below enforces all thirteen inline — and is extensible to additional frameworks via the PolicyRegistry API.</w:t>
      </w:r>
    </w:p>
    <w:p w:rsidR="00000000" w:rsidDel="00000000" w:rsidP="00000000" w:rsidRDefault="00000000" w:rsidRPr="00000000" w14:paraId="0000002B">
      <w:pPr>
        <w:ind w:left="0" w:right="0" w:firstLine="0"/>
        <w:rPr/>
      </w:pPr>
      <w:r w:rsidDel="00000000" w:rsidR="00000000" w:rsidRPr="00000000">
        <w:rPr>
          <w:rtl w:val="0"/>
        </w:rPr>
      </w:r>
    </w:p>
    <w:p w:rsidR="00000000" w:rsidDel="00000000" w:rsidP="00000000" w:rsidRDefault="00000000" w:rsidRPr="00000000" w14:paraId="0000002C">
      <w:pPr>
        <w:ind w:left="0" w:right="0" w:firstLine="0"/>
        <w:rPr/>
      </w:pPr>
      <w:r w:rsidDel="00000000" w:rsidR="00000000" w:rsidRPr="00000000">
        <w:rPr>
          <w:rtl w:val="0"/>
        </w:rPr>
        <w:t xml:space="preserve">Closing this gap requires an architecture that enforces all thirteen obligations inline — before and after every AI decision — at the speed the AI system itself operates.</w:t>
      </w:r>
    </w:p>
    <w:p w:rsidR="00000000" w:rsidDel="00000000" w:rsidP="00000000" w:rsidRDefault="00000000" w:rsidRPr="00000000" w14:paraId="0000002D">
      <w:pPr>
        <w:ind w:left="0" w:right="0" w:firstLine="0"/>
        <w:rPr/>
      </w:pPr>
      <w:r w:rsidDel="00000000" w:rsidR="00000000" w:rsidRPr="00000000">
        <w:rPr>
          <w:rtl w:val="0"/>
        </w:rPr>
      </w:r>
    </w:p>
    <w:p w:rsidR="00000000" w:rsidDel="00000000" w:rsidP="00000000" w:rsidRDefault="00000000" w:rsidRPr="00000000" w14:paraId="0000002E">
      <w:pPr>
        <w:pStyle w:val="Heading1"/>
        <w:ind w:left="0" w:right="0" w:firstLine="0"/>
        <w:jc w:val="left"/>
        <w:rPr/>
      </w:pPr>
      <w:bookmarkStart w:colFirst="0" w:colLast="0" w:name="_d3k3wxh012hb" w:id="6"/>
      <w:bookmarkEnd w:id="6"/>
      <w:r w:rsidDel="00000000" w:rsidR="00000000" w:rsidRPr="00000000">
        <w:rPr>
          <w:rtl w:val="0"/>
        </w:rPr>
        <w:t xml:space="preserve">The Architecture: A Glass Box Built Around the Black Box</w:t>
      </w:r>
    </w:p>
    <w:p w:rsidR="00000000" w:rsidDel="00000000" w:rsidP="00000000" w:rsidRDefault="00000000" w:rsidRPr="00000000" w14:paraId="0000002F">
      <w:pPr>
        <w:ind w:left="0" w:right="0" w:firstLine="0"/>
        <w:rPr/>
      </w:pPr>
      <w:r w:rsidDel="00000000" w:rsidR="00000000" w:rsidRPr="00000000">
        <w:rPr>
          <w:rtl w:val="0"/>
        </w:rPr>
      </w:r>
    </w:p>
    <w:p w:rsidR="00000000" w:rsidDel="00000000" w:rsidP="00000000" w:rsidRDefault="00000000" w:rsidRPr="00000000" w14:paraId="00000030">
      <w:pPr>
        <w:ind w:left="0" w:right="0" w:firstLine="0"/>
        <w:rPr/>
      </w:pPr>
      <w:r w:rsidDel="00000000" w:rsidR="00000000" w:rsidRPr="00000000">
        <w:rPr>
          <w:rtl w:val="0"/>
        </w:rPr>
        <w:t xml:space="preserve">Foundation Models operate as internal black boxes — NIST AI RMF 1.0 [4] explicitly identifies explainability and interpretability as open challenges in current AI systems. The architectural response is to build a glass box around the model: an environment where every decision the model contributes to is fully traceable, compliance-verified, and subject to human oversight before it affects a client.</w:t>
      </w:r>
    </w:p>
    <w:p w:rsidR="00000000" w:rsidDel="00000000" w:rsidP="00000000" w:rsidRDefault="00000000" w:rsidRPr="00000000" w14:paraId="00000031">
      <w:pPr>
        <w:ind w:left="0" w:right="0" w:firstLine="0"/>
        <w:rPr/>
      </w:pPr>
      <w:r w:rsidDel="00000000" w:rsidR="00000000" w:rsidRPr="00000000">
        <w:rPr>
          <w:rtl w:val="0"/>
        </w:rPr>
      </w:r>
    </w:p>
    <w:p w:rsidR="00000000" w:rsidDel="00000000" w:rsidP="00000000" w:rsidRDefault="00000000" w:rsidRPr="00000000" w14:paraId="00000032">
      <w:pPr>
        <w:ind w:left="0" w:right="0" w:firstLine="0"/>
        <w:rPr/>
      </w:pPr>
      <w:r w:rsidDel="00000000" w:rsidR="00000000" w:rsidRPr="00000000">
        <w:rPr>
          <w:rtl w:val="0"/>
        </w:rPr>
        <w:t xml:space="preserve">This system achieves that through four interlocking mechanisms: Compliance-as-Code, OpenTelemetry tracing, LLM-as-a-Judge, and Human-in-the-Loop approval.</w:t>
      </w:r>
    </w:p>
    <w:p w:rsidR="00000000" w:rsidDel="00000000" w:rsidP="00000000" w:rsidRDefault="00000000" w:rsidRPr="00000000" w14:paraId="00000033">
      <w:pPr>
        <w:ind w:left="0" w:right="0" w:firstLine="0"/>
        <w:rPr/>
      </w:pPr>
      <w:r w:rsidDel="00000000" w:rsidR="00000000" w:rsidRPr="00000000">
        <w:rPr>
          <w:rtl w:val="0"/>
        </w:rPr>
      </w:r>
    </w:p>
    <w:p w:rsidR="00000000" w:rsidDel="00000000" w:rsidP="00000000" w:rsidRDefault="00000000" w:rsidRPr="00000000" w14:paraId="00000034">
      <w:pPr>
        <w:pStyle w:val="Heading1"/>
        <w:ind w:left="0" w:right="0" w:firstLine="0"/>
        <w:jc w:val="left"/>
        <w:rPr>
          <w:sz w:val="42"/>
          <w:szCs w:val="42"/>
        </w:rPr>
      </w:pPr>
      <w:bookmarkStart w:colFirst="0" w:colLast="0" w:name="_vdfvtg804o7m" w:id="7"/>
      <w:bookmarkEnd w:id="7"/>
      <w:r w:rsidDel="00000000" w:rsidR="00000000" w:rsidRPr="00000000">
        <w:rPr>
          <w:sz w:val="42"/>
          <w:szCs w:val="42"/>
          <w:rtl w:val="0"/>
        </w:rPr>
        <w:t xml:space="preserve">Mechanism 1 — Compliance-as-Code</w:t>
      </w:r>
    </w:p>
    <w:p w:rsidR="00000000" w:rsidDel="00000000" w:rsidP="00000000" w:rsidRDefault="00000000" w:rsidRPr="00000000" w14:paraId="00000035">
      <w:pPr>
        <w:ind w:left="0" w:right="0" w:firstLine="0"/>
        <w:rPr/>
      </w:pPr>
      <w:r w:rsidDel="00000000" w:rsidR="00000000" w:rsidRPr="00000000">
        <w:rPr>
          <w:rtl w:val="0"/>
        </w:rPr>
      </w:r>
    </w:p>
    <w:p w:rsidR="00000000" w:rsidDel="00000000" w:rsidP="00000000" w:rsidRDefault="00000000" w:rsidRPr="00000000" w14:paraId="00000036">
      <w:pPr>
        <w:ind w:left="0" w:right="0" w:firstLine="0"/>
        <w:rPr/>
      </w:pPr>
      <w:r w:rsidDel="00000000" w:rsidR="00000000" w:rsidRPr="00000000">
        <w:rPr>
          <w:rtl w:val="0"/>
        </w:rPr>
        <w:t xml:space="preserve">Compliance-as-Code transforms static regulatory handbooks into executable logic. By embedding these rules directly into the AI orchestration layer, we shift from "detect and report" to "prevent and enforce."</w:t>
      </w:r>
    </w:p>
    <w:p w:rsidR="00000000" w:rsidDel="00000000" w:rsidP="00000000" w:rsidRDefault="00000000" w:rsidRPr="00000000" w14:paraId="00000037">
      <w:pPr>
        <w:ind w:left="0" w:right="0" w:firstLine="0"/>
        <w:rPr/>
      </w:pPr>
      <w:r w:rsidDel="00000000" w:rsidR="00000000" w:rsidRPr="00000000">
        <w:rPr>
          <w:rtl w:val="0"/>
        </w:rPr>
      </w:r>
    </w:p>
    <w:p w:rsidR="00000000" w:rsidDel="00000000" w:rsidP="00000000" w:rsidRDefault="00000000" w:rsidRPr="00000000" w14:paraId="00000038">
      <w:pPr>
        <w:ind w:left="0" w:right="0" w:firstLine="0"/>
        <w:rPr/>
      </w:pPr>
      <w:r w:rsidDel="00000000" w:rsidR="00000000" w:rsidRPr="00000000">
        <w:rPr>
          <w:b w:val="1"/>
          <w:bCs w:val="1"/>
          <w:rtl w:val="0"/>
        </w:rPr>
        <w:t xml:space="preserve">The library is intentionally extensible:</w:t>
      </w:r>
      <w:r w:rsidDel="00000000" w:rsidR="00000000" w:rsidRPr="00000000">
        <w:rPr>
          <w:rtl w:val="0"/>
        </w:rPr>
        <w:t xml:space="preserve"> organisations can register additional rules at runtime using the PolicyRegistry.register() API without modifying the core engine. GDPR Article 22 automated decision-making obligations, SEC Regulation Best Interest requirements, or internal firm-specific policies can be added as additional pure functions following the same pattern. The architecture scales to any number of regulatory domains.</w:t>
      </w:r>
    </w:p>
    <w:p w:rsidR="00000000" w:rsidDel="00000000" w:rsidP="00000000" w:rsidRDefault="00000000" w:rsidRPr="00000000" w14:paraId="00000039">
      <w:pPr>
        <w:ind w:left="0" w:right="0" w:firstLine="0"/>
        <w:rPr/>
      </w:pPr>
      <w:r w:rsidDel="00000000" w:rsidR="00000000" w:rsidRPr="00000000">
        <w:rPr>
          <w:rtl w:val="0"/>
        </w:rPr>
      </w:r>
    </w:p>
    <w:p w:rsidR="00000000" w:rsidDel="00000000" w:rsidP="00000000" w:rsidRDefault="00000000" w:rsidRPr="00000000" w14:paraId="0000003A">
      <w:pPr>
        <w:ind w:left="0" w:right="0" w:firstLine="0"/>
        <w:rPr/>
      </w:pPr>
      <w:r w:rsidDel="00000000" w:rsidR="00000000" w:rsidRPr="00000000">
        <w:rPr>
          <w:rtl w:val="0"/>
        </w:rPr>
        <w:t xml:space="preserve">Each of the 13 rules is a pure Python function. It takes a text payload and a metadata context. It returns a violation record or nothing. Zero AWS dependencies. Executable in a unit test with the same fidelity as in production. All unit test coverage is enforced automatically in the CI pipeline.</w:t>
      </w:r>
    </w:p>
    <w:p w:rsidR="00000000" w:rsidDel="00000000" w:rsidP="00000000" w:rsidRDefault="00000000" w:rsidRPr="00000000" w14:paraId="0000003B">
      <w:pPr>
        <w:ind w:left="0" w:right="0" w:firstLine="0"/>
        <w:rPr/>
      </w:pPr>
      <w:r w:rsidDel="00000000" w:rsidR="00000000" w:rsidRPr="00000000">
        <w:rPr>
          <w:rtl w:val="0"/>
        </w:rPr>
      </w:r>
    </w:p>
    <w:tbl>
      <w:tblPr>
        <w:tblStyle w:val="Table1"/>
        <w:tblW w:w="10380.0" w:type="dxa"/>
        <w:jc w:val="left"/>
        <w:tblInd w:w="24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2535"/>
        <w:gridCol w:w="3885"/>
        <w:gridCol w:w="1155"/>
        <w:gridCol w:w="1035"/>
        <w:tblGridChange w:id="0">
          <w:tblGrid>
            <w:gridCol w:w="1770"/>
            <w:gridCol w:w="2535"/>
            <w:gridCol w:w="3885"/>
            <w:gridCol w:w="1155"/>
            <w:gridCol w:w="103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0" w:right="0" w:firstLine="0"/>
              <w:jc w:val="center"/>
              <w:rPr>
                <w:rFonts w:ascii="Arial" w:cs="Arial" w:eastAsia="Arial" w:hAnsi="Arial"/>
                <w:color w:val="1d1d1d"/>
                <w:sz w:val="20"/>
                <w:szCs w:val="20"/>
              </w:rPr>
            </w:pPr>
            <w:r w:rsidDel="00000000" w:rsidR="00000000" w:rsidRPr="00000000">
              <w:rPr>
                <w:rFonts w:ascii="Arial" w:cs="Arial" w:eastAsia="Arial" w:hAnsi="Arial"/>
                <w:b w:val="1"/>
                <w:bCs w:val="1"/>
                <w:color w:val="1d1d1d"/>
                <w:sz w:val="20"/>
                <w:szCs w:val="20"/>
                <w:rtl w:val="0"/>
              </w:rPr>
              <w:t xml:space="preserve">Rule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0" w:right="0" w:firstLine="0"/>
              <w:rPr>
                <w:rFonts w:ascii="Arial" w:cs="Arial" w:eastAsia="Arial" w:hAnsi="Arial"/>
                <w:color w:val="1d1d1d"/>
                <w:sz w:val="20"/>
                <w:szCs w:val="20"/>
              </w:rPr>
            </w:pPr>
            <w:r w:rsidDel="00000000" w:rsidR="00000000" w:rsidRPr="00000000">
              <w:rPr>
                <w:rFonts w:ascii="Arial" w:cs="Arial" w:eastAsia="Arial" w:hAnsi="Arial"/>
                <w:b w:val="1"/>
                <w:bCs w:val="1"/>
                <w:color w:val="1d1d1d"/>
                <w:sz w:val="20"/>
                <w:szCs w:val="20"/>
                <w:rtl w:val="0"/>
              </w:rPr>
              <w:t xml:space="preserve">Framework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0" w:right="0" w:firstLine="0"/>
              <w:jc w:val="center"/>
              <w:rPr>
                <w:rFonts w:ascii="Arial" w:cs="Arial" w:eastAsia="Arial" w:hAnsi="Arial"/>
                <w:color w:val="1d1d1d"/>
                <w:sz w:val="20"/>
                <w:szCs w:val="20"/>
              </w:rPr>
            </w:pPr>
            <w:r w:rsidDel="00000000" w:rsidR="00000000" w:rsidRPr="00000000">
              <w:rPr>
                <w:rFonts w:ascii="Arial" w:cs="Arial" w:eastAsia="Arial" w:hAnsi="Arial"/>
                <w:b w:val="1"/>
                <w:bCs w:val="1"/>
                <w:color w:val="1d1d1d"/>
                <w:sz w:val="20"/>
                <w:szCs w:val="20"/>
                <w:rtl w:val="0"/>
              </w:rPr>
              <w:t xml:space="preserve">Obligation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0" w:right="0" w:firstLine="0"/>
              <w:rPr>
                <w:rFonts w:ascii="Arial" w:cs="Arial" w:eastAsia="Arial" w:hAnsi="Arial"/>
                <w:color w:val="1d1d1d"/>
                <w:sz w:val="20"/>
                <w:szCs w:val="20"/>
              </w:rPr>
            </w:pPr>
            <w:r w:rsidDel="00000000" w:rsidR="00000000" w:rsidRPr="00000000">
              <w:rPr>
                <w:rFonts w:ascii="Arial" w:cs="Arial" w:eastAsia="Arial" w:hAnsi="Arial"/>
                <w:b w:val="1"/>
                <w:bCs w:val="1"/>
                <w:color w:val="1d1d1d"/>
                <w:sz w:val="20"/>
                <w:szCs w:val="20"/>
                <w:rtl w:val="0"/>
              </w:rPr>
              <w:t xml:space="preserve">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0" w:right="0" w:firstLine="0"/>
              <w:jc w:val="center"/>
              <w:rPr>
                <w:rFonts w:ascii="Arial" w:cs="Arial" w:eastAsia="Arial" w:hAnsi="Arial"/>
                <w:color w:val="1d1d1d"/>
                <w:sz w:val="20"/>
                <w:szCs w:val="20"/>
              </w:rPr>
            </w:pPr>
            <w:r w:rsidDel="00000000" w:rsidR="00000000" w:rsidRPr="00000000">
              <w:rPr>
                <w:rFonts w:ascii="Arial" w:cs="Arial" w:eastAsia="Arial" w:hAnsi="Arial"/>
                <w:b w:val="1"/>
                <w:bCs w:val="1"/>
                <w:color w:val="1d1d1d"/>
                <w:sz w:val="20"/>
                <w:szCs w:val="20"/>
                <w:rtl w:val="0"/>
              </w:rPr>
              <w:t xml:space="preserve">Severity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0" w:right="0" w:firstLine="0"/>
              <w:jc w:val="center"/>
              <w:rPr>
                <w:rFonts w:ascii="Arial" w:cs="Arial" w:eastAsia="Arial" w:hAnsi="Arial"/>
                <w:color w:val="1d1d1d"/>
                <w:sz w:val="20"/>
                <w:szCs w:val="20"/>
              </w:rPr>
            </w:pPr>
            <w:r w:rsidDel="00000000" w:rsidR="00000000" w:rsidRPr="00000000">
              <w:rPr>
                <w:rFonts w:ascii="Arial" w:cs="Arial" w:eastAsia="Arial" w:hAnsi="Arial"/>
                <w:color w:val="1d1d1d"/>
                <w:sz w:val="20"/>
                <w:szCs w:val="20"/>
                <w:rtl w:val="0"/>
              </w:rPr>
              <w:t xml:space="preserve">FINRA-001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0" w:right="0" w:firstLine="0"/>
              <w:rPr>
                <w:rFonts w:ascii="Arial" w:cs="Arial" w:eastAsia="Arial" w:hAnsi="Arial"/>
                <w:color w:val="1d1d1d"/>
                <w:sz w:val="20"/>
                <w:szCs w:val="20"/>
              </w:rPr>
            </w:pPr>
            <w:r w:rsidDel="00000000" w:rsidR="00000000" w:rsidRPr="00000000">
              <w:rPr>
                <w:rFonts w:ascii="Arial" w:cs="Arial" w:eastAsia="Arial" w:hAnsi="Arial"/>
                <w:color w:val="1d1d1d"/>
                <w:sz w:val="20"/>
                <w:szCs w:val="20"/>
                <w:rtl w:val="0"/>
              </w:rPr>
              <w:t xml:space="preserve">FINRA RN 24-09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0" w:right="0" w:firstLine="0"/>
              <w:rPr>
                <w:rFonts w:ascii="Arial" w:cs="Arial" w:eastAsia="Arial" w:hAnsi="Arial"/>
                <w:color w:val="1d1d1d"/>
                <w:sz w:val="20"/>
                <w:szCs w:val="20"/>
              </w:rPr>
            </w:pPr>
            <w:r w:rsidDel="00000000" w:rsidR="00000000" w:rsidRPr="00000000">
              <w:rPr>
                <w:rFonts w:ascii="Arial" w:cs="Arial" w:eastAsia="Arial" w:hAnsi="Arial"/>
                <w:color w:val="1d1d1d"/>
                <w:sz w:val="20"/>
                <w:szCs w:val="20"/>
                <w:rtl w:val="0"/>
              </w:rPr>
              <w:t xml:space="preserve">Investment advice without suitability basis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0" w:right="0" w:firstLine="0"/>
              <w:rPr>
                <w:rFonts w:ascii="Arial" w:cs="Arial" w:eastAsia="Arial" w:hAnsi="Arial"/>
                <w:color w:val="1d1d1d"/>
                <w:sz w:val="20"/>
                <w:szCs w:val="20"/>
              </w:rPr>
            </w:pPr>
            <w:r w:rsidDel="00000000" w:rsidR="00000000" w:rsidRPr="00000000">
              <w:rPr>
                <w:rFonts w:ascii="Arial" w:cs="Arial" w:eastAsia="Arial" w:hAnsi="Arial"/>
                <w:color w:val="1d1d1d"/>
                <w:sz w:val="20"/>
                <w:szCs w:val="20"/>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0" w:right="0" w:firstLine="0"/>
              <w:rPr>
                <w:rFonts w:ascii="Arial" w:cs="Arial" w:eastAsia="Arial" w:hAnsi="Arial"/>
                <w:color w:val="1d1d1d"/>
                <w:sz w:val="20"/>
                <w:szCs w:val="20"/>
              </w:rPr>
            </w:pPr>
            <w:r w:rsidDel="00000000" w:rsidR="00000000" w:rsidRPr="00000000">
              <w:rPr>
                <w:rFonts w:ascii="Arial" w:cs="Arial" w:eastAsia="Arial" w:hAnsi="Arial"/>
                <w:color w:val="1d1d1d"/>
                <w:sz w:val="20"/>
                <w:szCs w:val="20"/>
                <w:rtl w:val="0"/>
              </w:rPr>
              <w:t xml:space="preserve">High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0" w:right="0" w:firstLine="0"/>
              <w:jc w:val="center"/>
              <w:rPr>
                <w:rFonts w:ascii="Arial" w:cs="Arial" w:eastAsia="Arial" w:hAnsi="Arial"/>
                <w:color w:val="1d1d1d"/>
                <w:sz w:val="20"/>
                <w:szCs w:val="20"/>
              </w:rPr>
            </w:pPr>
            <w:r w:rsidDel="00000000" w:rsidR="00000000" w:rsidRPr="00000000">
              <w:rPr>
                <w:rFonts w:ascii="Arial" w:cs="Arial" w:eastAsia="Arial" w:hAnsi="Arial"/>
                <w:color w:val="1d1d1d"/>
                <w:sz w:val="20"/>
                <w:szCs w:val="20"/>
                <w:rtl w:val="0"/>
              </w:rPr>
              <w:t xml:space="preserve">FINRA-002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0" w:right="0" w:firstLine="0"/>
              <w:rPr>
                <w:rFonts w:ascii="Arial" w:cs="Arial" w:eastAsia="Arial" w:hAnsi="Arial"/>
                <w:color w:val="1d1d1d"/>
                <w:sz w:val="20"/>
                <w:szCs w:val="20"/>
              </w:rPr>
            </w:pPr>
            <w:r w:rsidDel="00000000" w:rsidR="00000000" w:rsidRPr="00000000">
              <w:rPr>
                <w:rFonts w:ascii="Arial" w:cs="Arial" w:eastAsia="Arial" w:hAnsi="Arial"/>
                <w:color w:val="1d1d1d"/>
                <w:sz w:val="20"/>
                <w:szCs w:val="20"/>
                <w:rtl w:val="0"/>
              </w:rPr>
              <w:t xml:space="preserve">FINRA RN 24-09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0" w:right="0" w:firstLine="0"/>
              <w:rPr>
                <w:rFonts w:ascii="Arial" w:cs="Arial" w:eastAsia="Arial" w:hAnsi="Arial"/>
                <w:color w:val="1d1d1d"/>
                <w:sz w:val="20"/>
                <w:szCs w:val="20"/>
              </w:rPr>
            </w:pPr>
            <w:r w:rsidDel="00000000" w:rsidR="00000000" w:rsidRPr="00000000">
              <w:rPr>
                <w:rFonts w:ascii="Arial" w:cs="Arial" w:eastAsia="Arial" w:hAnsi="Arial"/>
                <w:color w:val="1d1d1d"/>
                <w:sz w:val="20"/>
                <w:szCs w:val="20"/>
                <w:rtl w:val="0"/>
              </w:rPr>
              <w:t xml:space="preserve">AI recommendation missing mandatory disclosure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0" w:right="0" w:firstLine="0"/>
              <w:rPr>
                <w:rFonts w:ascii="Arial" w:cs="Arial" w:eastAsia="Arial" w:hAnsi="Arial"/>
                <w:color w:val="1d1d1d"/>
                <w:sz w:val="20"/>
                <w:szCs w:val="20"/>
              </w:rPr>
            </w:pPr>
            <w:r w:rsidDel="00000000" w:rsidR="00000000" w:rsidRPr="00000000">
              <w:rPr>
                <w:rFonts w:ascii="Arial" w:cs="Arial" w:eastAsia="Arial" w:hAnsi="Arial"/>
                <w:color w:val="1d1d1d"/>
                <w:sz w:val="20"/>
                <w:szCs w:val="20"/>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0" w:right="0" w:firstLine="0"/>
              <w:rPr>
                <w:rFonts w:ascii="Arial" w:cs="Arial" w:eastAsia="Arial" w:hAnsi="Arial"/>
                <w:color w:val="1d1d1d"/>
                <w:sz w:val="20"/>
                <w:szCs w:val="20"/>
              </w:rPr>
            </w:pPr>
            <w:r w:rsidDel="00000000" w:rsidR="00000000" w:rsidRPr="00000000">
              <w:rPr>
                <w:rFonts w:ascii="Arial" w:cs="Arial" w:eastAsia="Arial" w:hAnsi="Arial"/>
                <w:color w:val="1d1d1d"/>
                <w:sz w:val="20"/>
                <w:szCs w:val="20"/>
                <w:rtl w:val="0"/>
              </w:rPr>
              <w:t xml:space="preserve">High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0" w:right="0" w:firstLine="0"/>
              <w:jc w:val="center"/>
              <w:rPr>
                <w:rFonts w:ascii="Arial" w:cs="Arial" w:eastAsia="Arial" w:hAnsi="Arial"/>
                <w:color w:val="1d1d1d"/>
                <w:sz w:val="20"/>
                <w:szCs w:val="20"/>
              </w:rPr>
            </w:pPr>
            <w:r w:rsidDel="00000000" w:rsidR="00000000" w:rsidRPr="00000000">
              <w:rPr>
                <w:rFonts w:ascii="Arial" w:cs="Arial" w:eastAsia="Arial" w:hAnsi="Arial"/>
                <w:color w:val="1d1d1d"/>
                <w:sz w:val="20"/>
                <w:szCs w:val="20"/>
                <w:rtl w:val="0"/>
              </w:rPr>
              <w:t xml:space="preserve">FINRA-003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0" w:right="0" w:firstLine="0"/>
              <w:rPr>
                <w:rFonts w:ascii="Arial" w:cs="Arial" w:eastAsia="Arial" w:hAnsi="Arial"/>
                <w:color w:val="1d1d1d"/>
                <w:sz w:val="20"/>
                <w:szCs w:val="20"/>
              </w:rPr>
            </w:pPr>
            <w:r w:rsidDel="00000000" w:rsidR="00000000" w:rsidRPr="00000000">
              <w:rPr>
                <w:rFonts w:ascii="Arial" w:cs="Arial" w:eastAsia="Arial" w:hAnsi="Arial"/>
                <w:color w:val="1d1d1d"/>
                <w:sz w:val="20"/>
                <w:szCs w:val="20"/>
                <w:rtl w:val="0"/>
              </w:rPr>
              <w:t xml:space="preserve">FINRA Rule 3110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0" w:right="0" w:firstLine="0"/>
              <w:rPr>
                <w:rFonts w:ascii="Arial" w:cs="Arial" w:eastAsia="Arial" w:hAnsi="Arial"/>
                <w:color w:val="1d1d1d"/>
                <w:sz w:val="20"/>
                <w:szCs w:val="20"/>
              </w:rPr>
            </w:pPr>
            <w:r w:rsidDel="00000000" w:rsidR="00000000" w:rsidRPr="00000000">
              <w:rPr>
                <w:rFonts w:ascii="Arial" w:cs="Arial" w:eastAsia="Arial" w:hAnsi="Arial"/>
                <w:color w:val="1d1d1d"/>
                <w:sz w:val="20"/>
                <w:szCs w:val="20"/>
                <w:rtl w:val="0"/>
              </w:rPr>
              <w:t xml:space="preserve">Automated execution without supervision evidence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0" w:right="0" w:firstLine="0"/>
              <w:rPr>
                <w:rFonts w:ascii="Arial" w:cs="Arial" w:eastAsia="Arial" w:hAnsi="Arial"/>
                <w:color w:val="1d1d1d"/>
                <w:sz w:val="20"/>
                <w:szCs w:val="20"/>
              </w:rPr>
            </w:pPr>
            <w:r w:rsidDel="00000000" w:rsidR="00000000" w:rsidRPr="00000000">
              <w:rPr>
                <w:rFonts w:ascii="Arial" w:cs="Arial" w:eastAsia="Arial" w:hAnsi="Arial"/>
                <w:color w:val="1d1d1d"/>
                <w:sz w:val="20"/>
                <w:szCs w:val="20"/>
                <w:rtl w:val="0"/>
              </w:rPr>
              <w:t xml:space="preserve">[1][3]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0" w:right="0" w:firstLine="0"/>
              <w:rPr>
                <w:rFonts w:ascii="Arial" w:cs="Arial" w:eastAsia="Arial" w:hAnsi="Arial"/>
                <w:color w:val="1d1d1d"/>
                <w:sz w:val="20"/>
                <w:szCs w:val="20"/>
              </w:rPr>
            </w:pPr>
            <w:r w:rsidDel="00000000" w:rsidR="00000000" w:rsidRPr="00000000">
              <w:rPr>
                <w:rFonts w:ascii="Arial" w:cs="Arial" w:eastAsia="Arial" w:hAnsi="Arial"/>
                <w:color w:val="1d1d1d"/>
                <w:sz w:val="20"/>
                <w:szCs w:val="20"/>
                <w:rtl w:val="0"/>
              </w:rPr>
              <w:t xml:space="preserve">High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0" w:right="0" w:firstLine="0"/>
              <w:jc w:val="center"/>
              <w:rPr>
                <w:rFonts w:ascii="Arial" w:cs="Arial" w:eastAsia="Arial" w:hAnsi="Arial"/>
                <w:color w:val="1d1d1d"/>
                <w:sz w:val="20"/>
                <w:szCs w:val="20"/>
              </w:rPr>
            </w:pPr>
            <w:r w:rsidDel="00000000" w:rsidR="00000000" w:rsidRPr="00000000">
              <w:rPr>
                <w:rFonts w:ascii="Arial" w:cs="Arial" w:eastAsia="Arial" w:hAnsi="Arial"/>
                <w:color w:val="1d1d1d"/>
                <w:sz w:val="20"/>
                <w:szCs w:val="20"/>
                <w:rtl w:val="0"/>
              </w:rPr>
              <w:t xml:space="preserve">FINRA-004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0" w:right="0" w:firstLine="0"/>
              <w:rPr>
                <w:rFonts w:ascii="Arial" w:cs="Arial" w:eastAsia="Arial" w:hAnsi="Arial"/>
                <w:color w:val="1d1d1d"/>
                <w:sz w:val="20"/>
                <w:szCs w:val="20"/>
              </w:rPr>
            </w:pPr>
            <w:r w:rsidDel="00000000" w:rsidR="00000000" w:rsidRPr="00000000">
              <w:rPr>
                <w:rFonts w:ascii="Arial" w:cs="Arial" w:eastAsia="Arial" w:hAnsi="Arial"/>
                <w:color w:val="1d1d1d"/>
                <w:sz w:val="20"/>
                <w:szCs w:val="20"/>
                <w:rtl w:val="0"/>
              </w:rPr>
              <w:t xml:space="preserve">FINRA Rule 2210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0" w:right="0" w:firstLine="0"/>
              <w:rPr>
                <w:rFonts w:ascii="Arial" w:cs="Arial" w:eastAsia="Arial" w:hAnsi="Arial"/>
                <w:color w:val="1d1d1d"/>
                <w:sz w:val="20"/>
                <w:szCs w:val="20"/>
              </w:rPr>
            </w:pPr>
            <w:r w:rsidDel="00000000" w:rsidR="00000000" w:rsidRPr="00000000">
              <w:rPr>
                <w:rFonts w:ascii="Arial" w:cs="Arial" w:eastAsia="Arial" w:hAnsi="Arial"/>
                <w:color w:val="1d1d1d"/>
                <w:sz w:val="20"/>
                <w:szCs w:val="20"/>
                <w:rtl w:val="0"/>
              </w:rPr>
              <w:t xml:space="preserve">Guaranteed returns, risk-free, absolute certainty language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0" w:right="0" w:firstLine="0"/>
              <w:rPr>
                <w:rFonts w:ascii="Arial" w:cs="Arial" w:eastAsia="Arial" w:hAnsi="Arial"/>
                <w:color w:val="1d1d1d"/>
                <w:sz w:val="20"/>
                <w:szCs w:val="20"/>
              </w:rPr>
            </w:pPr>
            <w:r w:rsidDel="00000000" w:rsidR="00000000" w:rsidRPr="00000000">
              <w:rPr>
                <w:rFonts w:ascii="Arial" w:cs="Arial" w:eastAsia="Arial" w:hAnsi="Arial"/>
                <w:color w:val="1d1d1d"/>
                <w:sz w:val="20"/>
                <w:szCs w:val="20"/>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0" w:right="0" w:firstLine="0"/>
              <w:rPr>
                <w:rFonts w:ascii="Arial" w:cs="Arial" w:eastAsia="Arial" w:hAnsi="Arial"/>
                <w:color w:val="1d1d1d"/>
                <w:sz w:val="20"/>
                <w:szCs w:val="20"/>
              </w:rPr>
            </w:pPr>
            <w:r w:rsidDel="00000000" w:rsidR="00000000" w:rsidRPr="00000000">
              <w:rPr>
                <w:rFonts w:ascii="Arial" w:cs="Arial" w:eastAsia="Arial" w:hAnsi="Arial"/>
                <w:color w:val="1d1d1d"/>
                <w:sz w:val="20"/>
                <w:szCs w:val="20"/>
                <w:rtl w:val="0"/>
              </w:rPr>
              <w:t xml:space="preserve">High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0" w:right="0" w:firstLine="0"/>
              <w:jc w:val="center"/>
              <w:rPr>
                <w:rFonts w:ascii="Arial" w:cs="Arial" w:eastAsia="Arial" w:hAnsi="Arial"/>
                <w:color w:val="1d1d1d"/>
                <w:sz w:val="20"/>
                <w:szCs w:val="20"/>
              </w:rPr>
            </w:pPr>
            <w:r w:rsidDel="00000000" w:rsidR="00000000" w:rsidRPr="00000000">
              <w:rPr>
                <w:rFonts w:ascii="Arial" w:cs="Arial" w:eastAsia="Arial" w:hAnsi="Arial"/>
                <w:color w:val="1d1d1d"/>
                <w:sz w:val="20"/>
                <w:szCs w:val="20"/>
                <w:rtl w:val="0"/>
              </w:rPr>
              <w:t xml:space="preserve">NIST-001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0" w:right="0" w:firstLine="0"/>
              <w:rPr>
                <w:rFonts w:ascii="Arial" w:cs="Arial" w:eastAsia="Arial" w:hAnsi="Arial"/>
                <w:color w:val="1d1d1d"/>
                <w:sz w:val="20"/>
                <w:szCs w:val="20"/>
              </w:rPr>
            </w:pPr>
            <w:r w:rsidDel="00000000" w:rsidR="00000000" w:rsidRPr="00000000">
              <w:rPr>
                <w:rFonts w:ascii="Arial" w:cs="Arial" w:eastAsia="Arial" w:hAnsi="Arial"/>
                <w:color w:val="1d1d1d"/>
                <w:sz w:val="20"/>
                <w:szCs w:val="20"/>
                <w:rtl w:val="0"/>
              </w:rPr>
              <w:t xml:space="preserve">NIST AI RMF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0" w:right="0" w:firstLine="0"/>
              <w:rPr>
                <w:rFonts w:ascii="Arial" w:cs="Arial" w:eastAsia="Arial" w:hAnsi="Arial"/>
                <w:color w:val="1d1d1d"/>
                <w:sz w:val="20"/>
                <w:szCs w:val="20"/>
              </w:rPr>
            </w:pPr>
            <w:r w:rsidDel="00000000" w:rsidR="00000000" w:rsidRPr="00000000">
              <w:rPr>
                <w:rFonts w:ascii="Arial" w:cs="Arial" w:eastAsia="Arial" w:hAnsi="Arial"/>
                <w:color w:val="1d1d1d"/>
                <w:sz w:val="20"/>
                <w:szCs w:val="20"/>
                <w:rtl w:val="0"/>
              </w:rPr>
              <w:t xml:space="preserve">Demographic bias indicators in AI outputs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0" w:right="0" w:firstLine="0"/>
              <w:rPr>
                <w:rFonts w:ascii="Arial" w:cs="Arial" w:eastAsia="Arial" w:hAnsi="Arial"/>
                <w:color w:val="1d1d1d"/>
                <w:sz w:val="20"/>
                <w:szCs w:val="20"/>
              </w:rPr>
            </w:pPr>
            <w:r w:rsidDel="00000000" w:rsidR="00000000" w:rsidRPr="00000000">
              <w:rPr>
                <w:rFonts w:ascii="Arial" w:cs="Arial" w:eastAsia="Arial" w:hAnsi="Arial"/>
                <w:color w:val="1d1d1d"/>
                <w:sz w:val="20"/>
                <w:szCs w:val="20"/>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0" w:right="0" w:firstLine="0"/>
              <w:rPr>
                <w:rFonts w:ascii="Arial" w:cs="Arial" w:eastAsia="Arial" w:hAnsi="Arial"/>
                <w:color w:val="1d1d1d"/>
                <w:sz w:val="20"/>
                <w:szCs w:val="20"/>
              </w:rPr>
            </w:pPr>
            <w:r w:rsidDel="00000000" w:rsidR="00000000" w:rsidRPr="00000000">
              <w:rPr>
                <w:rFonts w:ascii="Arial" w:cs="Arial" w:eastAsia="Arial" w:hAnsi="Arial"/>
                <w:color w:val="1d1d1d"/>
                <w:sz w:val="20"/>
                <w:szCs w:val="20"/>
                <w:rtl w:val="0"/>
              </w:rPr>
              <w:t xml:space="preserve">High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0" w:right="0" w:firstLine="0"/>
              <w:jc w:val="center"/>
              <w:rPr>
                <w:rFonts w:ascii="Arial" w:cs="Arial" w:eastAsia="Arial" w:hAnsi="Arial"/>
                <w:color w:val="1d1d1d"/>
                <w:sz w:val="20"/>
                <w:szCs w:val="20"/>
              </w:rPr>
            </w:pPr>
            <w:r w:rsidDel="00000000" w:rsidR="00000000" w:rsidRPr="00000000">
              <w:rPr>
                <w:rFonts w:ascii="Arial" w:cs="Arial" w:eastAsia="Arial" w:hAnsi="Arial"/>
                <w:color w:val="1d1d1d"/>
                <w:sz w:val="20"/>
                <w:szCs w:val="20"/>
                <w:rtl w:val="0"/>
              </w:rPr>
              <w:t xml:space="preserve">NIST-002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0" w:right="0" w:firstLine="0"/>
              <w:rPr>
                <w:rFonts w:ascii="Arial" w:cs="Arial" w:eastAsia="Arial" w:hAnsi="Arial"/>
                <w:color w:val="1d1d1d"/>
                <w:sz w:val="20"/>
                <w:szCs w:val="20"/>
              </w:rPr>
            </w:pPr>
            <w:r w:rsidDel="00000000" w:rsidR="00000000" w:rsidRPr="00000000">
              <w:rPr>
                <w:rFonts w:ascii="Arial" w:cs="Arial" w:eastAsia="Arial" w:hAnsi="Arial"/>
                <w:color w:val="1d1d1d"/>
                <w:sz w:val="20"/>
                <w:szCs w:val="20"/>
                <w:rtl w:val="0"/>
              </w:rPr>
              <w:t xml:space="preserve">NIST AI RMF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0" w:right="0" w:firstLine="0"/>
              <w:rPr>
                <w:rFonts w:ascii="Arial" w:cs="Arial" w:eastAsia="Arial" w:hAnsi="Arial"/>
                <w:color w:val="1d1d1d"/>
                <w:sz w:val="20"/>
                <w:szCs w:val="20"/>
              </w:rPr>
            </w:pPr>
            <w:r w:rsidDel="00000000" w:rsidR="00000000" w:rsidRPr="00000000">
              <w:rPr>
                <w:rFonts w:ascii="Arial" w:cs="Arial" w:eastAsia="Arial" w:hAnsi="Arial"/>
                <w:color w:val="1d1d1d"/>
                <w:sz w:val="20"/>
                <w:szCs w:val="20"/>
                <w:rtl w:val="0"/>
              </w:rPr>
              <w:t xml:space="preserve">Decisions lacking explainability markers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0" w:right="0" w:firstLine="0"/>
              <w:rPr>
                <w:rFonts w:ascii="Arial" w:cs="Arial" w:eastAsia="Arial" w:hAnsi="Arial"/>
                <w:color w:val="1d1d1d"/>
                <w:sz w:val="20"/>
                <w:szCs w:val="20"/>
              </w:rPr>
            </w:pPr>
            <w:r w:rsidDel="00000000" w:rsidR="00000000" w:rsidRPr="00000000">
              <w:rPr>
                <w:rFonts w:ascii="Arial" w:cs="Arial" w:eastAsia="Arial" w:hAnsi="Arial"/>
                <w:color w:val="1d1d1d"/>
                <w:sz w:val="20"/>
                <w:szCs w:val="20"/>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0" w:right="0" w:firstLine="0"/>
              <w:rPr>
                <w:rFonts w:ascii="Arial" w:cs="Arial" w:eastAsia="Arial" w:hAnsi="Arial"/>
                <w:color w:val="1d1d1d"/>
                <w:sz w:val="20"/>
                <w:szCs w:val="20"/>
              </w:rPr>
            </w:pPr>
            <w:r w:rsidDel="00000000" w:rsidR="00000000" w:rsidRPr="00000000">
              <w:rPr>
                <w:rFonts w:ascii="Arial" w:cs="Arial" w:eastAsia="Arial" w:hAnsi="Arial"/>
                <w:color w:val="1d1d1d"/>
                <w:sz w:val="20"/>
                <w:szCs w:val="20"/>
                <w:rtl w:val="0"/>
              </w:rPr>
              <w:t xml:space="preserve">Medium</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0" w:right="0" w:firstLine="0"/>
              <w:jc w:val="center"/>
              <w:rPr>
                <w:rFonts w:ascii="Arial" w:cs="Arial" w:eastAsia="Arial" w:hAnsi="Arial"/>
                <w:color w:val="1d1d1d"/>
                <w:sz w:val="20"/>
                <w:szCs w:val="20"/>
              </w:rPr>
            </w:pPr>
            <w:r w:rsidDel="00000000" w:rsidR="00000000" w:rsidRPr="00000000">
              <w:rPr>
                <w:rFonts w:ascii="Arial" w:cs="Arial" w:eastAsia="Arial" w:hAnsi="Arial"/>
                <w:color w:val="1d1d1d"/>
                <w:sz w:val="20"/>
                <w:szCs w:val="20"/>
                <w:rtl w:val="0"/>
              </w:rPr>
              <w:t xml:space="preserve">NIST-003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0" w:right="0" w:firstLine="0"/>
              <w:rPr>
                <w:rFonts w:ascii="Arial" w:cs="Arial" w:eastAsia="Arial" w:hAnsi="Arial"/>
                <w:color w:val="1d1d1d"/>
                <w:sz w:val="20"/>
                <w:szCs w:val="20"/>
              </w:rPr>
            </w:pPr>
            <w:r w:rsidDel="00000000" w:rsidR="00000000" w:rsidRPr="00000000">
              <w:rPr>
                <w:rFonts w:ascii="Arial" w:cs="Arial" w:eastAsia="Arial" w:hAnsi="Arial"/>
                <w:color w:val="1d1d1d"/>
                <w:sz w:val="20"/>
                <w:szCs w:val="20"/>
                <w:rtl w:val="0"/>
              </w:rPr>
              <w:t xml:space="preserve">NIST AI RMF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0" w:right="0" w:firstLine="0"/>
              <w:rPr>
                <w:rFonts w:ascii="Arial" w:cs="Arial" w:eastAsia="Arial" w:hAnsi="Arial"/>
                <w:color w:val="1d1d1d"/>
                <w:sz w:val="20"/>
                <w:szCs w:val="20"/>
              </w:rPr>
            </w:pPr>
            <w:r w:rsidDel="00000000" w:rsidR="00000000" w:rsidRPr="00000000">
              <w:rPr>
                <w:rFonts w:ascii="Arial" w:cs="Arial" w:eastAsia="Arial" w:hAnsi="Arial"/>
                <w:color w:val="1d1d1d"/>
                <w:sz w:val="20"/>
                <w:szCs w:val="20"/>
                <w:rtl w:val="0"/>
              </w:rPr>
              <w:t xml:space="preserve">Prompt injection, instruction override, jailbreak patterns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0" w:right="0" w:firstLine="0"/>
              <w:rPr>
                <w:rFonts w:ascii="Arial" w:cs="Arial" w:eastAsia="Arial" w:hAnsi="Arial"/>
                <w:color w:val="1d1d1d"/>
                <w:sz w:val="20"/>
                <w:szCs w:val="20"/>
              </w:rPr>
            </w:pPr>
            <w:r w:rsidDel="00000000" w:rsidR="00000000" w:rsidRPr="00000000">
              <w:rPr>
                <w:rFonts w:ascii="Arial" w:cs="Arial" w:eastAsia="Arial" w:hAnsi="Arial"/>
                <w:color w:val="1d1d1d"/>
                <w:sz w:val="20"/>
                <w:szCs w:val="20"/>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0" w:right="0" w:firstLine="0"/>
              <w:rPr>
                <w:rFonts w:ascii="Arial" w:cs="Arial" w:eastAsia="Arial" w:hAnsi="Arial"/>
                <w:color w:val="1d1d1d"/>
                <w:sz w:val="20"/>
                <w:szCs w:val="20"/>
              </w:rPr>
            </w:pPr>
            <w:r w:rsidDel="00000000" w:rsidR="00000000" w:rsidRPr="00000000">
              <w:rPr>
                <w:rFonts w:ascii="Arial" w:cs="Arial" w:eastAsia="Arial" w:hAnsi="Arial"/>
                <w:color w:val="1d1d1d"/>
                <w:sz w:val="20"/>
                <w:szCs w:val="20"/>
                <w:rtl w:val="0"/>
              </w:rPr>
              <w:t xml:space="preserve">Critical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0" w:right="0" w:firstLine="0"/>
              <w:jc w:val="center"/>
              <w:rPr>
                <w:rFonts w:ascii="Arial" w:cs="Arial" w:eastAsia="Arial" w:hAnsi="Arial"/>
                <w:color w:val="1d1d1d"/>
                <w:sz w:val="20"/>
                <w:szCs w:val="20"/>
              </w:rPr>
            </w:pPr>
            <w:r w:rsidDel="00000000" w:rsidR="00000000" w:rsidRPr="00000000">
              <w:rPr>
                <w:rFonts w:ascii="Arial" w:cs="Arial" w:eastAsia="Arial" w:hAnsi="Arial"/>
                <w:color w:val="1d1d1d"/>
                <w:sz w:val="20"/>
                <w:szCs w:val="20"/>
                <w:rtl w:val="0"/>
              </w:rPr>
              <w:t xml:space="preserve">NIST-004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0" w:right="0" w:firstLine="0"/>
              <w:rPr>
                <w:rFonts w:ascii="Arial" w:cs="Arial" w:eastAsia="Arial" w:hAnsi="Arial"/>
                <w:color w:val="1d1d1d"/>
                <w:sz w:val="20"/>
                <w:szCs w:val="20"/>
              </w:rPr>
            </w:pPr>
            <w:r w:rsidDel="00000000" w:rsidR="00000000" w:rsidRPr="00000000">
              <w:rPr>
                <w:rFonts w:ascii="Arial" w:cs="Arial" w:eastAsia="Arial" w:hAnsi="Arial"/>
                <w:color w:val="1d1d1d"/>
                <w:sz w:val="20"/>
                <w:szCs w:val="20"/>
                <w:rtl w:val="0"/>
              </w:rPr>
              <w:t xml:space="preserve">NIST AI RMF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0" w:right="0" w:firstLine="0"/>
              <w:rPr>
                <w:rFonts w:ascii="Arial" w:cs="Arial" w:eastAsia="Arial" w:hAnsi="Arial"/>
                <w:color w:val="1d1d1d"/>
                <w:sz w:val="20"/>
                <w:szCs w:val="20"/>
              </w:rPr>
            </w:pPr>
            <w:r w:rsidDel="00000000" w:rsidR="00000000" w:rsidRPr="00000000">
              <w:rPr>
                <w:rFonts w:ascii="Arial" w:cs="Arial" w:eastAsia="Arial" w:hAnsi="Arial"/>
                <w:color w:val="1d1d1d"/>
                <w:sz w:val="20"/>
                <w:szCs w:val="20"/>
                <w:rtl w:val="0"/>
              </w:rPr>
              <w:t xml:space="preserve">PII exposure — SSN, email, phone, date of birth, address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0" w:right="0" w:firstLine="0"/>
              <w:rPr>
                <w:rFonts w:ascii="Arial" w:cs="Arial" w:eastAsia="Arial" w:hAnsi="Arial"/>
                <w:color w:val="1d1d1d"/>
                <w:sz w:val="20"/>
                <w:szCs w:val="20"/>
              </w:rPr>
            </w:pPr>
            <w:r w:rsidDel="00000000" w:rsidR="00000000" w:rsidRPr="00000000">
              <w:rPr>
                <w:rFonts w:ascii="Arial" w:cs="Arial" w:eastAsia="Arial" w:hAnsi="Arial"/>
                <w:color w:val="1d1d1d"/>
                <w:sz w:val="20"/>
                <w:szCs w:val="20"/>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0" w:right="0" w:firstLine="0"/>
              <w:rPr>
                <w:rFonts w:ascii="Arial" w:cs="Arial" w:eastAsia="Arial" w:hAnsi="Arial"/>
                <w:color w:val="1d1d1d"/>
                <w:sz w:val="20"/>
                <w:szCs w:val="20"/>
              </w:rPr>
            </w:pPr>
            <w:r w:rsidDel="00000000" w:rsidR="00000000" w:rsidRPr="00000000">
              <w:rPr>
                <w:rFonts w:ascii="Arial" w:cs="Arial" w:eastAsia="Arial" w:hAnsi="Arial"/>
                <w:color w:val="1d1d1d"/>
                <w:sz w:val="20"/>
                <w:szCs w:val="20"/>
                <w:rtl w:val="0"/>
              </w:rPr>
              <w:t xml:space="preserve">High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0" w:right="0" w:firstLine="0"/>
              <w:jc w:val="center"/>
              <w:rPr>
                <w:rFonts w:ascii="Arial" w:cs="Arial" w:eastAsia="Arial" w:hAnsi="Arial"/>
                <w:color w:val="1d1d1d"/>
                <w:sz w:val="20"/>
                <w:szCs w:val="20"/>
              </w:rPr>
            </w:pPr>
            <w:r w:rsidDel="00000000" w:rsidR="00000000" w:rsidRPr="00000000">
              <w:rPr>
                <w:rFonts w:ascii="Arial" w:cs="Arial" w:eastAsia="Arial" w:hAnsi="Arial"/>
                <w:color w:val="1d1d1d"/>
                <w:sz w:val="20"/>
                <w:szCs w:val="20"/>
                <w:rtl w:val="0"/>
              </w:rPr>
              <w:t xml:space="preserve">PCI-001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0" w:right="0" w:firstLine="0"/>
              <w:rPr>
                <w:rFonts w:ascii="Arial" w:cs="Arial" w:eastAsia="Arial" w:hAnsi="Arial"/>
                <w:color w:val="1d1d1d"/>
                <w:sz w:val="20"/>
                <w:szCs w:val="20"/>
              </w:rPr>
            </w:pPr>
            <w:r w:rsidDel="00000000" w:rsidR="00000000" w:rsidRPr="00000000">
              <w:rPr>
                <w:rFonts w:ascii="Arial" w:cs="Arial" w:eastAsia="Arial" w:hAnsi="Arial"/>
                <w:color w:val="1d1d1d"/>
                <w:sz w:val="20"/>
                <w:szCs w:val="20"/>
                <w:rtl w:val="0"/>
              </w:rPr>
              <w:t xml:space="preserve">PCI DSS v4.0 Req 3.3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0" w:right="0" w:firstLine="0"/>
              <w:rPr>
                <w:rFonts w:ascii="Arial" w:cs="Arial" w:eastAsia="Arial" w:hAnsi="Arial"/>
                <w:color w:val="1d1d1d"/>
                <w:sz w:val="20"/>
                <w:szCs w:val="20"/>
              </w:rPr>
            </w:pPr>
            <w:r w:rsidDel="00000000" w:rsidR="00000000" w:rsidRPr="00000000">
              <w:rPr>
                <w:rFonts w:ascii="Arial" w:cs="Arial" w:eastAsia="Arial" w:hAnsi="Arial"/>
                <w:color w:val="1d1d1d"/>
                <w:sz w:val="20"/>
                <w:szCs w:val="20"/>
                <w:rtl w:val="0"/>
              </w:rPr>
              <w:t xml:space="preserve">Payment card numbers — Luhn-validated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0" w:right="0" w:firstLine="0"/>
              <w:rPr>
                <w:rFonts w:ascii="Arial" w:cs="Arial" w:eastAsia="Arial" w:hAnsi="Arial"/>
                <w:color w:val="1d1d1d"/>
                <w:sz w:val="20"/>
                <w:szCs w:val="20"/>
              </w:rPr>
            </w:pPr>
            <w:r w:rsidDel="00000000" w:rsidR="00000000" w:rsidRPr="00000000">
              <w:rPr>
                <w:rFonts w:ascii="Arial" w:cs="Arial" w:eastAsia="Arial" w:hAnsi="Arial"/>
                <w:color w:val="1d1d1d"/>
                <w:sz w:val="20"/>
                <w:szCs w:val="20"/>
                <w:rtl w:val="0"/>
              </w:rPr>
              <w:t xml:space="preserve">[5][6]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0" w:right="0" w:firstLine="0"/>
              <w:rPr>
                <w:rFonts w:ascii="Arial" w:cs="Arial" w:eastAsia="Arial" w:hAnsi="Arial"/>
                <w:color w:val="1d1d1d"/>
                <w:sz w:val="20"/>
                <w:szCs w:val="20"/>
              </w:rPr>
            </w:pPr>
            <w:r w:rsidDel="00000000" w:rsidR="00000000" w:rsidRPr="00000000">
              <w:rPr>
                <w:rFonts w:ascii="Arial" w:cs="Arial" w:eastAsia="Arial" w:hAnsi="Arial"/>
                <w:color w:val="1d1d1d"/>
                <w:sz w:val="20"/>
                <w:szCs w:val="20"/>
                <w:rtl w:val="0"/>
              </w:rPr>
              <w:t xml:space="preserve">Critical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0" w:right="0" w:firstLine="0"/>
              <w:jc w:val="center"/>
              <w:rPr>
                <w:rFonts w:ascii="Arial" w:cs="Arial" w:eastAsia="Arial" w:hAnsi="Arial"/>
                <w:color w:val="1d1d1d"/>
                <w:sz w:val="20"/>
                <w:szCs w:val="20"/>
              </w:rPr>
            </w:pPr>
            <w:r w:rsidDel="00000000" w:rsidR="00000000" w:rsidRPr="00000000">
              <w:rPr>
                <w:rFonts w:ascii="Arial" w:cs="Arial" w:eastAsia="Arial" w:hAnsi="Arial"/>
                <w:color w:val="1d1d1d"/>
                <w:sz w:val="20"/>
                <w:szCs w:val="20"/>
                <w:rtl w:val="0"/>
              </w:rPr>
              <w:t xml:space="preserve">PCI-002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0" w:right="0" w:firstLine="0"/>
              <w:rPr>
                <w:rFonts w:ascii="Arial" w:cs="Arial" w:eastAsia="Arial" w:hAnsi="Arial"/>
                <w:color w:val="1d1d1d"/>
                <w:sz w:val="20"/>
                <w:szCs w:val="20"/>
              </w:rPr>
            </w:pPr>
            <w:r w:rsidDel="00000000" w:rsidR="00000000" w:rsidRPr="00000000">
              <w:rPr>
                <w:rFonts w:ascii="Arial" w:cs="Arial" w:eastAsia="Arial" w:hAnsi="Arial"/>
                <w:color w:val="1d1d1d"/>
                <w:sz w:val="20"/>
                <w:szCs w:val="20"/>
                <w:rtl w:val="0"/>
              </w:rPr>
              <w:t xml:space="preserve">PCI DSS v4.0 Req 3.3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0" w:right="0" w:firstLine="0"/>
              <w:rPr>
                <w:rFonts w:ascii="Arial" w:cs="Arial" w:eastAsia="Arial" w:hAnsi="Arial"/>
                <w:color w:val="1d1d1d"/>
                <w:sz w:val="20"/>
                <w:szCs w:val="20"/>
              </w:rPr>
            </w:pPr>
            <w:r w:rsidDel="00000000" w:rsidR="00000000" w:rsidRPr="00000000">
              <w:rPr>
                <w:rFonts w:ascii="Arial" w:cs="Arial" w:eastAsia="Arial" w:hAnsi="Arial"/>
                <w:color w:val="1d1d1d"/>
                <w:sz w:val="20"/>
                <w:szCs w:val="20"/>
                <w:rtl w:val="0"/>
              </w:rPr>
              <w:t xml:space="preserve">CVV/CVC values in context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0" w:right="0" w:firstLine="0"/>
              <w:rPr>
                <w:rFonts w:ascii="Arial" w:cs="Arial" w:eastAsia="Arial" w:hAnsi="Arial"/>
                <w:color w:val="1d1d1d"/>
                <w:sz w:val="20"/>
                <w:szCs w:val="20"/>
              </w:rPr>
            </w:pPr>
            <w:r w:rsidDel="00000000" w:rsidR="00000000" w:rsidRPr="00000000">
              <w:rPr>
                <w:rFonts w:ascii="Arial" w:cs="Arial" w:eastAsia="Arial" w:hAnsi="Arial"/>
                <w:color w:val="1d1d1d"/>
                <w:sz w:val="20"/>
                <w:szCs w:val="20"/>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0" w:right="0" w:firstLine="0"/>
              <w:rPr>
                <w:rFonts w:ascii="Arial" w:cs="Arial" w:eastAsia="Arial" w:hAnsi="Arial"/>
                <w:color w:val="1d1d1d"/>
                <w:sz w:val="20"/>
                <w:szCs w:val="20"/>
              </w:rPr>
            </w:pPr>
            <w:r w:rsidDel="00000000" w:rsidR="00000000" w:rsidRPr="00000000">
              <w:rPr>
                <w:rFonts w:ascii="Arial" w:cs="Arial" w:eastAsia="Arial" w:hAnsi="Arial"/>
                <w:color w:val="1d1d1d"/>
                <w:sz w:val="20"/>
                <w:szCs w:val="20"/>
                <w:rtl w:val="0"/>
              </w:rPr>
              <w:t xml:space="preserve">Critical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0" w:right="0" w:firstLine="0"/>
              <w:jc w:val="center"/>
              <w:rPr>
                <w:rFonts w:ascii="Arial" w:cs="Arial" w:eastAsia="Arial" w:hAnsi="Arial"/>
                <w:color w:val="1d1d1d"/>
                <w:sz w:val="20"/>
                <w:szCs w:val="20"/>
              </w:rPr>
            </w:pPr>
            <w:r w:rsidDel="00000000" w:rsidR="00000000" w:rsidRPr="00000000">
              <w:rPr>
                <w:rFonts w:ascii="Arial" w:cs="Arial" w:eastAsia="Arial" w:hAnsi="Arial"/>
                <w:color w:val="1d1d1d"/>
                <w:sz w:val="20"/>
                <w:szCs w:val="20"/>
                <w:rtl w:val="0"/>
              </w:rPr>
              <w:t xml:space="preserve">PCI-003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0" w:right="0" w:firstLine="0"/>
              <w:rPr>
                <w:rFonts w:ascii="Arial" w:cs="Arial" w:eastAsia="Arial" w:hAnsi="Arial"/>
                <w:color w:val="1d1d1d"/>
                <w:sz w:val="20"/>
                <w:szCs w:val="20"/>
              </w:rPr>
            </w:pPr>
            <w:r w:rsidDel="00000000" w:rsidR="00000000" w:rsidRPr="00000000">
              <w:rPr>
                <w:rFonts w:ascii="Arial" w:cs="Arial" w:eastAsia="Arial" w:hAnsi="Arial"/>
                <w:color w:val="1d1d1d"/>
                <w:sz w:val="20"/>
                <w:szCs w:val="20"/>
                <w:rtl w:val="0"/>
              </w:rPr>
              <w:t xml:space="preserve">PCI DSS v4.0 Req 3.3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0" w:right="0" w:firstLine="0"/>
              <w:rPr>
                <w:rFonts w:ascii="Arial" w:cs="Arial" w:eastAsia="Arial" w:hAnsi="Arial"/>
                <w:color w:val="1d1d1d"/>
                <w:sz w:val="20"/>
                <w:szCs w:val="20"/>
              </w:rPr>
            </w:pPr>
            <w:r w:rsidDel="00000000" w:rsidR="00000000" w:rsidRPr="00000000">
              <w:rPr>
                <w:rFonts w:ascii="Arial" w:cs="Arial" w:eastAsia="Arial" w:hAnsi="Arial"/>
                <w:color w:val="1d1d1d"/>
                <w:sz w:val="20"/>
                <w:szCs w:val="20"/>
                <w:rtl w:val="0"/>
              </w:rPr>
              <w:t xml:space="preserve">Card expiry date patterns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0" w:right="0" w:firstLine="0"/>
              <w:rPr>
                <w:rFonts w:ascii="Arial" w:cs="Arial" w:eastAsia="Arial" w:hAnsi="Arial"/>
                <w:color w:val="1d1d1d"/>
                <w:sz w:val="20"/>
                <w:szCs w:val="20"/>
              </w:rPr>
            </w:pPr>
            <w:r w:rsidDel="00000000" w:rsidR="00000000" w:rsidRPr="00000000">
              <w:rPr>
                <w:rFonts w:ascii="Arial" w:cs="Arial" w:eastAsia="Arial" w:hAnsi="Arial"/>
                <w:color w:val="1d1d1d"/>
                <w:sz w:val="20"/>
                <w:szCs w:val="20"/>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0" w:right="0" w:firstLine="0"/>
              <w:rPr>
                <w:rFonts w:ascii="Arial" w:cs="Arial" w:eastAsia="Arial" w:hAnsi="Arial"/>
                <w:color w:val="1d1d1d"/>
                <w:sz w:val="20"/>
                <w:szCs w:val="20"/>
              </w:rPr>
            </w:pPr>
            <w:r w:rsidDel="00000000" w:rsidR="00000000" w:rsidRPr="00000000">
              <w:rPr>
                <w:rFonts w:ascii="Arial" w:cs="Arial" w:eastAsia="Arial" w:hAnsi="Arial"/>
                <w:color w:val="1d1d1d"/>
                <w:sz w:val="20"/>
                <w:szCs w:val="20"/>
                <w:rtl w:val="0"/>
              </w:rPr>
              <w:t xml:space="preserve">High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0" w:right="0" w:firstLine="0"/>
              <w:jc w:val="center"/>
              <w:rPr>
                <w:rFonts w:ascii="Arial" w:cs="Arial" w:eastAsia="Arial" w:hAnsi="Arial"/>
                <w:color w:val="1d1d1d"/>
                <w:sz w:val="20"/>
                <w:szCs w:val="20"/>
              </w:rPr>
            </w:pPr>
            <w:r w:rsidDel="00000000" w:rsidR="00000000" w:rsidRPr="00000000">
              <w:rPr>
                <w:rFonts w:ascii="Arial" w:cs="Arial" w:eastAsia="Arial" w:hAnsi="Arial"/>
                <w:color w:val="1d1d1d"/>
                <w:sz w:val="20"/>
                <w:szCs w:val="20"/>
                <w:rtl w:val="0"/>
              </w:rPr>
              <w:t xml:space="preserve">PCI-004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0" w:right="0" w:firstLine="0"/>
              <w:rPr>
                <w:rFonts w:ascii="Arial" w:cs="Arial" w:eastAsia="Arial" w:hAnsi="Arial"/>
                <w:color w:val="1d1d1d"/>
                <w:sz w:val="20"/>
                <w:szCs w:val="20"/>
              </w:rPr>
            </w:pPr>
            <w:r w:rsidDel="00000000" w:rsidR="00000000" w:rsidRPr="00000000">
              <w:rPr>
                <w:rFonts w:ascii="Arial" w:cs="Arial" w:eastAsia="Arial" w:hAnsi="Arial"/>
                <w:color w:val="1d1d1d"/>
                <w:sz w:val="20"/>
                <w:szCs w:val="20"/>
                <w:rtl w:val="0"/>
              </w:rPr>
              <w:t xml:space="preserve">PCI DSS v4.0 Req 3.2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0" w:right="0" w:firstLine="0"/>
              <w:rPr>
                <w:rFonts w:ascii="Arial" w:cs="Arial" w:eastAsia="Arial" w:hAnsi="Arial"/>
                <w:color w:val="1d1d1d"/>
                <w:sz w:val="20"/>
                <w:szCs w:val="20"/>
              </w:rPr>
            </w:pPr>
            <w:r w:rsidDel="00000000" w:rsidR="00000000" w:rsidRPr="00000000">
              <w:rPr>
                <w:rFonts w:ascii="Arial" w:cs="Arial" w:eastAsia="Arial" w:hAnsi="Arial"/>
                <w:color w:val="1d1d1d"/>
                <w:sz w:val="20"/>
                <w:szCs w:val="20"/>
                <w:rtl w:val="0"/>
              </w:rPr>
              <w:t xml:space="preserve">Magnetic stripe, PIN block, chip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0" w:right="0" w:firstLine="0"/>
              <w:rPr>
                <w:rFonts w:ascii="Arial" w:cs="Arial" w:eastAsia="Arial" w:hAnsi="Arial"/>
                <w:color w:val="1d1d1d"/>
                <w:sz w:val="20"/>
                <w:szCs w:val="20"/>
              </w:rPr>
            </w:pPr>
            <w:r w:rsidDel="00000000" w:rsidR="00000000" w:rsidRPr="00000000">
              <w:rPr>
                <w:rFonts w:ascii="Arial" w:cs="Arial" w:eastAsia="Arial" w:hAnsi="Arial"/>
                <w:color w:val="1d1d1d"/>
                <w:sz w:val="20"/>
                <w:szCs w:val="20"/>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0" w:right="0" w:firstLine="0"/>
              <w:rPr>
                <w:rFonts w:ascii="Arial" w:cs="Arial" w:eastAsia="Arial" w:hAnsi="Arial"/>
                <w:color w:val="1d1d1d"/>
                <w:sz w:val="20"/>
                <w:szCs w:val="20"/>
              </w:rPr>
            </w:pPr>
            <w:r w:rsidDel="00000000" w:rsidR="00000000" w:rsidRPr="00000000">
              <w:rPr>
                <w:rFonts w:ascii="Arial" w:cs="Arial" w:eastAsia="Arial" w:hAnsi="Arial"/>
                <w:color w:val="1d1d1d"/>
                <w:sz w:val="20"/>
                <w:szCs w:val="20"/>
                <w:rtl w:val="0"/>
              </w:rPr>
              <w:t xml:space="preserve">Critical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0" w:right="0" w:firstLine="0"/>
              <w:jc w:val="center"/>
              <w:rPr>
                <w:rFonts w:ascii="Arial" w:cs="Arial" w:eastAsia="Arial" w:hAnsi="Arial"/>
                <w:color w:val="1d1d1d"/>
                <w:sz w:val="20"/>
                <w:szCs w:val="20"/>
              </w:rPr>
            </w:pPr>
            <w:r w:rsidDel="00000000" w:rsidR="00000000" w:rsidRPr="00000000">
              <w:rPr>
                <w:rFonts w:ascii="Arial" w:cs="Arial" w:eastAsia="Arial" w:hAnsi="Arial"/>
                <w:color w:val="1d1d1d"/>
                <w:sz w:val="20"/>
                <w:szCs w:val="20"/>
                <w:rtl w:val="0"/>
              </w:rPr>
              <w:t xml:space="preserve">PCI-005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0" w:right="0" w:firstLine="0"/>
              <w:rPr>
                <w:rFonts w:ascii="Arial" w:cs="Arial" w:eastAsia="Arial" w:hAnsi="Arial"/>
                <w:color w:val="1d1d1d"/>
                <w:sz w:val="20"/>
                <w:szCs w:val="20"/>
              </w:rPr>
            </w:pPr>
            <w:r w:rsidDel="00000000" w:rsidR="00000000" w:rsidRPr="00000000">
              <w:rPr>
                <w:rFonts w:ascii="Arial" w:cs="Arial" w:eastAsia="Arial" w:hAnsi="Arial"/>
                <w:color w:val="1d1d1d"/>
                <w:sz w:val="20"/>
                <w:szCs w:val="20"/>
                <w:rtl w:val="0"/>
              </w:rPr>
              <w:t xml:space="preserve">PCI DSS v4.0 Req 3.2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0" w:right="0" w:firstLine="0"/>
              <w:rPr>
                <w:rFonts w:ascii="Arial" w:cs="Arial" w:eastAsia="Arial" w:hAnsi="Arial"/>
                <w:color w:val="1d1d1d"/>
                <w:sz w:val="20"/>
                <w:szCs w:val="20"/>
              </w:rPr>
            </w:pPr>
            <w:r w:rsidDel="00000000" w:rsidR="00000000" w:rsidRPr="00000000">
              <w:rPr>
                <w:rFonts w:ascii="Arial" w:cs="Arial" w:eastAsia="Arial" w:hAnsi="Arial"/>
                <w:color w:val="1d1d1d"/>
                <w:sz w:val="20"/>
                <w:szCs w:val="20"/>
                <w:rtl w:val="0"/>
              </w:rPr>
              <w:t xml:space="preserve">Unnecessary cardholder data retention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0" w:right="0" w:firstLine="0"/>
              <w:rPr>
                <w:rFonts w:ascii="Arial" w:cs="Arial" w:eastAsia="Arial" w:hAnsi="Arial"/>
                <w:color w:val="1d1d1d"/>
                <w:sz w:val="20"/>
                <w:szCs w:val="20"/>
              </w:rPr>
            </w:pPr>
            <w:r w:rsidDel="00000000" w:rsidR="00000000" w:rsidRPr="00000000">
              <w:rPr>
                <w:rFonts w:ascii="Arial" w:cs="Arial" w:eastAsia="Arial" w:hAnsi="Arial"/>
                <w:color w:val="1d1d1d"/>
                <w:sz w:val="20"/>
                <w:szCs w:val="20"/>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0" w:right="0" w:firstLine="0"/>
              <w:rPr>
                <w:rFonts w:ascii="Arial" w:cs="Arial" w:eastAsia="Arial" w:hAnsi="Arial"/>
                <w:color w:val="1d1d1d"/>
                <w:sz w:val="20"/>
                <w:szCs w:val="20"/>
              </w:rPr>
            </w:pPr>
            <w:r w:rsidDel="00000000" w:rsidR="00000000" w:rsidRPr="00000000">
              <w:rPr>
                <w:rFonts w:ascii="Arial" w:cs="Arial" w:eastAsia="Arial" w:hAnsi="Arial"/>
                <w:color w:val="1d1d1d"/>
                <w:sz w:val="20"/>
                <w:szCs w:val="20"/>
                <w:rtl w:val="0"/>
              </w:rPr>
              <w:t xml:space="preserve">Medium</w:t>
            </w:r>
          </w:p>
          <w:p w:rsidR="00000000" w:rsidDel="00000000" w:rsidP="00000000" w:rsidRDefault="00000000" w:rsidRPr="00000000" w14:paraId="00000082">
            <w:pPr>
              <w:widowControl w:val="0"/>
              <w:pBdr>
                <w:top w:color="auto" w:space="0" w:sz="0" w:val="none"/>
                <w:left w:color="auto" w:space="0" w:sz="0" w:val="none"/>
                <w:bottom w:color="auto" w:space="0" w:sz="0" w:val="none"/>
                <w:right w:color="auto" w:space="0" w:sz="0" w:val="none"/>
                <w:between w:color="auto" w:space="0" w:sz="0" w:val="none"/>
              </w:pBdr>
              <w:spacing w:line="240" w:lineRule="auto"/>
              <w:ind w:left="0" w:right="0" w:firstLine="0"/>
              <w:rPr>
                <w:rFonts w:ascii="Arial" w:cs="Arial" w:eastAsia="Arial" w:hAnsi="Arial"/>
                <w:color w:val="1d1d1d"/>
                <w:sz w:val="20"/>
                <w:szCs w:val="20"/>
              </w:rPr>
            </w:pPr>
            <w:r w:rsidDel="00000000" w:rsidR="00000000" w:rsidRPr="00000000">
              <w:rPr>
                <w:rtl w:val="0"/>
              </w:rPr>
            </w:r>
          </w:p>
        </w:tc>
      </w:tr>
    </w:tbl>
    <w:p w:rsidR="00000000" w:rsidDel="00000000" w:rsidP="00000000" w:rsidRDefault="00000000" w:rsidRPr="00000000" w14:paraId="00000083">
      <w:pPr>
        <w:ind w:left="0" w:right="0" w:firstLine="0"/>
        <w:rPr/>
      </w:pPr>
      <w:r w:rsidDel="00000000" w:rsidR="00000000" w:rsidRPr="00000000">
        <w:rPr>
          <w:rtl w:val="0"/>
        </w:rPr>
      </w:r>
    </w:p>
    <w:p w:rsidR="00000000" w:rsidDel="00000000" w:rsidP="00000000" w:rsidRDefault="00000000" w:rsidRPr="00000000" w14:paraId="00000084">
      <w:pPr>
        <w:ind w:left="0" w:right="0" w:firstLine="0"/>
        <w:rPr/>
      </w:pPr>
      <w:r w:rsidDel="00000000" w:rsidR="00000000" w:rsidRPr="00000000">
        <w:rPr>
          <w:rtl w:val="0"/>
        </w:rPr>
        <w:t xml:space="preserve">Severity thresholds are configurable per regulatory domain in a YAML file. Adjusting compliance posture requires a configuration change, deployable independently of any code release.</w:t>
      </w:r>
    </w:p>
    <w:p w:rsidR="00000000" w:rsidDel="00000000" w:rsidP="00000000" w:rsidRDefault="00000000" w:rsidRPr="00000000" w14:paraId="00000085">
      <w:pPr>
        <w:ind w:left="0" w:right="0" w:firstLine="0"/>
        <w:rPr/>
      </w:pPr>
      <w:r w:rsidDel="00000000" w:rsidR="00000000" w:rsidRPr="00000000">
        <w:rPr>
          <w:rtl w:val="0"/>
        </w:rPr>
      </w:r>
    </w:p>
    <w:p w:rsidR="00000000" w:rsidDel="00000000" w:rsidP="00000000" w:rsidRDefault="00000000" w:rsidRPr="00000000" w14:paraId="00000086">
      <w:pPr>
        <w:pStyle w:val="Heading1"/>
        <w:ind w:left="0" w:right="0" w:firstLine="0"/>
        <w:jc w:val="left"/>
        <w:rPr>
          <w:sz w:val="42"/>
          <w:szCs w:val="42"/>
        </w:rPr>
      </w:pPr>
      <w:bookmarkStart w:colFirst="0" w:colLast="0" w:name="_4d3upuoe6g9z" w:id="8"/>
      <w:bookmarkEnd w:id="8"/>
      <w:r w:rsidDel="00000000" w:rsidR="00000000" w:rsidRPr="00000000">
        <w:rPr>
          <w:sz w:val="42"/>
          <w:szCs w:val="42"/>
          <w:rtl w:val="0"/>
        </w:rPr>
        <w:t xml:space="preserve">Mechanism 2 — Full OpenTelemetry Tracing on Every AI Decision</w:t>
      </w:r>
    </w:p>
    <w:p w:rsidR="00000000" w:rsidDel="00000000" w:rsidP="00000000" w:rsidRDefault="00000000" w:rsidRPr="00000000" w14:paraId="00000087">
      <w:pPr>
        <w:ind w:left="0" w:right="0" w:firstLine="0"/>
        <w:rPr/>
      </w:pPr>
      <w:r w:rsidDel="00000000" w:rsidR="00000000" w:rsidRPr="00000000">
        <w:rPr>
          <w:rtl w:val="0"/>
        </w:rPr>
      </w:r>
    </w:p>
    <w:p w:rsidR="00000000" w:rsidDel="00000000" w:rsidP="00000000" w:rsidRDefault="00000000" w:rsidRPr="00000000" w14:paraId="00000088">
      <w:pPr>
        <w:ind w:left="0" w:right="0" w:firstLine="0"/>
        <w:rPr/>
      </w:pPr>
      <w:r w:rsidDel="00000000" w:rsidR="00000000" w:rsidRPr="00000000">
        <w:rPr>
          <w:rtl w:val="0"/>
        </w:rPr>
        <w:t xml:space="preserve">Every AI decision emits a structured trace span via AWS Distro for OpenTelemetry, implementing the W3C Trace Context specification [7]. Eleven stages are instrumented on every user request:</w:t>
      </w:r>
    </w:p>
    <w:p w:rsidR="00000000" w:rsidDel="00000000" w:rsidP="00000000" w:rsidRDefault="00000000" w:rsidRPr="00000000" w14:paraId="00000089">
      <w:pPr>
        <w:ind w:left="0" w:right="0" w:firstLine="0"/>
        <w:rPr/>
      </w:pPr>
      <w:r w:rsidDel="00000000" w:rsidR="00000000" w:rsidRPr="00000000">
        <w:rPr>
          <w:rtl w:val="0"/>
        </w:rPr>
      </w:r>
    </w:p>
    <w:p w:rsidR="00000000" w:rsidDel="00000000" w:rsidP="00000000" w:rsidRDefault="00000000" w:rsidRPr="00000000" w14:paraId="0000008A">
      <w:pPr>
        <w:numPr>
          <w:ilvl w:val="0"/>
          <w:numId w:val="2"/>
        </w:numPr>
        <w:ind w:left="810" w:right="0" w:hanging="360"/>
      </w:pPr>
      <w:r w:rsidDel="00000000" w:rsidR="00000000" w:rsidRPr="00000000">
        <w:rPr>
          <w:b w:val="1"/>
          <w:bCs w:val="1"/>
          <w:rtl w:val="0"/>
        </w:rPr>
        <w:t xml:space="preserve">Prompt Construction:</w:t>
      </w:r>
      <w:r w:rsidDel="00000000" w:rsidR="00000000" w:rsidRPr="00000000">
        <w:rPr>
          <w:rtl w:val="0"/>
        </w:rPr>
        <w:t xml:space="preserve"> Captures the exact system instructions and retrieved context (RAG) provided to the model.</w:t>
      </w:r>
    </w:p>
    <w:p w:rsidR="00000000" w:rsidDel="00000000" w:rsidP="00000000" w:rsidRDefault="00000000" w:rsidRPr="00000000" w14:paraId="0000008B">
      <w:pPr>
        <w:numPr>
          <w:ilvl w:val="0"/>
          <w:numId w:val="2"/>
        </w:numPr>
        <w:ind w:left="810" w:right="0" w:hanging="360"/>
      </w:pPr>
      <w:r w:rsidDel="00000000" w:rsidR="00000000" w:rsidRPr="00000000">
        <w:rPr>
          <w:b w:val="1"/>
          <w:bCs w:val="1"/>
          <w:rtl w:val="0"/>
        </w:rPr>
        <w:t xml:space="preserve">Model Inference:</w:t>
      </w:r>
      <w:r w:rsidDel="00000000" w:rsidR="00000000" w:rsidRPr="00000000">
        <w:rPr>
          <w:rtl w:val="0"/>
        </w:rPr>
        <w:t xml:space="preserve"> Records the raw input, the model's reasoning steps, and the final output, including token usage and latency.</w:t>
      </w:r>
    </w:p>
    <w:p w:rsidR="00000000" w:rsidDel="00000000" w:rsidP="00000000" w:rsidRDefault="00000000" w:rsidRPr="00000000" w14:paraId="0000008C">
      <w:pPr>
        <w:numPr>
          <w:ilvl w:val="0"/>
          <w:numId w:val="2"/>
        </w:numPr>
        <w:ind w:left="810" w:right="0" w:hanging="360"/>
      </w:pPr>
      <w:r w:rsidDel="00000000" w:rsidR="00000000" w:rsidRPr="00000000">
        <w:rPr>
          <w:b w:val="1"/>
          <w:bCs w:val="1"/>
          <w:rtl w:val="0"/>
        </w:rPr>
        <w:t xml:space="preserve">Tool Invocation:</w:t>
      </w:r>
      <w:r w:rsidDel="00000000" w:rsidR="00000000" w:rsidRPr="00000000">
        <w:rPr>
          <w:rtl w:val="0"/>
        </w:rPr>
        <w:t xml:space="preserve"> Logs every external API call or database query the agent initiates, including the parameters passed and the data returned.</w:t>
      </w:r>
    </w:p>
    <w:p w:rsidR="00000000" w:rsidDel="00000000" w:rsidP="00000000" w:rsidRDefault="00000000" w:rsidRPr="00000000" w14:paraId="0000008D">
      <w:pPr>
        <w:numPr>
          <w:ilvl w:val="0"/>
          <w:numId w:val="2"/>
        </w:numPr>
        <w:ind w:left="810" w:right="0" w:hanging="360"/>
      </w:pPr>
      <w:r w:rsidDel="00000000" w:rsidR="00000000" w:rsidRPr="00000000">
        <w:rPr>
          <w:b w:val="1"/>
          <w:bCs w:val="1"/>
          <w:rtl w:val="0"/>
        </w:rPr>
        <w:t xml:space="preserve">Compliance Evaluation: </w:t>
      </w:r>
      <w:r w:rsidDel="00000000" w:rsidR="00000000" w:rsidRPr="00000000">
        <w:rPr>
          <w:rtl w:val="0"/>
        </w:rPr>
        <w:t xml:space="preserve">Every trace is tagged with the Execution-ID, regulatory identifiers, and the compliance verdict — PASS, HALT, or ESCALATE — for that stage.</w:t>
      </w:r>
    </w:p>
    <w:p w:rsidR="00000000" w:rsidDel="00000000" w:rsidP="00000000" w:rsidRDefault="00000000" w:rsidRPr="00000000" w14:paraId="0000008E">
      <w:pPr>
        <w:ind w:left="0" w:right="0" w:firstLine="0"/>
        <w:rPr/>
      </w:pPr>
      <w:r w:rsidDel="00000000" w:rsidR="00000000" w:rsidRPr="00000000">
        <w:rPr>
          <w:rtl w:val="0"/>
        </w:rPr>
      </w:r>
    </w:p>
    <w:p w:rsidR="00000000" w:rsidDel="00000000" w:rsidP="00000000" w:rsidRDefault="00000000" w:rsidRPr="00000000" w14:paraId="0000008F">
      <w:pPr>
        <w:ind w:left="0" w:right="0" w:firstLine="0"/>
        <w:rPr/>
      </w:pPr>
      <w:r w:rsidDel="00000000" w:rsidR="00000000" w:rsidRPr="00000000">
        <w:rPr>
          <w:rtl w:val="0"/>
        </w:rPr>
        <w:t xml:space="preserve">Every span carries: trace ID, span ID, user ID, session ID, agent type, stage name, duration in milliseconds, status, and compliance flags raised at that stage. W3C TraceContext headers [7] propagate across every step and inference invocation, producing a single unified trace in AWS CloudWatch for every user request.</w:t>
      </w:r>
    </w:p>
    <w:p w:rsidR="00000000" w:rsidDel="00000000" w:rsidP="00000000" w:rsidRDefault="00000000" w:rsidRPr="00000000" w14:paraId="00000090">
      <w:pPr>
        <w:ind w:left="0" w:right="0" w:firstLine="0"/>
        <w:rPr/>
      </w:pPr>
      <w:r w:rsidDel="00000000" w:rsidR="00000000" w:rsidRPr="00000000">
        <w:rPr>
          <w:rtl w:val="0"/>
        </w:rPr>
      </w:r>
    </w:p>
    <w:p w:rsidR="00000000" w:rsidDel="00000000" w:rsidP="00000000" w:rsidRDefault="00000000" w:rsidRPr="00000000" w14:paraId="00000091">
      <w:pPr>
        <w:ind w:left="0" w:right="0" w:firstLine="0"/>
        <w:rPr/>
      </w:pPr>
      <w:r w:rsidDel="00000000" w:rsidR="00000000" w:rsidRPr="00000000">
        <w:rPr>
          <w:rtl w:val="0"/>
        </w:rPr>
        <w:t xml:space="preserve">This directly satisfies FINRA RN 24-09's transparency requirement [1]. The basis for every AI decision — what context the model had, what compliance evaluation was applied, what the human approval outcome was — is captured in a single queryable record.</w:t>
      </w:r>
    </w:p>
    <w:p w:rsidR="00000000" w:rsidDel="00000000" w:rsidP="00000000" w:rsidRDefault="00000000" w:rsidRPr="00000000" w14:paraId="00000092">
      <w:pPr>
        <w:ind w:left="0" w:right="0" w:firstLine="0"/>
        <w:rPr/>
      </w:pPr>
      <w:r w:rsidDel="00000000" w:rsidR="00000000" w:rsidRPr="00000000">
        <w:rPr>
          <w:rtl w:val="0"/>
        </w:rPr>
      </w:r>
    </w:p>
    <w:p w:rsidR="00000000" w:rsidDel="00000000" w:rsidP="00000000" w:rsidRDefault="00000000" w:rsidRPr="00000000" w14:paraId="00000093">
      <w:pPr>
        <w:pStyle w:val="Heading1"/>
        <w:ind w:left="0" w:right="0" w:firstLine="0"/>
        <w:jc w:val="left"/>
        <w:rPr>
          <w:sz w:val="42"/>
          <w:szCs w:val="42"/>
        </w:rPr>
      </w:pPr>
      <w:bookmarkStart w:colFirst="0" w:colLast="0" w:name="_k7yie5hm8p01" w:id="9"/>
      <w:bookmarkEnd w:id="9"/>
      <w:r w:rsidDel="00000000" w:rsidR="00000000" w:rsidRPr="00000000">
        <w:rPr>
          <w:sz w:val="42"/>
          <w:szCs w:val="42"/>
          <w:rtl w:val="0"/>
        </w:rPr>
        <w:t xml:space="preserve">Mechanism 3 — LLM-as-a-Judge: The Second Line of Defence</w:t>
      </w:r>
    </w:p>
    <w:p w:rsidR="00000000" w:rsidDel="00000000" w:rsidP="00000000" w:rsidRDefault="00000000" w:rsidRPr="00000000" w14:paraId="00000094">
      <w:pPr>
        <w:ind w:left="0" w:right="0" w:firstLine="0"/>
        <w:rPr/>
      </w:pPr>
      <w:r w:rsidDel="00000000" w:rsidR="00000000" w:rsidRPr="00000000">
        <w:rPr>
          <w:rtl w:val="0"/>
        </w:rPr>
      </w:r>
    </w:p>
    <w:p w:rsidR="00000000" w:rsidDel="00000000" w:rsidP="00000000" w:rsidRDefault="00000000" w:rsidRPr="00000000" w14:paraId="00000095">
      <w:pPr>
        <w:ind w:left="0" w:right="0" w:firstLine="0"/>
        <w:rPr/>
      </w:pPr>
      <w:r w:rsidDel="00000000" w:rsidR="00000000" w:rsidRPr="00000000">
        <w:rPr>
          <w:rtl w:val="0"/>
        </w:rPr>
        <w:t xml:space="preserve">Every compliance violation automatically triggers an independent review by Claude 3.5 Sonnet on Amazon Bedrock [8], acting as an autonomous compliance officer. The judge produces a structured verdict — confirm_violation, false_positive, or escalate — with reasoning and a confidence score. The verdict is written back to the violation record. A CloudWatch metric is emitted for every verdict type, making the false positive rate visible on a compliance dashboard in real time.</w:t>
      </w:r>
    </w:p>
    <w:p w:rsidR="00000000" w:rsidDel="00000000" w:rsidP="00000000" w:rsidRDefault="00000000" w:rsidRPr="00000000" w14:paraId="00000096">
      <w:pPr>
        <w:ind w:left="0" w:right="0" w:firstLine="0"/>
        <w:rPr/>
      </w:pPr>
      <w:r w:rsidDel="00000000" w:rsidR="00000000" w:rsidRPr="00000000">
        <w:rPr>
          <w:rtl w:val="0"/>
        </w:rPr>
      </w:r>
    </w:p>
    <w:p w:rsidR="00000000" w:rsidDel="00000000" w:rsidP="00000000" w:rsidRDefault="00000000" w:rsidRPr="00000000" w14:paraId="00000097">
      <w:pPr>
        <w:ind w:left="0" w:right="0" w:firstLine="0"/>
        <w:rPr/>
      </w:pPr>
      <w:r w:rsidDel="00000000" w:rsidR="00000000" w:rsidRPr="00000000">
        <w:rPr>
          <w:rtl w:val="0"/>
        </w:rPr>
        <w:t xml:space="preserve">Every violation receives two independent evaluations before a human reviewer is engaged. Human reviewers focus exclusively on escalations. This makes automated compliance screening operationally sustainable at the scale agentic AI systems operate.</w:t>
      </w:r>
    </w:p>
    <w:p w:rsidR="00000000" w:rsidDel="00000000" w:rsidP="00000000" w:rsidRDefault="00000000" w:rsidRPr="00000000" w14:paraId="00000098">
      <w:pPr>
        <w:ind w:left="0" w:right="0" w:firstLine="0"/>
        <w:rPr/>
      </w:pPr>
      <w:r w:rsidDel="00000000" w:rsidR="00000000" w:rsidRPr="00000000">
        <w:rPr>
          <w:rtl w:val="0"/>
        </w:rPr>
      </w:r>
    </w:p>
    <w:p w:rsidR="00000000" w:rsidDel="00000000" w:rsidP="00000000" w:rsidRDefault="00000000" w:rsidRPr="00000000" w14:paraId="00000099">
      <w:pPr>
        <w:pStyle w:val="Heading1"/>
        <w:ind w:left="0" w:right="0" w:firstLine="0"/>
        <w:jc w:val="left"/>
        <w:rPr>
          <w:sz w:val="42"/>
          <w:szCs w:val="42"/>
        </w:rPr>
      </w:pPr>
      <w:bookmarkStart w:colFirst="0" w:colLast="0" w:name="_711pmtq622xc" w:id="10"/>
      <w:bookmarkEnd w:id="10"/>
      <w:r w:rsidDel="00000000" w:rsidR="00000000" w:rsidRPr="00000000">
        <w:rPr>
          <w:sz w:val="42"/>
          <w:szCs w:val="42"/>
          <w:rtl w:val="0"/>
        </w:rPr>
        <w:t xml:space="preserve">Mechanism 4 — Human-in-the-Loop: Structural Approval Before Execution</w:t>
      </w:r>
    </w:p>
    <w:p w:rsidR="00000000" w:rsidDel="00000000" w:rsidP="00000000" w:rsidRDefault="00000000" w:rsidRPr="00000000" w14:paraId="0000009A">
      <w:pPr>
        <w:ind w:left="0" w:right="0" w:firstLine="0"/>
        <w:rPr/>
      </w:pPr>
      <w:r w:rsidDel="00000000" w:rsidR="00000000" w:rsidRPr="00000000">
        <w:rPr>
          <w:rtl w:val="0"/>
        </w:rPr>
      </w:r>
    </w:p>
    <w:p w:rsidR="00000000" w:rsidDel="00000000" w:rsidP="00000000" w:rsidRDefault="00000000" w:rsidRPr="00000000" w14:paraId="0000009B">
      <w:pPr>
        <w:ind w:left="0" w:right="0" w:firstLine="0"/>
        <w:rPr/>
      </w:pPr>
      <w:r w:rsidDel="00000000" w:rsidR="00000000" w:rsidRPr="00000000">
        <w:rPr>
          <w:rtl w:val="0"/>
        </w:rPr>
        <w:t xml:space="preserve">AWS Step Functions WaitForTaskToken makes human approval a structural property of the workflow. Every proposed trade plan — with tax impact, cost analysis, and projected outcomes — is presented to a human reviewer before the Step Functions state machine advances. The workflow cannot proceed without an explicit approval token. This directly satisfies FINRA Rule 3110 [3] supervision requirements and SEC Rule 17a-4 [11] record-keeping obligations. The approval decision, timestamp, and reviewer identity are captured in the OpenTelemetry trace and retained for seven years per FINRA Rule 4511 [10] and SEC Rule 17a-4 [11].</w:t>
      </w:r>
    </w:p>
    <w:p w:rsidR="00000000" w:rsidDel="00000000" w:rsidP="00000000" w:rsidRDefault="00000000" w:rsidRPr="00000000" w14:paraId="0000009C">
      <w:pPr>
        <w:ind w:left="0" w:right="0" w:firstLine="0"/>
        <w:rPr/>
      </w:pPr>
      <w:r w:rsidDel="00000000" w:rsidR="00000000" w:rsidRPr="00000000">
        <w:rPr>
          <w:rtl w:val="0"/>
        </w:rPr>
      </w:r>
    </w:p>
    <w:p w:rsidR="00000000" w:rsidDel="00000000" w:rsidP="00000000" w:rsidRDefault="00000000" w:rsidRPr="00000000" w14:paraId="0000009D">
      <w:pPr>
        <w:ind w:left="0" w:right="0" w:firstLine="0"/>
        <w:rPr/>
      </w:pPr>
      <w:r w:rsidDel="00000000" w:rsidR="00000000" w:rsidRPr="00000000">
        <w:rPr>
          <w:rtl w:val="0"/>
        </w:rPr>
      </w:r>
    </w:p>
    <w:p w:rsidR="00000000" w:rsidDel="00000000" w:rsidP="00000000" w:rsidRDefault="00000000" w:rsidRPr="00000000" w14:paraId="0000009E">
      <w:pPr>
        <w:pStyle w:val="Heading1"/>
        <w:ind w:left="0" w:right="0" w:firstLine="0"/>
        <w:jc w:val="left"/>
        <w:rPr/>
      </w:pPr>
      <w:bookmarkStart w:colFirst="0" w:colLast="0" w:name="_wtq9hib0zdej" w:id="11"/>
      <w:bookmarkEnd w:id="11"/>
      <w:r w:rsidDel="00000000" w:rsidR="00000000" w:rsidRPr="00000000">
        <w:rPr>
          <w:rtl w:val="0"/>
        </w:rPr>
        <w:t xml:space="preserve">The Dual Compliance Gate</w:t>
      </w:r>
    </w:p>
    <w:p w:rsidR="00000000" w:rsidDel="00000000" w:rsidP="00000000" w:rsidRDefault="00000000" w:rsidRPr="00000000" w14:paraId="0000009F">
      <w:pPr>
        <w:ind w:left="0" w:right="0" w:firstLine="0"/>
        <w:rPr/>
      </w:pPr>
      <w:r w:rsidDel="00000000" w:rsidR="00000000" w:rsidRPr="00000000">
        <w:rPr>
          <w:rtl w:val="0"/>
        </w:rPr>
      </w:r>
    </w:p>
    <w:p w:rsidR="00000000" w:rsidDel="00000000" w:rsidP="00000000" w:rsidRDefault="00000000" w:rsidRPr="00000000" w14:paraId="000000A0">
      <w:pPr>
        <w:ind w:left="0" w:right="0" w:firstLine="0"/>
        <w:rPr/>
      </w:pPr>
      <w:r w:rsidDel="00000000" w:rsidR="00000000" w:rsidRPr="00000000">
        <w:rPr>
          <w:b w:val="1"/>
          <w:bCs w:val="1"/>
          <w:rtl w:val="0"/>
        </w:rPr>
        <w:t xml:space="preserve">Before:</w:t>
      </w:r>
      <w:r w:rsidDel="00000000" w:rsidR="00000000" w:rsidRPr="00000000">
        <w:rPr>
          <w:rtl w:val="0"/>
        </w:rPr>
        <w:t xml:space="preserve"> Every user query is screened against all 13 rules — a budget enforced in the implementation and verifiable in the source code [GitHub]. A query containing a payment card number is detected using the Luhn algorithm [6] — the ISO/IEC 7812-1:2017 international standard used by payment processors globally — and blocked before the number reaches any language model. The scoping principle that keeps card data out of non-CDE systems is the same principle documented in the AWS PCI DSS white-paper [A1], applied here to the AI pipeline boundary. A query containing prompt injection patterns is detected by NIST-003 at Critical severity and halted. The violation is recorded with a SHA-256 content hash, trace ID, rule triggered, severity, and timestamp.</w:t>
      </w:r>
    </w:p>
    <w:p w:rsidR="00000000" w:rsidDel="00000000" w:rsidP="00000000" w:rsidRDefault="00000000" w:rsidRPr="00000000" w14:paraId="000000A1">
      <w:pPr>
        <w:ind w:left="0" w:right="0" w:firstLine="0"/>
        <w:rPr/>
      </w:pPr>
      <w:r w:rsidDel="00000000" w:rsidR="00000000" w:rsidRPr="00000000">
        <w:rPr>
          <w:rtl w:val="0"/>
        </w:rPr>
      </w:r>
    </w:p>
    <w:p w:rsidR="00000000" w:rsidDel="00000000" w:rsidP="00000000" w:rsidRDefault="00000000" w:rsidRPr="00000000" w14:paraId="000000A2">
      <w:pPr>
        <w:ind w:left="0" w:right="0" w:firstLine="0"/>
        <w:rPr/>
      </w:pPr>
      <w:r w:rsidDel="00000000" w:rsidR="00000000" w:rsidRPr="00000000">
        <w:rPr>
          <w:b w:val="1"/>
          <w:bCs w:val="1"/>
          <w:rtl w:val="0"/>
        </w:rPr>
        <w:t xml:space="preserve">After: </w:t>
      </w:r>
      <w:r w:rsidDel="00000000" w:rsidR="00000000" w:rsidRPr="00000000">
        <w:rPr>
          <w:rtl w:val="0"/>
        </w:rPr>
        <w:t xml:space="preserve">Every LLM output is evaluated on three dimensions before it reaches the user or the next agent stage.</w:t>
      </w:r>
    </w:p>
    <w:p w:rsidR="00000000" w:rsidDel="00000000" w:rsidP="00000000" w:rsidRDefault="00000000" w:rsidRPr="00000000" w14:paraId="000000A3">
      <w:pPr>
        <w:ind w:left="0" w:right="0" w:firstLine="0"/>
        <w:rPr/>
      </w:pPr>
      <w:r w:rsidDel="00000000" w:rsidR="00000000" w:rsidRPr="00000000">
        <w:rPr>
          <w:rtl w:val="0"/>
        </w:rPr>
      </w:r>
    </w:p>
    <w:p w:rsidR="00000000" w:rsidDel="00000000" w:rsidP="00000000" w:rsidRDefault="00000000" w:rsidRPr="00000000" w14:paraId="000000A4">
      <w:pPr>
        <w:ind w:left="360" w:right="0" w:firstLine="0"/>
        <w:rPr/>
      </w:pPr>
      <w:r w:rsidDel="00000000" w:rsidR="00000000" w:rsidRPr="00000000">
        <w:rPr>
          <w:b w:val="1"/>
          <w:bCs w:val="1"/>
          <w:rtl w:val="0"/>
        </w:rPr>
        <w:t xml:space="preserve">Groundedness </w:t>
      </w:r>
      <w:r w:rsidDel="00000000" w:rsidR="00000000" w:rsidRPr="00000000">
        <w:rPr>
          <w:rtl w:val="0"/>
        </w:rPr>
        <w:t xml:space="preserve">— cosine similarity between the output embedding and the RAG context document embeddings, computed using Amazon Bedrock Titan Embeddings [9]. An output that contradicts its source context is a hallucination risk and a potential FINRA Rule 2210 violation [2].</w:t>
      </w:r>
    </w:p>
    <w:p w:rsidR="00000000" w:rsidDel="00000000" w:rsidP="00000000" w:rsidRDefault="00000000" w:rsidRPr="00000000" w14:paraId="000000A5">
      <w:pPr>
        <w:ind w:left="360" w:right="0" w:firstLine="0"/>
        <w:rPr/>
      </w:pPr>
      <w:r w:rsidDel="00000000" w:rsidR="00000000" w:rsidRPr="00000000">
        <w:rPr>
          <w:rtl w:val="0"/>
        </w:rPr>
      </w:r>
    </w:p>
    <w:p w:rsidR="00000000" w:rsidDel="00000000" w:rsidP="00000000" w:rsidRDefault="00000000" w:rsidRPr="00000000" w14:paraId="000000A6">
      <w:pPr>
        <w:ind w:left="360" w:right="0" w:firstLine="0"/>
        <w:rPr/>
      </w:pPr>
      <w:r w:rsidDel="00000000" w:rsidR="00000000" w:rsidRPr="00000000">
        <w:rPr>
          <w:b w:val="1"/>
          <w:bCs w:val="1"/>
          <w:rtl w:val="0"/>
        </w:rPr>
        <w:t xml:space="preserve">Relevance</w:t>
      </w:r>
      <w:r w:rsidDel="00000000" w:rsidR="00000000" w:rsidRPr="00000000">
        <w:rPr>
          <w:rtl w:val="0"/>
        </w:rPr>
        <w:t xml:space="preserve"> — cosine similarity between the output embedding and the user query embedding [9]. A financially accurate but irrelevant recommendation requires the same remediation as an inaccurate one.</w:t>
      </w:r>
    </w:p>
    <w:p w:rsidR="00000000" w:rsidDel="00000000" w:rsidP="00000000" w:rsidRDefault="00000000" w:rsidRPr="00000000" w14:paraId="000000A7">
      <w:pPr>
        <w:ind w:left="360" w:right="0" w:firstLine="0"/>
        <w:rPr/>
      </w:pPr>
      <w:r w:rsidDel="00000000" w:rsidR="00000000" w:rsidRPr="00000000">
        <w:rPr>
          <w:rtl w:val="0"/>
        </w:rPr>
      </w:r>
    </w:p>
    <w:p w:rsidR="00000000" w:rsidDel="00000000" w:rsidP="00000000" w:rsidRDefault="00000000" w:rsidRPr="00000000" w14:paraId="000000A8">
      <w:pPr>
        <w:ind w:left="360" w:right="0" w:firstLine="0"/>
        <w:rPr/>
      </w:pPr>
      <w:r w:rsidDel="00000000" w:rsidR="00000000" w:rsidRPr="00000000">
        <w:rPr>
          <w:b w:val="1"/>
          <w:bCs w:val="1"/>
          <w:rtl w:val="0"/>
        </w:rPr>
        <w:t xml:space="preserve">Compliance </w:t>
      </w:r>
      <w:r w:rsidDel="00000000" w:rsidR="00000000" w:rsidRPr="00000000">
        <w:rPr>
          <w:rtl w:val="0"/>
        </w:rPr>
        <w:t xml:space="preserve">— the same 13 rules applied to the output that were applied to the input. A model can generate a guaranteed return claim or a missing disclosure in its output independently of the input it received.</w:t>
      </w:r>
    </w:p>
    <w:p w:rsidR="00000000" w:rsidDel="00000000" w:rsidP="00000000" w:rsidRDefault="00000000" w:rsidRPr="00000000" w14:paraId="000000A9">
      <w:pPr>
        <w:ind w:left="0" w:right="0" w:firstLine="0"/>
        <w:rPr/>
      </w:pPr>
      <w:r w:rsidDel="00000000" w:rsidR="00000000" w:rsidRPr="00000000">
        <w:rPr>
          <w:rtl w:val="0"/>
        </w:rPr>
      </w:r>
    </w:p>
    <w:p w:rsidR="00000000" w:rsidDel="00000000" w:rsidP="00000000" w:rsidRDefault="00000000" w:rsidRPr="00000000" w14:paraId="000000AA">
      <w:pPr>
        <w:ind w:left="0" w:right="0" w:firstLine="0"/>
        <w:rPr/>
      </w:pPr>
      <w:r w:rsidDel="00000000" w:rsidR="00000000" w:rsidRPr="00000000">
        <w:rPr>
          <w:rtl w:val="0"/>
        </w:rPr>
        <w:t xml:space="preserve">Every evaluation result is attached to the OpenTelemetry trace span [7] for that LLM invocation. When an output is suppressed, the span status is set to ERROR with the suppression reason recorded.</w:t>
      </w:r>
    </w:p>
    <w:p w:rsidR="00000000" w:rsidDel="00000000" w:rsidP="00000000" w:rsidRDefault="00000000" w:rsidRPr="00000000" w14:paraId="000000AB">
      <w:pPr>
        <w:ind w:left="0" w:right="0" w:firstLine="0"/>
        <w:rPr/>
      </w:pPr>
      <w:r w:rsidDel="00000000" w:rsidR="00000000" w:rsidRPr="00000000">
        <w:rPr>
          <w:rtl w:val="0"/>
        </w:rPr>
      </w:r>
    </w:p>
    <w:p w:rsidR="00000000" w:rsidDel="00000000" w:rsidP="00000000" w:rsidRDefault="00000000" w:rsidRPr="00000000" w14:paraId="000000AC">
      <w:pPr>
        <w:pStyle w:val="Heading1"/>
        <w:ind w:left="0" w:right="0" w:firstLine="0"/>
        <w:jc w:val="left"/>
        <w:rPr/>
      </w:pPr>
      <w:bookmarkStart w:colFirst="0" w:colLast="0" w:name="_6hii1rcs5jlp" w:id="12"/>
      <w:bookmarkEnd w:id="12"/>
      <w:r w:rsidDel="00000000" w:rsidR="00000000" w:rsidRPr="00000000">
        <w:rPr>
          <w:rtl w:val="0"/>
        </w:rPr>
        <w:t xml:space="preserve">What This Delivers to Each Stakeholder</w:t>
      </w:r>
    </w:p>
    <w:p w:rsidR="00000000" w:rsidDel="00000000" w:rsidP="00000000" w:rsidRDefault="00000000" w:rsidRPr="00000000" w14:paraId="000000AD">
      <w:pPr>
        <w:ind w:left="0" w:right="0" w:firstLine="0"/>
        <w:rPr/>
      </w:pPr>
      <w:r w:rsidDel="00000000" w:rsidR="00000000" w:rsidRPr="00000000">
        <w:rPr>
          <w:rtl w:val="0"/>
        </w:rPr>
      </w:r>
    </w:p>
    <w:p w:rsidR="00000000" w:rsidDel="00000000" w:rsidP="00000000" w:rsidRDefault="00000000" w:rsidRPr="00000000" w14:paraId="000000AE">
      <w:pPr>
        <w:ind w:left="0" w:right="0" w:firstLine="0"/>
        <w:rPr/>
      </w:pPr>
      <w:r w:rsidDel="00000000" w:rsidR="00000000" w:rsidRPr="00000000">
        <w:rPr>
          <w:b w:val="1"/>
          <w:bCs w:val="1"/>
          <w:rtl w:val="0"/>
        </w:rPr>
        <w:t xml:space="preserve">Chief Compliance Officer </w:t>
      </w:r>
      <w:r w:rsidDel="00000000" w:rsidR="00000000" w:rsidRPr="00000000">
        <w:rPr>
          <w:rtl w:val="0"/>
        </w:rPr>
        <w:t xml:space="preserve">— FINRA RN 24-09 [1] and Rule 3110 [3] supervision obligations are enforced programmatically on every AI output. Every recommendation is checked for suitability basis, AI disclosure, supervision evidence, and misleading language before it reaches a client. The audit trail is retained for seven years in line with FINRA Rule 4511 [10] and SEC Rule 17a-4 [11], and restricted to authorised compliance and risk roles via IAM policies.</w:t>
      </w:r>
    </w:p>
    <w:p w:rsidR="00000000" w:rsidDel="00000000" w:rsidP="00000000" w:rsidRDefault="00000000" w:rsidRPr="00000000" w14:paraId="000000AF">
      <w:pPr>
        <w:ind w:left="0" w:right="0" w:firstLine="0"/>
        <w:rPr/>
      </w:pPr>
      <w:r w:rsidDel="00000000" w:rsidR="00000000" w:rsidRPr="00000000">
        <w:rPr>
          <w:rtl w:val="0"/>
        </w:rPr>
      </w:r>
    </w:p>
    <w:p w:rsidR="00000000" w:rsidDel="00000000" w:rsidP="00000000" w:rsidRDefault="00000000" w:rsidRPr="00000000" w14:paraId="000000B0">
      <w:pPr>
        <w:ind w:left="0" w:right="0" w:firstLine="0"/>
        <w:rPr/>
      </w:pPr>
      <w:r w:rsidDel="00000000" w:rsidR="00000000" w:rsidRPr="00000000">
        <w:rPr>
          <w:b w:val="1"/>
          <w:bCs w:val="1"/>
          <w:rtl w:val="0"/>
        </w:rPr>
        <w:t xml:space="preserve">CISO</w:t>
      </w:r>
      <w:r w:rsidDel="00000000" w:rsidR="00000000" w:rsidRPr="00000000">
        <w:rPr>
          <w:rtl w:val="0"/>
        </w:rPr>
        <w:t xml:space="preserve"> — PCI DSS v4.0 Requirements 3.2 and 3.3 [5] card data protection is enforced at the AI pipeline boundary using Luhn algorithm validation per ISO/IEC 7812-1:2017 [6]. The segmentation and scoping principles that define this boundary are grounded in the AWS PCI DSS white-paper [A1] and the serverless compliance patterns documented in [A3]. Card numbers, CVV values, expiry dates, and magnetic stripe data are detected and blocked before they reach any language model.</w:t>
      </w:r>
    </w:p>
    <w:p w:rsidR="00000000" w:rsidDel="00000000" w:rsidP="00000000" w:rsidRDefault="00000000" w:rsidRPr="00000000" w14:paraId="000000B1">
      <w:pPr>
        <w:ind w:left="0" w:right="0" w:firstLine="0"/>
        <w:rPr/>
      </w:pPr>
      <w:r w:rsidDel="00000000" w:rsidR="00000000" w:rsidRPr="00000000">
        <w:rPr>
          <w:rtl w:val="0"/>
        </w:rPr>
      </w:r>
    </w:p>
    <w:p w:rsidR="00000000" w:rsidDel="00000000" w:rsidP="00000000" w:rsidRDefault="00000000" w:rsidRPr="00000000" w14:paraId="000000B2">
      <w:pPr>
        <w:ind w:left="0" w:right="0" w:firstLine="0"/>
        <w:rPr/>
      </w:pPr>
      <w:r w:rsidDel="00000000" w:rsidR="00000000" w:rsidRPr="00000000">
        <w:rPr>
          <w:b w:val="1"/>
          <w:bCs w:val="1"/>
          <w:rtl w:val="0"/>
        </w:rPr>
        <w:t xml:space="preserve">Risk Manager</w:t>
      </w:r>
      <w:r w:rsidDel="00000000" w:rsidR="00000000" w:rsidRPr="00000000">
        <w:rPr>
          <w:rtl w:val="0"/>
        </w:rPr>
        <w:t xml:space="preserve"> — The LLM-as-a-Judge architecture makes automated compliance screening operationally sustainable at scale. The judge classifies false positives automatically. Human reviewers focus on genuine escalations. The false positive rate is a live CloudWatch metric, visible in real time.</w:t>
      </w:r>
    </w:p>
    <w:p w:rsidR="00000000" w:rsidDel="00000000" w:rsidP="00000000" w:rsidRDefault="00000000" w:rsidRPr="00000000" w14:paraId="000000B3">
      <w:pPr>
        <w:ind w:left="0" w:right="0" w:firstLine="0"/>
        <w:rPr/>
      </w:pPr>
      <w:r w:rsidDel="00000000" w:rsidR="00000000" w:rsidRPr="00000000">
        <w:rPr>
          <w:rtl w:val="0"/>
        </w:rPr>
      </w:r>
    </w:p>
    <w:p w:rsidR="00000000" w:rsidDel="00000000" w:rsidP="00000000" w:rsidRDefault="00000000" w:rsidRPr="00000000" w14:paraId="000000B4">
      <w:pPr>
        <w:ind w:left="0" w:right="0" w:firstLine="0"/>
        <w:rPr/>
      </w:pPr>
      <w:r w:rsidDel="00000000" w:rsidR="00000000" w:rsidRPr="00000000">
        <w:rPr>
          <w:b w:val="1"/>
          <w:bCs w:val="1"/>
          <w:rtl w:val="0"/>
        </w:rPr>
        <w:t xml:space="preserve">General Counsel</w:t>
      </w:r>
      <w:r w:rsidDel="00000000" w:rsidR="00000000" w:rsidRPr="00000000">
        <w:rPr>
          <w:rtl w:val="0"/>
        </w:rPr>
        <w:t xml:space="preserve"> — Every compliance rule is version-controlled source code. Every change carries a reviewer, a timestamp, and a deployment record. The question "what compliance rules were active on this date?" has a precise, auditable answer traceable to the specific regulatory obligation each rule implements.</w:t>
      </w:r>
    </w:p>
    <w:p w:rsidR="00000000" w:rsidDel="00000000" w:rsidP="00000000" w:rsidRDefault="00000000" w:rsidRPr="00000000" w14:paraId="000000B5">
      <w:pPr>
        <w:ind w:left="0" w:right="0" w:firstLine="0"/>
        <w:rPr/>
      </w:pPr>
      <w:r w:rsidDel="00000000" w:rsidR="00000000" w:rsidRPr="00000000">
        <w:rPr>
          <w:rtl w:val="0"/>
        </w:rPr>
      </w:r>
    </w:p>
    <w:p w:rsidR="00000000" w:rsidDel="00000000" w:rsidP="00000000" w:rsidRDefault="00000000" w:rsidRPr="00000000" w14:paraId="000000B6">
      <w:pPr>
        <w:ind w:left="0" w:right="0" w:firstLine="0"/>
        <w:rPr/>
      </w:pPr>
      <w:r w:rsidDel="00000000" w:rsidR="00000000" w:rsidRPr="00000000">
        <w:rPr>
          <w:b w:val="1"/>
          <w:bCs w:val="1"/>
          <w:rtl w:val="0"/>
        </w:rPr>
        <w:t xml:space="preserve">Board and Executive Leadership</w:t>
      </w:r>
      <w:r w:rsidDel="00000000" w:rsidR="00000000" w:rsidRPr="00000000">
        <w:rPr>
          <w:rtl w:val="0"/>
        </w:rPr>
        <w:t xml:space="preserve"> — Human approval is enforced architecturally before any trade executes. AWS Step Functions task tokens make the approval gate a structural requirement of the workflow — every proposed trade waits for explicit human sign-off before execution proceeds, satisfying FINRA Rule 3110 [3] supervision requirements.</w:t>
      </w:r>
    </w:p>
    <w:p w:rsidR="00000000" w:rsidDel="00000000" w:rsidP="00000000" w:rsidRDefault="00000000" w:rsidRPr="00000000" w14:paraId="000000B7">
      <w:pPr>
        <w:ind w:left="0" w:right="0" w:firstLine="0"/>
        <w:rPr>
          <w:b w:val="1"/>
          <w:bCs w:val="1"/>
          <w:sz w:val="56"/>
          <w:szCs w:val="56"/>
        </w:rPr>
      </w:pPr>
      <w:r w:rsidDel="00000000" w:rsidR="00000000" w:rsidRPr="00000000">
        <w:rPr>
          <w:rtl w:val="0"/>
        </w:rPr>
      </w:r>
    </w:p>
    <w:p w:rsidR="00000000" w:rsidDel="00000000" w:rsidP="00000000" w:rsidRDefault="00000000" w:rsidRPr="00000000" w14:paraId="000000B8">
      <w:pPr>
        <w:pStyle w:val="Heading1"/>
        <w:ind w:left="0" w:right="0" w:firstLine="0"/>
        <w:jc w:val="left"/>
        <w:rPr/>
      </w:pPr>
      <w:bookmarkStart w:colFirst="0" w:colLast="0" w:name="_z3n87r63slcm" w:id="13"/>
      <w:bookmarkEnd w:id="13"/>
      <w:r w:rsidDel="00000000" w:rsidR="00000000" w:rsidRPr="00000000">
        <w:rPr>
          <w:rtl w:val="0"/>
        </w:rPr>
        <w:t xml:space="preserve">Compliance-as-Code as a Competitive Advantage</w:t>
      </w:r>
    </w:p>
    <w:p w:rsidR="00000000" w:rsidDel="00000000" w:rsidP="00000000" w:rsidRDefault="00000000" w:rsidRPr="00000000" w14:paraId="000000B9">
      <w:pPr>
        <w:ind w:left="0" w:right="0" w:firstLine="0"/>
        <w:rPr/>
      </w:pPr>
      <w:r w:rsidDel="00000000" w:rsidR="00000000" w:rsidRPr="00000000">
        <w:rPr>
          <w:rtl w:val="0"/>
        </w:rPr>
      </w:r>
    </w:p>
    <w:p w:rsidR="00000000" w:rsidDel="00000000" w:rsidP="00000000" w:rsidRDefault="00000000" w:rsidRPr="00000000" w14:paraId="000000BA">
      <w:pPr>
        <w:ind w:left="0" w:right="0" w:firstLine="0"/>
        <w:rPr/>
      </w:pPr>
      <w:r w:rsidDel="00000000" w:rsidR="00000000" w:rsidRPr="00000000">
        <w:rPr>
          <w:rtl w:val="0"/>
        </w:rPr>
        <w:t xml:space="preserve">Organisations that encode compliance as executable, testable, version-controlled functions — and enforce those functions inline at every stage of the agentic workflow — gain a structural advantage.</w:t>
      </w:r>
    </w:p>
    <w:p w:rsidR="00000000" w:rsidDel="00000000" w:rsidP="00000000" w:rsidRDefault="00000000" w:rsidRPr="00000000" w14:paraId="000000BB">
      <w:pPr>
        <w:ind w:left="0" w:right="0" w:firstLine="0"/>
        <w:rPr/>
      </w:pPr>
      <w:r w:rsidDel="00000000" w:rsidR="00000000" w:rsidRPr="00000000">
        <w:rPr>
          <w:rtl w:val="0"/>
        </w:rPr>
      </w:r>
    </w:p>
    <w:p w:rsidR="00000000" w:rsidDel="00000000" w:rsidP="00000000" w:rsidRDefault="00000000" w:rsidRPr="00000000" w14:paraId="000000BC">
      <w:pPr>
        <w:ind w:left="0" w:right="0" w:firstLine="0"/>
        <w:rPr/>
      </w:pPr>
      <w:r w:rsidDel="00000000" w:rsidR="00000000" w:rsidRPr="00000000">
        <w:rPr>
          <w:rtl w:val="0"/>
        </w:rPr>
        <w:t xml:space="preserve">Inline compliance enforcement eliminates the review bottleneck between AI recommendation and client action. The system is compliant by construction. The audit trail is generated automatically. The regulator's question is answered before it is asked. AI advisory systems that operate this way serve clients faster, at greater scale, with greater regulatory confidence.</w:t>
      </w:r>
    </w:p>
    <w:p w:rsidR="00000000" w:rsidDel="00000000" w:rsidP="00000000" w:rsidRDefault="00000000" w:rsidRPr="00000000" w14:paraId="000000BD">
      <w:pPr>
        <w:ind w:left="0" w:right="0" w:firstLine="0"/>
        <w:rPr/>
      </w:pPr>
      <w:r w:rsidDel="00000000" w:rsidR="00000000" w:rsidRPr="00000000">
        <w:rPr>
          <w:rtl w:val="0"/>
        </w:rPr>
      </w:r>
    </w:p>
    <w:p w:rsidR="00000000" w:rsidDel="00000000" w:rsidP="00000000" w:rsidRDefault="00000000" w:rsidRPr="00000000" w14:paraId="000000BE">
      <w:pPr>
        <w:ind w:left="0" w:right="0" w:firstLine="0"/>
        <w:rPr/>
      </w:pPr>
      <w:r w:rsidDel="00000000" w:rsidR="00000000" w:rsidRPr="00000000">
        <w:rPr>
          <w:rtl w:val="0"/>
        </w:rPr>
        <w:t xml:space="preserve">Organisations that build this capability now establish the regulatory trust that enables AI deployment at scale. That trust, once established with regulators, clients, and boards, is a durable competitive position.</w:t>
      </w:r>
    </w:p>
    <w:p w:rsidR="00000000" w:rsidDel="00000000" w:rsidP="00000000" w:rsidRDefault="00000000" w:rsidRPr="00000000" w14:paraId="000000BF">
      <w:pPr>
        <w:pStyle w:val="Heading1"/>
        <w:ind w:left="0" w:right="0" w:firstLine="0"/>
        <w:jc w:val="left"/>
        <w:rPr/>
      </w:pPr>
      <w:bookmarkStart w:colFirst="0" w:colLast="0" w:name="_nzj5oi7b8k5g" w:id="14"/>
      <w:bookmarkEnd w:id="14"/>
      <w:r w:rsidDel="00000000" w:rsidR="00000000" w:rsidRPr="00000000">
        <w:rPr>
          <w:rtl w:val="0"/>
        </w:rPr>
      </w:r>
    </w:p>
    <w:p w:rsidR="00000000" w:rsidDel="00000000" w:rsidP="00000000" w:rsidRDefault="00000000" w:rsidRPr="00000000" w14:paraId="000000C0">
      <w:pPr>
        <w:pStyle w:val="Heading1"/>
        <w:ind w:left="0" w:right="0" w:firstLine="0"/>
        <w:jc w:val="left"/>
        <w:rPr/>
      </w:pPr>
      <w:bookmarkStart w:colFirst="0" w:colLast="0" w:name="_pjta1zjve7ji" w:id="15"/>
      <w:bookmarkEnd w:id="15"/>
      <w:r w:rsidDel="00000000" w:rsidR="00000000" w:rsidRPr="00000000">
        <w:rPr>
          <w:rtl w:val="0"/>
        </w:rPr>
        <w:t xml:space="preserve">Closing</w:t>
      </w:r>
    </w:p>
    <w:p w:rsidR="00000000" w:rsidDel="00000000" w:rsidP="00000000" w:rsidRDefault="00000000" w:rsidRPr="00000000" w14:paraId="000000C1">
      <w:pPr>
        <w:ind w:left="0" w:right="0" w:firstLine="0"/>
        <w:rPr/>
      </w:pPr>
      <w:r w:rsidDel="00000000" w:rsidR="00000000" w:rsidRPr="00000000">
        <w:rPr>
          <w:rtl w:val="0"/>
        </w:rPr>
      </w:r>
    </w:p>
    <w:p w:rsidR="00000000" w:rsidDel="00000000" w:rsidP="00000000" w:rsidRDefault="00000000" w:rsidRPr="00000000" w14:paraId="000000C2">
      <w:pPr>
        <w:ind w:left="0" w:right="0" w:firstLine="0"/>
        <w:rPr/>
      </w:pPr>
      <w:r w:rsidDel="00000000" w:rsidR="00000000" w:rsidRPr="00000000">
        <w:rPr>
          <w:rtl w:val="0"/>
        </w:rPr>
        <w:t xml:space="preserve">Foundation Models will remain internally opaque — NIST AI RMF 1.0 [4] identifies this as a current industry-wide characteristic. The architectural response is to make every decision those models contribute to transparent, traceable, and compliant before it reaches a client.</w:t>
      </w:r>
    </w:p>
    <w:p w:rsidR="00000000" w:rsidDel="00000000" w:rsidP="00000000" w:rsidRDefault="00000000" w:rsidRPr="00000000" w14:paraId="000000C3">
      <w:pPr>
        <w:ind w:left="0" w:right="0" w:firstLine="0"/>
        <w:rPr/>
      </w:pPr>
      <w:r w:rsidDel="00000000" w:rsidR="00000000" w:rsidRPr="00000000">
        <w:rPr>
          <w:rtl w:val="0"/>
        </w:rPr>
      </w:r>
    </w:p>
    <w:p w:rsidR="00000000" w:rsidDel="00000000" w:rsidP="00000000" w:rsidRDefault="00000000" w:rsidRPr="00000000" w14:paraId="000000C4">
      <w:pPr>
        <w:ind w:left="0" w:right="0" w:firstLine="0"/>
        <w:rPr/>
      </w:pPr>
      <w:r w:rsidDel="00000000" w:rsidR="00000000" w:rsidRPr="00000000">
        <w:rPr>
          <w:rtl w:val="0"/>
        </w:rPr>
        <w:t xml:space="preserve">The 13 rules address the highest-risk AI-specific obligations across FINRA, NIST AI RMF, and PCI DSS, and serve as a starting foundation. The PolicyRegistry API makes the library extensible to any additional regulatory domain — GDPR, SEC Reg BI, MiFID II, or internal firm policy — by registering new pure functions at runtime, with no changes to the core engine. Every decision in the system — from the first user query to the final portfolio update — is captured in a complete, queryable OpenTelemetry trace [7] across 11 instrumented stages.</w:t>
      </w:r>
    </w:p>
    <w:p w:rsidR="00000000" w:rsidDel="00000000" w:rsidP="00000000" w:rsidRDefault="00000000" w:rsidRPr="00000000" w14:paraId="000000C5">
      <w:pPr>
        <w:ind w:left="0" w:right="0" w:firstLine="0"/>
        <w:rPr/>
      </w:pPr>
      <w:r w:rsidDel="00000000" w:rsidR="00000000" w:rsidRPr="00000000">
        <w:rPr>
          <w:rtl w:val="0"/>
        </w:rPr>
      </w:r>
    </w:p>
    <w:p w:rsidR="00000000" w:rsidDel="00000000" w:rsidP="00000000" w:rsidRDefault="00000000" w:rsidRPr="00000000" w14:paraId="000000C6">
      <w:pPr>
        <w:pStyle w:val="Heading1"/>
        <w:ind w:left="0" w:right="0" w:firstLine="0"/>
        <w:jc w:val="left"/>
        <w:rPr/>
      </w:pPr>
      <w:bookmarkStart w:colFirst="0" w:colLast="0" w:name="_du2v5ot5tdn0" w:id="16"/>
      <w:bookmarkEnd w:id="16"/>
      <w:r w:rsidDel="00000000" w:rsidR="00000000" w:rsidRPr="00000000">
        <w:rPr>
          <w:rtl w:val="0"/>
        </w:rPr>
        <w:t xml:space="preserve">Reference List</w:t>
      </w:r>
    </w:p>
    <w:p w:rsidR="00000000" w:rsidDel="00000000" w:rsidP="00000000" w:rsidRDefault="00000000" w:rsidRPr="00000000" w14:paraId="000000C7">
      <w:pPr>
        <w:ind w:left="0" w:right="0" w:firstLine="0"/>
        <w:rPr/>
      </w:pPr>
      <w:r w:rsidDel="00000000" w:rsidR="00000000" w:rsidRPr="00000000">
        <w:rPr>
          <w:rtl w:val="0"/>
        </w:rPr>
      </w:r>
    </w:p>
    <w:p w:rsidR="00000000" w:rsidDel="00000000" w:rsidP="00000000" w:rsidRDefault="00000000" w:rsidRPr="00000000" w14:paraId="000000C8">
      <w:pPr>
        <w:ind w:left="0" w:right="0" w:firstLine="0"/>
        <w:rPr/>
      </w:pPr>
      <w:r w:rsidDel="00000000" w:rsidR="00000000" w:rsidRPr="00000000">
        <w:rPr>
          <w:b w:val="1"/>
          <w:bCs w:val="1"/>
          <w:rtl w:val="0"/>
        </w:rPr>
        <w:t xml:space="preserve">Regulatory and Standards References:</w:t>
      </w:r>
      <w:r w:rsidDel="00000000" w:rsidR="00000000" w:rsidRPr="00000000">
        <w:rPr>
          <w:rtl w:val="0"/>
        </w:rPr>
      </w:r>
    </w:p>
    <w:p w:rsidR="00000000" w:rsidDel="00000000" w:rsidP="00000000" w:rsidRDefault="00000000" w:rsidRPr="00000000" w14:paraId="000000C9">
      <w:pPr>
        <w:ind w:left="0" w:right="0" w:firstLine="0"/>
        <w:rPr/>
      </w:pPr>
      <w:r w:rsidDel="00000000" w:rsidR="00000000" w:rsidRPr="00000000">
        <w:rPr>
          <w:rtl w:val="0"/>
        </w:rPr>
        <w:t xml:space="preserve">[1] FINRA, Regulatory Notice 24-09: Artificial Intelligence (AI) in the Securities Industry , June 2024.</w:t>
      </w:r>
    </w:p>
    <w:p w:rsidR="00000000" w:rsidDel="00000000" w:rsidP="00000000" w:rsidRDefault="00000000" w:rsidRPr="00000000" w14:paraId="000000CA">
      <w:pPr>
        <w:ind w:left="0" w:right="0" w:firstLine="0"/>
        <w:rPr/>
      </w:pPr>
      <w:hyperlink r:id="rId7">
        <w:r w:rsidDel="00000000" w:rsidR="00000000" w:rsidRPr="00000000">
          <w:rPr>
            <w:color w:val="1155cc"/>
            <w:u w:val="single"/>
            <w:rtl w:val="0"/>
          </w:rPr>
          <w:t xml:space="preserve">https://www.finra.org/rules-guidance/notices/24-09</w:t>
        </w:r>
      </w:hyperlink>
      <w:r w:rsidDel="00000000" w:rsidR="00000000" w:rsidRPr="00000000">
        <w:rPr>
          <w:rtl w:val="0"/>
        </w:rPr>
        <w:t xml:space="preserve"> </w:t>
      </w:r>
    </w:p>
    <w:p w:rsidR="00000000" w:rsidDel="00000000" w:rsidP="00000000" w:rsidRDefault="00000000" w:rsidRPr="00000000" w14:paraId="000000CB">
      <w:pPr>
        <w:ind w:left="0" w:right="0" w:firstLine="0"/>
        <w:rPr/>
      </w:pPr>
      <w:r w:rsidDel="00000000" w:rsidR="00000000" w:rsidRPr="00000000">
        <w:rPr>
          <w:rtl w:val="0"/>
        </w:rPr>
      </w:r>
    </w:p>
    <w:p w:rsidR="00000000" w:rsidDel="00000000" w:rsidP="00000000" w:rsidRDefault="00000000" w:rsidRPr="00000000" w14:paraId="000000CC">
      <w:pPr>
        <w:ind w:left="0" w:right="0" w:firstLine="0"/>
        <w:rPr/>
      </w:pPr>
      <w:r w:rsidDel="00000000" w:rsidR="00000000" w:rsidRPr="00000000">
        <w:rPr>
          <w:rtl w:val="0"/>
        </w:rPr>
        <w:t xml:space="preserve">[2] FINRA, Rule 2210: Communications with the Public , FINRA Rulebook.</w:t>
      </w:r>
    </w:p>
    <w:p w:rsidR="00000000" w:rsidDel="00000000" w:rsidP="00000000" w:rsidRDefault="00000000" w:rsidRPr="00000000" w14:paraId="000000CD">
      <w:pPr>
        <w:ind w:left="0" w:right="0" w:firstLine="0"/>
        <w:rPr/>
      </w:pPr>
      <w:hyperlink r:id="rId8">
        <w:r w:rsidDel="00000000" w:rsidR="00000000" w:rsidRPr="00000000">
          <w:rPr>
            <w:color w:val="1155cc"/>
            <w:u w:val="single"/>
            <w:rtl w:val="0"/>
          </w:rPr>
          <w:t xml:space="preserve">https://www.finra.org/rules-guidance/rulebook/finra-rules/2210</w:t>
        </w:r>
      </w:hyperlink>
      <w:r w:rsidDel="00000000" w:rsidR="00000000" w:rsidRPr="00000000">
        <w:rPr>
          <w:rtl w:val="0"/>
        </w:rPr>
        <w:t xml:space="preserve"> </w:t>
      </w:r>
    </w:p>
    <w:p w:rsidR="00000000" w:rsidDel="00000000" w:rsidP="00000000" w:rsidRDefault="00000000" w:rsidRPr="00000000" w14:paraId="000000CE">
      <w:pPr>
        <w:ind w:left="0" w:right="0" w:firstLine="0"/>
        <w:rPr/>
      </w:pPr>
      <w:r w:rsidDel="00000000" w:rsidR="00000000" w:rsidRPr="00000000">
        <w:rPr>
          <w:rtl w:val="0"/>
        </w:rPr>
      </w:r>
    </w:p>
    <w:p w:rsidR="00000000" w:rsidDel="00000000" w:rsidP="00000000" w:rsidRDefault="00000000" w:rsidRPr="00000000" w14:paraId="000000CF">
      <w:pPr>
        <w:ind w:left="0" w:right="0" w:firstLine="0"/>
        <w:rPr/>
      </w:pPr>
      <w:r w:rsidDel="00000000" w:rsidR="00000000" w:rsidRPr="00000000">
        <w:rPr>
          <w:rtl w:val="0"/>
        </w:rPr>
        <w:t xml:space="preserve">[3] FINRA, Rule 3110: Supervision , FINRA Rulebook.</w:t>
      </w:r>
    </w:p>
    <w:p w:rsidR="00000000" w:rsidDel="00000000" w:rsidP="00000000" w:rsidRDefault="00000000" w:rsidRPr="00000000" w14:paraId="000000D0">
      <w:pPr>
        <w:ind w:left="0" w:right="0" w:firstLine="0"/>
        <w:rPr/>
      </w:pPr>
      <w:hyperlink r:id="rId9">
        <w:r w:rsidDel="00000000" w:rsidR="00000000" w:rsidRPr="00000000">
          <w:rPr>
            <w:color w:val="1155cc"/>
            <w:u w:val="single"/>
            <w:rtl w:val="0"/>
          </w:rPr>
          <w:t xml:space="preserve">https://www.finra.org/rules-guidance/rulebook/finra-rules/3110</w:t>
        </w:r>
      </w:hyperlink>
      <w:r w:rsidDel="00000000" w:rsidR="00000000" w:rsidRPr="00000000">
        <w:rPr>
          <w:rtl w:val="0"/>
        </w:rPr>
        <w:t xml:space="preserve"> </w:t>
      </w:r>
    </w:p>
    <w:p w:rsidR="00000000" w:rsidDel="00000000" w:rsidP="00000000" w:rsidRDefault="00000000" w:rsidRPr="00000000" w14:paraId="000000D1">
      <w:pPr>
        <w:ind w:left="0" w:right="0" w:firstLine="0"/>
        <w:rPr/>
      </w:pPr>
      <w:r w:rsidDel="00000000" w:rsidR="00000000" w:rsidRPr="00000000">
        <w:rPr>
          <w:rtl w:val="0"/>
        </w:rPr>
      </w:r>
    </w:p>
    <w:p w:rsidR="00000000" w:rsidDel="00000000" w:rsidP="00000000" w:rsidRDefault="00000000" w:rsidRPr="00000000" w14:paraId="000000D2">
      <w:pPr>
        <w:ind w:left="0" w:right="0" w:firstLine="0"/>
        <w:rPr/>
      </w:pPr>
      <w:r w:rsidDel="00000000" w:rsidR="00000000" w:rsidRPr="00000000">
        <w:rPr>
          <w:rtl w:val="0"/>
        </w:rPr>
        <w:t xml:space="preserve">[4] National Institute of Standards and Technology, Artificial Intelligence Risk Management Framework (AI RMF 1.0) , NIST AI 100-1, January 2023.</w:t>
      </w:r>
    </w:p>
    <w:p w:rsidR="00000000" w:rsidDel="00000000" w:rsidP="00000000" w:rsidRDefault="00000000" w:rsidRPr="00000000" w14:paraId="000000D3">
      <w:pPr>
        <w:ind w:left="0" w:right="0" w:firstLine="0"/>
        <w:rPr/>
      </w:pPr>
      <w:hyperlink r:id="rId10">
        <w:r w:rsidDel="00000000" w:rsidR="00000000" w:rsidRPr="00000000">
          <w:rPr>
            <w:color w:val="1155cc"/>
            <w:u w:val="single"/>
            <w:rtl w:val="0"/>
          </w:rPr>
          <w:t xml:space="preserve">https://doi.org/10.6028/NIST.AI.100-1</w:t>
        </w:r>
      </w:hyperlink>
      <w:r w:rsidDel="00000000" w:rsidR="00000000" w:rsidRPr="00000000">
        <w:rPr>
          <w:rtl w:val="0"/>
        </w:rPr>
        <w:t xml:space="preserve"> </w:t>
      </w:r>
    </w:p>
    <w:p w:rsidR="00000000" w:rsidDel="00000000" w:rsidP="00000000" w:rsidRDefault="00000000" w:rsidRPr="00000000" w14:paraId="000000D4">
      <w:pPr>
        <w:ind w:left="0" w:right="0" w:firstLine="0"/>
        <w:rPr/>
      </w:pPr>
      <w:r w:rsidDel="00000000" w:rsidR="00000000" w:rsidRPr="00000000">
        <w:rPr>
          <w:rtl w:val="0"/>
        </w:rPr>
      </w:r>
    </w:p>
    <w:p w:rsidR="00000000" w:rsidDel="00000000" w:rsidP="00000000" w:rsidRDefault="00000000" w:rsidRPr="00000000" w14:paraId="000000D5">
      <w:pPr>
        <w:ind w:left="0" w:right="0" w:firstLine="0"/>
        <w:rPr/>
      </w:pPr>
      <w:r w:rsidDel="00000000" w:rsidR="00000000" w:rsidRPr="00000000">
        <w:rPr>
          <w:rtl w:val="0"/>
        </w:rPr>
        <w:t xml:space="preserve">[5] PCI Security Standards Council, Payment Card Industry Data Security Standard v4.0 , March 2022.</w:t>
      </w:r>
    </w:p>
    <w:p w:rsidR="00000000" w:rsidDel="00000000" w:rsidP="00000000" w:rsidRDefault="00000000" w:rsidRPr="00000000" w14:paraId="000000D6">
      <w:pPr>
        <w:ind w:left="0" w:right="0" w:firstLine="0"/>
        <w:rPr/>
      </w:pPr>
      <w:hyperlink r:id="rId11">
        <w:r w:rsidDel="00000000" w:rsidR="00000000" w:rsidRPr="00000000">
          <w:rPr>
            <w:color w:val="1155cc"/>
            <w:u w:val="single"/>
            <w:rtl w:val="0"/>
          </w:rPr>
          <w:t xml:space="preserve">https://www.pcisecuritystandards.org/document_library</w:t>
        </w:r>
      </w:hyperlink>
      <w:r w:rsidDel="00000000" w:rsidR="00000000" w:rsidRPr="00000000">
        <w:rPr>
          <w:rtl w:val="0"/>
        </w:rPr>
        <w:t xml:space="preserve"> </w:t>
      </w:r>
    </w:p>
    <w:p w:rsidR="00000000" w:rsidDel="00000000" w:rsidP="00000000" w:rsidRDefault="00000000" w:rsidRPr="00000000" w14:paraId="000000D7">
      <w:pPr>
        <w:ind w:left="0" w:right="0" w:firstLine="0"/>
        <w:rPr/>
      </w:pPr>
      <w:r w:rsidDel="00000000" w:rsidR="00000000" w:rsidRPr="00000000">
        <w:rPr>
          <w:rtl w:val="0"/>
        </w:rPr>
      </w:r>
    </w:p>
    <w:p w:rsidR="00000000" w:rsidDel="00000000" w:rsidP="00000000" w:rsidRDefault="00000000" w:rsidRPr="00000000" w14:paraId="000000D8">
      <w:pPr>
        <w:ind w:left="0" w:right="0" w:firstLine="0"/>
        <w:rPr/>
      </w:pPr>
      <w:r w:rsidDel="00000000" w:rsidR="00000000" w:rsidRPr="00000000">
        <w:rPr>
          <w:rtl w:val="0"/>
        </w:rPr>
        <w:t xml:space="preserve">[6] International Organization for Standardization, ISO/IEC 7812-1:2017 — Identification cards — Identification of issuers , defining the Luhn algorithm for primary account number validation.</w:t>
      </w:r>
    </w:p>
    <w:p w:rsidR="00000000" w:rsidDel="00000000" w:rsidP="00000000" w:rsidRDefault="00000000" w:rsidRPr="00000000" w14:paraId="000000D9">
      <w:pPr>
        <w:ind w:left="0" w:right="0" w:firstLine="0"/>
        <w:rPr/>
      </w:pPr>
      <w:hyperlink r:id="rId12">
        <w:r w:rsidDel="00000000" w:rsidR="00000000" w:rsidRPr="00000000">
          <w:rPr>
            <w:color w:val="1155cc"/>
            <w:u w:val="single"/>
            <w:rtl w:val="0"/>
          </w:rPr>
          <w:t xml:space="preserve">https://www.iso.org/standard/70484.html</w:t>
        </w:r>
      </w:hyperlink>
      <w:r w:rsidDel="00000000" w:rsidR="00000000" w:rsidRPr="00000000">
        <w:rPr>
          <w:rtl w:val="0"/>
        </w:rPr>
        <w:t xml:space="preserve"> </w:t>
      </w:r>
    </w:p>
    <w:p w:rsidR="00000000" w:rsidDel="00000000" w:rsidP="00000000" w:rsidRDefault="00000000" w:rsidRPr="00000000" w14:paraId="000000DA">
      <w:pPr>
        <w:ind w:left="0" w:right="0" w:firstLine="0"/>
        <w:rPr/>
      </w:pPr>
      <w:r w:rsidDel="00000000" w:rsidR="00000000" w:rsidRPr="00000000">
        <w:rPr>
          <w:rtl w:val="0"/>
        </w:rPr>
      </w:r>
    </w:p>
    <w:p w:rsidR="00000000" w:rsidDel="00000000" w:rsidP="00000000" w:rsidRDefault="00000000" w:rsidRPr="00000000" w14:paraId="000000DB">
      <w:pPr>
        <w:ind w:left="0" w:right="0" w:firstLine="0"/>
        <w:rPr/>
      </w:pPr>
      <w:r w:rsidDel="00000000" w:rsidR="00000000" w:rsidRPr="00000000">
        <w:rPr>
          <w:rtl w:val="0"/>
        </w:rPr>
        <w:t xml:space="preserve">[7] W3C, Trace Context , W3C Recommendation, February 2022.</w:t>
      </w:r>
    </w:p>
    <w:p w:rsidR="00000000" w:rsidDel="00000000" w:rsidP="00000000" w:rsidRDefault="00000000" w:rsidRPr="00000000" w14:paraId="000000DC">
      <w:pPr>
        <w:ind w:left="0" w:right="0" w:firstLine="0"/>
        <w:rPr/>
      </w:pPr>
      <w:hyperlink r:id="rId13">
        <w:r w:rsidDel="00000000" w:rsidR="00000000" w:rsidRPr="00000000">
          <w:rPr>
            <w:color w:val="1155cc"/>
            <w:u w:val="single"/>
            <w:rtl w:val="0"/>
          </w:rPr>
          <w:t xml:space="preserve">https://www.w3.org/TR/trace-context/</w:t>
        </w:r>
      </w:hyperlink>
      <w:r w:rsidDel="00000000" w:rsidR="00000000" w:rsidRPr="00000000">
        <w:rPr>
          <w:rtl w:val="0"/>
        </w:rPr>
        <w:t xml:space="preserve"> </w:t>
      </w:r>
    </w:p>
    <w:p w:rsidR="00000000" w:rsidDel="00000000" w:rsidP="00000000" w:rsidRDefault="00000000" w:rsidRPr="00000000" w14:paraId="000000DD">
      <w:pPr>
        <w:ind w:left="0" w:right="0" w:firstLine="0"/>
        <w:rPr/>
      </w:pPr>
      <w:r w:rsidDel="00000000" w:rsidR="00000000" w:rsidRPr="00000000">
        <w:rPr>
          <w:rtl w:val="0"/>
        </w:rPr>
      </w:r>
    </w:p>
    <w:p w:rsidR="00000000" w:rsidDel="00000000" w:rsidP="00000000" w:rsidRDefault="00000000" w:rsidRPr="00000000" w14:paraId="000000DE">
      <w:pPr>
        <w:ind w:left="0" w:right="0" w:firstLine="0"/>
        <w:rPr/>
      </w:pPr>
      <w:r w:rsidDel="00000000" w:rsidR="00000000" w:rsidRPr="00000000">
        <w:rPr>
          <w:rtl w:val="0"/>
        </w:rPr>
        <w:t xml:space="preserve">[8] Amazon Web Services, Amazon Bedrock — Supported Foundation Models .</w:t>
      </w:r>
    </w:p>
    <w:p w:rsidR="00000000" w:rsidDel="00000000" w:rsidP="00000000" w:rsidRDefault="00000000" w:rsidRPr="00000000" w14:paraId="000000DF">
      <w:pPr>
        <w:ind w:left="0" w:right="0" w:firstLine="0"/>
        <w:rPr/>
      </w:pPr>
      <w:hyperlink r:id="rId14">
        <w:r w:rsidDel="00000000" w:rsidR="00000000" w:rsidRPr="00000000">
          <w:rPr>
            <w:color w:val="1155cc"/>
            <w:u w:val="single"/>
            <w:rtl w:val="0"/>
          </w:rPr>
          <w:t xml:space="preserve">https://docs.aws.amazon.com/bedrock/latest/userguide/models-supported.html</w:t>
        </w:r>
      </w:hyperlink>
      <w:r w:rsidDel="00000000" w:rsidR="00000000" w:rsidRPr="00000000">
        <w:rPr>
          <w:rtl w:val="0"/>
        </w:rPr>
        <w:t xml:space="preserve"> </w:t>
      </w:r>
    </w:p>
    <w:p w:rsidR="00000000" w:rsidDel="00000000" w:rsidP="00000000" w:rsidRDefault="00000000" w:rsidRPr="00000000" w14:paraId="000000E0">
      <w:pPr>
        <w:ind w:left="0" w:right="0" w:firstLine="0"/>
        <w:rPr/>
      </w:pPr>
      <w:r w:rsidDel="00000000" w:rsidR="00000000" w:rsidRPr="00000000">
        <w:rPr>
          <w:rtl w:val="0"/>
        </w:rPr>
      </w:r>
    </w:p>
    <w:p w:rsidR="00000000" w:rsidDel="00000000" w:rsidP="00000000" w:rsidRDefault="00000000" w:rsidRPr="00000000" w14:paraId="000000E1">
      <w:pPr>
        <w:ind w:left="0" w:right="0" w:firstLine="0"/>
        <w:rPr/>
      </w:pPr>
      <w:r w:rsidDel="00000000" w:rsidR="00000000" w:rsidRPr="00000000">
        <w:rPr>
          <w:rtl w:val="0"/>
        </w:rPr>
        <w:t xml:space="preserve">[9] Amazon Web Services, Amazon Titan Embeddings — Model specification .</w:t>
      </w:r>
    </w:p>
    <w:p w:rsidR="00000000" w:rsidDel="00000000" w:rsidP="00000000" w:rsidRDefault="00000000" w:rsidRPr="00000000" w14:paraId="000000E2">
      <w:pPr>
        <w:ind w:left="0" w:right="0" w:firstLine="0"/>
        <w:rPr/>
      </w:pPr>
      <w:hyperlink r:id="rId15">
        <w:r w:rsidDel="00000000" w:rsidR="00000000" w:rsidRPr="00000000">
          <w:rPr>
            <w:color w:val="1155cc"/>
            <w:u w:val="single"/>
            <w:rtl w:val="0"/>
          </w:rPr>
          <w:t xml:space="preserve">https://docs.aws.amazon.com/bedrock/latest/userguide/titan-embedding-models.html</w:t>
        </w:r>
      </w:hyperlink>
      <w:r w:rsidDel="00000000" w:rsidR="00000000" w:rsidRPr="00000000">
        <w:rPr>
          <w:rtl w:val="0"/>
        </w:rPr>
        <w:t xml:space="preserve"> </w:t>
      </w:r>
    </w:p>
    <w:p w:rsidR="00000000" w:rsidDel="00000000" w:rsidP="00000000" w:rsidRDefault="00000000" w:rsidRPr="00000000" w14:paraId="000000E3">
      <w:pPr>
        <w:ind w:left="0" w:right="0" w:firstLine="0"/>
        <w:rPr/>
      </w:pPr>
      <w:r w:rsidDel="00000000" w:rsidR="00000000" w:rsidRPr="00000000">
        <w:rPr>
          <w:rtl w:val="0"/>
        </w:rPr>
      </w:r>
    </w:p>
    <w:p w:rsidR="00000000" w:rsidDel="00000000" w:rsidP="00000000" w:rsidRDefault="00000000" w:rsidRPr="00000000" w14:paraId="000000E4">
      <w:pPr>
        <w:ind w:left="0" w:right="0" w:firstLine="0"/>
        <w:rPr/>
      </w:pPr>
      <w:r w:rsidDel="00000000" w:rsidR="00000000" w:rsidRPr="00000000">
        <w:rPr>
          <w:rtl w:val="0"/>
        </w:rPr>
        <w:t xml:space="preserve">[10] FINRA, Rule 4511: General Requirements for Books and Records , FINRA Rulebook.</w:t>
      </w:r>
    </w:p>
    <w:p w:rsidR="00000000" w:rsidDel="00000000" w:rsidP="00000000" w:rsidRDefault="00000000" w:rsidRPr="00000000" w14:paraId="000000E5">
      <w:pPr>
        <w:ind w:left="0" w:right="0" w:firstLine="0"/>
        <w:rPr/>
      </w:pPr>
      <w:hyperlink r:id="rId16">
        <w:r w:rsidDel="00000000" w:rsidR="00000000" w:rsidRPr="00000000">
          <w:rPr>
            <w:color w:val="1155cc"/>
            <w:u w:val="single"/>
            <w:rtl w:val="0"/>
          </w:rPr>
          <w:t xml:space="preserve">https://www.finra.org/rules-guidance/rulebook/finra-rules/4511</w:t>
        </w:r>
      </w:hyperlink>
      <w:r w:rsidDel="00000000" w:rsidR="00000000" w:rsidRPr="00000000">
        <w:rPr>
          <w:rtl w:val="0"/>
        </w:rPr>
        <w:t xml:space="preserve"> </w:t>
      </w:r>
    </w:p>
    <w:p w:rsidR="00000000" w:rsidDel="00000000" w:rsidP="00000000" w:rsidRDefault="00000000" w:rsidRPr="00000000" w14:paraId="000000E6">
      <w:pPr>
        <w:ind w:left="0" w:right="0" w:firstLine="0"/>
        <w:rPr/>
      </w:pPr>
      <w:r w:rsidDel="00000000" w:rsidR="00000000" w:rsidRPr="00000000">
        <w:rPr>
          <w:rtl w:val="0"/>
        </w:rPr>
      </w:r>
    </w:p>
    <w:p w:rsidR="00000000" w:rsidDel="00000000" w:rsidP="00000000" w:rsidRDefault="00000000" w:rsidRPr="00000000" w14:paraId="000000E7">
      <w:pPr>
        <w:ind w:left="0" w:right="0" w:firstLine="0"/>
        <w:rPr/>
      </w:pPr>
      <w:r w:rsidDel="00000000" w:rsidR="00000000" w:rsidRPr="00000000">
        <w:rPr>
          <w:rtl w:val="0"/>
        </w:rPr>
        <w:t xml:space="preserve">[11] U.S. Securities and Exchange Commission, Rule 17a-4: Records to be Preserved by Certain Exchange Members, Brokers and Dealers , 17 CFR § 240.17a-4.</w:t>
      </w:r>
    </w:p>
    <w:p w:rsidR="00000000" w:rsidDel="00000000" w:rsidP="00000000" w:rsidRDefault="00000000" w:rsidRPr="00000000" w14:paraId="000000E8">
      <w:pPr>
        <w:ind w:left="0" w:right="0" w:firstLine="0"/>
        <w:rPr/>
      </w:pPr>
      <w:hyperlink r:id="rId17">
        <w:r w:rsidDel="00000000" w:rsidR="00000000" w:rsidRPr="00000000">
          <w:rPr>
            <w:color w:val="1155cc"/>
            <w:u w:val="single"/>
            <w:rtl w:val="0"/>
          </w:rPr>
          <w:t xml:space="preserve">https://www.ecfr.gov/current/title-17/chapter-II/part-240/section-240.17a-4</w:t>
        </w:r>
      </w:hyperlink>
      <w:r w:rsidDel="00000000" w:rsidR="00000000" w:rsidRPr="00000000">
        <w:rPr>
          <w:rtl w:val="0"/>
        </w:rPr>
        <w:t xml:space="preserve"> </w:t>
      </w:r>
    </w:p>
    <w:p w:rsidR="00000000" w:rsidDel="00000000" w:rsidP="00000000" w:rsidRDefault="00000000" w:rsidRPr="00000000" w14:paraId="000000E9">
      <w:pPr>
        <w:ind w:left="0" w:right="0" w:firstLine="0"/>
        <w:rPr/>
      </w:pPr>
      <w:r w:rsidDel="00000000" w:rsidR="00000000" w:rsidRPr="00000000">
        <w:rPr>
          <w:rtl w:val="0"/>
        </w:rPr>
      </w:r>
    </w:p>
    <w:p w:rsidR="00000000" w:rsidDel="00000000" w:rsidP="00000000" w:rsidRDefault="00000000" w:rsidRPr="00000000" w14:paraId="000000EA">
      <w:pPr>
        <w:ind w:left="0" w:right="0" w:firstLine="0"/>
        <w:rPr/>
      </w:pPr>
      <w:r w:rsidDel="00000000" w:rsidR="00000000" w:rsidRPr="00000000">
        <w:rPr>
          <w:b w:val="1"/>
          <w:bCs w:val="1"/>
          <w:rtl w:val="0"/>
        </w:rPr>
        <w:t xml:space="preserve">Author's Prior Work:</w:t>
      </w:r>
      <w:r w:rsidDel="00000000" w:rsidR="00000000" w:rsidRPr="00000000">
        <w:rPr>
          <w:rtl w:val="0"/>
        </w:rPr>
      </w:r>
    </w:p>
    <w:p w:rsidR="00000000" w:rsidDel="00000000" w:rsidP="00000000" w:rsidRDefault="00000000" w:rsidRPr="00000000" w14:paraId="000000EB">
      <w:pPr>
        <w:ind w:left="0" w:right="0" w:firstLine="0"/>
        <w:rPr/>
      </w:pPr>
      <w:r w:rsidDel="00000000" w:rsidR="00000000" w:rsidRPr="00000000">
        <w:rPr>
          <w:rtl w:val="0"/>
        </w:rPr>
        <w:t xml:space="preserve">[A1] Padmakar Bhosale, Updated Whitepaper: Architecting for PCI DSS Segmentation and Scoping on AWS: </w:t>
      </w:r>
    </w:p>
    <w:p w:rsidR="00000000" w:rsidDel="00000000" w:rsidP="00000000" w:rsidRDefault="00000000" w:rsidRPr="00000000" w14:paraId="000000EC">
      <w:pPr>
        <w:ind w:left="0" w:right="0" w:firstLine="0"/>
        <w:rPr/>
      </w:pPr>
      <w:hyperlink r:id="rId18">
        <w:r w:rsidDel="00000000" w:rsidR="00000000" w:rsidRPr="00000000">
          <w:rPr>
            <w:color w:val="1155cc"/>
            <w:u w:val="single"/>
            <w:rtl w:val="0"/>
          </w:rPr>
          <w:t xml:space="preserve">https://d1.awsstatic.com/whitepapers/compliance/architecting-pci-dss-segmentation-scoping-aws.pdf</w:t>
        </w:r>
      </w:hyperlink>
      <w:r w:rsidDel="00000000" w:rsidR="00000000" w:rsidRPr="00000000">
        <w:rPr>
          <w:rtl w:val="0"/>
        </w:rPr>
        <w:t xml:space="preserve"> </w:t>
      </w:r>
    </w:p>
    <w:p w:rsidR="00000000" w:rsidDel="00000000" w:rsidP="00000000" w:rsidRDefault="00000000" w:rsidRPr="00000000" w14:paraId="000000ED">
      <w:pPr>
        <w:ind w:left="0" w:right="0" w:firstLine="0"/>
        <w:rPr/>
      </w:pPr>
      <w:r w:rsidDel="00000000" w:rsidR="00000000" w:rsidRPr="00000000">
        <w:rPr>
          <w:rtl w:val="0"/>
        </w:rPr>
      </w:r>
    </w:p>
    <w:p w:rsidR="00000000" w:rsidDel="00000000" w:rsidP="00000000" w:rsidRDefault="00000000" w:rsidRPr="00000000" w14:paraId="000000EE">
      <w:pPr>
        <w:ind w:left="0" w:right="0" w:firstLine="0"/>
        <w:rPr/>
      </w:pPr>
      <w:r w:rsidDel="00000000" w:rsidR="00000000" w:rsidRPr="00000000">
        <w:rPr>
          <w:rtl w:val="0"/>
        </w:rPr>
        <w:t xml:space="preserve">[A2] Padmakar Bhosale, AWS Security Blog post for the white-paper.</w:t>
      </w:r>
    </w:p>
    <w:p w:rsidR="00000000" w:rsidDel="00000000" w:rsidP="00000000" w:rsidRDefault="00000000" w:rsidRPr="00000000" w14:paraId="000000EF">
      <w:pPr>
        <w:ind w:left="0" w:right="0" w:firstLine="0"/>
        <w:rPr/>
      </w:pPr>
      <w:hyperlink r:id="rId19">
        <w:r w:rsidDel="00000000" w:rsidR="00000000" w:rsidRPr="00000000">
          <w:rPr>
            <w:color w:val="1155cc"/>
            <w:u w:val="single"/>
            <w:rtl w:val="0"/>
          </w:rPr>
          <w:t xml:space="preserve">https://aws.amazon.com/blogs/security/updated-whitepaper-architecting-for-pci-dss-segmentation-and-scoping-on-aws/</w:t>
        </w:r>
      </w:hyperlink>
      <w:r w:rsidDel="00000000" w:rsidR="00000000" w:rsidRPr="00000000">
        <w:rPr>
          <w:rtl w:val="0"/>
        </w:rPr>
        <w:t xml:space="preserve"> </w:t>
      </w:r>
    </w:p>
    <w:p w:rsidR="00000000" w:rsidDel="00000000" w:rsidP="00000000" w:rsidRDefault="00000000" w:rsidRPr="00000000" w14:paraId="000000F0">
      <w:pPr>
        <w:ind w:left="0" w:right="0" w:firstLine="0"/>
        <w:rPr/>
      </w:pPr>
      <w:r w:rsidDel="00000000" w:rsidR="00000000" w:rsidRPr="00000000">
        <w:rPr>
          <w:rtl w:val="0"/>
        </w:rPr>
      </w:r>
    </w:p>
    <w:p w:rsidR="00000000" w:rsidDel="00000000" w:rsidP="00000000" w:rsidRDefault="00000000" w:rsidRPr="00000000" w14:paraId="000000F1">
      <w:pPr>
        <w:ind w:left="0" w:right="0" w:firstLine="0"/>
        <w:rPr/>
      </w:pPr>
      <w:r w:rsidDel="00000000" w:rsidR="00000000" w:rsidRPr="00000000">
        <w:rPr>
          <w:rtl w:val="0"/>
        </w:rPr>
        <w:t xml:space="preserve">[A3] Padmakar Bhosale, Transforming Transactions: Streamlining PCI Compliance Using AWS Serverless Architecture , AWS Security Blog.</w:t>
      </w:r>
    </w:p>
    <w:p w:rsidR="00000000" w:rsidDel="00000000" w:rsidP="00000000" w:rsidRDefault="00000000" w:rsidRPr="00000000" w14:paraId="000000F2">
      <w:pPr>
        <w:ind w:left="0" w:right="0" w:firstLine="0"/>
        <w:rPr/>
      </w:pPr>
      <w:hyperlink r:id="rId20">
        <w:r w:rsidDel="00000000" w:rsidR="00000000" w:rsidRPr="00000000">
          <w:rPr>
            <w:color w:val="1155cc"/>
            <w:u w:val="single"/>
            <w:rtl w:val="0"/>
          </w:rPr>
          <w:t xml:space="preserve">https://aws.amazon.com/blogs/security/transforming-transactions-streamlining-pci-compliance-using-aws-serverless-architecture/</w:t>
        </w:r>
      </w:hyperlink>
      <w:r w:rsidDel="00000000" w:rsidR="00000000" w:rsidRPr="00000000">
        <w:rPr>
          <w:rtl w:val="0"/>
        </w:rPr>
        <w:t xml:space="preserve"> </w:t>
      </w:r>
    </w:p>
    <w:p w:rsidR="00000000" w:rsidDel="00000000" w:rsidP="00000000" w:rsidRDefault="00000000" w:rsidRPr="00000000" w14:paraId="000000F3">
      <w:pPr>
        <w:ind w:left="0" w:right="0" w:firstLine="0"/>
        <w:rPr/>
      </w:pPr>
      <w:r w:rsidDel="00000000" w:rsidR="00000000" w:rsidRPr="00000000">
        <w:rPr>
          <w:rtl w:val="0"/>
        </w:rPr>
      </w:r>
    </w:p>
    <w:p w:rsidR="00000000" w:rsidDel="00000000" w:rsidP="00000000" w:rsidRDefault="00000000" w:rsidRPr="00000000" w14:paraId="000000F4">
      <w:pPr>
        <w:ind w:left="0" w:right="0" w:firstLine="0"/>
        <w:rPr/>
      </w:pPr>
      <w:r w:rsidDel="00000000" w:rsidR="00000000" w:rsidRPr="00000000">
        <w:rPr>
          <w:b w:val="1"/>
          <w:bCs w:val="1"/>
          <w:rtl w:val="0"/>
        </w:rPr>
        <w:t xml:space="preserve">Implementation Reference:</w:t>
      </w:r>
      <w:r w:rsidDel="00000000" w:rsidR="00000000" w:rsidRPr="00000000">
        <w:rPr>
          <w:rtl w:val="0"/>
        </w:rPr>
      </w:r>
    </w:p>
    <w:p w:rsidR="00000000" w:rsidDel="00000000" w:rsidP="00000000" w:rsidRDefault="00000000" w:rsidRPr="00000000" w14:paraId="000000F5">
      <w:pPr>
        <w:ind w:left="0" w:right="0" w:firstLine="0"/>
        <w:rPr/>
      </w:pPr>
      <w:r w:rsidDel="00000000" w:rsidR="00000000" w:rsidRPr="00000000">
        <w:rPr>
          <w:b w:val="1"/>
          <w:bCs w:val="1"/>
          <w:rtl w:val="0"/>
        </w:rPr>
        <w:t xml:space="preserve">[GitHub]</w:t>
      </w:r>
      <w:r w:rsidDel="00000000" w:rsidR="00000000" w:rsidRPr="00000000">
        <w:rPr>
          <w:rtl w:val="0"/>
        </w:rPr>
        <w:t xml:space="preserve"> Multi-Agent Advisory AI System — Source code including compliance-as-code library, OpenTelemetry instrumentation, and LLM-as-a-Judge implementation.</w:t>
      </w:r>
    </w:p>
    <w:p w:rsidR="00000000" w:rsidDel="00000000" w:rsidP="00000000" w:rsidRDefault="00000000" w:rsidRPr="00000000" w14:paraId="000000F6">
      <w:pPr>
        <w:ind w:left="0" w:right="0" w:firstLine="0"/>
        <w:rPr/>
      </w:pPr>
      <w:hyperlink r:id="rId21">
        <w:r w:rsidDel="00000000" w:rsidR="00000000" w:rsidRPr="00000000">
          <w:rPr>
            <w:color w:val="1155cc"/>
            <w:u w:val="single"/>
            <w:rtl w:val="0"/>
          </w:rPr>
          <w:t xml:space="preserve">https://github.com/Padmakar220/Multi-Agent-Advisory-Project</w:t>
        </w:r>
      </w:hyperlink>
      <w:r w:rsidDel="00000000" w:rsidR="00000000" w:rsidRPr="00000000">
        <w:rPr>
          <w:rtl w:val="0"/>
        </w:rPr>
        <w:t xml:space="preserve"> </w:t>
      </w:r>
    </w:p>
    <w:p w:rsidR="00000000" w:rsidDel="00000000" w:rsidP="00000000" w:rsidRDefault="00000000" w:rsidRPr="00000000" w14:paraId="000000F7">
      <w:pPr>
        <w:ind w:left="0" w:right="0" w:firstLine="0"/>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Figtre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gtree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Figtree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firstLine="54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Figtree" w:cs="Figtree" w:eastAsia="Figtree" w:hAnsi="Figtree"/>
        <w:color w:val="575757"/>
        <w:sz w:val="26"/>
        <w:szCs w:val="26"/>
        <w:lang w:val="en"/>
      </w:rPr>
    </w:rPrDefault>
    <w:pPrDefault>
      <w:pPr>
        <w:pBdr>
          <w:top w:color="e3e3e3" w:space="0" w:sz="0" w:val="none"/>
          <w:left w:color="e3e3e3" w:space="0" w:sz="0" w:val="none"/>
          <w:bottom w:color="e3e3e3" w:space="0" w:sz="0" w:val="none"/>
          <w:right w:color="e3e3e3" w:space="0" w:sz="0" w:val="none"/>
          <w:between w:color="e3e3e3" w:space="0" w:sz="0" w:val="none"/>
        </w:pBdr>
        <w:spacing w:line="300" w:lineRule="auto"/>
        <w:ind w:left="1260" w:right="12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40" w:lineRule="auto"/>
      <w:jc w:val="center"/>
    </w:pPr>
    <w:rPr>
      <w:rFonts w:ascii="Figtree SemiBold" w:cs="Figtree SemiBold" w:eastAsia="Figtree SemiBold" w:hAnsi="Figtree SemiBold"/>
      <w:color w:val="1d1d1d"/>
      <w:sz w:val="56"/>
      <w:szCs w:val="56"/>
    </w:rPr>
  </w:style>
  <w:style w:type="paragraph" w:styleId="Heading2">
    <w:name w:val="heading 2"/>
    <w:basedOn w:val="Normal"/>
    <w:next w:val="Normal"/>
    <w:pPr>
      <w:keepNext w:val="1"/>
      <w:keepLines w:val="1"/>
      <w:spacing w:line="240" w:lineRule="auto"/>
      <w:jc w:val="center"/>
    </w:pPr>
    <w:rPr>
      <w:color w:val="1d1d1d"/>
      <w:sz w:val="52"/>
      <w:szCs w:val="52"/>
    </w:rPr>
  </w:style>
  <w:style w:type="paragraph" w:styleId="Heading3">
    <w:name w:val="heading 3"/>
    <w:basedOn w:val="Normal"/>
    <w:next w:val="Normal"/>
    <w:pPr>
      <w:keepNext w:val="1"/>
      <w:keepLines w:val="1"/>
      <w:spacing w:before="200" w:lineRule="auto"/>
      <w:ind w:left="0" w:firstLine="0"/>
    </w:pPr>
    <w:rPr>
      <w:rFonts w:ascii="Figtree SemiBold" w:cs="Figtree SemiBold" w:eastAsia="Figtree SemiBold" w:hAnsi="Figtree SemiBold"/>
      <w:color w:val="1d1d1d"/>
      <w:sz w:val="32"/>
      <w:szCs w:val="32"/>
    </w:rPr>
  </w:style>
  <w:style w:type="paragraph" w:styleId="Heading4">
    <w:name w:val="heading 4"/>
    <w:basedOn w:val="Normal"/>
    <w:next w:val="Normal"/>
    <w:pPr>
      <w:keepNext w:val="1"/>
      <w:keepLines w:val="1"/>
      <w:ind w:left="0" w:firstLine="0"/>
    </w:pPr>
    <w:rPr>
      <w:rFonts w:ascii="Figtree SemiBold" w:cs="Figtree SemiBold" w:eastAsia="Figtree SemiBold" w:hAnsi="Figtree SemiBold"/>
      <w:sz w:val="28"/>
      <w:szCs w:val="28"/>
    </w:rPr>
  </w:style>
  <w:style w:type="paragraph" w:styleId="Heading5">
    <w:name w:val="heading 5"/>
    <w:basedOn w:val="Normal"/>
    <w:next w:val="Normal"/>
    <w:pPr>
      <w:keepNext w:val="1"/>
      <w:keepLines w:val="1"/>
      <w:spacing w:after="80" w:before="240" w:lineRule="auto"/>
      <w:ind w:left="0" w:firstLine="0"/>
    </w:pPr>
    <w:rPr>
      <w:rFonts w:ascii="Figtree Medium" w:cs="Figtree Medium" w:eastAsia="Figtree Medium" w:hAnsi="Figtree Medium"/>
      <w:color w:val="666666"/>
      <w:sz w:val="24"/>
      <w:szCs w:val="24"/>
    </w:rPr>
  </w:style>
  <w:style w:type="paragraph" w:styleId="Heading6">
    <w:name w:val="heading 6"/>
    <w:basedOn w:val="Normal"/>
    <w:next w:val="Normal"/>
    <w:pPr>
      <w:keepNext w:val="1"/>
      <w:keepLines w:val="1"/>
      <w:spacing w:after="80" w:before="240" w:lineRule="auto"/>
      <w:ind w:left="0" w:firstLine="0"/>
    </w:pPr>
    <w:rPr>
      <w:i w:val="1"/>
      <w:iCs w:val="1"/>
      <w:color w:val="666666"/>
      <w:sz w:val="24"/>
      <w:szCs w:val="24"/>
    </w:rPr>
  </w:style>
  <w:style w:type="paragraph" w:styleId="Title">
    <w:name w:val="Title"/>
    <w:basedOn w:val="Normal"/>
    <w:next w:val="Normal"/>
    <w:pPr>
      <w:keepNext w:val="1"/>
      <w:keepLines w:val="1"/>
      <w:spacing w:after="200" w:line="216" w:lineRule="auto"/>
      <w:jc w:val="center"/>
    </w:pPr>
    <w:rPr>
      <w:b w:val="1"/>
      <w:bCs w:val="1"/>
      <w:color w:val="1d1d1d"/>
      <w:sz w:val="96"/>
      <w:szCs w:val="96"/>
    </w:rPr>
  </w:style>
  <w:style w:type="paragraph" w:styleId="Subtitle">
    <w:name w:val="Subtitle"/>
    <w:basedOn w:val="Normal"/>
    <w:next w:val="Normal"/>
    <w:pPr>
      <w:keepNext w:val="1"/>
      <w:keepLines w:val="1"/>
      <w:jc w:val="center"/>
    </w:pPr>
    <w:rPr>
      <w:rFonts w:ascii="Figtree Medium" w:cs="Figtree Medium" w:eastAsia="Figtree Medium" w:hAnsi="Figtree Medium"/>
      <w:color w:val="1d1d1d"/>
      <w:sz w:val="32"/>
      <w:szCs w:val="32"/>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aws.amazon.com/blogs/security/transforming-transactions-streamlining-pci-compliance-using-aws-serverless-architecture/" TargetMode="External"/><Relationship Id="rId11" Type="http://schemas.openxmlformats.org/officeDocument/2006/relationships/hyperlink" Target="https://www.pcisecuritystandards.org/document_library" TargetMode="External"/><Relationship Id="rId10" Type="http://schemas.openxmlformats.org/officeDocument/2006/relationships/hyperlink" Target="https://doi.org/10.6028/NIST.AI.100-1" TargetMode="External"/><Relationship Id="rId21" Type="http://schemas.openxmlformats.org/officeDocument/2006/relationships/hyperlink" Target="https://github.com/Padmakar220/Multi-Agent-Advisory-Project" TargetMode="External"/><Relationship Id="rId13" Type="http://schemas.openxmlformats.org/officeDocument/2006/relationships/hyperlink" Target="https://www.w3.org/TR/trace-context/" TargetMode="External"/><Relationship Id="rId12" Type="http://schemas.openxmlformats.org/officeDocument/2006/relationships/hyperlink" Target="https://www.iso.org/standard/70484.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finra.org/rules-guidance/rulebook/finra-rules/3110" TargetMode="External"/><Relationship Id="rId15" Type="http://schemas.openxmlformats.org/officeDocument/2006/relationships/hyperlink" Target="https://docs.aws.amazon.com/bedrock/latest/userguide/titan-embedding-models.html" TargetMode="External"/><Relationship Id="rId14" Type="http://schemas.openxmlformats.org/officeDocument/2006/relationships/hyperlink" Target="https://docs.aws.amazon.com/bedrock/latest/userguide/models-supported.html" TargetMode="External"/><Relationship Id="rId17" Type="http://schemas.openxmlformats.org/officeDocument/2006/relationships/hyperlink" Target="https://www.ecfr.gov/current/title-17/chapter-II/part-240/section-240.17a-4" TargetMode="External"/><Relationship Id="rId16" Type="http://schemas.openxmlformats.org/officeDocument/2006/relationships/hyperlink" Target="https://www.finra.org/rules-guidance/rulebook/finra-rules/4511" TargetMode="External"/><Relationship Id="rId5" Type="http://schemas.openxmlformats.org/officeDocument/2006/relationships/styles" Target="styles.xml"/><Relationship Id="rId19" Type="http://schemas.openxmlformats.org/officeDocument/2006/relationships/hyperlink" Target="https://aws.amazon.com/blogs/security/updated-whitepaper-architecting-for-pci-dss-segmentation-and-scoping-on-aws/" TargetMode="External"/><Relationship Id="rId6" Type="http://schemas.openxmlformats.org/officeDocument/2006/relationships/hyperlink" Target="mailto:padmakar220@gmail.com" TargetMode="External"/><Relationship Id="rId18" Type="http://schemas.openxmlformats.org/officeDocument/2006/relationships/hyperlink" Target="https://d1.awsstatic.com/whitepapers/compliance/architecting-pci-dss-segmentation-scoping-aws.pdf" TargetMode="External"/><Relationship Id="rId7" Type="http://schemas.openxmlformats.org/officeDocument/2006/relationships/hyperlink" Target="https://www.finra.org/rules-guidance/notices/24-09" TargetMode="External"/><Relationship Id="rId8" Type="http://schemas.openxmlformats.org/officeDocument/2006/relationships/hyperlink" Target="https://www.finra.org/rules-guidance/rulebook/finra-rules/221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Figtree-regular.ttf"/><Relationship Id="rId2" Type="http://schemas.openxmlformats.org/officeDocument/2006/relationships/font" Target="fonts/Figtree-bold.ttf"/><Relationship Id="rId3" Type="http://schemas.openxmlformats.org/officeDocument/2006/relationships/font" Target="fonts/Figtree-italic.ttf"/><Relationship Id="rId4" Type="http://schemas.openxmlformats.org/officeDocument/2006/relationships/font" Target="fonts/Figtree-boldItalic.ttf"/><Relationship Id="rId11" Type="http://schemas.openxmlformats.org/officeDocument/2006/relationships/font" Target="fonts/FigtreeSemiBold-italic.ttf"/><Relationship Id="rId10" Type="http://schemas.openxmlformats.org/officeDocument/2006/relationships/font" Target="fonts/FigtreeSemiBold-bold.ttf"/><Relationship Id="rId12" Type="http://schemas.openxmlformats.org/officeDocument/2006/relationships/font" Target="fonts/FigtreeSemiBold-boldItalic.ttf"/><Relationship Id="rId9" Type="http://schemas.openxmlformats.org/officeDocument/2006/relationships/font" Target="fonts/FigtreeSemiBold-regular.ttf"/><Relationship Id="rId5" Type="http://schemas.openxmlformats.org/officeDocument/2006/relationships/font" Target="fonts/FigtreeMedium-regular.ttf"/><Relationship Id="rId6" Type="http://schemas.openxmlformats.org/officeDocument/2006/relationships/font" Target="fonts/FigtreeMedium-bold.ttf"/><Relationship Id="rId7" Type="http://schemas.openxmlformats.org/officeDocument/2006/relationships/font" Target="fonts/FigtreeMedium-italic.ttf"/><Relationship Id="rId8" Type="http://schemas.openxmlformats.org/officeDocument/2006/relationships/font" Target="fonts/Figtree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