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Annual Financial Report</w:t>
      </w:r>
    </w:p>
    <w:p>
      <w:r>
        <w:t>Acme Industries Pvt. Ltd.</w:t>
      </w:r>
    </w:p>
    <w:p>
      <w:r>
        <w:t>Financial Year 2024-25</w:t>
      </w:r>
    </w:p>
    <w:p>
      <w:r>
        <w:t>GSTIN: 29ABCDE1234F1Z5</w:t>
      </w:r>
    </w:p>
    <w:p/>
    <w:p>
      <w:pPr>
        <w:pStyle w:val="Heading1"/>
      </w:pPr>
      <w:r>
        <w:t>Executive Summary</w:t>
      </w:r>
    </w:p>
    <w:p>
      <w:r>
        <w:t>Acme Industries Pvt. Ltd. has demonstrated strong financial performance in FY 2024-25. The company reported a total turnover of ₹52,00,00,000 (₹52 Crore), reflecting a year-over-year growth of 10.6%. The net profit margin stands at 18%, indicating healthy operational efficiency.</w:t>
      </w:r>
    </w:p>
    <w:p>
      <w:r>
        <w:t>The debt-to-equity ratio of 0.42 remains within acceptable limits, suggesting prudent financial management. Capacity utilization has improved to 80% from 75% in the previous year, driven by new production line additions.</w:t>
      </w:r>
    </w:p>
    <w:p>
      <w:pPr>
        <w:pStyle w:val="Heading1"/>
      </w:pPr>
      <w:r>
        <w:t>Financial Highlights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FY 2024-25</w:t>
            </w:r>
          </w:p>
        </w:tc>
        <w:tc>
          <w:tcPr>
            <w:tcW w:type="dxa" w:w="2880"/>
          </w:tcPr>
          <w:p>
            <w:r>
              <w:t>FY 2023-24</w:t>
            </w:r>
          </w:p>
        </w:tc>
      </w:tr>
      <w:tr>
        <w:tc>
          <w:tcPr>
            <w:tcW w:type="dxa" w:w="2880"/>
          </w:tcPr>
          <w:p>
            <w:r>
              <w:t>Total Revenue</w:t>
            </w:r>
          </w:p>
        </w:tc>
        <w:tc>
          <w:tcPr>
            <w:tcW w:type="dxa" w:w="2880"/>
          </w:tcPr>
          <w:p>
            <w:r>
              <w:t>₹52,00,00,000</w:t>
            </w:r>
          </w:p>
        </w:tc>
        <w:tc>
          <w:tcPr>
            <w:tcW w:type="dxa" w:w="2880"/>
          </w:tcPr>
          <w:p>
            <w:r>
              <w:t>₹47,00,00,000</w:t>
            </w:r>
          </w:p>
        </w:tc>
      </w:tr>
      <w:tr>
        <w:tc>
          <w:tcPr>
            <w:tcW w:type="dxa" w:w="2880"/>
          </w:tcPr>
          <w:p>
            <w:r>
              <w:t>Net Profit</w:t>
            </w:r>
          </w:p>
        </w:tc>
        <w:tc>
          <w:tcPr>
            <w:tcW w:type="dxa" w:w="2880"/>
          </w:tcPr>
          <w:p>
            <w:r>
              <w:t>₹7,02,00,000</w:t>
            </w:r>
          </w:p>
        </w:tc>
        <w:tc>
          <w:tcPr>
            <w:tcW w:type="dxa" w:w="2880"/>
          </w:tcPr>
          <w:p>
            <w:r>
              <w:t>₹5,88,80,000</w:t>
            </w:r>
          </w:p>
        </w:tc>
      </w:tr>
      <w:tr>
        <w:tc>
          <w:tcPr>
            <w:tcW w:type="dxa" w:w="2880"/>
          </w:tcPr>
          <w:p>
            <w:r>
              <w:t>Net Profit Margin</w:t>
            </w:r>
          </w:p>
        </w:tc>
        <w:tc>
          <w:tcPr>
            <w:tcW w:type="dxa" w:w="2880"/>
          </w:tcPr>
          <w:p>
            <w:r>
              <w:t>18%</w:t>
            </w:r>
          </w:p>
        </w:tc>
        <w:tc>
          <w:tcPr>
            <w:tcW w:type="dxa" w:w="2880"/>
          </w:tcPr>
          <w:p>
            <w:r>
              <w:t>16%</w:t>
            </w:r>
          </w:p>
        </w:tc>
      </w:tr>
      <w:tr>
        <w:tc>
          <w:tcPr>
            <w:tcW w:type="dxa" w:w="2880"/>
          </w:tcPr>
          <w:p>
            <w:r>
              <w:t>Debt Ratio</w:t>
            </w:r>
          </w:p>
        </w:tc>
        <w:tc>
          <w:tcPr>
            <w:tcW w:type="dxa" w:w="2880"/>
          </w:tcPr>
          <w:p>
            <w:r>
              <w:t>0.42</w:t>
            </w:r>
          </w:p>
        </w:tc>
        <w:tc>
          <w:tcPr>
            <w:tcW w:type="dxa" w:w="2880"/>
          </w:tcPr>
          <w:p>
            <w:r>
              <w:t>0.45</w:t>
            </w:r>
          </w:p>
        </w:tc>
      </w:tr>
      <w:tr>
        <w:tc>
          <w:tcPr>
            <w:tcW w:type="dxa" w:w="2880"/>
          </w:tcPr>
          <w:p>
            <w:r>
              <w:t>Capacity Utilization</w:t>
            </w:r>
          </w:p>
        </w:tc>
        <w:tc>
          <w:tcPr>
            <w:tcW w:type="dxa" w:w="2880"/>
          </w:tcPr>
          <w:p>
            <w:r>
              <w:t>80%</w:t>
            </w:r>
          </w:p>
        </w:tc>
        <w:tc>
          <w:tcPr>
            <w:tcW w:type="dxa" w:w="2880"/>
          </w:tcPr>
          <w:p>
            <w:r>
              <w:t>75%</w:t>
            </w:r>
          </w:p>
        </w:tc>
      </w:tr>
      <w:tr>
        <w:tc>
          <w:tcPr>
            <w:tcW w:type="dxa" w:w="2880"/>
          </w:tcPr>
          <w:p>
            <w:r>
              <w:t>Total Assets</w:t>
            </w:r>
          </w:p>
        </w:tc>
        <w:tc>
          <w:tcPr>
            <w:tcW w:type="dxa" w:w="2880"/>
          </w:tcPr>
          <w:p>
            <w:r>
              <w:t>₹50,00,00,000</w:t>
            </w:r>
          </w:p>
        </w:tc>
        <w:tc>
          <w:tcPr>
            <w:tcW w:type="dxa" w:w="2880"/>
          </w:tcPr>
          <w:p>
            <w:r>
              <w:t>₹45,00,00,000</w:t>
            </w:r>
          </w:p>
        </w:tc>
      </w:tr>
      <w:tr>
        <w:tc>
          <w:tcPr>
            <w:tcW w:type="dxa" w:w="2880"/>
          </w:tcPr>
          <w:p>
            <w:r>
              <w:t>Return on Equity</w:t>
            </w:r>
          </w:p>
        </w:tc>
        <w:tc>
          <w:tcPr>
            <w:tcW w:type="dxa" w:w="2880"/>
          </w:tcPr>
          <w:p>
            <w:r>
              <w:t>22%</w:t>
            </w:r>
          </w:p>
        </w:tc>
        <w:tc>
          <w:tcPr>
            <w:tcW w:type="dxa" w:w="2880"/>
          </w:tcPr>
          <w:p>
            <w:r>
              <w:t>19%</w:t>
            </w:r>
          </w:p>
        </w:tc>
      </w:tr>
    </w:tbl>
    <w:p/>
    <w:p>
      <w:pPr>
        <w:pStyle w:val="Heading1"/>
      </w:pPr>
      <w:r>
        <w:t>Audit Notes</w:t>
      </w:r>
    </w:p>
    <w:p>
      <w:r>
        <w:t>The audit of the financial statements for FY 2024-25 was conducted by M/s Sharma &amp; Associates, Chartered Accountants. The audit report is unqualified with no material observations. All disclosures are in compliance with the Companies Act, 2013 and applicable Indian Accounting Standards (Ind AS).</w:t>
      </w:r>
    </w:p>
    <w:p>
      <w:r>
        <w:t>The company has maintained proper books of accounts and the financial statements give a true and fair view of the state of affairs. No instances of fraud have been reported.</w:t>
      </w:r>
    </w:p>
    <w:p>
      <w:pPr>
        <w:pStyle w:val="Heading1"/>
      </w:pPr>
      <w:r>
        <w:t>Operational Overview</w:t>
      </w:r>
    </w:p>
    <w:p>
      <w:r>
        <w:t>The company operates three manufacturing units across Karnataka and Tamil Nadu. The combined production capacity utilization reached 80% during the review period. An expansion project to add a fourth unit is expected to commence in Q1 FY 2025-26.</w:t>
      </w:r>
    </w:p>
    <w:p>
      <w:pPr>
        <w:pStyle w:val="Heading1"/>
      </w:pPr>
      <w:r>
        <w:t>Risk Factors</w:t>
      </w:r>
    </w:p>
    <w:p>
      <w:r>
        <w:t>Key risks include raw material price volatility, regulatory changes in the manufacturing sector, and potential disruptions from economic slowdown. The company has implemented hedging strategies and maintains adequate insurance coverage to mitigate these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