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6"/>
          <w:szCs w:val="36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NOTE :: Only after having good knowledge of aws including in route53,load balancer’s good depth knowledge, devops dev. Follow these steps.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Follow  “Back-end api deployment through ec2 and rds &gt; Updated Backend project live for backend projects” , &amp; “Front-end deployment through ec2 &gt; Updated Vuejs Front-End project live” for frontend project live.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Set cron job if there is any for backend project  for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vertAlign w:val="superscript"/>
          <w:rtl w:val="0"/>
        </w:rPr>
        <w:t xml:space="preserve">give cmd for open crontab tab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vertAlign w:val="superscript"/>
          <w:rtl w:val="0"/>
        </w:rPr>
        <w:tab/>
        <w:t xml:space="preserve">=&gt; crontab -e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vertAlign w:val="superscript"/>
          <w:rtl w:val="0"/>
        </w:rPr>
        <w:t xml:space="preserve">then paste your cron job cmd in very bottom of line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8"/>
          <w:szCs w:val="28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After that follow ”Create Hosted zones for domain.txt”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After that follow “Create Targeting  group for redirect domain and subdomains from same ec2.txt”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After that follow “Create Load balancer for redirect domain and subdomains from same ec2.txt”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