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360" w:lineRule="auto"/>
        <w:jc w:val="center"/>
      </w:pPr>
      <w:r>
        <w:rPr>
          <w:rFonts w:ascii="Times New Roman" w:hAnsi="Times New Roman"/>
          <w:b w:val="0"/>
          <w:i w:val="0"/>
          <w:color w:val="000000"/>
          <w:sz w:val="24"/>
        </w:rPr>
      </w:r>
    </w:p>
    <w:p>
      <w:pPr>
        <w:keepNext w:val="0"/>
        <w:spacing w:before="0" w:after="40" w:line="360" w:lineRule="auto"/>
        <w:jc w:val="center"/>
      </w:pPr>
      <w:r>
        <w:rPr>
          <w:rFonts w:ascii="Times New Roman" w:hAnsi="Times New Roman"/>
          <w:b w:val="0"/>
          <w:i w:val="0"/>
          <w:color w:val="000000"/>
          <w:sz w:val="24"/>
        </w:rPr>
      </w:r>
    </w:p>
    <w:p>
      <w:pPr>
        <w:keepNext w:val="0"/>
        <w:spacing w:before="0" w:after="40" w:line="360" w:lineRule="auto"/>
        <w:jc w:val="center"/>
      </w:pPr>
      <w:r>
        <w:rPr>
          <w:rFonts w:ascii="Times New Roman" w:hAnsi="Times New Roman"/>
          <w:b w:val="0"/>
          <w:i w:val="0"/>
          <w:color w:val="000000"/>
          <w:sz w:val="24"/>
        </w:rPr>
      </w:r>
    </w:p>
    <w:p>
      <w:pPr>
        <w:keepNext w:val="0"/>
        <w:spacing w:before="600" w:after="80" w:line="360" w:lineRule="auto"/>
        <w:jc w:val="center"/>
      </w:pPr>
      <w:r>
        <w:rPr>
          <w:rFonts w:ascii="Times New Roman" w:hAnsi="Times New Roman"/>
          <w:b/>
          <w:i w:val="0"/>
          <w:color w:val="000000"/>
          <w:sz w:val="54"/>
        </w:rPr>
        <w:t>NEXORA</w:t>
      </w:r>
    </w:p>
    <w:p>
      <w:pPr>
        <w:keepNext w:val="0"/>
        <w:spacing w:before="0" w:after="500" w:line="360" w:lineRule="auto"/>
        <w:jc w:val="center"/>
      </w:pPr>
      <w:r>
        <w:rPr>
          <w:rFonts w:ascii="Times New Roman" w:hAnsi="Times New Roman"/>
          <w:b/>
          <w:i w:val="0"/>
          <w:color w:val="000000"/>
          <w:sz w:val="34"/>
        </w:rPr>
        <w:t>UNIFIED COMPUTE MANAGEMENT PLATFORM</w:t>
      </w:r>
    </w:p>
    <w:p>
      <w:pPr>
        <w:keepNext w:val="0"/>
        <w:spacing w:before="0" w:after="360" w:line="360" w:lineRule="auto"/>
        <w:jc w:val="center"/>
      </w:pPr>
      <w:r>
        <w:rPr>
          <w:rFonts w:ascii="Times New Roman" w:hAnsi="Times New Roman"/>
          <w:b/>
          <w:i w:val="0"/>
          <w:color w:val="000000"/>
          <w:sz w:val="26"/>
        </w:rPr>
        <w:t>A Project Based Component Project Report</w:t>
      </w:r>
    </w:p>
    <w:p>
      <w:pPr>
        <w:keepNext w:val="0"/>
        <w:spacing w:before="0" w:after="20" w:line="360" w:lineRule="auto"/>
        <w:jc w:val="center"/>
      </w:pPr>
      <w:r>
        <w:rPr>
          <w:rFonts w:ascii="Times New Roman" w:hAnsi="Times New Roman"/>
          <w:b w:val="0"/>
          <w:i w:val="0"/>
          <w:color w:val="000000"/>
          <w:sz w:val="24"/>
        </w:rPr>
        <w:t>Submitted in partial fulfillment of the requirement for the PBC component of</w:t>
      </w:r>
    </w:p>
    <w:p>
      <w:pPr>
        <w:keepNext w:val="0"/>
        <w:spacing w:before="0" w:after="20" w:line="360" w:lineRule="auto"/>
        <w:jc w:val="center"/>
      </w:pPr>
      <w:r>
        <w:rPr>
          <w:rFonts w:ascii="Times New Roman" w:hAnsi="Times New Roman"/>
          <w:b/>
          <w:i w:val="0"/>
          <w:color w:val="000000"/>
          <w:sz w:val="28"/>
        </w:rPr>
        <w:t>BACHELOR OF TECHNOLOGY</w:t>
      </w:r>
    </w:p>
    <w:p>
      <w:pPr>
        <w:keepNext w:val="0"/>
        <w:spacing w:before="0" w:after="20" w:line="360" w:lineRule="auto"/>
        <w:jc w:val="center"/>
      </w:pPr>
      <w:r>
        <w:rPr>
          <w:rFonts w:ascii="Times New Roman" w:hAnsi="Times New Roman"/>
          <w:b/>
          <w:i w:val="0"/>
          <w:color w:val="000000"/>
          <w:sz w:val="24"/>
        </w:rPr>
        <w:t>IN</w:t>
      </w:r>
    </w:p>
    <w:p>
      <w:pPr>
        <w:keepNext w:val="0"/>
        <w:spacing w:before="0" w:after="560" w:line="360" w:lineRule="auto"/>
        <w:jc w:val="center"/>
      </w:pPr>
      <w:r>
        <w:rPr>
          <w:rFonts w:ascii="Times New Roman" w:hAnsi="Times New Roman"/>
          <w:b/>
          <w:i w:val="0"/>
          <w:color w:val="000000"/>
          <w:sz w:val="28"/>
        </w:rPr>
        <w:t>COMPUTER SCIENCE ENGINEERING</w:t>
      </w:r>
    </w:p>
    <w:p>
      <w:pPr>
        <w:keepNext w:val="0"/>
        <w:spacing w:before="0" w:after="160" w:line="360" w:lineRule="auto"/>
        <w:jc w:val="center"/>
      </w:pPr>
      <w:r>
        <w:rPr>
          <w:rFonts w:ascii="Times New Roman" w:hAnsi="Times New Roman"/>
          <w:b/>
          <w:i w:val="0"/>
          <w:color w:val="000000"/>
          <w:sz w:val="24"/>
        </w:rPr>
        <w:t>by</w:t>
      </w:r>
    </w:p>
    <w:p>
      <w:pPr>
        <w:keepNext w:val="0"/>
        <w:spacing w:before="0" w:after="40" w:line="360" w:lineRule="auto"/>
        <w:jc w:val="center"/>
      </w:pPr>
      <w:r>
        <w:rPr>
          <w:rFonts w:ascii="Times New Roman" w:hAnsi="Times New Roman"/>
          <w:b w:val="0"/>
          <w:i w:val="0"/>
          <w:color w:val="000000"/>
          <w:sz w:val="24"/>
        </w:rPr>
        <w:t>[Student Name 1] ([Registration Number 1])</w:t>
      </w:r>
    </w:p>
    <w:p>
      <w:pPr>
        <w:keepNext w:val="0"/>
        <w:spacing w:before="0" w:after="40" w:line="360" w:lineRule="auto"/>
        <w:jc w:val="center"/>
      </w:pPr>
      <w:r>
        <w:rPr>
          <w:rFonts w:ascii="Times New Roman" w:hAnsi="Times New Roman"/>
          <w:b w:val="0"/>
          <w:i w:val="0"/>
          <w:color w:val="000000"/>
          <w:sz w:val="24"/>
        </w:rPr>
        <w:t>[Student Name 2] ([Registration Number 2])</w:t>
      </w:r>
    </w:p>
    <w:p>
      <w:pPr>
        <w:keepNext w:val="0"/>
        <w:spacing w:before="0" w:after="40" w:line="360" w:lineRule="auto"/>
        <w:jc w:val="center"/>
      </w:pPr>
      <w:r>
        <w:rPr>
          <w:rFonts w:ascii="Times New Roman" w:hAnsi="Times New Roman"/>
          <w:b w:val="0"/>
          <w:i w:val="0"/>
          <w:color w:val="000000"/>
          <w:sz w:val="24"/>
        </w:rPr>
        <w:t>[Student Name 3] ([Registration Number 3])</w:t>
      </w:r>
    </w:p>
    <w:p>
      <w:pPr>
        <w:keepNext w:val="0"/>
        <w:spacing w:before="0" w:after="40" w:line="360" w:lineRule="auto"/>
        <w:jc w:val="center"/>
      </w:pPr>
      <w:r>
        <w:rPr>
          <w:rFonts w:ascii="Times New Roman" w:hAnsi="Times New Roman"/>
          <w:b w:val="0"/>
          <w:i w:val="0"/>
          <w:color w:val="000000"/>
          <w:sz w:val="24"/>
        </w:rPr>
        <w:t>[Student Name 4] ([Registration Number 4])</w:t>
      </w:r>
    </w:p>
    <w:p>
      <w:pPr>
        <w:keepNext w:val="0"/>
        <w:spacing w:before="0" w:after="300" w:line="360" w:lineRule="auto"/>
        <w:jc w:val="center"/>
      </w:pPr>
      <w:r>
        <w:rPr>
          <w:rFonts w:ascii="Times New Roman" w:hAnsi="Times New Roman"/>
          <w:b w:val="0"/>
          <w:i w:val="0"/>
          <w:color w:val="000000"/>
          <w:sz w:val="24"/>
        </w:rPr>
      </w:r>
    </w:p>
    <w:p>
      <w:pPr>
        <w:keepNext w:val="0"/>
        <w:spacing w:before="0" w:after="100" w:line="360" w:lineRule="auto"/>
        <w:jc w:val="center"/>
      </w:pPr>
      <w:r>
        <w:rPr>
          <w:rFonts w:ascii="Times New Roman" w:hAnsi="Times New Roman"/>
          <w:b/>
          <w:i w:val="0"/>
          <w:color w:val="000000"/>
          <w:sz w:val="24"/>
        </w:rPr>
        <w:t>Under the Guidance of</w:t>
      </w:r>
    </w:p>
    <w:p>
      <w:pPr>
        <w:keepNext w:val="0"/>
        <w:spacing w:before="0" w:after="840" w:line="360" w:lineRule="auto"/>
        <w:jc w:val="center"/>
      </w:pPr>
      <w:r>
        <w:rPr>
          <w:rFonts w:ascii="Times New Roman" w:hAnsi="Times New Roman"/>
          <w:b/>
          <w:i w:val="0"/>
          <w:color w:val="000000"/>
          <w:sz w:val="26"/>
        </w:rPr>
        <w:t>Dr. Nagendra Panini Challa</w:t>
      </w:r>
    </w:p>
    <w:p>
      <w:pPr>
        <w:keepNext w:val="0"/>
        <w:spacing w:before="0" w:after="40" w:line="360" w:lineRule="auto"/>
        <w:jc w:val="center"/>
      </w:pPr>
      <w:r>
        <w:rPr>
          <w:rFonts w:ascii="Times New Roman" w:hAnsi="Times New Roman"/>
          <w:b/>
          <w:i w:val="0"/>
          <w:color w:val="000000"/>
          <w:sz w:val="26"/>
        </w:rPr>
        <w:t>SCHOOL OF COMPUTER SCIENCE AND ENGINEERING</w:t>
      </w:r>
    </w:p>
    <w:p>
      <w:pPr>
        <w:keepNext w:val="0"/>
        <w:spacing w:before="0" w:after="40" w:line="360" w:lineRule="auto"/>
        <w:jc w:val="center"/>
      </w:pPr>
      <w:r>
        <w:rPr>
          <w:rFonts w:ascii="Times New Roman" w:hAnsi="Times New Roman"/>
          <w:b/>
          <w:i w:val="0"/>
          <w:color w:val="000000"/>
          <w:sz w:val="26"/>
        </w:rPr>
        <w:t>VIT-AP UNIVERSITY</w:t>
      </w:r>
    </w:p>
    <w:p>
      <w:pPr>
        <w:keepNext w:val="0"/>
        <w:spacing w:before="0" w:after="40" w:line="360" w:lineRule="auto"/>
        <w:jc w:val="center"/>
      </w:pPr>
      <w:r>
        <w:rPr>
          <w:rFonts w:ascii="Times New Roman" w:hAnsi="Times New Roman"/>
          <w:b/>
          <w:i w:val="0"/>
          <w:color w:val="000000"/>
          <w:sz w:val="24"/>
        </w:rPr>
        <w:t>AMARAVATI - 522237</w:t>
      </w:r>
    </w:p>
    <w:p>
      <w:pPr>
        <w:keepNext w:val="0"/>
        <w:spacing w:before="0" w:after="0" w:line="360" w:lineRule="auto"/>
        <w:jc w:val="center"/>
      </w:pPr>
      <w:r>
        <w:rPr>
          <w:rFonts w:ascii="Times New Roman" w:hAnsi="Times New Roman"/>
          <w:b w:val="0"/>
          <w:i w:val="0"/>
          <w:color w:val="000000"/>
          <w:sz w:val="24"/>
        </w:rPr>
        <w:t>October 2026</w:t>
      </w:r>
    </w:p>
    <w:p>
      <w:r>
        <w:br w:type="page"/>
      </w:r>
    </w:p>
    <w:p>
      <w:pPr>
        <w:jc w:val="center"/>
      </w:pPr>
      <w:r>
        <w:rPr>
          <w:rFonts w:ascii="Times New Roman" w:hAnsi="Times New Roman"/>
          <w:b/>
          <w:i w:val="0"/>
          <w:color w:val="000000"/>
          <w:sz w:val="32"/>
        </w:rPr>
        <w:t>ABSTRACT</w:t>
      </w:r>
    </w:p>
    <w:p>
      <w:pPr>
        <w:keepNext w:val="0"/>
        <w:spacing w:before="0" w:after="120" w:line="360" w:lineRule="auto"/>
        <w:jc w:val="both"/>
      </w:pPr>
      <w:r>
        <w:rPr>
          <w:rFonts w:ascii="Times New Roman" w:hAnsi="Times New Roman"/>
          <w:b w:val="0"/>
          <w:i w:val="0"/>
          <w:color w:val="000000"/>
          <w:sz w:val="24"/>
        </w:rPr>
        <w:t>Nexora - Unified Compute Management Platform (UCMP) is a distributed-compute orchestration prototype that coordinates a browser dashboard, a FastAPI control plane and independently running provider agents. The project addresses the practical difficulty of discovering heterogeneous compute machines, selecting a compatible provider, dispatching a workload, observing progress and retaining a record of execution state. Rather than operating as a cloud provider, Nexora supplies an orchestration layer: provider-owned machines advertise their capacity and execute work while the control plane owns user identity, scheduling, job state, token accounting and recovery metadata.</w:t>
      </w:r>
    </w:p>
    <w:p>
      <w:pPr>
        <w:keepNext w:val="0"/>
        <w:spacing w:before="0" w:after="120" w:line="360" w:lineRule="auto"/>
        <w:jc w:val="both"/>
      </w:pPr>
      <w:r>
        <w:rPr>
          <w:rFonts w:ascii="Times New Roman" w:hAnsi="Times New Roman"/>
          <w:b w:val="0"/>
          <w:i w:val="0"/>
          <w:color w:val="000000"/>
          <w:sz w:val="24"/>
        </w:rPr>
        <w:t>The implementation uses a static JavaScript frontend, a Python FastAPI backend with SQLAlchemy persistence, and Python provider agents using requests and psutil. Implemented source paths include user registration and JWT-backed sessions, shared-token provider registration, heartbeat telemetry, capacity and cost/reliability-aware provider selection, polling-based job dispatch, controlled workload execution, artifact handling, checkpoint storage, attempt fencing, recovery after provider heartbeat loss, a token ledger, and optional remote live-stream encoding with MediaMTX and FFmpeg. The frontend consumes REST snapshots and an authenticated WebSocket topic set for real-time updates.</w:t>
      </w:r>
    </w:p>
    <w:p>
      <w:pPr>
        <w:keepNext w:val="0"/>
        <w:spacing w:before="0" w:after="120" w:line="360" w:lineRule="auto"/>
        <w:jc w:val="both"/>
      </w:pPr>
      <w:r>
        <w:rPr>
          <w:rFonts w:ascii="Times New Roman" w:hAnsi="Times New Roman"/>
          <w:b w:val="0"/>
          <w:i w:val="0"/>
          <w:color w:val="000000"/>
          <w:sz w:val="24"/>
        </w:rPr>
        <w:t>Evidence in this report distinguishes implementation from demonstrated behavior. Python syntax checks completed successfully and twelve frontend utility tests passed. The backend pytest suite was not run because pytest was absent from the supplied virtual environment; Docker Compose, a live provider, PostgreSQL, MediaMTX, OBS/browser capture, cloud deployment and destination streaming were not run during the audit. Consequently, the report presents Nexora as a technically substantial prototype with verified source-level behavior and limited runtime validation, not as a production-ready compute marketplace or independently verified streaming service.</w:t>
      </w:r>
    </w:p>
    <w:p>
      <w:pPr>
        <w:keepNext w:val="0"/>
        <w:spacing w:before="0" w:after="0" w:line="360" w:lineRule="auto"/>
        <w:jc w:val="both"/>
      </w:pPr>
      <w:r>
        <w:rPr>
          <w:rFonts w:ascii="Times New Roman" w:hAnsi="Times New Roman"/>
          <w:b/>
          <w:i w:val="0"/>
          <w:color w:val="000000"/>
          <w:sz w:val="24"/>
        </w:rPr>
        <w:t>Keywords: distributed computing, orchestration, FastAPI, provider agent, scheduling, checkpoint recovery, telemetry, WebSocket, MediaMTX, FFmpeg.</w:t>
      </w:r>
    </w:p>
    <w:p>
      <w:r>
        <w:br w:type="page"/>
      </w:r>
    </w:p>
    <w:p>
      <w:pPr>
        <w:jc w:val="center"/>
      </w:pPr>
      <w:r>
        <w:rPr>
          <w:rFonts w:ascii="Times New Roman" w:hAnsi="Times New Roman"/>
          <w:b/>
          <w:i w:val="0"/>
          <w:color w:val="000000"/>
          <w:sz w:val="32"/>
        </w:rPr>
        <w:t>TABLE OF CONTENTS</w:t>
      </w:r>
    </w:p>
    <w:p>
      <w:pPr>
        <w:spacing w:after="160"/>
        <w:jc w:val="left"/>
      </w:pPr>
      <w:r>
        <w:rPr>
          <w:rFonts w:ascii="Times New Roman" w:hAnsi="Times New Roman"/>
          <w:b w:val="0"/>
          <w:i w:val="0"/>
          <w:color w:val="000000"/>
          <w:sz w:val="22"/>
        </w:rPr>
        <w:fldChar w:fldCharType="begin"/>
        <w:instrText xml:space="preserve"> TOC \o "1-3" \h \z \u </w:instrText>
        <w:fldChar w:fldCharType="separate"/>
        <w:t>Right-click and select Update Field to refresh the table of contents.</w:t>
        <w:fldChar w:fldCharType="end"/>
      </w:r>
    </w:p>
    <w:p>
      <w:pPr>
        <w:keepNext w:val="0"/>
        <w:spacing w:before="0" w:after="200" w:line="360" w:lineRule="auto"/>
        <w:jc w:val="both"/>
      </w:pPr>
      <w:r>
        <w:rPr>
          <w:rFonts w:ascii="Times New Roman" w:hAnsi="Times New Roman"/>
          <w:b w:val="0"/>
          <w:i w:val="0"/>
          <w:color w:val="000000"/>
          <w:sz w:val="24"/>
        </w:rPr>
        <w:t>The report is organized in the reference format: six chapters followed by supporting materials, references and appendices. Page numbers can be refreshed in Microsoft Word by selecting all fields and updating them.</w:t>
      </w:r>
    </w:p>
    <w:p>
      <w:pPr>
        <w:spacing w:after="40"/>
        <w:ind w:left="0"/>
      </w:pPr>
      <w:r>
        <w:rPr>
          <w:rFonts w:ascii="Times New Roman" w:hAnsi="Times New Roman"/>
          <w:b/>
          <w:color w:val="000000"/>
          <w:sz w:val="22"/>
        </w:rPr>
        <w:t>Abstract</w:t>
      </w:r>
    </w:p>
    <w:p>
      <w:pPr>
        <w:spacing w:after="40"/>
        <w:ind w:left="0"/>
      </w:pPr>
      <w:r>
        <w:rPr>
          <w:rFonts w:ascii="Times New Roman" w:hAnsi="Times New Roman"/>
          <w:b/>
          <w:color w:val="000000"/>
          <w:sz w:val="22"/>
        </w:rPr>
        <w:t>Chapter 1 Introduction</w:t>
      </w:r>
    </w:p>
    <w:p>
      <w:pPr>
        <w:spacing w:after="40"/>
        <w:ind w:left="504"/>
      </w:pPr>
      <w:r>
        <w:rPr>
          <w:rFonts w:ascii="Times New Roman" w:hAnsi="Times New Roman"/>
          <w:b w:val="0"/>
          <w:color w:val="000000"/>
          <w:sz w:val="22"/>
        </w:rPr>
        <w:t>1.1 Background and Motivation</w:t>
      </w:r>
    </w:p>
    <w:p>
      <w:pPr>
        <w:spacing w:after="40"/>
        <w:ind w:left="504"/>
      </w:pPr>
      <w:r>
        <w:rPr>
          <w:rFonts w:ascii="Times New Roman" w:hAnsi="Times New Roman"/>
          <w:b w:val="0"/>
          <w:color w:val="000000"/>
          <w:sz w:val="22"/>
        </w:rPr>
        <w:t>1.2 Problem Statement</w:t>
      </w:r>
    </w:p>
    <w:p>
      <w:pPr>
        <w:spacing w:after="40"/>
        <w:ind w:left="504"/>
      </w:pPr>
      <w:r>
        <w:rPr>
          <w:rFonts w:ascii="Times New Roman" w:hAnsi="Times New Roman"/>
          <w:b w:val="0"/>
          <w:color w:val="000000"/>
          <w:sz w:val="22"/>
        </w:rPr>
        <w:t>1.3 Project Objectives and Scope</w:t>
      </w:r>
    </w:p>
    <w:p>
      <w:pPr>
        <w:spacing w:after="40"/>
        <w:ind w:left="0"/>
      </w:pPr>
      <w:r>
        <w:rPr>
          <w:rFonts w:ascii="Times New Roman" w:hAnsi="Times New Roman"/>
          <w:b/>
          <w:color w:val="000000"/>
          <w:sz w:val="22"/>
        </w:rPr>
        <w:t>Chapter 2 Literature Review and Core Concepts</w:t>
      </w:r>
    </w:p>
    <w:p>
      <w:pPr>
        <w:spacing w:after="40"/>
        <w:ind w:left="504"/>
      </w:pPr>
      <w:r>
        <w:rPr>
          <w:rFonts w:ascii="Times New Roman" w:hAnsi="Times New Roman"/>
          <w:b w:val="0"/>
          <w:color w:val="000000"/>
          <w:sz w:val="22"/>
        </w:rPr>
        <w:t>2.1 Distributed Compute Orchestration</w:t>
      </w:r>
    </w:p>
    <w:p>
      <w:pPr>
        <w:spacing w:after="40"/>
        <w:ind w:left="504"/>
      </w:pPr>
      <w:r>
        <w:rPr>
          <w:rFonts w:ascii="Times New Roman" w:hAnsi="Times New Roman"/>
          <w:b w:val="0"/>
          <w:color w:val="000000"/>
          <w:sz w:val="22"/>
        </w:rPr>
        <w:t>2.2 Control Plane and Provider Agent Architecture</w:t>
      </w:r>
    </w:p>
    <w:p>
      <w:pPr>
        <w:spacing w:after="40"/>
        <w:ind w:left="504"/>
      </w:pPr>
      <w:r>
        <w:rPr>
          <w:rFonts w:ascii="Times New Roman" w:hAnsi="Times New Roman"/>
          <w:b w:val="0"/>
          <w:color w:val="000000"/>
          <w:sz w:val="22"/>
        </w:rPr>
        <w:t>2.3 Scheduling, Checkpointing and Telemetry</w:t>
      </w:r>
    </w:p>
    <w:p>
      <w:pPr>
        <w:spacing w:after="40"/>
        <w:ind w:left="504"/>
      </w:pPr>
      <w:r>
        <w:rPr>
          <w:rFonts w:ascii="Times New Roman" w:hAnsi="Times New Roman"/>
          <w:b w:val="0"/>
          <w:color w:val="000000"/>
          <w:sz w:val="22"/>
        </w:rPr>
        <w:t>2.4 Artifact, Streaming and Token Accounting Concepts</w:t>
      </w:r>
    </w:p>
    <w:p>
      <w:pPr>
        <w:spacing w:after="40"/>
        <w:ind w:left="0"/>
      </w:pPr>
      <w:r>
        <w:rPr>
          <w:rFonts w:ascii="Times New Roman" w:hAnsi="Times New Roman"/>
          <w:b/>
          <w:color w:val="000000"/>
          <w:sz w:val="22"/>
        </w:rPr>
        <w:t>Chapter 3 System Architecture and Methodology</w:t>
      </w:r>
    </w:p>
    <w:p>
      <w:pPr>
        <w:spacing w:after="40"/>
        <w:ind w:left="504"/>
      </w:pPr>
      <w:r>
        <w:rPr>
          <w:rFonts w:ascii="Times New Roman" w:hAnsi="Times New Roman"/>
          <w:b w:val="0"/>
          <w:color w:val="000000"/>
          <w:sz w:val="22"/>
        </w:rPr>
        <w:t>3.1 Proposed System Architecture</w:t>
      </w:r>
    </w:p>
    <w:p>
      <w:pPr>
        <w:spacing w:after="40"/>
        <w:ind w:left="504"/>
      </w:pPr>
      <w:r>
        <w:rPr>
          <w:rFonts w:ascii="Times New Roman" w:hAnsi="Times New Roman"/>
          <w:b w:val="0"/>
          <w:color w:val="000000"/>
          <w:sz w:val="22"/>
        </w:rPr>
        <w:t>3.2 Module Interoperability and Data Flow</w:t>
      </w:r>
    </w:p>
    <w:p>
      <w:pPr>
        <w:spacing w:after="40"/>
        <w:ind w:left="504"/>
      </w:pPr>
      <w:r>
        <w:rPr>
          <w:rFonts w:ascii="Times New Roman" w:hAnsi="Times New Roman"/>
          <w:b w:val="0"/>
          <w:color w:val="000000"/>
          <w:sz w:val="22"/>
        </w:rPr>
        <w:t>3.3 Implementation Environment</w:t>
      </w:r>
    </w:p>
    <w:p>
      <w:pPr>
        <w:spacing w:after="40"/>
        <w:ind w:left="0"/>
      </w:pPr>
      <w:r>
        <w:rPr>
          <w:rFonts w:ascii="Times New Roman" w:hAnsi="Times New Roman"/>
          <w:b/>
          <w:color w:val="000000"/>
          <w:sz w:val="22"/>
        </w:rPr>
        <w:t>Chapter 4 Implementation and Details</w:t>
      </w:r>
    </w:p>
    <w:p>
      <w:pPr>
        <w:spacing w:after="40"/>
        <w:ind w:left="504"/>
      </w:pPr>
      <w:r>
        <w:rPr>
          <w:rFonts w:ascii="Times New Roman" w:hAnsi="Times New Roman"/>
          <w:b w:val="0"/>
          <w:color w:val="000000"/>
          <w:sz w:val="22"/>
        </w:rPr>
        <w:t>4.1 Orchestration and Entry Points</w:t>
      </w:r>
    </w:p>
    <w:p>
      <w:pPr>
        <w:spacing w:after="40"/>
        <w:ind w:left="504"/>
      </w:pPr>
      <w:r>
        <w:rPr>
          <w:rFonts w:ascii="Times New Roman" w:hAnsi="Times New Roman"/>
          <w:b w:val="0"/>
          <w:color w:val="000000"/>
          <w:sz w:val="22"/>
        </w:rPr>
        <w:t>4.2 Authentication and Provider Management</w:t>
      </w:r>
    </w:p>
    <w:p>
      <w:pPr>
        <w:spacing w:after="40"/>
        <w:ind w:left="504"/>
      </w:pPr>
      <w:r>
        <w:rPr>
          <w:rFonts w:ascii="Times New Roman" w:hAnsi="Times New Roman"/>
          <w:b w:val="0"/>
          <w:color w:val="000000"/>
          <w:sz w:val="22"/>
        </w:rPr>
        <w:t>4.3 Workload Scheduling and Recovery</w:t>
      </w:r>
    </w:p>
    <w:p>
      <w:pPr>
        <w:spacing w:after="40"/>
        <w:ind w:left="504"/>
      </w:pPr>
      <w:r>
        <w:rPr>
          <w:rFonts w:ascii="Times New Roman" w:hAnsi="Times New Roman"/>
          <w:b w:val="0"/>
          <w:color w:val="000000"/>
          <w:sz w:val="22"/>
        </w:rPr>
        <w:t>4.4 Frontend and Realtime Communication</w:t>
      </w:r>
    </w:p>
    <w:p>
      <w:pPr>
        <w:spacing w:after="40"/>
        <w:ind w:left="504"/>
      </w:pPr>
      <w:r>
        <w:rPr>
          <w:rFonts w:ascii="Times New Roman" w:hAnsi="Times New Roman"/>
          <w:b w:val="0"/>
          <w:color w:val="000000"/>
          <w:sz w:val="22"/>
        </w:rPr>
        <w:t>4.5 Artifacts, Billing and Streaming</w:t>
      </w:r>
    </w:p>
    <w:p>
      <w:pPr>
        <w:spacing w:after="40"/>
        <w:ind w:left="0"/>
      </w:pPr>
      <w:r>
        <w:rPr>
          <w:rFonts w:ascii="Times New Roman" w:hAnsi="Times New Roman"/>
          <w:b/>
          <w:color w:val="000000"/>
          <w:sz w:val="22"/>
        </w:rPr>
        <w:t>Chapter 5 Results and Analysis</w:t>
      </w:r>
    </w:p>
    <w:p>
      <w:pPr>
        <w:spacing w:after="40"/>
        <w:ind w:left="504"/>
      </w:pPr>
      <w:r>
        <w:rPr>
          <w:rFonts w:ascii="Times New Roman" w:hAnsi="Times New Roman"/>
          <w:b w:val="0"/>
          <w:color w:val="000000"/>
          <w:sz w:val="22"/>
        </w:rPr>
        <w:t>5.1 Qualitative Results</w:t>
      </w:r>
    </w:p>
    <w:p>
      <w:pPr>
        <w:spacing w:after="40"/>
        <w:ind w:left="504"/>
      </w:pPr>
      <w:r>
        <w:rPr>
          <w:rFonts w:ascii="Times New Roman" w:hAnsi="Times New Roman"/>
          <w:b w:val="0"/>
          <w:color w:val="000000"/>
          <w:sz w:val="22"/>
        </w:rPr>
        <w:t>5.2 Quantitative Validation Evidence</w:t>
      </w:r>
    </w:p>
    <w:p>
      <w:pPr>
        <w:spacing w:after="40"/>
        <w:ind w:left="504"/>
      </w:pPr>
      <w:r>
        <w:rPr>
          <w:rFonts w:ascii="Times New Roman" w:hAnsi="Times New Roman"/>
          <w:b w:val="0"/>
          <w:color w:val="000000"/>
          <w:sz w:val="22"/>
        </w:rPr>
        <w:t>5.3 Edge Cases and Limitations</w:t>
      </w:r>
    </w:p>
    <w:p>
      <w:pPr>
        <w:spacing w:after="40"/>
        <w:ind w:left="504"/>
      </w:pPr>
      <w:r>
        <w:rPr>
          <w:rFonts w:ascii="Times New Roman" w:hAnsi="Times New Roman"/>
          <w:b w:val="0"/>
          <w:color w:val="000000"/>
          <w:sz w:val="22"/>
        </w:rPr>
        <w:t>5.4 Security and Reliability Analysis</w:t>
      </w:r>
    </w:p>
    <w:p>
      <w:pPr>
        <w:spacing w:after="40"/>
        <w:ind w:left="0"/>
      </w:pPr>
      <w:r>
        <w:rPr>
          <w:rFonts w:ascii="Times New Roman" w:hAnsi="Times New Roman"/>
          <w:b/>
          <w:color w:val="000000"/>
          <w:sz w:val="22"/>
        </w:rPr>
        <w:t>Chapter 6 Conclusion and Future Work</w:t>
      </w:r>
    </w:p>
    <w:p>
      <w:pPr>
        <w:spacing w:after="40"/>
        <w:ind w:left="0"/>
      </w:pPr>
      <w:r>
        <w:rPr>
          <w:rFonts w:ascii="Times New Roman" w:hAnsi="Times New Roman"/>
          <w:b/>
          <w:color w:val="000000"/>
          <w:sz w:val="22"/>
        </w:rPr>
        <w:t>Supporting Materials</w:t>
      </w:r>
    </w:p>
    <w:p>
      <w:pPr>
        <w:spacing w:after="40"/>
        <w:ind w:left="0"/>
      </w:pPr>
      <w:r>
        <w:rPr>
          <w:rFonts w:ascii="Times New Roman" w:hAnsi="Times New Roman"/>
          <w:b/>
          <w:color w:val="000000"/>
          <w:sz w:val="22"/>
        </w:rPr>
        <w:t>References</w:t>
      </w:r>
    </w:p>
    <w:p>
      <w:pPr>
        <w:spacing w:after="40"/>
        <w:ind w:left="0"/>
      </w:pPr>
      <w:r>
        <w:rPr>
          <w:rFonts w:ascii="Times New Roman" w:hAnsi="Times New Roman"/>
          <w:b/>
          <w:color w:val="000000"/>
          <w:sz w:val="22"/>
        </w:rPr>
        <w:t>Appendix A API and Data Model Summary</w:t>
      </w:r>
    </w:p>
    <w:p>
      <w:pPr>
        <w:spacing w:after="40"/>
        <w:ind w:left="0"/>
      </w:pPr>
      <w:r>
        <w:rPr>
          <w:rFonts w:ascii="Times New Roman" w:hAnsi="Times New Roman"/>
          <w:b/>
          <w:color w:val="000000"/>
          <w:sz w:val="22"/>
        </w:rPr>
        <w:t>Appendix B Deployment, Testing and Selected Listings</w:t>
      </w:r>
    </w:p>
    <w:p>
      <w:r>
        <w:br w:type="page"/>
      </w:r>
    </w:p>
    <w:p>
      <w:pPr>
        <w:spacing w:before="2400" w:after="360"/>
        <w:jc w:val="center"/>
      </w:pPr>
      <w:r>
        <w:rPr>
          <w:rFonts w:ascii="Times New Roman" w:hAnsi="Times New Roman"/>
          <w:b/>
          <w:i w:val="0"/>
          <w:color w:val="000000"/>
          <w:sz w:val="36"/>
        </w:rPr>
        <w:t>CHAPTER 1</w:t>
      </w:r>
    </w:p>
    <w:p>
      <w:pPr>
        <w:spacing w:after="1200"/>
        <w:jc w:val="center"/>
      </w:pPr>
      <w:r>
        <w:rPr>
          <w:rFonts w:ascii="Times New Roman" w:hAnsi="Times New Roman"/>
          <w:b/>
          <w:i w:val="0"/>
          <w:color w:val="000000"/>
          <w:sz w:val="36"/>
        </w:rPr>
        <w:t>INTRODUCTION</w:t>
      </w:r>
    </w:p>
    <w:p>
      <w:pPr>
        <w:pStyle w:val="Heading1"/>
        <w:keepNext/>
        <w:spacing w:before="280" w:after="140"/>
        <w:jc w:val="both"/>
      </w:pPr>
      <w:r>
        <w:rPr>
          <w:rFonts w:ascii="Times New Roman" w:hAnsi="Times New Roman"/>
          <w:b/>
          <w:i w:val="0"/>
          <w:color w:val="000000"/>
          <w:sz w:val="30"/>
        </w:rPr>
        <w:t>CHAPTER 1 INTRODUCTION</w:t>
      </w:r>
    </w:p>
    <w:p>
      <w:pPr>
        <w:pStyle w:val="Heading2"/>
        <w:keepNext/>
        <w:spacing w:before="180" w:after="140"/>
        <w:jc w:val="both"/>
      </w:pPr>
      <w:r>
        <w:rPr>
          <w:rFonts w:ascii="Times New Roman" w:hAnsi="Times New Roman"/>
          <w:b/>
          <w:i w:val="0"/>
          <w:color w:val="000000"/>
          <w:sz w:val="26"/>
        </w:rPr>
        <w:t>1.1 Background and Motivation</w:t>
      </w:r>
    </w:p>
    <w:p>
      <w:pPr>
        <w:keepNext w:val="0"/>
        <w:spacing w:before="0" w:after="120" w:line="360" w:lineRule="auto"/>
        <w:jc w:val="both"/>
      </w:pPr>
      <w:r>
        <w:rPr>
          <w:rFonts w:ascii="Times New Roman" w:hAnsi="Times New Roman"/>
          <w:b w:val="0"/>
          <w:i w:val="0"/>
          <w:color w:val="000000"/>
          <w:sz w:val="24"/>
        </w:rPr>
        <w:t>Modern computing workloads frequently span machines with different processors, memory capacities, GPU availability, network positions and operating conditions. In small laboratories, academic groups and prototype deployments, these machines are often operated independently. A user must manually decide where work can run, verify whether a machine is available, transfer input data, observe execution, and interpret failures. This fragmented process motivates a unified orchestration layer that makes distributed compute resources visible through one control plane while preserving the provider machine as the location of execution.</w:t>
      </w:r>
    </w:p>
    <w:p>
      <w:pPr>
        <w:keepNext w:val="0"/>
        <w:spacing w:before="0" w:after="120" w:line="360" w:lineRule="auto"/>
        <w:jc w:val="both"/>
      </w:pPr>
      <w:r>
        <w:rPr>
          <w:rFonts w:ascii="Times New Roman" w:hAnsi="Times New Roman"/>
          <w:b w:val="0"/>
          <w:i w:val="0"/>
          <w:color w:val="000000"/>
          <w:sz w:val="24"/>
        </w:rPr>
        <w:t>Nexora addresses this coordination problem. The codebase implements a static browser console through which authenticated users can inspect providers, submit jobs, observe state, access billing information and configure a control-plane URL. A FastAPI backend maintains durable application state and provides the interface between users and providers. Python provider agents are responsible for inspecting their own hardware, registering capacity, reporting telemetry, polling for work and executing assigned workloads. The design therefore separates governance and state management from physical compute ownership.</w:t>
      </w:r>
    </w:p>
    <w:p>
      <w:pPr>
        <w:pStyle w:val="Heading2"/>
        <w:keepNext/>
        <w:spacing w:before="180" w:after="140"/>
        <w:jc w:val="both"/>
      </w:pPr>
      <w:r>
        <w:rPr>
          <w:rFonts w:ascii="Times New Roman" w:hAnsi="Times New Roman"/>
          <w:b/>
          <w:i w:val="0"/>
          <w:color w:val="000000"/>
          <w:sz w:val="26"/>
        </w:rPr>
        <w:t>1.2 Problem Statement</w:t>
      </w:r>
    </w:p>
    <w:p>
      <w:pPr>
        <w:keepNext w:val="0"/>
        <w:spacing w:before="0" w:after="120" w:line="360" w:lineRule="auto"/>
        <w:jc w:val="both"/>
      </w:pPr>
      <w:r>
        <w:rPr>
          <w:rFonts w:ascii="Times New Roman" w:hAnsi="Times New Roman"/>
          <w:b w:val="0"/>
          <w:i w:val="0"/>
          <w:color w:val="000000"/>
          <w:sz w:val="24"/>
        </w:rPr>
        <w:t>The problem addressed by Nexora is the absence of a lightweight, source-visible workflow for coordinating heterogeneous provider resources and workloads without relying on an opaque centralized cloud platform. The project must authenticate users, register provider capacity, choose a compatible provider, reserve a controlled amount of token credit, dispatch a job, retain progress and checkpoint state, report results, and handle at least a basic provider-loss scenario. The implementation must also avoid presenting simulations as completed external integrations.</w:t>
      </w:r>
    </w:p>
    <w:p>
      <w:pPr>
        <w:pStyle w:val="Heading2"/>
        <w:keepNext/>
        <w:spacing w:before="180" w:after="140"/>
        <w:jc w:val="both"/>
      </w:pPr>
      <w:r>
        <w:rPr>
          <w:rFonts w:ascii="Times New Roman" w:hAnsi="Times New Roman"/>
          <w:b/>
          <w:i w:val="0"/>
          <w:color w:val="000000"/>
          <w:sz w:val="26"/>
        </w:rPr>
        <w:t>1.3 Project Objectives and Scope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88"/>
            <w:vAlign w:val="center"/>
            <w:shd w:fill="163A5F"/>
            <w:tcMar>
              <w:top w:w="90" w:type="dxa"/>
              <w:start w:w="90" w:type="dxa"/>
              <w:bottom w:w="90" w:type="dxa"/>
              <w:end w:w="90" w:type="dxa"/>
            </w:tcMar>
          </w:tcPr>
          <w:p>
            <w:pPr>
              <w:jc w:val="left"/>
            </w:pPr>
            <w:r/>
            <w:r>
              <w:rPr>
                <w:rFonts w:ascii="Times New Roman" w:hAnsi="Times New Roman"/>
                <w:b/>
                <w:color w:val="FFFFFF"/>
                <w:sz w:val="17"/>
              </w:rPr>
              <w:t>Objective</w:t>
            </w:r>
          </w:p>
        </w:tc>
        <w:tc>
          <w:tcPr>
            <w:tcW w:type="dxa" w:w="5544"/>
            <w:vAlign w:val="center"/>
            <w:shd w:fill="163A5F"/>
            <w:tcMar>
              <w:top w:w="90" w:type="dxa"/>
              <w:start w:w="90" w:type="dxa"/>
              <w:bottom w:w="90" w:type="dxa"/>
              <w:end w:w="90" w:type="dxa"/>
            </w:tcMar>
          </w:tcPr>
          <w:p>
            <w:pPr>
              <w:jc w:val="left"/>
            </w:pPr>
            <w:r/>
            <w:r>
              <w:rPr>
                <w:rFonts w:ascii="Times New Roman" w:hAnsi="Times New Roman"/>
                <w:b/>
                <w:color w:val="FFFFFF"/>
                <w:sz w:val="17"/>
              </w:rPr>
              <w:t>Source-backed realization</w:t>
            </w:r>
          </w:p>
        </w:tc>
        <w:tc>
          <w:tcPr>
            <w:tcW w:type="dxa" w:w="1584"/>
            <w:vAlign w:val="center"/>
            <w:shd w:fill="163A5F"/>
            <w:tcMar>
              <w:top w:w="90" w:type="dxa"/>
              <w:start w:w="90" w:type="dxa"/>
              <w:bottom w:w="90" w:type="dxa"/>
              <w:end w:w="90" w:type="dxa"/>
            </w:tcMar>
          </w:tcPr>
          <w:p>
            <w:pPr>
              <w:jc w:val="left"/>
            </w:pPr>
            <w:r/>
            <w:r>
              <w:rPr>
                <w:rFonts w:ascii="Times New Roman" w:hAnsi="Times New Roman"/>
                <w:b/>
                <w:color w:val="FFFFFF"/>
                <w:sz w:val="17"/>
              </w:rPr>
              <w:t>Status</w:t>
            </w:r>
          </w:p>
        </w:tc>
      </w:tr>
      <w:tr>
        <w:tc>
          <w:tcPr>
            <w:tcW w:type="dxa" w:w="2088"/>
            <w:vAlign w:val="center"/>
            <w:tcMar>
              <w:top w:w="90" w:type="dxa"/>
              <w:start w:w="90" w:type="dxa"/>
              <w:bottom w:w="90" w:type="dxa"/>
              <w:end w:w="90" w:type="dxa"/>
            </w:tcMar>
          </w:tcPr>
          <w:p>
            <w:pPr>
              <w:jc w:val="left"/>
            </w:pPr>
            <w:r/>
            <w:r>
              <w:rPr>
                <w:rFonts w:ascii="Times New Roman" w:hAnsi="Times New Roman"/>
                <w:b w:val="0"/>
                <w:sz w:val="17"/>
              </w:rPr>
              <w:t>Provide a web control plane</w:t>
            </w:r>
          </w:p>
        </w:tc>
        <w:tc>
          <w:tcPr>
            <w:tcW w:type="dxa" w:w="5544"/>
            <w:vAlign w:val="center"/>
            <w:tcMar>
              <w:top w:w="90" w:type="dxa"/>
              <w:start w:w="90" w:type="dxa"/>
              <w:bottom w:w="90" w:type="dxa"/>
              <w:end w:w="90" w:type="dxa"/>
            </w:tcMar>
          </w:tcPr>
          <w:p>
            <w:pPr>
              <w:jc w:val="left"/>
            </w:pPr>
            <w:r/>
            <w:r>
              <w:rPr>
                <w:rFonts w:ascii="Times New Roman" w:hAnsi="Times New Roman"/>
                <w:b w:val="0"/>
                <w:sz w:val="17"/>
              </w:rPr>
              <w:t>Hash-routed frontend with REST and WebSocket clients</w:t>
            </w:r>
          </w:p>
        </w:tc>
        <w:tc>
          <w:tcPr>
            <w:tcW w:type="dxa" w:w="1584"/>
            <w:vAlign w:val="center"/>
            <w:tcMar>
              <w:top w:w="90" w:type="dxa"/>
              <w:start w:w="90" w:type="dxa"/>
              <w:bottom w:w="90" w:type="dxa"/>
              <w:end w:w="90" w:type="dxa"/>
            </w:tcMar>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shd w:fill="F7FAFC"/>
          </w:tcPr>
          <w:p>
            <w:pPr>
              <w:jc w:val="left"/>
            </w:pPr>
            <w:r/>
            <w:r>
              <w:rPr>
                <w:rFonts w:ascii="Times New Roman" w:hAnsi="Times New Roman"/>
                <w:b w:val="0"/>
                <w:sz w:val="17"/>
              </w:rPr>
              <w:t>Discover compute providers</w:t>
            </w:r>
          </w:p>
        </w:tc>
        <w:tc>
          <w:tcPr>
            <w:tcW w:type="dxa" w:w="5544"/>
            <w:vAlign w:val="center"/>
            <w:tcMar>
              <w:top w:w="90" w:type="dxa"/>
              <w:start w:w="90" w:type="dxa"/>
              <w:bottom w:w="90" w:type="dxa"/>
              <w:end w:w="90" w:type="dxa"/>
            </w:tcMar>
            <w:shd w:fill="F7FAFC"/>
          </w:tcPr>
          <w:p>
            <w:pPr>
              <w:jc w:val="left"/>
            </w:pPr>
            <w:r/>
            <w:r>
              <w:rPr>
                <w:rFonts w:ascii="Times New Roman" w:hAnsi="Times New Roman"/>
                <w:b w:val="0"/>
                <w:sz w:val="17"/>
              </w:rPr>
              <w:t>Provider registration with hardware/system metadata</w:t>
            </w:r>
          </w:p>
        </w:tc>
        <w:tc>
          <w:tcPr>
            <w:tcW w:type="dxa" w:w="1584"/>
            <w:vAlign w:val="center"/>
            <w:tcMar>
              <w:top w:w="90" w:type="dxa"/>
              <w:start w:w="90" w:type="dxa"/>
              <w:bottom w:w="90" w:type="dxa"/>
              <w:end w:w="90" w:type="dxa"/>
            </w:tcMar>
            <w:shd w:fill="F7FAFC"/>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tcPr>
          <w:p>
            <w:pPr>
              <w:jc w:val="left"/>
            </w:pPr>
            <w:r/>
            <w:r>
              <w:rPr>
                <w:rFonts w:ascii="Times New Roman" w:hAnsi="Times New Roman"/>
                <w:b w:val="0"/>
                <w:sz w:val="17"/>
              </w:rPr>
              <w:t>Select compatible resources</w:t>
            </w:r>
          </w:p>
        </w:tc>
        <w:tc>
          <w:tcPr>
            <w:tcW w:type="dxa" w:w="5544"/>
            <w:vAlign w:val="center"/>
            <w:tcMar>
              <w:top w:w="90" w:type="dxa"/>
              <w:start w:w="90" w:type="dxa"/>
              <w:bottom w:w="90" w:type="dxa"/>
              <w:end w:w="90" w:type="dxa"/>
            </w:tcMar>
          </w:tcPr>
          <w:p>
            <w:pPr>
              <w:jc w:val="left"/>
            </w:pPr>
            <w:r/>
            <w:r>
              <w:rPr>
                <w:rFonts w:ascii="Times New Roman" w:hAnsi="Times New Roman"/>
                <w:b w:val="0"/>
                <w:sz w:val="17"/>
              </w:rPr>
              <w:t>CPU/RAM/GPU/FFmpeg filters and adjusted cost comparison</w:t>
            </w:r>
          </w:p>
        </w:tc>
        <w:tc>
          <w:tcPr>
            <w:tcW w:type="dxa" w:w="1584"/>
            <w:vAlign w:val="center"/>
            <w:tcMar>
              <w:top w:w="90" w:type="dxa"/>
              <w:start w:w="90" w:type="dxa"/>
              <w:bottom w:w="90" w:type="dxa"/>
              <w:end w:w="90" w:type="dxa"/>
            </w:tcMar>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shd w:fill="F7FAFC"/>
          </w:tcPr>
          <w:p>
            <w:pPr>
              <w:jc w:val="left"/>
            </w:pPr>
            <w:r/>
            <w:r>
              <w:rPr>
                <w:rFonts w:ascii="Times New Roman" w:hAnsi="Times New Roman"/>
                <w:b w:val="0"/>
                <w:sz w:val="17"/>
              </w:rPr>
              <w:t>Execute controlled workloads</w:t>
            </w:r>
          </w:p>
        </w:tc>
        <w:tc>
          <w:tcPr>
            <w:tcW w:type="dxa" w:w="5544"/>
            <w:vAlign w:val="center"/>
            <w:tcMar>
              <w:top w:w="90" w:type="dxa"/>
              <w:start w:w="90" w:type="dxa"/>
              <w:bottom w:w="90" w:type="dxa"/>
              <w:end w:w="90" w:type="dxa"/>
            </w:tcMar>
            <w:shd w:fill="F7FAFC"/>
          </w:tcPr>
          <w:p>
            <w:pPr>
              <w:jc w:val="left"/>
            </w:pPr>
            <w:r/>
            <w:r>
              <w:rPr>
                <w:rFonts w:ascii="Times New Roman" w:hAnsi="Times New Roman"/>
                <w:b w:val="0"/>
                <w:sz w:val="17"/>
              </w:rPr>
              <w:t>Provider supports matrix, prime, Fibonacci, video and custom Python paths</w:t>
            </w:r>
          </w:p>
        </w:tc>
        <w:tc>
          <w:tcPr>
            <w:tcW w:type="dxa" w:w="1584"/>
            <w:vAlign w:val="center"/>
            <w:tcMar>
              <w:top w:w="90" w:type="dxa"/>
              <w:start w:w="90" w:type="dxa"/>
              <w:bottom w:w="90" w:type="dxa"/>
              <w:end w:w="90" w:type="dxa"/>
            </w:tcMar>
            <w:shd w:fill="F7FAFC"/>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tcPr>
          <w:p>
            <w:pPr>
              <w:jc w:val="left"/>
            </w:pPr>
            <w:r/>
            <w:r>
              <w:rPr>
                <w:rFonts w:ascii="Times New Roman" w:hAnsi="Times New Roman"/>
                <w:b w:val="0"/>
                <w:sz w:val="17"/>
              </w:rPr>
              <w:t>Retain recovery evidence</w:t>
            </w:r>
          </w:p>
        </w:tc>
        <w:tc>
          <w:tcPr>
            <w:tcW w:type="dxa" w:w="5544"/>
            <w:vAlign w:val="center"/>
            <w:tcMar>
              <w:top w:w="90" w:type="dxa"/>
              <w:start w:w="90" w:type="dxa"/>
              <w:bottom w:w="90" w:type="dxa"/>
              <w:end w:w="90" w:type="dxa"/>
            </w:tcMar>
          </w:tcPr>
          <w:p>
            <w:pPr>
              <w:jc w:val="left"/>
            </w:pPr>
            <w:r/>
            <w:r>
              <w:rPr>
                <w:rFonts w:ascii="Times New Roman" w:hAnsi="Times New Roman"/>
                <w:b w:val="0"/>
                <w:sz w:val="17"/>
              </w:rPr>
              <w:t>Checkpoint rows, state hashes, attempts and a recovery monitor</w:t>
            </w:r>
          </w:p>
        </w:tc>
        <w:tc>
          <w:tcPr>
            <w:tcW w:type="dxa" w:w="1584"/>
            <w:vAlign w:val="center"/>
            <w:tcMar>
              <w:top w:w="90" w:type="dxa"/>
              <w:start w:w="90" w:type="dxa"/>
              <w:bottom w:w="90" w:type="dxa"/>
              <w:end w:w="90" w:type="dxa"/>
            </w:tcMar>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shd w:fill="F7FAFC"/>
          </w:tcPr>
          <w:p>
            <w:pPr>
              <w:jc w:val="left"/>
            </w:pPr>
            <w:r/>
            <w:r>
              <w:rPr>
                <w:rFonts w:ascii="Times New Roman" w:hAnsi="Times New Roman"/>
                <w:b w:val="0"/>
                <w:sz w:val="17"/>
              </w:rPr>
              <w:t>Demonstrate validation</w:t>
            </w:r>
          </w:p>
        </w:tc>
        <w:tc>
          <w:tcPr>
            <w:tcW w:type="dxa" w:w="5544"/>
            <w:vAlign w:val="center"/>
            <w:tcMar>
              <w:top w:w="90" w:type="dxa"/>
              <w:start w:w="90" w:type="dxa"/>
              <w:bottom w:w="90" w:type="dxa"/>
              <w:end w:w="90" w:type="dxa"/>
            </w:tcMar>
            <w:shd w:fill="F7FAFC"/>
          </w:tcPr>
          <w:p>
            <w:pPr>
              <w:jc w:val="left"/>
            </w:pPr>
            <w:r/>
            <w:r>
              <w:rPr>
                <w:rFonts w:ascii="Times New Roman" w:hAnsi="Times New Roman"/>
                <w:b w:val="0"/>
                <w:sz w:val="17"/>
              </w:rPr>
              <w:t>Python parsing and 12 frontend tests recorded</w:t>
            </w:r>
          </w:p>
        </w:tc>
        <w:tc>
          <w:tcPr>
            <w:tcW w:type="dxa" w:w="1584"/>
            <w:vAlign w:val="center"/>
            <w:tcMar>
              <w:top w:w="90" w:type="dxa"/>
              <w:start w:w="90" w:type="dxa"/>
              <w:bottom w:w="90" w:type="dxa"/>
              <w:end w:w="90" w:type="dxa"/>
            </w:tcMar>
            <w:shd w:fill="F7FAFC"/>
          </w:tcPr>
          <w:p>
            <w:pPr>
              <w:jc w:val="left"/>
            </w:pPr>
            <w:r/>
            <w:r>
              <w:rPr>
                <w:rFonts w:ascii="Times New Roman" w:hAnsi="Times New Roman"/>
                <w:b w:val="0"/>
                <w:sz w:val="17"/>
              </w:rPr>
              <w:t>Tested</w:t>
            </w:r>
          </w:p>
        </w:tc>
      </w:tr>
    </w:tbl>
    <w:p>
      <w:pPr>
        <w:spacing w:after="40"/>
      </w:pPr>
    </w:p>
    <w:p>
      <w:pPr>
        <w:spacing w:before="60" w:after="180"/>
        <w:jc w:val="center"/>
      </w:pPr>
      <w:r>
        <w:rPr>
          <w:rFonts w:ascii="Times New Roman" w:hAnsi="Times New Roman"/>
          <w:b/>
          <w:i/>
          <w:color w:val="000000"/>
          <w:sz w:val="21"/>
        </w:rPr>
        <w:t>Table 1.1: Project objectives and implementation status</w:t>
      </w:r>
    </w:p>
    <w:p>
      <w:pPr>
        <w:keepNext w:val="0"/>
        <w:spacing w:before="0" w:after="120" w:line="360" w:lineRule="auto"/>
        <w:jc w:val="both"/>
      </w:pPr>
      <w:r>
        <w:rPr>
          <w:rFonts w:ascii="Times New Roman" w:hAnsi="Times New Roman"/>
          <w:b w:val="0"/>
          <w:i w:val="0"/>
          <w:color w:val="000000"/>
          <w:sz w:val="24"/>
        </w:rPr>
        <w:t>The scope is a prototype control plane. Nexora is not a public cloud provider, a provider marketplace, a production payment system, a container-orchestration system, or a proven high-availability deployment. The interface contains a resource-pool simulator, while persistent resource-pool policies were not found. Token purchase and card top-up are intentionally simulated. Optional remote streaming depends on separately reachable MediaMTX and destination services and was not verified end to end.</w:t>
      </w:r>
    </w:p>
    <w:p>
      <w:pPr>
        <w:pStyle w:val="Heading2"/>
        <w:keepNext/>
        <w:spacing w:before="180" w:after="140"/>
        <w:jc w:val="both"/>
      </w:pPr>
      <w:r>
        <w:rPr>
          <w:rFonts w:ascii="Times New Roman" w:hAnsi="Times New Roman"/>
          <w:b/>
          <w:i w:val="0"/>
          <w:color w:val="000000"/>
          <w:sz w:val="26"/>
        </w:rPr>
        <w:t>1.4 Significance and Boundaries</w:t>
      </w:r>
    </w:p>
    <w:p>
      <w:pPr>
        <w:pStyle w:val="Heading2"/>
        <w:keepNext/>
        <w:spacing w:before="0" w:after="120" w:line="240" w:lineRule="auto"/>
        <w:jc w:val="both"/>
      </w:pPr>
      <w:r>
        <w:rPr>
          <w:rFonts w:ascii="Times New Roman" w:hAnsi="Times New Roman"/>
          <w:b/>
          <w:i w:val="0"/>
          <w:color w:val="000000"/>
          <w:sz w:val="26"/>
        </w:rPr>
        <w:t>1.5 Target Users and Stakeholders</w:t>
      </w:r>
    </w:p>
    <w:p>
      <w:pPr>
        <w:keepNext w:val="0"/>
        <w:spacing w:before="0" w:after="120" w:line="336" w:lineRule="auto"/>
        <w:jc w:val="both"/>
      </w:pPr>
      <w:r>
        <w:rPr>
          <w:rFonts w:ascii="Times New Roman" w:hAnsi="Times New Roman"/>
          <w:b w:val="0"/>
          <w:i w:val="0"/>
          <w:color w:val="000000"/>
          <w:sz w:val="23"/>
        </w:rPr>
        <w:t>Nexora serves three technical stakeholder groups. End users submit and inspect workloads through the browser dashboard. Provider operators run the Python agent on machines whose compute capacity they choose to contribute; the agent reports local capability rather than granting remote shell access to the control plane. Project evaluators and maintainers use the backend APIs, database records, audit events, configuration and tests to understand how the platform behaves. This separation gives every participant a defined responsibility: users request work, the control plane coordinates it, and providers execute it locally.</w:t>
      </w:r>
    </w:p>
    <w:p>
      <w:pPr>
        <w:pStyle w:val="Heading2"/>
        <w:keepNext/>
        <w:spacing w:before="0" w:after="120" w:line="240" w:lineRule="auto"/>
        <w:jc w:val="both"/>
      </w:pPr>
      <w:r>
        <w:rPr>
          <w:rFonts w:ascii="Times New Roman" w:hAnsi="Times New Roman"/>
          <w:b/>
          <w:i w:val="0"/>
          <w:color w:val="000000"/>
          <w:sz w:val="26"/>
        </w:rPr>
        <w:t>1.6 Representative Use Cases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728"/>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Use case</w:t>
            </w:r>
          </w:p>
        </w:tc>
        <w:tc>
          <w:tcPr>
            <w:tcW w:type="dxa" w:w="2376"/>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User action</w:t>
            </w:r>
          </w:p>
        </w:tc>
        <w:tc>
          <w:tcPr>
            <w:tcW w:type="dxa" w:w="2880"/>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Control-plane outcome</w:t>
            </w:r>
          </w:p>
        </w:tc>
        <w:tc>
          <w:tcPr>
            <w:tcW w:type="dxa" w:w="2376"/>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Provider outcome</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Controlled computation</w:t>
            </w:r>
          </w:p>
        </w:tc>
        <w:tc>
          <w:tcPr>
            <w:tcW w:type="dxa" w:w="237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Submit a matrix, prime-search or Fibonacci request</w:t>
            </w:r>
          </w:p>
        </w:tc>
        <w:tc>
          <w:tcPr>
            <w:tcW w:type="dxa" w:w="288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Validate requirements, reserve tokens and schedule a compatible provider</w:t>
            </w:r>
          </w:p>
        </w:tc>
        <w:tc>
          <w:tcPr>
            <w:tcW w:type="dxa" w:w="237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Poll, execute, checkpoint and report result</w:t>
            </w:r>
          </w:p>
        </w:tc>
      </w:tr>
      <w:tr>
        <w:tc>
          <w:tcPr>
            <w:tcW w:type="dxa" w:w="172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Video processing</w:t>
            </w:r>
          </w:p>
        </w:tc>
        <w:tc>
          <w:tcPr>
            <w:tcW w:type="dxa" w:w="237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Upload a supported video then create a compression job</w:t>
            </w:r>
          </w:p>
        </w:tc>
        <w:tc>
          <w:tcPr>
            <w:tcW w:type="dxa" w:w="288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Probe artifact, attach metadata and select FFmpeg-capable provider</w:t>
            </w:r>
          </w:p>
        </w:tc>
        <w:tc>
          <w:tcPr>
            <w:tcW w:type="dxa" w:w="237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Download input, transcode and upload output</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Provider participation</w:t>
            </w:r>
          </w:p>
        </w:tc>
        <w:tc>
          <w:tcPr>
            <w:tcW w:type="dxa" w:w="237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Start the provider agent on a machine</w:t>
            </w:r>
          </w:p>
        </w:tc>
        <w:tc>
          <w:tcPr>
            <w:tcW w:type="dxa" w:w="288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Store capacity, status and last heartbeat</w:t>
            </w:r>
          </w:p>
        </w:tc>
        <w:tc>
          <w:tcPr>
            <w:tcW w:type="dxa" w:w="237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Measure local resource state and poll work</w:t>
            </w:r>
          </w:p>
        </w:tc>
      </w:tr>
      <w:tr>
        <w:tc>
          <w:tcPr>
            <w:tcW w:type="dxa" w:w="172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Recovery demonstration</w:t>
            </w:r>
          </w:p>
        </w:tc>
        <w:tc>
          <w:tcPr>
            <w:tcW w:type="dxa" w:w="237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Allow heartbeat to exceed configured timeout</w:t>
            </w:r>
          </w:p>
        </w:tc>
        <w:tc>
          <w:tcPr>
            <w:tcW w:type="dxa" w:w="288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Create recovery attempt or fail/refund when no replacement exists</w:t>
            </w:r>
          </w:p>
        </w:tc>
        <w:tc>
          <w:tcPr>
            <w:tcW w:type="dxa" w:w="237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Resume checkpoint-capable workload when assigned</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Streaming demonstration</w:t>
            </w:r>
          </w:p>
        </w:tc>
        <w:tc>
          <w:tcPr>
            <w:tcW w:type="dxa" w:w="237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Create an OBS or browser-capture session</w:t>
            </w:r>
          </w:p>
        </w:tc>
        <w:tc>
          <w:tcPr>
            <w:tcW w:type="dxa" w:w="288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Allocate stream-capable provider and session credentials</w:t>
            </w:r>
          </w:p>
        </w:tc>
        <w:tc>
          <w:tcPr>
            <w:tcW w:type="dxa" w:w="237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Use FFmpeg to consume media and publish encoded output</w:t>
            </w:r>
          </w:p>
        </w:tc>
      </w:tr>
    </w:tbl>
    <w:p>
      <w:pPr>
        <w:spacing w:before="40" w:after="160"/>
        <w:jc w:val="center"/>
      </w:pPr>
      <w:r>
        <w:rPr>
          <w:rFonts w:ascii="Times New Roman" w:hAnsi="Times New Roman"/>
          <w:b/>
          <w:i/>
          <w:color w:val="000000"/>
          <w:sz w:val="20"/>
        </w:rPr>
        <w:t>Table 1.2: Representative Nexora use cases and responsibilities</w:t>
      </w:r>
    </w:p>
    <w:p>
      <w:pPr>
        <w:pStyle w:val="Heading2"/>
        <w:keepNext/>
        <w:spacing w:before="0" w:after="120" w:line="240" w:lineRule="auto"/>
        <w:jc w:val="both"/>
      </w:pPr>
      <w:r>
        <w:rPr>
          <w:rFonts w:ascii="Times New Roman" w:hAnsi="Times New Roman"/>
          <w:b/>
          <w:i w:val="0"/>
          <w:color w:val="000000"/>
          <w:sz w:val="26"/>
        </w:rPr>
        <w:t>1.7 Functional and Non Functional Requirements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728"/>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6"/>
              </w:rPr>
              <w:t>Category</w:t>
            </w:r>
          </w:p>
        </w:tc>
        <w:tc>
          <w:tcPr>
            <w:tcW w:type="dxa" w:w="7632"/>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6"/>
              </w:rPr>
              <w:t>Requirement derived from implementation</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Functional</w:t>
            </w:r>
          </w:p>
        </w:tc>
        <w:tc>
          <w:tcPr>
            <w:tcW w:type="dxa" w:w="763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Create and validate accounts; authenticate sessions; register providers; submit and cancel jobs; track progress, checkpoints, artifacts and token activity.</w:t>
            </w:r>
          </w:p>
        </w:tc>
      </w:tr>
      <w:tr>
        <w:tc>
          <w:tcPr>
            <w:tcW w:type="dxa" w:w="172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Functional</w:t>
            </w:r>
          </w:p>
        </w:tc>
        <w:tc>
          <w:tcPr>
            <w:tcW w:type="dxa" w:w="763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Report current CPU, RAM, disk and optional GPU/FFmpeg capability; select compatible provider based on request constraints.</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Functional</w:t>
            </w:r>
          </w:p>
        </w:tc>
        <w:tc>
          <w:tcPr>
            <w:tcW w:type="dxa" w:w="763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Expose dashboard, provider, job, billing, artifact, checkpoint and optional streaming interfaces through REST and realtime topics.</w:t>
            </w:r>
          </w:p>
        </w:tc>
      </w:tr>
      <w:tr>
        <w:tc>
          <w:tcPr>
            <w:tcW w:type="dxa" w:w="172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Non functional</w:t>
            </w:r>
          </w:p>
        </w:tc>
        <w:tc>
          <w:tcPr>
            <w:tcW w:type="dxa" w:w="763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Persist application state through SQLAlchemy, reject malformed request bodies through Pydantic constraints, and restrict user-owned job/artifact access.</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Non functional</w:t>
            </w:r>
          </w:p>
        </w:tc>
        <w:tc>
          <w:tcPr>
            <w:tcW w:type="dxa" w:w="763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Allow local development, Docker Compose topology and split static frontend/backend deployment configuration.</w:t>
            </w:r>
          </w:p>
        </w:tc>
      </w:tr>
      <w:tr>
        <w:tc>
          <w:tcPr>
            <w:tcW w:type="dxa" w:w="172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Constraint</w:t>
            </w:r>
          </w:p>
        </w:tc>
        <w:tc>
          <w:tcPr>
            <w:tcW w:type="dxa" w:w="763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Provider connectivity is polling based; current cloud/media deployments, external payment and distributed high availability are outside verified scope.</w:t>
            </w:r>
          </w:p>
        </w:tc>
      </w:tr>
    </w:tbl>
    <w:p>
      <w:pPr>
        <w:spacing w:before="40" w:after="160"/>
        <w:jc w:val="center"/>
      </w:pPr>
      <w:r>
        <w:rPr>
          <w:rFonts w:ascii="Times New Roman" w:hAnsi="Times New Roman"/>
          <w:b/>
          <w:i/>
          <w:color w:val="000000"/>
          <w:sz w:val="20"/>
        </w:rPr>
        <w:t>Table 1.3: Functional and non functional requirements</w:t>
      </w:r>
    </w:p>
    <w:p>
      <w:pPr>
        <w:pStyle w:val="Heading2"/>
        <w:keepNext/>
        <w:spacing w:before="0" w:after="120" w:line="240" w:lineRule="auto"/>
        <w:jc w:val="both"/>
      </w:pPr>
      <w:r>
        <w:rPr>
          <w:rFonts w:ascii="Times New Roman" w:hAnsi="Times New Roman"/>
          <w:b/>
          <w:i w:val="0"/>
          <w:color w:val="000000"/>
          <w:sz w:val="26"/>
        </w:rPr>
        <w:t>1.8 Design Constraints</w:t>
      </w:r>
    </w:p>
    <w:p>
      <w:pPr>
        <w:keepNext w:val="0"/>
        <w:spacing w:before="0" w:after="120" w:line="336" w:lineRule="auto"/>
        <w:jc w:val="both"/>
      </w:pPr>
      <w:r>
        <w:rPr>
          <w:rFonts w:ascii="Times New Roman" w:hAnsi="Times New Roman"/>
          <w:b w:val="0"/>
          <w:i w:val="0"/>
          <w:color w:val="000000"/>
          <w:sz w:val="23"/>
        </w:rPr>
        <w:t>The design favors a compact prototype that can be read end to end. Consequently, backend routes, database models, scheduler behavior and realtime infrastructure occupy one FastAPI module, and provider behavior occupies one Python module. This choice reduces the number of deployment units for an academic demonstration but increases coupling. A second constraint is network reachability: the provider initiates its own registration, heartbeat and polling calls, making it easier to operate behind common network boundaries. A final constraint is evidence discipline: external services may be configured by the repository, but they are described as configured integrations unless execution evidence exists.</w:t>
      </w:r>
    </w:p>
    <w:p>
      <w:pPr>
        <w:keepNext w:val="0"/>
        <w:spacing w:before="0" w:after="120" w:line="360" w:lineRule="auto"/>
        <w:jc w:val="both"/>
      </w:pPr>
      <w:r>
        <w:rPr>
          <w:rFonts w:ascii="Times New Roman" w:hAnsi="Times New Roman"/>
          <w:b w:val="0"/>
          <w:i w:val="0"/>
          <w:color w:val="000000"/>
          <w:sz w:val="24"/>
        </w:rPr>
        <w:t>The principal academic value of Nexora is that it exposes the entire path from user intent to provider-side execution. It shows how authentication, capacity metadata, scheduling, persistence, telemetry, real-time delivery, recovery and accounting interact. The main boundary is important: the control plane coordinates provider-owned machines; it does not itself sell, host or guarantee compute capacity. In particular, a configured render or Vercel deployment is not evidence of a verified operational service.</w:t>
      </w:r>
    </w:p>
    <w:p>
      <w:r>
        <w:br w:type="page"/>
      </w:r>
    </w:p>
    <w:p>
      <w:pPr>
        <w:spacing w:before="2400" w:after="360"/>
        <w:jc w:val="center"/>
      </w:pPr>
      <w:r>
        <w:rPr>
          <w:rFonts w:ascii="Times New Roman" w:hAnsi="Times New Roman"/>
          <w:b/>
          <w:i w:val="0"/>
          <w:color w:val="000000"/>
          <w:sz w:val="36"/>
        </w:rPr>
        <w:t>CHAPTER 2</w:t>
      </w:r>
    </w:p>
    <w:p>
      <w:pPr>
        <w:spacing w:after="1200"/>
        <w:jc w:val="center"/>
      </w:pPr>
      <w:r>
        <w:rPr>
          <w:rFonts w:ascii="Times New Roman" w:hAnsi="Times New Roman"/>
          <w:b/>
          <w:i w:val="0"/>
          <w:color w:val="000000"/>
          <w:sz w:val="36"/>
        </w:rPr>
        <w:t>LITERATURE REVIEW AND CORE CONCEPTS</w:t>
      </w:r>
    </w:p>
    <w:p>
      <w:pPr>
        <w:pStyle w:val="Heading1"/>
        <w:keepNext/>
        <w:spacing w:before="280" w:after="140"/>
        <w:jc w:val="both"/>
      </w:pPr>
      <w:r>
        <w:rPr>
          <w:rFonts w:ascii="Times New Roman" w:hAnsi="Times New Roman"/>
          <w:b/>
          <w:i w:val="0"/>
          <w:color w:val="000000"/>
          <w:sz w:val="30"/>
        </w:rPr>
        <w:t>CHAPTER 2 LITERATURE REVIEW AND CORE CONCEPTS</w:t>
      </w:r>
    </w:p>
    <w:p>
      <w:pPr>
        <w:pStyle w:val="Heading2"/>
        <w:keepNext/>
        <w:spacing w:before="180" w:after="140"/>
        <w:jc w:val="both"/>
      </w:pPr>
      <w:r>
        <w:rPr>
          <w:rFonts w:ascii="Times New Roman" w:hAnsi="Times New Roman"/>
          <w:b/>
          <w:i w:val="0"/>
          <w:color w:val="000000"/>
          <w:sz w:val="26"/>
        </w:rPr>
        <w:t>2.1 Distributed Compute Orchestration</w:t>
      </w:r>
    </w:p>
    <w:p>
      <w:pPr>
        <w:keepNext w:val="0"/>
        <w:spacing w:before="0" w:after="120" w:line="360" w:lineRule="auto"/>
        <w:jc w:val="both"/>
      </w:pPr>
      <w:r>
        <w:rPr>
          <w:rFonts w:ascii="Times New Roman" w:hAnsi="Times New Roman"/>
          <w:b w:val="0"/>
          <w:i w:val="0"/>
          <w:color w:val="000000"/>
          <w:sz w:val="24"/>
        </w:rPr>
        <w:t>Distributed compute orchestration is the coordination of workloads across separately managed resources. A practical orchestration layer requires a clear distinction between the control plane, which makes policy and stores system state, and the data or execution plane, which performs work on a provider machine. Nexora follows this concept: the FastAPI control plane persists users, providers, jobs and accounting data, whereas the provider agent inspects local hardware and runs the assigned workload. The project is intentionally smaller in scope than mature cluster schedulers, but the separation makes responsibilities explicit.</w:t>
      </w:r>
    </w:p>
    <w:p>
      <w:pPr>
        <w:pStyle w:val="Heading2"/>
        <w:keepNext/>
        <w:spacing w:before="180" w:after="140"/>
        <w:jc w:val="both"/>
      </w:pPr>
      <w:r>
        <w:rPr>
          <w:rFonts w:ascii="Times New Roman" w:hAnsi="Times New Roman"/>
          <w:b/>
          <w:i w:val="0"/>
          <w:color w:val="000000"/>
          <w:sz w:val="26"/>
        </w:rPr>
        <w:t>2.2 Control Plane and Provider Agent Architecture</w:t>
      </w:r>
    </w:p>
    <w:p>
      <w:pPr>
        <w:keepNext w:val="0"/>
        <w:spacing w:before="0" w:after="120" w:line="360" w:lineRule="auto"/>
        <w:jc w:val="both"/>
      </w:pPr>
      <w:r>
        <w:rPr>
          <w:rFonts w:ascii="Times New Roman" w:hAnsi="Times New Roman"/>
          <w:b w:val="0"/>
          <w:i w:val="0"/>
          <w:color w:val="000000"/>
          <w:sz w:val="24"/>
        </w:rPr>
        <w:t>A control plane can expose stable HTTP APIs while agents use periodic heartbeats and polling to function through common firewall and NAT environments. In Nexora, the provider sends a shared-token registration request and periodic heartbeats. It then polls its pending-job endpoint every two seconds. This pull model avoids requiring the control plane to initiate a connection to the provider. The trade-off is dispatch latency and the need for robust job-claim semantics; the current source returns scheduled jobs before the provider asynchronously records RUNNING, which is a documented reliability risk.</w:t>
      </w:r>
    </w:p>
    <w:p>
      <w:pPr>
        <w:pStyle w:val="Heading2"/>
        <w:keepNext/>
        <w:spacing w:before="180" w:after="140"/>
        <w:jc w:val="both"/>
      </w:pPr>
      <w:r>
        <w:rPr>
          <w:rFonts w:ascii="Times New Roman" w:hAnsi="Times New Roman"/>
          <w:b/>
          <w:i w:val="0"/>
          <w:color w:val="000000"/>
          <w:sz w:val="26"/>
        </w:rPr>
        <w:t>2.3 Scheduling, Checkpointing and Recovery</w:t>
      </w:r>
    </w:p>
    <w:p>
      <w:pPr>
        <w:keepNext w:val="0"/>
        <w:spacing w:before="0" w:after="120" w:line="360" w:lineRule="auto"/>
        <w:jc w:val="both"/>
      </w:pPr>
      <w:r>
        <w:rPr>
          <w:rFonts w:ascii="Times New Roman" w:hAnsi="Times New Roman"/>
          <w:b w:val="0"/>
          <w:i w:val="0"/>
          <w:color w:val="000000"/>
          <w:sz w:val="24"/>
        </w:rPr>
        <w:t>Scheduling requires eligibility checks before selection. Nexora filters providers by online state, requested CPU, requested memory, optional GPU availability and FFmpeg capability for media-oriented workloads. From candidates it selects the lowest cost per hour adjusted by reliability. This is a rule-based strategy, not an optimization engine, learning algorithm, resource-pool planner or fair-share scheduler. Checkpoints store a sequence number, attempt number, progress, state version, deterministic hash and payload. On loss of a heartbeat, the recovery monitor may mark the failed provider offline, identify a compatible replacement and create a fenced recovery attempt.</w:t>
      </w:r>
    </w:p>
    <w:p>
      <w:pPr>
        <w:pStyle w:val="Heading2"/>
        <w:keepNext/>
        <w:spacing w:before="180" w:after="140"/>
        <w:jc w:val="both"/>
      </w:pPr>
      <w:r>
        <w:rPr>
          <w:rFonts w:ascii="Times New Roman" w:hAnsi="Times New Roman"/>
          <w:b/>
          <w:i w:val="0"/>
          <w:color w:val="000000"/>
          <w:sz w:val="26"/>
        </w:rPr>
        <w:t>2.4 Telemetry and Real-Time Communication</w:t>
      </w:r>
    </w:p>
    <w:p>
      <w:pPr>
        <w:keepNext w:val="0"/>
        <w:spacing w:before="0" w:after="120" w:line="360" w:lineRule="auto"/>
        <w:jc w:val="both"/>
      </w:pPr>
      <w:r>
        <w:rPr>
          <w:rFonts w:ascii="Times New Roman" w:hAnsi="Times New Roman"/>
          <w:b w:val="0"/>
          <w:i w:val="0"/>
          <w:color w:val="000000"/>
          <w:sz w:val="24"/>
        </w:rPr>
        <w:t>Telemetry is a current-state mechanism in this project. The provider reports CPU, RAM and disk utilization through psutil. It optionally uses nvidia-smi for device-wide GPU compute and memory metrics; a Torch allocator fallback can report only process-local GPU memory. The frontend receives state by REST refresh and by a user-scoped WebSocket topic set. Since no historical telemetry entity was found, the live charts represent accumulated frontend snapshots and current provider state rather than a durable observability time series.</w:t>
      </w:r>
    </w:p>
    <w:p>
      <w:pPr>
        <w:pStyle w:val="Heading2"/>
        <w:keepNext/>
        <w:spacing w:before="180" w:after="140"/>
        <w:jc w:val="both"/>
      </w:pPr>
      <w:r>
        <w:rPr>
          <w:rFonts w:ascii="Times New Roman" w:hAnsi="Times New Roman"/>
          <w:b/>
          <w:i w:val="0"/>
          <w:color w:val="000000"/>
          <w:sz w:val="26"/>
        </w:rPr>
        <w:t>2.5 Artifact Processing, Streaming and Token Accounting</w:t>
      </w:r>
    </w:p>
    <w:p>
      <w:pPr>
        <w:pStyle w:val="Heading2"/>
        <w:keepNext/>
        <w:spacing w:before="0" w:after="120" w:line="240" w:lineRule="auto"/>
        <w:jc w:val="both"/>
      </w:pPr>
      <w:r>
        <w:rPr>
          <w:rFonts w:ascii="Times New Roman" w:hAnsi="Times New Roman"/>
          <w:b/>
          <w:i w:val="0"/>
          <w:color w:val="000000"/>
          <w:sz w:val="26"/>
        </w:rPr>
        <w:t>2.6 Related Work and Design Position</w:t>
      </w:r>
    </w:p>
    <w:p>
      <w:pPr>
        <w:keepNext w:val="0"/>
        <w:spacing w:before="0" w:after="120" w:line="336" w:lineRule="auto"/>
        <w:jc w:val="both"/>
      </w:pPr>
      <w:r>
        <w:rPr>
          <w:rFonts w:ascii="Times New Roman" w:hAnsi="Times New Roman"/>
          <w:b w:val="0"/>
          <w:i w:val="0"/>
          <w:color w:val="000000"/>
          <w:sz w:val="23"/>
        </w:rPr>
        <w:t>Research on cloud, edge and fog scheduling treats heterogeneous capacity, response time, cost, utilization and reliability as competing objectives. Recent surveys group scheduling approaches into deterministic, heuristic, metaheuristic and learning-based families [3]-[5]. Nexora intentionally chooses a transparent deterministic rule: it rejects incompatible providers and selects the candidate with the minimum cost adjusted by the stored reliability value. This is appropriate for an inspectable academic prototype because the decision can be traced directly to provider attributes. It is not presented as a replacement for fair-share, backfilling, predictive or reinforcement-learning scheduling.</w:t>
      </w:r>
    </w:p>
    <w:p>
      <w:pPr>
        <w:keepNext w:val="0"/>
        <w:spacing w:before="0" w:after="120" w:line="336" w:lineRule="auto"/>
        <w:jc w:val="both"/>
      </w:pPr>
      <w:r>
        <w:rPr>
          <w:rFonts w:ascii="Times New Roman" w:hAnsi="Times New Roman"/>
          <w:b w:val="0"/>
          <w:i w:val="0"/>
          <w:color w:val="000000"/>
          <w:sz w:val="23"/>
        </w:rPr>
        <w:t>Checkpoint-restart research explains why saved state can improve fault recovery and resource use: a failed computation can continue from a retained recovery point rather than beginning again [6]. Nexora uses application-level checkpoints rather than transparent process snapshots. Its checkpoint payload is workload-specific, has a canonical hash, and is associated with a sequence and attempt number. That choice keeps the storage model simple but means arbitrary custom Python processes cannot be migrated transparently; the provider deliberately restarts that workload from the beginning on recovery.</w:t>
      </w:r>
    </w:p>
    <w:p>
      <w:pPr>
        <w:pStyle w:val="Heading2"/>
        <w:keepNext/>
        <w:spacing w:before="0" w:after="120" w:line="240" w:lineRule="auto"/>
        <w:jc w:val="both"/>
      </w:pPr>
      <w:r>
        <w:rPr>
          <w:rFonts w:ascii="Times New Roman" w:hAnsi="Times New Roman"/>
          <w:b/>
          <w:i w:val="0"/>
          <w:color w:val="000000"/>
          <w:sz w:val="26"/>
        </w:rPr>
        <w:t>2.7 Security Concepts Applied to Nexora</w:t>
      </w:r>
    </w:p>
    <w:p>
      <w:pPr>
        <w:keepNext w:val="0"/>
        <w:spacing w:before="0" w:after="120" w:line="336" w:lineRule="auto"/>
        <w:jc w:val="both"/>
      </w:pPr>
      <w:r>
        <w:rPr>
          <w:rFonts w:ascii="Times New Roman" w:hAnsi="Times New Roman"/>
          <w:b w:val="0"/>
          <w:i w:val="0"/>
          <w:color w:val="000000"/>
          <w:sz w:val="23"/>
        </w:rPr>
        <w:t>The authentication design combines password hashing, JWTs and server-side session records. The backend uses PBKDF2-HMAC-SHA256 with a generated salt and 600,000 iterations. Python documentation describes PBKDF2-HMAC as a password-based key derivation function and notes that iteration count should reflect contemporary computing power [7]. Nexora additionally validates session state on every protected request, so a missing, revoked or expired session is rejected even when a token is structurally valid. WebSocket credentials are placed in a subprotocol header rather than a URL. These controls protect normal user sessions; they do not eliminate the separate provider-identity limitation described in Chapter 5.</w:t>
      </w:r>
    </w:p>
    <w:p>
      <w:pPr>
        <w:pStyle w:val="Heading2"/>
        <w:keepNext/>
        <w:spacing w:before="0" w:after="120" w:line="240" w:lineRule="auto"/>
        <w:jc w:val="both"/>
      </w:pPr>
      <w:r>
        <w:rPr>
          <w:rFonts w:ascii="Times New Roman" w:hAnsi="Times New Roman"/>
          <w:b/>
          <w:i w:val="0"/>
          <w:color w:val="000000"/>
          <w:sz w:val="26"/>
        </w:rPr>
        <w:t>2.8 Comparative Concept Table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872"/>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Concept</w:t>
            </w:r>
          </w:p>
        </w:tc>
        <w:tc>
          <w:tcPr>
            <w:tcW w:type="dxa" w:w="2304"/>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General objective</w:t>
            </w:r>
          </w:p>
        </w:tc>
        <w:tc>
          <w:tcPr>
            <w:tcW w:type="dxa" w:w="3456"/>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Nexora realization</w:t>
            </w:r>
          </w:p>
        </w:tc>
        <w:tc>
          <w:tcPr>
            <w:tcW w:type="dxa" w:w="2088"/>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Academic interpretation</w:t>
            </w:r>
          </w:p>
        </w:tc>
      </w:tr>
      <w:tr>
        <w:tc>
          <w:tcPr>
            <w:tcW w:type="dxa" w:w="187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Heterogeneous scheduling</w:t>
            </w:r>
          </w:p>
        </w:tc>
        <w:tc>
          <w:tcPr>
            <w:tcW w:type="dxa" w:w="230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Map work to differing capacities</w:t>
            </w:r>
          </w:p>
        </w:tc>
        <w:tc>
          <w:tcPr>
            <w:tcW w:type="dxa" w:w="345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CPU/RAM/GPU/FFmpeg eligibility then cost/reliability ordering</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Rule-based baseline</w:t>
            </w:r>
          </w:p>
        </w:tc>
      </w:tr>
      <w:tr>
        <w:tc>
          <w:tcPr>
            <w:tcW w:type="dxa" w:w="187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Control plane</w:t>
            </w:r>
          </w:p>
        </w:tc>
        <w:tc>
          <w:tcPr>
            <w:tcW w:type="dxa" w:w="230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Coordinate state and policy</w:t>
            </w:r>
          </w:p>
        </w:tc>
        <w:tc>
          <w:tcPr>
            <w:tcW w:type="dxa" w:w="345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FastAPI routes, models, scheduler and realtime hub</w:t>
            </w:r>
          </w:p>
        </w:tc>
        <w:tc>
          <w:tcPr>
            <w:tcW w:type="dxa" w:w="208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Central coordination boundary</w:t>
            </w:r>
          </w:p>
        </w:tc>
      </w:tr>
      <w:tr>
        <w:tc>
          <w:tcPr>
            <w:tcW w:type="dxa" w:w="187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Provider agent</w:t>
            </w:r>
          </w:p>
        </w:tc>
        <w:tc>
          <w:tcPr>
            <w:tcW w:type="dxa" w:w="230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Execute work near resources</w:t>
            </w:r>
          </w:p>
        </w:tc>
        <w:tc>
          <w:tcPr>
            <w:tcW w:type="dxa" w:w="345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Python agent with psutil, requests, FFmpeg probe and worker functions</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Execution-plane representative</w:t>
            </w:r>
          </w:p>
        </w:tc>
      </w:tr>
      <w:tr>
        <w:tc>
          <w:tcPr>
            <w:tcW w:type="dxa" w:w="187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Checkpoint recovery</w:t>
            </w:r>
          </w:p>
        </w:tc>
        <w:tc>
          <w:tcPr>
            <w:tcW w:type="dxa" w:w="230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Reduce loss from failure</w:t>
            </w:r>
          </w:p>
        </w:tc>
        <w:tc>
          <w:tcPr>
            <w:tcW w:type="dxa" w:w="345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State payload, hashes, attempts and replacement assignment</w:t>
            </w:r>
          </w:p>
        </w:tc>
        <w:tc>
          <w:tcPr>
            <w:tcW w:type="dxa" w:w="208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Application-level recovery</w:t>
            </w:r>
          </w:p>
        </w:tc>
      </w:tr>
      <w:tr>
        <w:tc>
          <w:tcPr>
            <w:tcW w:type="dxa" w:w="187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Realtime monitoring</w:t>
            </w:r>
          </w:p>
        </w:tc>
        <w:tc>
          <w:tcPr>
            <w:tcW w:type="dxa" w:w="230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Expose current state</w:t>
            </w:r>
          </w:p>
        </w:tc>
        <w:tc>
          <w:tcPr>
            <w:tcW w:type="dxa" w:w="345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REST snapshots plus authenticated WebSocket events</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Current-state observability</w:t>
            </w:r>
          </w:p>
        </w:tc>
      </w:tr>
      <w:tr>
        <w:tc>
          <w:tcPr>
            <w:tcW w:type="dxa" w:w="187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Accounting</w:t>
            </w:r>
          </w:p>
        </w:tc>
        <w:tc>
          <w:tcPr>
            <w:tcW w:type="dxa" w:w="230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Associate use with balance</w:t>
            </w:r>
          </w:p>
        </w:tc>
        <w:tc>
          <w:tcPr>
            <w:tcW w:type="dxa" w:w="345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Wallet, token ledger, reservation and settlement</w:t>
            </w:r>
          </w:p>
        </w:tc>
        <w:tc>
          <w:tcPr>
            <w:tcW w:type="dxa" w:w="208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Demonstration accounting model</w:t>
            </w:r>
          </w:p>
        </w:tc>
      </w:tr>
    </w:tbl>
    <w:p>
      <w:pPr>
        <w:spacing w:before="40" w:after="160"/>
        <w:jc w:val="center"/>
      </w:pPr>
      <w:r>
        <w:rPr>
          <w:rFonts w:ascii="Times New Roman" w:hAnsi="Times New Roman"/>
          <w:b/>
          <w:i/>
          <w:color w:val="000000"/>
          <w:sz w:val="20"/>
        </w:rPr>
        <w:t>Table 2.1: Core concepts, Nexora adaptation and design position</w:t>
      </w:r>
    </w:p>
    <w:p>
      <w:pPr>
        <w:keepNext w:val="0"/>
        <w:spacing w:before="0" w:after="120" w:line="360" w:lineRule="auto"/>
        <w:jc w:val="both"/>
      </w:pPr>
      <w:r>
        <w:rPr>
          <w:rFonts w:ascii="Times New Roman" w:hAnsi="Times New Roman"/>
          <w:b w:val="0"/>
          <w:i w:val="0"/>
          <w:color w:val="000000"/>
          <w:sz w:val="24"/>
        </w:rPr>
        <w:t>Artifact handling is necessary when a job requires input or produces output. Nexora validates and probes user video uploads, records metadata and checksums, lets the assigned provider download job input, and lets a provider upload output. The optional streaming path uses a session model: the backend validates an RTMP/RTMPS destination, allocates an FFmpeg-capable provider, hands MediaMTX session credentials to the correct participants, and bills tokens only after streaming state is reported. The project does not itself operate a payment gateway; its wallet and purchase interactions are a token-accounting demonstration.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00"/>
            <w:vAlign w:val="center"/>
            <w:shd w:fill="163A5F"/>
            <w:tcMar>
              <w:top w:w="90" w:type="dxa"/>
              <w:start w:w="90" w:type="dxa"/>
              <w:bottom w:w="90" w:type="dxa"/>
              <w:end w:w="90" w:type="dxa"/>
            </w:tcMar>
          </w:tcPr>
          <w:p>
            <w:pPr>
              <w:jc w:val="left"/>
            </w:pPr>
            <w:r/>
            <w:r>
              <w:rPr>
                <w:rFonts w:ascii="Times New Roman" w:hAnsi="Times New Roman"/>
                <w:b/>
                <w:color w:val="FFFFFF"/>
                <w:sz w:val="17"/>
              </w:rPr>
              <w:t>Concept</w:t>
            </w:r>
          </w:p>
        </w:tc>
        <w:tc>
          <w:tcPr>
            <w:tcW w:type="dxa" w:w="4968"/>
            <w:vAlign w:val="center"/>
            <w:shd w:fill="163A5F"/>
            <w:tcMar>
              <w:top w:w="90" w:type="dxa"/>
              <w:start w:w="90" w:type="dxa"/>
              <w:bottom w:w="90" w:type="dxa"/>
              <w:end w:w="90" w:type="dxa"/>
            </w:tcMar>
          </w:tcPr>
          <w:p>
            <w:pPr>
              <w:jc w:val="left"/>
            </w:pPr>
            <w:r/>
            <w:r>
              <w:rPr>
                <w:rFonts w:ascii="Times New Roman" w:hAnsi="Times New Roman"/>
                <w:b/>
                <w:color w:val="FFFFFF"/>
                <w:sz w:val="17"/>
              </w:rPr>
              <w:t>Nexora adaptation</w:t>
            </w:r>
          </w:p>
        </w:tc>
        <w:tc>
          <w:tcPr>
            <w:tcW w:type="dxa" w:w="2448"/>
            <w:vAlign w:val="center"/>
            <w:shd w:fill="163A5F"/>
            <w:tcMar>
              <w:top w:w="90" w:type="dxa"/>
              <w:start w:w="90" w:type="dxa"/>
              <w:bottom w:w="90" w:type="dxa"/>
              <w:end w:w="90" w:type="dxa"/>
            </w:tcMar>
          </w:tcPr>
          <w:p>
            <w:pPr>
              <w:jc w:val="left"/>
            </w:pPr>
            <w:r/>
            <w:r>
              <w:rPr>
                <w:rFonts w:ascii="Times New Roman" w:hAnsi="Times New Roman"/>
                <w:b/>
                <w:color w:val="FFFFFF"/>
                <w:sz w:val="17"/>
              </w:rPr>
              <w:t>Boundary</w:t>
            </w:r>
          </w:p>
        </w:tc>
      </w:tr>
      <w:tr>
        <w:tc>
          <w:tcPr>
            <w:tcW w:type="dxa" w:w="1800"/>
            <w:vAlign w:val="center"/>
            <w:tcMar>
              <w:top w:w="90" w:type="dxa"/>
              <w:start w:w="90" w:type="dxa"/>
              <w:bottom w:w="90" w:type="dxa"/>
              <w:end w:w="90" w:type="dxa"/>
            </w:tcMar>
          </w:tcPr>
          <w:p>
            <w:pPr>
              <w:jc w:val="left"/>
            </w:pPr>
            <w:r/>
            <w:r>
              <w:rPr>
                <w:rFonts w:ascii="Times New Roman" w:hAnsi="Times New Roman"/>
                <w:b w:val="0"/>
                <w:sz w:val="17"/>
              </w:rPr>
              <w:t>Control plane</w:t>
            </w:r>
          </w:p>
        </w:tc>
        <w:tc>
          <w:tcPr>
            <w:tcW w:type="dxa" w:w="4968"/>
            <w:vAlign w:val="center"/>
            <w:tcMar>
              <w:top w:w="90" w:type="dxa"/>
              <w:start w:w="90" w:type="dxa"/>
              <w:bottom w:w="90" w:type="dxa"/>
              <w:end w:w="90" w:type="dxa"/>
            </w:tcMar>
          </w:tcPr>
          <w:p>
            <w:pPr>
              <w:jc w:val="left"/>
            </w:pPr>
            <w:r/>
            <w:r>
              <w:rPr>
                <w:rFonts w:ascii="Times New Roman" w:hAnsi="Times New Roman"/>
                <w:b w:val="0"/>
                <w:sz w:val="17"/>
              </w:rPr>
              <w:t>FastAPI API, SQLAlchemy state, scheduler, recovery monitor</w:t>
            </w:r>
          </w:p>
        </w:tc>
        <w:tc>
          <w:tcPr>
            <w:tcW w:type="dxa" w:w="2448"/>
            <w:vAlign w:val="center"/>
            <w:tcMar>
              <w:top w:w="90" w:type="dxa"/>
              <w:start w:w="90" w:type="dxa"/>
              <w:bottom w:w="90" w:type="dxa"/>
              <w:end w:w="90" w:type="dxa"/>
            </w:tcMar>
          </w:tcPr>
          <w:p>
            <w:pPr>
              <w:jc w:val="left"/>
            </w:pPr>
            <w:r/>
            <w:r>
              <w:rPr>
                <w:rFonts w:ascii="Times New Roman" w:hAnsi="Times New Roman"/>
                <w:b w:val="0"/>
                <w:sz w:val="17"/>
              </w:rPr>
              <w:t>Single-process coordination</w:t>
            </w:r>
          </w:p>
        </w:tc>
      </w:tr>
      <w:tr>
        <w:tc>
          <w:tcPr>
            <w:tcW w:type="dxa" w:w="1800"/>
            <w:vAlign w:val="center"/>
            <w:tcMar>
              <w:top w:w="90" w:type="dxa"/>
              <w:start w:w="90" w:type="dxa"/>
              <w:bottom w:w="90" w:type="dxa"/>
              <w:end w:w="90" w:type="dxa"/>
            </w:tcMar>
            <w:shd w:fill="F7FAFC"/>
          </w:tcPr>
          <w:p>
            <w:pPr>
              <w:jc w:val="left"/>
            </w:pPr>
            <w:r/>
            <w:r>
              <w:rPr>
                <w:rFonts w:ascii="Times New Roman" w:hAnsi="Times New Roman"/>
                <w:b w:val="0"/>
                <w:sz w:val="17"/>
              </w:rPr>
              <w:t>Provider agent</w:t>
            </w:r>
          </w:p>
        </w:tc>
        <w:tc>
          <w:tcPr>
            <w:tcW w:type="dxa" w:w="4968"/>
            <w:vAlign w:val="center"/>
            <w:tcMar>
              <w:top w:w="90" w:type="dxa"/>
              <w:start w:w="90" w:type="dxa"/>
              <w:bottom w:w="90" w:type="dxa"/>
              <w:end w:w="90" w:type="dxa"/>
            </w:tcMar>
            <w:shd w:fill="F7FAFC"/>
          </w:tcPr>
          <w:p>
            <w:pPr>
              <w:jc w:val="left"/>
            </w:pPr>
            <w:r/>
            <w:r>
              <w:rPr>
                <w:rFonts w:ascii="Times New Roman" w:hAnsi="Times New Roman"/>
                <w:b w:val="0"/>
                <w:sz w:val="17"/>
              </w:rPr>
              <w:t>Hardware probe, polling, execution and heartbeat</w:t>
            </w:r>
          </w:p>
        </w:tc>
        <w:tc>
          <w:tcPr>
            <w:tcW w:type="dxa" w:w="2448"/>
            <w:vAlign w:val="center"/>
            <w:tcMar>
              <w:top w:w="90" w:type="dxa"/>
              <w:start w:w="90" w:type="dxa"/>
              <w:bottom w:w="90" w:type="dxa"/>
              <w:end w:w="90" w:type="dxa"/>
            </w:tcMar>
            <w:shd w:fill="F7FAFC"/>
          </w:tcPr>
          <w:p>
            <w:pPr>
              <w:jc w:val="left"/>
            </w:pPr>
            <w:r/>
            <w:r>
              <w:rPr>
                <w:rFonts w:ascii="Times New Roman" w:hAnsi="Times New Roman"/>
                <w:b w:val="0"/>
                <w:sz w:val="17"/>
              </w:rPr>
              <w:t>Shared provider credential</w:t>
            </w:r>
          </w:p>
        </w:tc>
      </w:tr>
      <w:tr>
        <w:tc>
          <w:tcPr>
            <w:tcW w:type="dxa" w:w="1800"/>
            <w:vAlign w:val="center"/>
            <w:tcMar>
              <w:top w:w="90" w:type="dxa"/>
              <w:start w:w="90" w:type="dxa"/>
              <w:bottom w:w="90" w:type="dxa"/>
              <w:end w:w="90" w:type="dxa"/>
            </w:tcMar>
          </w:tcPr>
          <w:p>
            <w:pPr>
              <w:jc w:val="left"/>
            </w:pPr>
            <w:r/>
            <w:r>
              <w:rPr>
                <w:rFonts w:ascii="Times New Roman" w:hAnsi="Times New Roman"/>
                <w:b w:val="0"/>
                <w:sz w:val="17"/>
              </w:rPr>
              <w:t>Checkpoint</w:t>
            </w:r>
          </w:p>
        </w:tc>
        <w:tc>
          <w:tcPr>
            <w:tcW w:type="dxa" w:w="4968"/>
            <w:vAlign w:val="center"/>
            <w:tcMar>
              <w:top w:w="90" w:type="dxa"/>
              <w:start w:w="90" w:type="dxa"/>
              <w:bottom w:w="90" w:type="dxa"/>
              <w:end w:w="90" w:type="dxa"/>
            </w:tcMar>
          </w:tcPr>
          <w:p>
            <w:pPr>
              <w:jc w:val="left"/>
            </w:pPr>
            <w:r/>
            <w:r>
              <w:rPr>
                <w:rFonts w:ascii="Times New Roman" w:hAnsi="Times New Roman"/>
                <w:b w:val="0"/>
                <w:sz w:val="17"/>
              </w:rPr>
              <w:t>Hash-protected state and attempt fencing</w:t>
            </w:r>
          </w:p>
        </w:tc>
        <w:tc>
          <w:tcPr>
            <w:tcW w:type="dxa" w:w="2448"/>
            <w:vAlign w:val="center"/>
            <w:tcMar>
              <w:top w:w="90" w:type="dxa"/>
              <w:start w:w="90" w:type="dxa"/>
              <w:bottom w:w="90" w:type="dxa"/>
              <w:end w:w="90" w:type="dxa"/>
            </w:tcMar>
          </w:tcPr>
          <w:p>
            <w:pPr>
              <w:jc w:val="left"/>
            </w:pPr>
            <w:r/>
            <w:r>
              <w:rPr>
                <w:rFonts w:ascii="Times New Roman" w:hAnsi="Times New Roman"/>
                <w:b w:val="0"/>
                <w:sz w:val="17"/>
              </w:rPr>
              <w:t>Live multi-machine recovery not tested</w:t>
            </w:r>
          </w:p>
        </w:tc>
      </w:tr>
      <w:tr>
        <w:tc>
          <w:tcPr>
            <w:tcW w:type="dxa" w:w="1800"/>
            <w:vAlign w:val="center"/>
            <w:tcMar>
              <w:top w:w="90" w:type="dxa"/>
              <w:start w:w="90" w:type="dxa"/>
              <w:bottom w:w="90" w:type="dxa"/>
              <w:end w:w="90" w:type="dxa"/>
            </w:tcMar>
            <w:shd w:fill="F7FAFC"/>
          </w:tcPr>
          <w:p>
            <w:pPr>
              <w:jc w:val="left"/>
            </w:pPr>
            <w:r/>
            <w:r>
              <w:rPr>
                <w:rFonts w:ascii="Times New Roman" w:hAnsi="Times New Roman"/>
                <w:b w:val="0"/>
                <w:sz w:val="17"/>
              </w:rPr>
              <w:t>Realtime delivery</w:t>
            </w:r>
          </w:p>
        </w:tc>
        <w:tc>
          <w:tcPr>
            <w:tcW w:type="dxa" w:w="4968"/>
            <w:vAlign w:val="center"/>
            <w:tcMar>
              <w:top w:w="90" w:type="dxa"/>
              <w:start w:w="90" w:type="dxa"/>
              <w:bottom w:w="90" w:type="dxa"/>
              <w:end w:w="90" w:type="dxa"/>
            </w:tcMar>
            <w:shd w:fill="F7FAFC"/>
          </w:tcPr>
          <w:p>
            <w:pPr>
              <w:jc w:val="left"/>
            </w:pPr>
            <w:r/>
            <w:r>
              <w:rPr>
                <w:rFonts w:ascii="Times New Roman" w:hAnsi="Times New Roman"/>
                <w:b w:val="0"/>
                <w:sz w:val="17"/>
              </w:rPr>
              <w:t>Authenticated WebSocket topics plus REST resync</w:t>
            </w:r>
          </w:p>
        </w:tc>
        <w:tc>
          <w:tcPr>
            <w:tcW w:type="dxa" w:w="2448"/>
            <w:vAlign w:val="center"/>
            <w:tcMar>
              <w:top w:w="90" w:type="dxa"/>
              <w:start w:w="90" w:type="dxa"/>
              <w:bottom w:w="90" w:type="dxa"/>
              <w:end w:w="90" w:type="dxa"/>
            </w:tcMar>
            <w:shd w:fill="F7FAFC"/>
          </w:tcPr>
          <w:p>
            <w:pPr>
              <w:jc w:val="left"/>
            </w:pPr>
            <w:r/>
            <w:r>
              <w:rPr>
                <w:rFonts w:ascii="Times New Roman" w:hAnsi="Times New Roman"/>
                <w:b w:val="0"/>
                <w:sz w:val="17"/>
              </w:rPr>
              <w:t>In-memory event hub</w:t>
            </w:r>
          </w:p>
        </w:tc>
      </w:tr>
      <w:tr>
        <w:tc>
          <w:tcPr>
            <w:tcW w:type="dxa" w:w="1800"/>
            <w:vAlign w:val="center"/>
            <w:tcMar>
              <w:top w:w="90" w:type="dxa"/>
              <w:start w:w="90" w:type="dxa"/>
              <w:bottom w:w="90" w:type="dxa"/>
              <w:end w:w="90" w:type="dxa"/>
            </w:tcMar>
          </w:tcPr>
          <w:p>
            <w:pPr>
              <w:jc w:val="left"/>
            </w:pPr>
            <w:r/>
            <w:r>
              <w:rPr>
                <w:rFonts w:ascii="Times New Roman" w:hAnsi="Times New Roman"/>
                <w:b w:val="0"/>
                <w:sz w:val="17"/>
              </w:rPr>
              <w:t>Streaming</w:t>
            </w:r>
          </w:p>
        </w:tc>
        <w:tc>
          <w:tcPr>
            <w:tcW w:type="dxa" w:w="4968"/>
            <w:vAlign w:val="center"/>
            <w:tcMar>
              <w:top w:w="90" w:type="dxa"/>
              <w:start w:w="90" w:type="dxa"/>
              <w:bottom w:w="90" w:type="dxa"/>
              <w:end w:w="90" w:type="dxa"/>
            </w:tcMar>
          </w:tcPr>
          <w:p>
            <w:pPr>
              <w:jc w:val="left"/>
            </w:pPr>
            <w:r/>
            <w:r>
              <w:rPr>
                <w:rFonts w:ascii="Times New Roman" w:hAnsi="Times New Roman"/>
                <w:b w:val="0"/>
                <w:sz w:val="17"/>
              </w:rPr>
              <w:t>MediaMTX/FFmpeg session workflow</w:t>
            </w:r>
          </w:p>
        </w:tc>
        <w:tc>
          <w:tcPr>
            <w:tcW w:type="dxa" w:w="2448"/>
            <w:vAlign w:val="center"/>
            <w:tcMar>
              <w:top w:w="90" w:type="dxa"/>
              <w:start w:w="90" w:type="dxa"/>
              <w:bottom w:w="90" w:type="dxa"/>
              <w:end w:w="90" w:type="dxa"/>
            </w:tcMar>
          </w:tcPr>
          <w:p>
            <w:pPr>
              <w:jc w:val="left"/>
            </w:pPr>
            <w:r/>
            <w:r>
              <w:rPr>
                <w:rFonts w:ascii="Times New Roman" w:hAnsi="Times New Roman"/>
                <w:b w:val="0"/>
                <w:sz w:val="17"/>
              </w:rPr>
              <w:t>External media host required</w:t>
            </w:r>
          </w:p>
        </w:tc>
      </w:tr>
    </w:tbl>
    <w:p>
      <w:pPr>
        <w:spacing w:after="40"/>
      </w:pPr>
    </w:p>
    <w:p>
      <w:pPr>
        <w:spacing w:before="60" w:after="180"/>
        <w:jc w:val="center"/>
      </w:pPr>
      <w:r>
        <w:rPr>
          <w:rFonts w:ascii="Times New Roman" w:hAnsi="Times New Roman"/>
          <w:b/>
          <w:i/>
          <w:color w:val="000000"/>
          <w:sz w:val="21"/>
        </w:rPr>
        <w:t>Table 2.2: Core concepts mapped to Nexora</w:t>
      </w:r>
    </w:p>
    <w:p>
      <w:r>
        <w:br w:type="page"/>
      </w:r>
    </w:p>
    <w:p>
      <w:pPr>
        <w:spacing w:before="2400" w:after="360"/>
        <w:jc w:val="center"/>
      </w:pPr>
      <w:r>
        <w:rPr>
          <w:rFonts w:ascii="Times New Roman" w:hAnsi="Times New Roman"/>
          <w:b/>
          <w:i w:val="0"/>
          <w:color w:val="000000"/>
          <w:sz w:val="36"/>
        </w:rPr>
        <w:t>CHAPTER 3</w:t>
      </w:r>
    </w:p>
    <w:p>
      <w:pPr>
        <w:spacing w:after="1200"/>
        <w:jc w:val="center"/>
      </w:pPr>
      <w:r>
        <w:rPr>
          <w:rFonts w:ascii="Times New Roman" w:hAnsi="Times New Roman"/>
          <w:b/>
          <w:i w:val="0"/>
          <w:color w:val="000000"/>
          <w:sz w:val="36"/>
        </w:rPr>
        <w:t>SYSTEM ARCHITECTURE AND METHODOLOGY</w:t>
      </w:r>
    </w:p>
    <w:p>
      <w:pPr>
        <w:pStyle w:val="Heading1"/>
        <w:keepNext/>
        <w:spacing w:before="280" w:after="140"/>
        <w:jc w:val="both"/>
      </w:pPr>
      <w:r>
        <w:rPr>
          <w:rFonts w:ascii="Times New Roman" w:hAnsi="Times New Roman"/>
          <w:b/>
          <w:i w:val="0"/>
          <w:color w:val="000000"/>
          <w:sz w:val="30"/>
        </w:rPr>
        <w:t>CHAPTER 3 SYSTEM ARCHITECTURE AND METHODOLOGY</w:t>
      </w:r>
    </w:p>
    <w:p>
      <w:pPr>
        <w:pStyle w:val="Heading2"/>
        <w:keepNext/>
        <w:spacing w:before="180" w:after="140"/>
        <w:jc w:val="both"/>
      </w:pPr>
      <w:r>
        <w:rPr>
          <w:rFonts w:ascii="Times New Roman" w:hAnsi="Times New Roman"/>
          <w:b/>
          <w:i w:val="0"/>
          <w:color w:val="000000"/>
          <w:sz w:val="26"/>
        </w:rPr>
        <w:t>3.1 Proposed System Architecture</w:t>
      </w:r>
    </w:p>
    <w:p>
      <w:pPr>
        <w:keepNext w:val="0"/>
        <w:spacing w:before="0" w:after="120" w:line="360" w:lineRule="auto"/>
        <w:jc w:val="both"/>
      </w:pPr>
      <w:r>
        <w:rPr>
          <w:rFonts w:ascii="Times New Roman" w:hAnsi="Times New Roman"/>
          <w:b w:val="0"/>
          <w:i w:val="0"/>
          <w:color w:val="000000"/>
          <w:sz w:val="24"/>
        </w:rPr>
        <w:t>Figure 3.1 depicts the source-backed system context. The browser dashboard communicates with the control plane over authenticated REST and a WebSocket endpoint. The control plane uses SQLAlchemy against default SQLite or configured PostgreSQL. Provider agents communicate only with the control plane through authenticated HTTP polling, while optional MediaMTX handles media ingest/read and calls the backend for per-session authorization. A destination such as a video platform is outside Nexora and is never treated as an integrated or tested Nexora component.</w:t>
      </w:r>
    </w:p>
    <w:p>
      <w:pPr>
        <w:jc w:val="center"/>
      </w:pPr>
      <w:r>
        <w:drawing>
          <wp:inline xmlns:a="http://schemas.openxmlformats.org/drawingml/2006/main" xmlns:pic="http://schemas.openxmlformats.org/drawingml/2006/picture">
            <wp:extent cx="5715000" cy="3214688"/>
            <wp:docPr id="1" name="Picture 1" descr="Image: image1.png"/>
            <wp:cNvGraphicFramePr>
              <a:graphicFrameLocks noChangeAspect="1"/>
            </wp:cNvGraphicFramePr>
            <a:graphic>
              <a:graphicData uri="http://schemas.openxmlformats.org/drawingml/2006/picture">
                <pic:pic>
                  <pic:nvPicPr>
                    <pic:cNvPr id="0" name="fig31_architecture.png"/>
                    <pic:cNvPicPr/>
                  </pic:nvPicPr>
                  <pic:blipFill>
                    <a:blip r:embed="rId10"/>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color w:val="000000"/>
          <w:sz w:val="21"/>
        </w:rPr>
        <w:t>Figure 3.1: Overall Nexora system architecture</w:t>
      </w:r>
    </w:p>
    <w:p>
      <w:pPr>
        <w:pStyle w:val="Heading2"/>
        <w:keepNext/>
        <w:spacing w:before="180" w:after="140"/>
        <w:jc w:val="both"/>
      </w:pPr>
      <w:r>
        <w:rPr>
          <w:rFonts w:ascii="Times New Roman" w:hAnsi="Times New Roman"/>
          <w:b/>
          <w:i w:val="0"/>
          <w:color w:val="000000"/>
          <w:sz w:val="26"/>
        </w:rPr>
        <w:t>3.2 Module Interoperability and Data Flow</w:t>
      </w:r>
    </w:p>
    <w:p>
      <w:pPr>
        <w:keepNext w:val="0"/>
        <w:spacing w:before="0" w:after="120" w:line="360" w:lineRule="auto"/>
        <w:jc w:val="both"/>
      </w:pPr>
      <w:r>
        <w:rPr>
          <w:rFonts w:ascii="Times New Roman" w:hAnsi="Times New Roman"/>
          <w:b w:val="0"/>
          <w:i w:val="0"/>
          <w:color w:val="000000"/>
          <w:sz w:val="24"/>
        </w:rPr>
        <w:t>Figure 3.2 shows the normal workload path. After login, the frontend submits a job definition. The backend merges the workload into its requirements, verifies any video input artifact, selects a compatible online provider, estimates and reserves tokens, stores a job in SCHEDULED state and publishes events. The provider's listener receives the scheduled job through its polling request, reports RUNNING, emits checkpoint state through the provider endpoints, and finally reports a completed or failed result. Terminal transitions release the provider and settle reserved tokens when the update path is used.</w:t>
      </w:r>
    </w:p>
    <w:p>
      <w:pPr>
        <w:jc w:val="center"/>
      </w:pPr>
      <w:r>
        <w:drawing>
          <wp:inline xmlns:a="http://schemas.openxmlformats.org/drawingml/2006/main" xmlns:pic="http://schemas.openxmlformats.org/drawingml/2006/picture">
            <wp:extent cx="5715000" cy="3214688"/>
            <wp:docPr id="2" name="Picture 2" descr="Image: image2.png"/>
            <wp:cNvGraphicFramePr>
              <a:graphicFrameLocks noChangeAspect="1"/>
            </wp:cNvGraphicFramePr>
            <a:graphic>
              <a:graphicData uri="http://schemas.openxmlformats.org/drawingml/2006/picture">
                <pic:pic>
                  <pic:nvPicPr>
                    <pic:cNvPr id="0" name="fig32_dataflow.png"/>
                    <pic:cNvPicPr/>
                  </pic:nvPicPr>
                  <pic:blipFill>
                    <a:blip r:embed="rId11"/>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color w:val="000000"/>
          <w:sz w:val="21"/>
        </w:rPr>
        <w:t>Figure 3.2: Module interoperability and workload data flow</w:t>
      </w:r>
    </w:p>
    <w:p>
      <w:pPr>
        <w:pStyle w:val="Heading2"/>
        <w:keepNext/>
        <w:spacing w:before="180" w:after="140"/>
        <w:jc w:val="both"/>
      </w:pPr>
      <w:r>
        <w:rPr>
          <w:rFonts w:ascii="Times New Roman" w:hAnsi="Times New Roman"/>
          <w:b/>
          <w:i w:val="0"/>
          <w:color w:val="000000"/>
          <w:sz w:val="26"/>
        </w:rPr>
        <w:t>3.3 Implementation Environment</w:t>
      </w:r>
    </w:p>
    <w:p>
      <w:pPr>
        <w:pStyle w:val="Heading3"/>
        <w:keepNext/>
        <w:spacing w:before="180" w:after="140"/>
        <w:jc w:val="both"/>
      </w:pPr>
      <w:r>
        <w:rPr>
          <w:rFonts w:ascii="Times New Roman" w:hAnsi="Times New Roman"/>
          <w:b/>
          <w:i w:val="0"/>
          <w:color w:val="000000"/>
          <w:sz w:val="24"/>
        </w:rPr>
        <w:t>3.3.1 Required system tools</w:t>
      </w:r>
    </w:p>
    <w:p>
      <w:pPr>
        <w:pStyle w:val="ListBullet"/>
        <w:spacing w:line="312" w:lineRule="auto" w:after="40"/>
      </w:pPr>
      <w:r>
        <w:rPr>
          <w:rFonts w:ascii="Times New Roman" w:hAnsi="Times New Roman"/>
          <w:color w:val="000000"/>
          <w:sz w:val="22"/>
        </w:rPr>
        <w:t>Python 3 environment for the FastAPI control plane and provider agent.</w:t>
      </w:r>
    </w:p>
    <w:p>
      <w:pPr>
        <w:pStyle w:val="ListBullet"/>
        <w:spacing w:line="312" w:lineRule="auto" w:after="40"/>
      </w:pPr>
      <w:r>
        <w:rPr>
          <w:rFonts w:ascii="Times New Roman" w:hAnsi="Times New Roman"/>
          <w:color w:val="000000"/>
          <w:sz w:val="22"/>
        </w:rPr>
        <w:t>A browser capable of ES modules, fetch and WebSocket for the static frontend.</w:t>
      </w:r>
    </w:p>
    <w:p>
      <w:pPr>
        <w:pStyle w:val="ListBullet"/>
        <w:spacing w:line="312" w:lineRule="auto" w:after="40"/>
      </w:pPr>
      <w:r>
        <w:rPr>
          <w:rFonts w:ascii="Times New Roman" w:hAnsi="Times New Roman"/>
          <w:color w:val="000000"/>
          <w:sz w:val="22"/>
        </w:rPr>
        <w:t>FFmpeg for artifact probing, video compression and optional live encoding; imageio-ffmpeg is a fallback locator in selected code paths.</w:t>
      </w:r>
    </w:p>
    <w:p>
      <w:pPr>
        <w:pStyle w:val="ListBullet"/>
        <w:spacing w:line="312" w:lineRule="auto" w:after="40"/>
      </w:pPr>
      <w:r>
        <w:rPr>
          <w:rFonts w:ascii="Times New Roman" w:hAnsi="Times New Roman"/>
          <w:color w:val="000000"/>
          <w:sz w:val="22"/>
        </w:rPr>
        <w:t>Docker and Docker Compose only for the unverified local backend/PostgreSQL/MediaMTX topology.</w:t>
      </w:r>
    </w:p>
    <w:p>
      <w:pPr>
        <w:pStyle w:val="Heading3"/>
        <w:keepNext/>
        <w:spacing w:before="180" w:after="140"/>
        <w:jc w:val="both"/>
      </w:pPr>
      <w:r>
        <w:rPr>
          <w:rFonts w:ascii="Times New Roman" w:hAnsi="Times New Roman"/>
          <w:b/>
          <w:i w:val="0"/>
          <w:color w:val="000000"/>
          <w:sz w:val="24"/>
        </w:rPr>
        <w:t>3.3.2 Environment variables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96"/>
            <w:vAlign w:val="center"/>
            <w:shd w:fill="163A5F"/>
            <w:tcMar>
              <w:top w:w="90" w:type="dxa"/>
              <w:start w:w="90" w:type="dxa"/>
              <w:bottom w:w="90" w:type="dxa"/>
              <w:end w:w="90" w:type="dxa"/>
            </w:tcMar>
          </w:tcPr>
          <w:p>
            <w:pPr>
              <w:jc w:val="left"/>
            </w:pPr>
            <w:r/>
            <w:r>
              <w:rPr>
                <w:rFonts w:ascii="Times New Roman" w:hAnsi="Times New Roman"/>
                <w:b/>
                <w:color w:val="FFFFFF"/>
                <w:sz w:val="16"/>
              </w:rPr>
              <w:t>Variable</w:t>
            </w:r>
          </w:p>
        </w:tc>
        <w:tc>
          <w:tcPr>
            <w:tcW w:type="dxa" w:w="1728"/>
            <w:vAlign w:val="center"/>
            <w:shd w:fill="163A5F"/>
            <w:tcMar>
              <w:top w:w="90" w:type="dxa"/>
              <w:start w:w="90" w:type="dxa"/>
              <w:bottom w:w="90" w:type="dxa"/>
              <w:end w:w="90" w:type="dxa"/>
            </w:tcMar>
          </w:tcPr>
          <w:p>
            <w:pPr>
              <w:jc w:val="left"/>
            </w:pPr>
            <w:r/>
            <w:r>
              <w:rPr>
                <w:rFonts w:ascii="Times New Roman" w:hAnsi="Times New Roman"/>
                <w:b/>
                <w:color w:val="FFFFFF"/>
                <w:sz w:val="16"/>
              </w:rPr>
              <w:t>Component</w:t>
            </w:r>
          </w:p>
        </w:tc>
        <w:tc>
          <w:tcPr>
            <w:tcW w:type="dxa" w:w="4392"/>
            <w:vAlign w:val="center"/>
            <w:shd w:fill="163A5F"/>
            <w:tcMar>
              <w:top w:w="90" w:type="dxa"/>
              <w:start w:w="90" w:type="dxa"/>
              <w:bottom w:w="90" w:type="dxa"/>
              <w:end w:w="90" w:type="dxa"/>
            </w:tcMar>
          </w:tcPr>
          <w:p>
            <w:pPr>
              <w:jc w:val="left"/>
            </w:pPr>
            <w:r/>
            <w:r>
              <w:rPr>
                <w:rFonts w:ascii="Times New Roman" w:hAnsi="Times New Roman"/>
                <w:b/>
                <w:color w:val="FFFFFF"/>
                <w:sz w:val="16"/>
              </w:rPr>
              <w:t>Purpose</w:t>
            </w:r>
          </w:p>
        </w:tc>
      </w:tr>
      <w:tr>
        <w:tc>
          <w:tcPr>
            <w:tcW w:type="dxa" w:w="3096"/>
            <w:vAlign w:val="center"/>
            <w:tcMar>
              <w:top w:w="90" w:type="dxa"/>
              <w:start w:w="90" w:type="dxa"/>
              <w:bottom w:w="90" w:type="dxa"/>
              <w:end w:w="90" w:type="dxa"/>
            </w:tcMar>
          </w:tcPr>
          <w:p>
            <w:pPr>
              <w:jc w:val="left"/>
            </w:pPr>
            <w:r/>
            <w:r>
              <w:rPr>
                <w:rFonts w:ascii="Times New Roman" w:hAnsi="Times New Roman"/>
                <w:b w:val="0"/>
                <w:sz w:val="16"/>
              </w:rPr>
              <w:t>DATABASE_URL</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w:t>
            </w:r>
          </w:p>
        </w:tc>
        <w:tc>
          <w:tcPr>
            <w:tcW w:type="dxa" w:w="4392"/>
            <w:vAlign w:val="center"/>
            <w:tcMar>
              <w:top w:w="90" w:type="dxa"/>
              <w:start w:w="90" w:type="dxa"/>
              <w:bottom w:w="90" w:type="dxa"/>
              <w:end w:w="90" w:type="dxa"/>
            </w:tcMar>
          </w:tcPr>
          <w:p>
            <w:pPr>
              <w:jc w:val="left"/>
            </w:pPr>
            <w:r/>
            <w:r>
              <w:rPr>
                <w:rFonts w:ascii="Times New Roman" w:hAnsi="Times New Roman"/>
                <w:b w:val="0"/>
                <w:sz w:val="16"/>
              </w:rPr>
              <w:t>SQLite default or PostgreSQL connection selection</w:t>
            </w:r>
          </w:p>
        </w:tc>
      </w:tr>
      <w:tr>
        <w:tc>
          <w:tcPr>
            <w:tcW w:type="dxa" w:w="3096"/>
            <w:vAlign w:val="center"/>
            <w:tcMar>
              <w:top w:w="90" w:type="dxa"/>
              <w:start w:w="90" w:type="dxa"/>
              <w:bottom w:w="90" w:type="dxa"/>
              <w:end w:w="90" w:type="dxa"/>
            </w:tcMar>
            <w:shd w:fill="F7FAFC"/>
          </w:tcPr>
          <w:p>
            <w:pPr>
              <w:jc w:val="left"/>
            </w:pPr>
            <w:r/>
            <w:r>
              <w:rPr>
                <w:rFonts w:ascii="Times New Roman" w:hAnsi="Times New Roman"/>
                <w:b w:val="0"/>
                <w:sz w:val="16"/>
              </w:rPr>
              <w:t>JWT_SECRET</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Backend</w:t>
            </w:r>
          </w:p>
        </w:tc>
        <w:tc>
          <w:tcPr>
            <w:tcW w:type="dxa" w:w="4392"/>
            <w:vAlign w:val="center"/>
            <w:tcMar>
              <w:top w:w="90" w:type="dxa"/>
              <w:start w:w="90" w:type="dxa"/>
              <w:bottom w:w="90" w:type="dxa"/>
              <w:end w:w="90" w:type="dxa"/>
            </w:tcMar>
            <w:shd w:fill="F7FAFC"/>
          </w:tcPr>
          <w:p>
            <w:pPr>
              <w:jc w:val="left"/>
            </w:pPr>
            <w:r/>
            <w:r>
              <w:rPr>
                <w:rFonts w:ascii="Times New Roman" w:hAnsi="Times New Roman"/>
                <w:b w:val="0"/>
                <w:sz w:val="16"/>
              </w:rPr>
              <w:t>JWT signature and derived stream-key encryption material</w:t>
            </w:r>
          </w:p>
        </w:tc>
      </w:tr>
      <w:tr>
        <w:tc>
          <w:tcPr>
            <w:tcW w:type="dxa" w:w="3096"/>
            <w:vAlign w:val="center"/>
            <w:tcMar>
              <w:top w:w="90" w:type="dxa"/>
              <w:start w:w="90" w:type="dxa"/>
              <w:bottom w:w="90" w:type="dxa"/>
              <w:end w:w="90" w:type="dxa"/>
            </w:tcMar>
          </w:tcPr>
          <w:p>
            <w:pPr>
              <w:jc w:val="left"/>
            </w:pPr>
            <w:r/>
            <w:r>
              <w:rPr>
                <w:rFonts w:ascii="Times New Roman" w:hAnsi="Times New Roman"/>
                <w:b w:val="0"/>
                <w:sz w:val="16"/>
              </w:rPr>
              <w:t>PROVIDER_SHARED_TOKEN</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 and provider</w:t>
            </w:r>
          </w:p>
        </w:tc>
        <w:tc>
          <w:tcPr>
            <w:tcW w:type="dxa" w:w="4392"/>
            <w:vAlign w:val="center"/>
            <w:tcMar>
              <w:top w:w="90" w:type="dxa"/>
              <w:start w:w="90" w:type="dxa"/>
              <w:bottom w:w="90" w:type="dxa"/>
              <w:end w:w="90" w:type="dxa"/>
            </w:tcMar>
          </w:tcPr>
          <w:p>
            <w:pPr>
              <w:jc w:val="left"/>
            </w:pPr>
            <w:r/>
            <w:r>
              <w:rPr>
                <w:rFonts w:ascii="Times New Roman" w:hAnsi="Times New Roman"/>
                <w:b w:val="0"/>
                <w:sz w:val="16"/>
              </w:rPr>
              <w:t>Current shared HTTP provider credential</w:t>
            </w:r>
          </w:p>
        </w:tc>
      </w:tr>
      <w:tr>
        <w:tc>
          <w:tcPr>
            <w:tcW w:type="dxa" w:w="3096"/>
            <w:vAlign w:val="center"/>
            <w:tcMar>
              <w:top w:w="90" w:type="dxa"/>
              <w:start w:w="90" w:type="dxa"/>
              <w:bottom w:w="90" w:type="dxa"/>
              <w:end w:w="90" w:type="dxa"/>
            </w:tcMar>
            <w:shd w:fill="F7FAFC"/>
          </w:tcPr>
          <w:p>
            <w:pPr>
              <w:jc w:val="left"/>
            </w:pPr>
            <w:r/>
            <w:r>
              <w:rPr>
                <w:rFonts w:ascii="Times New Roman" w:hAnsi="Times New Roman"/>
                <w:b w:val="0"/>
                <w:sz w:val="16"/>
              </w:rPr>
              <w:t>CORS_ORIGINS / CORS_ORIGIN_REGEX</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Backend</w:t>
            </w:r>
          </w:p>
        </w:tc>
        <w:tc>
          <w:tcPr>
            <w:tcW w:type="dxa" w:w="4392"/>
            <w:vAlign w:val="center"/>
            <w:tcMar>
              <w:top w:w="90" w:type="dxa"/>
              <w:start w:w="90" w:type="dxa"/>
              <w:bottom w:w="90" w:type="dxa"/>
              <w:end w:w="90" w:type="dxa"/>
            </w:tcMar>
            <w:shd w:fill="F7FAFC"/>
          </w:tcPr>
          <w:p>
            <w:pPr>
              <w:jc w:val="left"/>
            </w:pPr>
            <w:r/>
            <w:r>
              <w:rPr>
                <w:rFonts w:ascii="Times New Roman" w:hAnsi="Times New Roman"/>
                <w:b w:val="0"/>
                <w:sz w:val="16"/>
              </w:rPr>
              <w:t>Browser origin policy</w:t>
            </w:r>
          </w:p>
        </w:tc>
      </w:tr>
      <w:tr>
        <w:tc>
          <w:tcPr>
            <w:tcW w:type="dxa" w:w="3096"/>
            <w:vAlign w:val="center"/>
            <w:tcMar>
              <w:top w:w="90" w:type="dxa"/>
              <w:start w:w="90" w:type="dxa"/>
              <w:bottom w:w="90" w:type="dxa"/>
              <w:end w:w="90" w:type="dxa"/>
            </w:tcMar>
          </w:tcPr>
          <w:p>
            <w:pPr>
              <w:jc w:val="left"/>
            </w:pPr>
            <w:r/>
            <w:r>
              <w:rPr>
                <w:rFonts w:ascii="Times New Roman" w:hAnsi="Times New Roman"/>
                <w:b w:val="0"/>
                <w:sz w:val="16"/>
              </w:rPr>
              <w:t>MEDIAMTX_INGEST_URL / MEDIAMTX_PROVIDER_READ_URL</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w:t>
            </w:r>
          </w:p>
        </w:tc>
        <w:tc>
          <w:tcPr>
            <w:tcW w:type="dxa" w:w="4392"/>
            <w:vAlign w:val="center"/>
            <w:tcMar>
              <w:top w:w="90" w:type="dxa"/>
              <w:start w:w="90" w:type="dxa"/>
              <w:bottom w:w="90" w:type="dxa"/>
              <w:end w:w="90" w:type="dxa"/>
            </w:tcMar>
          </w:tcPr>
          <w:p>
            <w:pPr>
              <w:jc w:val="left"/>
            </w:pPr>
            <w:r/>
            <w:r>
              <w:rPr>
                <w:rFonts w:ascii="Times New Roman" w:hAnsi="Times New Roman"/>
                <w:b w:val="0"/>
                <w:sz w:val="16"/>
              </w:rPr>
              <w:t>Media addresses returned to clients/providers</w:t>
            </w:r>
          </w:p>
        </w:tc>
      </w:tr>
      <w:tr>
        <w:tc>
          <w:tcPr>
            <w:tcW w:type="dxa" w:w="3096"/>
            <w:vAlign w:val="center"/>
            <w:tcMar>
              <w:top w:w="90" w:type="dxa"/>
              <w:start w:w="90" w:type="dxa"/>
              <w:bottom w:w="90" w:type="dxa"/>
              <w:end w:w="90" w:type="dxa"/>
            </w:tcMar>
            <w:shd w:fill="F7FAFC"/>
          </w:tcPr>
          <w:p>
            <w:pPr>
              <w:jc w:val="left"/>
            </w:pPr>
            <w:r/>
            <w:r>
              <w:rPr>
                <w:rFonts w:ascii="Times New Roman" w:hAnsi="Times New Roman"/>
                <w:b w:val="0"/>
                <w:sz w:val="16"/>
              </w:rPr>
              <w:t>UCMP_BACKEND_URL</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Provider</w:t>
            </w:r>
          </w:p>
        </w:tc>
        <w:tc>
          <w:tcPr>
            <w:tcW w:type="dxa" w:w="4392"/>
            <w:vAlign w:val="center"/>
            <w:tcMar>
              <w:top w:w="90" w:type="dxa"/>
              <w:start w:w="90" w:type="dxa"/>
              <w:bottom w:w="90" w:type="dxa"/>
              <w:end w:w="90" w:type="dxa"/>
            </w:tcMar>
            <w:shd w:fill="F7FAFC"/>
          </w:tcPr>
          <w:p>
            <w:pPr>
              <w:jc w:val="left"/>
            </w:pPr>
            <w:r/>
            <w:r>
              <w:rPr>
                <w:rFonts w:ascii="Times New Roman" w:hAnsi="Times New Roman"/>
                <w:b w:val="0"/>
                <w:sz w:val="16"/>
              </w:rPr>
              <w:t>Explicit control-plane base URL</w:t>
            </w:r>
          </w:p>
        </w:tc>
      </w:tr>
      <w:tr>
        <w:tc>
          <w:tcPr>
            <w:tcW w:type="dxa" w:w="3096"/>
            <w:vAlign w:val="center"/>
            <w:tcMar>
              <w:top w:w="90" w:type="dxa"/>
              <w:start w:w="90" w:type="dxa"/>
              <w:bottom w:w="90" w:type="dxa"/>
              <w:end w:w="90" w:type="dxa"/>
            </w:tcMar>
          </w:tcPr>
          <w:p>
            <w:pPr>
              <w:jc w:val="left"/>
            </w:pPr>
            <w:r/>
            <w:r>
              <w:rPr>
                <w:rFonts w:ascii="Times New Roman" w:hAnsi="Times New Roman"/>
                <w:b w:val="0"/>
                <w:sz w:val="16"/>
              </w:rPr>
              <w:t>NEXORA_FFMPEG_PATH / FFMPEG_PATH</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Provider</w:t>
            </w:r>
          </w:p>
        </w:tc>
        <w:tc>
          <w:tcPr>
            <w:tcW w:type="dxa" w:w="4392"/>
            <w:vAlign w:val="center"/>
            <w:tcMar>
              <w:top w:w="90" w:type="dxa"/>
              <w:start w:w="90" w:type="dxa"/>
              <w:bottom w:w="90" w:type="dxa"/>
              <w:end w:w="90" w:type="dxa"/>
            </w:tcMar>
          </w:tcPr>
          <w:p>
            <w:pPr>
              <w:jc w:val="left"/>
            </w:pPr>
            <w:r/>
            <w:r>
              <w:rPr>
                <w:rFonts w:ascii="Times New Roman" w:hAnsi="Times New Roman"/>
                <w:b w:val="0"/>
                <w:sz w:val="16"/>
              </w:rPr>
              <w:t>FFmpeg discovery override</w:t>
            </w:r>
          </w:p>
        </w:tc>
      </w:tr>
    </w:tbl>
    <w:p>
      <w:pPr>
        <w:spacing w:after="40"/>
      </w:pPr>
    </w:p>
    <w:p>
      <w:pPr>
        <w:spacing w:before="60" w:after="180"/>
        <w:jc w:val="center"/>
      </w:pPr>
      <w:r>
        <w:rPr>
          <w:rFonts w:ascii="Times New Roman" w:hAnsi="Times New Roman"/>
          <w:b/>
          <w:i/>
          <w:color w:val="000000"/>
          <w:sz w:val="21"/>
        </w:rPr>
        <w:t>Table 3.1: Selected environment configuration variables</w:t>
      </w:r>
    </w:p>
    <w:p>
      <w:pPr>
        <w:pStyle w:val="Heading3"/>
        <w:keepNext/>
        <w:spacing w:before="180" w:after="140"/>
        <w:jc w:val="both"/>
      </w:pPr>
      <w:r>
        <w:rPr>
          <w:rFonts w:ascii="Times New Roman" w:hAnsi="Times New Roman"/>
          <w:b/>
          <w:i w:val="0"/>
          <w:color w:val="000000"/>
          <w:sz w:val="24"/>
        </w:rPr>
        <w:t>3.3.3 Key software packages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24"/>
            <w:vAlign w:val="center"/>
            <w:shd w:fill="163A5F"/>
            <w:tcMar>
              <w:top w:w="90" w:type="dxa"/>
              <w:start w:w="90" w:type="dxa"/>
              <w:bottom w:w="90" w:type="dxa"/>
              <w:end w:w="90" w:type="dxa"/>
            </w:tcMar>
          </w:tcPr>
          <w:p>
            <w:pPr>
              <w:jc w:val="left"/>
            </w:pPr>
            <w:r/>
            <w:r>
              <w:rPr>
                <w:rFonts w:ascii="Times New Roman" w:hAnsi="Times New Roman"/>
                <w:b/>
                <w:color w:val="FFFFFF"/>
                <w:sz w:val="16"/>
              </w:rPr>
              <w:t>Technology</w:t>
            </w:r>
          </w:p>
        </w:tc>
        <w:tc>
          <w:tcPr>
            <w:tcW w:type="dxa" w:w="4464"/>
            <w:vAlign w:val="center"/>
            <w:shd w:fill="163A5F"/>
            <w:tcMar>
              <w:top w:w="90" w:type="dxa"/>
              <w:start w:w="90" w:type="dxa"/>
              <w:bottom w:w="90" w:type="dxa"/>
              <w:end w:w="90" w:type="dxa"/>
            </w:tcMar>
          </w:tcPr>
          <w:p>
            <w:pPr>
              <w:jc w:val="left"/>
            </w:pPr>
            <w:r/>
            <w:r>
              <w:rPr>
                <w:rFonts w:ascii="Times New Roman" w:hAnsi="Times New Roman"/>
                <w:b/>
                <w:color w:val="FFFFFF"/>
                <w:sz w:val="16"/>
              </w:rPr>
              <w:t>Verified source role</w:t>
            </w:r>
          </w:p>
        </w:tc>
        <w:tc>
          <w:tcPr>
            <w:tcW w:type="dxa" w:w="1728"/>
            <w:vAlign w:val="center"/>
            <w:shd w:fill="163A5F"/>
            <w:tcMar>
              <w:top w:w="90" w:type="dxa"/>
              <w:start w:w="90" w:type="dxa"/>
              <w:bottom w:w="90" w:type="dxa"/>
              <w:end w:w="90" w:type="dxa"/>
            </w:tcMar>
          </w:tcPr>
          <w:p>
            <w:pPr>
              <w:jc w:val="left"/>
            </w:pPr>
            <w:r/>
            <w:r>
              <w:rPr>
                <w:rFonts w:ascii="Times New Roman" w:hAnsi="Times New Roman"/>
                <w:b/>
                <w:color w:val="FFFFFF"/>
                <w:sz w:val="16"/>
              </w:rPr>
              <w:t>Use category</w:t>
            </w:r>
          </w:p>
        </w:tc>
      </w:tr>
      <w:tr>
        <w:tc>
          <w:tcPr>
            <w:tcW w:type="dxa" w:w="3024"/>
            <w:vAlign w:val="center"/>
            <w:tcMar>
              <w:top w:w="90" w:type="dxa"/>
              <w:start w:w="90" w:type="dxa"/>
              <w:bottom w:w="90" w:type="dxa"/>
              <w:end w:w="90" w:type="dxa"/>
            </w:tcMar>
          </w:tcPr>
          <w:p>
            <w:pPr>
              <w:jc w:val="left"/>
            </w:pPr>
            <w:r/>
            <w:r>
              <w:rPr>
                <w:rFonts w:ascii="Times New Roman" w:hAnsi="Times New Roman"/>
                <w:b w:val="0"/>
                <w:sz w:val="16"/>
              </w:rPr>
              <w:t>FastAPI 0.115.6 and Uvicorn 0.34.0</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HTTP API, WebSocket endpoint, app lifecycle</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w:t>
            </w:r>
          </w:p>
        </w:tc>
      </w:tr>
      <w:tr>
        <w:tc>
          <w:tcPr>
            <w:tcW w:type="dxa" w:w="3024"/>
            <w:vAlign w:val="center"/>
            <w:tcMar>
              <w:top w:w="90" w:type="dxa"/>
              <w:start w:w="90" w:type="dxa"/>
              <w:bottom w:w="90" w:type="dxa"/>
              <w:end w:w="90" w:type="dxa"/>
            </w:tcMar>
            <w:shd w:fill="F7FAFC"/>
          </w:tcPr>
          <w:p>
            <w:pPr>
              <w:jc w:val="left"/>
            </w:pPr>
            <w:r/>
            <w:r>
              <w:rPr>
                <w:rFonts w:ascii="Times New Roman" w:hAnsi="Times New Roman"/>
                <w:b w:val="0"/>
                <w:sz w:val="16"/>
              </w:rPr>
              <w:t>SQLAlchemy 2.0.36 and psycopg 3.2.3</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ORM and PostgreSQL connectivity</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Persistence</w:t>
            </w:r>
          </w:p>
        </w:tc>
      </w:tr>
      <w:tr>
        <w:tc>
          <w:tcPr>
            <w:tcW w:type="dxa" w:w="3024"/>
            <w:vAlign w:val="center"/>
            <w:tcMar>
              <w:top w:w="90" w:type="dxa"/>
              <w:start w:w="90" w:type="dxa"/>
              <w:bottom w:w="90" w:type="dxa"/>
              <w:end w:w="90" w:type="dxa"/>
            </w:tcMar>
          </w:tcPr>
          <w:p>
            <w:pPr>
              <w:jc w:val="left"/>
            </w:pPr>
            <w:r/>
            <w:r>
              <w:rPr>
                <w:rFonts w:ascii="Times New Roman" w:hAnsi="Times New Roman"/>
                <w:b w:val="0"/>
                <w:sz w:val="16"/>
              </w:rPr>
              <w:t>Pydantic 2.10.3</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Request schema validation</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w:t>
            </w:r>
          </w:p>
        </w:tc>
      </w:tr>
      <w:tr>
        <w:tc>
          <w:tcPr>
            <w:tcW w:type="dxa" w:w="3024"/>
            <w:vAlign w:val="center"/>
            <w:tcMar>
              <w:top w:w="90" w:type="dxa"/>
              <w:start w:w="90" w:type="dxa"/>
              <w:bottom w:w="90" w:type="dxa"/>
              <w:end w:w="90" w:type="dxa"/>
            </w:tcMar>
            <w:shd w:fill="F7FAFC"/>
          </w:tcPr>
          <w:p>
            <w:pPr>
              <w:jc w:val="left"/>
            </w:pPr>
            <w:r/>
            <w:r>
              <w:rPr>
                <w:rFonts w:ascii="Times New Roman" w:hAnsi="Times New Roman"/>
                <w:b w:val="0"/>
                <w:sz w:val="16"/>
              </w:rPr>
              <w:t>PyJWT 2.10.1 and cryptography</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JWT sessions and Fernet encryption</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Security</w:t>
            </w:r>
          </w:p>
        </w:tc>
      </w:tr>
      <w:tr>
        <w:tc>
          <w:tcPr>
            <w:tcW w:type="dxa" w:w="3024"/>
            <w:vAlign w:val="center"/>
            <w:tcMar>
              <w:top w:w="90" w:type="dxa"/>
              <w:start w:w="90" w:type="dxa"/>
              <w:bottom w:w="90" w:type="dxa"/>
              <w:end w:w="90" w:type="dxa"/>
            </w:tcMar>
          </w:tcPr>
          <w:p>
            <w:pPr>
              <w:jc w:val="left"/>
            </w:pPr>
            <w:r/>
            <w:r>
              <w:rPr>
                <w:rFonts w:ascii="Times New Roman" w:hAnsi="Times New Roman"/>
                <w:b w:val="0"/>
                <w:sz w:val="16"/>
              </w:rPr>
              <w:t>requests 2.32.3 and psutil 6.1.1</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Provider communication and utilization</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Provider</w:t>
            </w:r>
          </w:p>
        </w:tc>
      </w:tr>
      <w:tr>
        <w:tc>
          <w:tcPr>
            <w:tcW w:type="dxa" w:w="3024"/>
            <w:vAlign w:val="center"/>
            <w:tcMar>
              <w:top w:w="90" w:type="dxa"/>
              <w:start w:w="90" w:type="dxa"/>
              <w:bottom w:w="90" w:type="dxa"/>
              <w:end w:w="90" w:type="dxa"/>
            </w:tcMar>
            <w:shd w:fill="F7FAFC"/>
          </w:tcPr>
          <w:p>
            <w:pPr>
              <w:jc w:val="left"/>
            </w:pPr>
            <w:r/>
            <w:r>
              <w:rPr>
                <w:rFonts w:ascii="Times New Roman" w:hAnsi="Times New Roman"/>
                <w:b w:val="0"/>
                <w:sz w:val="16"/>
              </w:rPr>
              <w:t>MediaMTX 1.21.2 and FFmpeg</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Optional ingest/read/transcode workflow</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Streaming</w:t>
            </w:r>
          </w:p>
        </w:tc>
      </w:tr>
    </w:tbl>
    <w:p>
      <w:pPr>
        <w:spacing w:after="40"/>
      </w:pPr>
    </w:p>
    <w:p>
      <w:pPr>
        <w:spacing w:before="60" w:after="180"/>
        <w:jc w:val="center"/>
      </w:pPr>
      <w:r>
        <w:rPr>
          <w:rFonts w:ascii="Times New Roman" w:hAnsi="Times New Roman"/>
          <w:b/>
          <w:i/>
          <w:color w:val="000000"/>
          <w:sz w:val="21"/>
        </w:rPr>
        <w:t>Table 3.2: Technology stack and actual roles</w:t>
      </w:r>
    </w:p>
    <w:p>
      <w:pPr>
        <w:pStyle w:val="Heading3"/>
        <w:keepNext/>
        <w:spacing w:before="180" w:after="140"/>
        <w:jc w:val="both"/>
      </w:pPr>
      <w:r>
        <w:rPr>
          <w:rFonts w:ascii="Times New Roman" w:hAnsi="Times New Roman"/>
          <w:b/>
          <w:i w:val="0"/>
          <w:color w:val="000000"/>
          <w:sz w:val="24"/>
        </w:rPr>
        <w:t>3.3.4 Runtime considerations</w:t>
      </w:r>
    </w:p>
    <w:p>
      <w:pPr>
        <w:keepNext w:val="0"/>
        <w:spacing w:before="0" w:after="120" w:line="360" w:lineRule="auto"/>
        <w:jc w:val="both"/>
      </w:pPr>
      <w:r>
        <w:rPr>
          <w:rFonts w:ascii="Times New Roman" w:hAnsi="Times New Roman"/>
          <w:b w:val="0"/>
          <w:i w:val="0"/>
          <w:color w:val="000000"/>
          <w:sz w:val="24"/>
        </w:rPr>
        <w:t>The backend defaults to a local SQLite file and creates database tables at application lifespan startup. Docker Compose instead configures PostgreSQL and MediaMTX. The provider agent uses a five-second default heartbeat and a two-second listener polling cadence. The recovery monitor evaluates provider heartbeat age every five seconds and uses a default twenty-second timeout. These timings are implementation defaults, not measured performance guarantees.</w:t>
      </w:r>
    </w:p>
    <w:p>
      <w:pPr>
        <w:pStyle w:val="Heading3"/>
        <w:keepNext/>
        <w:spacing w:before="180" w:after="140"/>
        <w:jc w:val="both"/>
      </w:pPr>
      <w:r>
        <w:rPr>
          <w:rFonts w:ascii="Times New Roman" w:hAnsi="Times New Roman"/>
          <w:b/>
          <w:i w:val="0"/>
          <w:color w:val="000000"/>
          <w:sz w:val="24"/>
        </w:rPr>
        <w:t>3.3.5 Logging and artifact locations</w:t>
      </w:r>
    </w:p>
    <w:p>
      <w:pPr>
        <w:pStyle w:val="Heading2"/>
        <w:keepNext/>
        <w:spacing w:before="0" w:after="120" w:line="240" w:lineRule="auto"/>
        <w:jc w:val="both"/>
      </w:pPr>
      <w:r>
        <w:rPr>
          <w:rFonts w:ascii="Times New Roman" w:hAnsi="Times New Roman"/>
          <w:b/>
          <w:i w:val="0"/>
          <w:color w:val="000000"/>
          <w:sz w:val="26"/>
        </w:rPr>
        <w:t>3.4 User Authentication and Provider Registration Flow</w:t>
      </w:r>
    </w:p>
    <w:p>
      <w:pPr>
        <w:keepNext w:val="0"/>
        <w:spacing w:before="0" w:after="120" w:line="336" w:lineRule="auto"/>
        <w:jc w:val="both"/>
      </w:pPr>
      <w:r>
        <w:rPr>
          <w:rFonts w:ascii="Times New Roman" w:hAnsi="Times New Roman"/>
          <w:b w:val="0"/>
          <w:i w:val="0"/>
          <w:color w:val="000000"/>
          <w:sz w:val="23"/>
        </w:rPr>
        <w:t>Figure 3.3 shows the distinct trust paths. A user register/login operation creates or validates credentials and returns a JWT tied to a durable session identifier. Subsequent user requests carry a bearer token. A provider follows another path: it collects capacity metadata and sends it with `X-Provider-Token`; the control plane creates or updates the provider record. These paths meet at the scheduling layer but retain different authorization checks.</w:t>
      </w:r>
    </w:p>
    <w:p>
      <w:pPr>
        <w:spacing w:before="80" w:after="40"/>
        <w:jc w:val="center"/>
      </w:pPr>
      <w:r>
        <w:drawing>
          <wp:inline xmlns:a="http://schemas.openxmlformats.org/drawingml/2006/main" xmlns:pic="http://schemas.openxmlformats.org/drawingml/2006/picture">
            <wp:extent cx="5715000" cy="3333750"/>
            <wp:docPr id="9" name="Picture 9" descr="Image: image8.png"/>
            <wp:cNvGraphicFramePr>
              <a:graphicFrameLocks noChangeAspect="1"/>
            </wp:cNvGraphicFramePr>
            <a:graphic>
              <a:graphicData uri="http://schemas.openxmlformats.org/drawingml/2006/picture">
                <pic:pic>
                  <pic:nvPicPr>
                    <pic:cNvPr id="0" name="auth.png"/>
                    <pic:cNvPicPr/>
                  </pic:nvPicPr>
                  <pic:blipFill>
                    <a:blip r:embed="rId17"/>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3.3: User session creation and protected-access flow</w:t>
      </w:r>
    </w:p>
    <w:p>
      <w:pPr>
        <w:pStyle w:val="Heading2"/>
        <w:keepNext/>
        <w:spacing w:before="0" w:after="120" w:line="240" w:lineRule="auto"/>
        <w:jc w:val="both"/>
      </w:pPr>
      <w:r>
        <w:rPr>
          <w:rFonts w:ascii="Times New Roman" w:hAnsi="Times New Roman"/>
          <w:b/>
          <w:i w:val="0"/>
          <w:color w:val="000000"/>
          <w:sz w:val="26"/>
        </w:rPr>
        <w:t>3.5 Provider Heartbeat and Telemetry Flow</w:t>
      </w:r>
    </w:p>
    <w:p>
      <w:pPr>
        <w:keepNext w:val="0"/>
        <w:spacing w:before="0" w:after="120" w:line="336" w:lineRule="auto"/>
        <w:jc w:val="both"/>
      </w:pPr>
      <w:r>
        <w:rPr>
          <w:rFonts w:ascii="Times New Roman" w:hAnsi="Times New Roman"/>
          <w:b w:val="0"/>
          <w:i w:val="0"/>
          <w:color w:val="000000"/>
          <w:sz w:val="23"/>
        </w:rPr>
        <w:t>The provider reads its local operating-system and hardware state before registration. After registration it sends utilization heartbeats at the configured interval. The backend overwrites current utilization and last-heartbeat fields, publishes telemetry events, and the frontend merges events into its client-side state. Figure 3.4 makes explicit that the project presents current telemetry rather than a historical metrics database.</w:t>
      </w:r>
    </w:p>
    <w:p>
      <w:pPr>
        <w:spacing w:before="80" w:after="40"/>
        <w:jc w:val="center"/>
      </w:pPr>
      <w:r>
        <w:drawing>
          <wp:inline xmlns:a="http://schemas.openxmlformats.org/drawingml/2006/main" xmlns:pic="http://schemas.openxmlformats.org/drawingml/2006/picture">
            <wp:extent cx="5715000" cy="3333750"/>
            <wp:docPr id="10" name="Picture 10" descr="Image: image9.png"/>
            <wp:cNvGraphicFramePr>
              <a:graphicFrameLocks noChangeAspect="1"/>
            </wp:cNvGraphicFramePr>
            <a:graphic>
              <a:graphicData uri="http://schemas.openxmlformats.org/drawingml/2006/picture">
                <pic:pic>
                  <pic:nvPicPr>
                    <pic:cNvPr id="0" name="heartbeat.png"/>
                    <pic:cNvPicPr/>
                  </pic:nvPicPr>
                  <pic:blipFill>
                    <a:blip r:embed="rId18"/>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3.4: Provider discovery, registration, heartbeat and telemetry publication</w:t>
      </w:r>
    </w:p>
    <w:p>
      <w:pPr>
        <w:pStyle w:val="Heading2"/>
        <w:keepNext/>
        <w:spacing w:before="0" w:after="120" w:line="240" w:lineRule="auto"/>
        <w:jc w:val="both"/>
      </w:pPr>
      <w:r>
        <w:rPr>
          <w:rFonts w:ascii="Times New Roman" w:hAnsi="Times New Roman"/>
          <w:b/>
          <w:i w:val="0"/>
          <w:color w:val="000000"/>
          <w:sz w:val="26"/>
        </w:rPr>
        <w:t>3.6 Job Submission Scheduling and Dispatch Methodology</w:t>
      </w:r>
    </w:p>
    <w:p>
      <w:pPr>
        <w:keepNext w:val="0"/>
        <w:spacing w:before="0" w:after="120" w:line="336" w:lineRule="auto"/>
        <w:jc w:val="both"/>
      </w:pPr>
      <w:r>
        <w:rPr>
          <w:rFonts w:ascii="Times New Roman" w:hAnsi="Times New Roman"/>
          <w:b w:val="0"/>
          <w:i w:val="0"/>
          <w:color w:val="000000"/>
          <w:sz w:val="23"/>
        </w:rPr>
        <w:t>The scheduling methodology is request driven. The backend copies the workload into a requirements map, validates workload-specific prerequisites, evaluates each provider, reserves tokens, and stores a scheduled job. The provider then obtains its own pending work through polling rather than the backend directly connecting to it. Figure 3.5 traces each decision and identifies the point where token reservation occurs before provider execution.</w:t>
      </w:r>
    </w:p>
    <w:p>
      <w:pPr>
        <w:spacing w:before="80" w:after="40"/>
        <w:jc w:val="center"/>
      </w:pPr>
      <w:r>
        <w:drawing>
          <wp:inline xmlns:a="http://schemas.openxmlformats.org/drawingml/2006/main" xmlns:pic="http://schemas.openxmlformats.org/drawingml/2006/picture">
            <wp:extent cx="5715000" cy="3333750"/>
            <wp:docPr id="11" name="Picture 11" descr="Image: image10.png"/>
            <wp:cNvGraphicFramePr>
              <a:graphicFrameLocks noChangeAspect="1"/>
            </wp:cNvGraphicFramePr>
            <a:graphic>
              <a:graphicData uri="http://schemas.openxmlformats.org/drawingml/2006/picture">
                <pic:pic>
                  <pic:nvPicPr>
                    <pic:cNvPr id="0" name="schedule.png"/>
                    <pic:cNvPicPr/>
                  </pic:nvPicPr>
                  <pic:blipFill>
                    <a:blip r:embed="rId19"/>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3.5: Job submission, provider selection, dispatch and settlement flow</w:t>
      </w:r>
    </w:p>
    <w:p>
      <w:pPr>
        <w:pStyle w:val="Heading2"/>
        <w:keepNext/>
        <w:spacing w:before="0" w:after="120" w:line="240" w:lineRule="auto"/>
        <w:jc w:val="both"/>
      </w:pPr>
      <w:r>
        <w:rPr>
          <w:rFonts w:ascii="Times New Roman" w:hAnsi="Times New Roman"/>
          <w:b/>
          <w:i w:val="0"/>
          <w:color w:val="000000"/>
          <w:sz w:val="26"/>
        </w:rPr>
        <w:t>3.7 Recovery and State Management Methodology</w:t>
      </w:r>
    </w:p>
    <w:p>
      <w:pPr>
        <w:keepNext w:val="0"/>
        <w:spacing w:before="0" w:after="120" w:line="336" w:lineRule="auto"/>
        <w:jc w:val="both"/>
      </w:pPr>
      <w:r>
        <w:rPr>
          <w:rFonts w:ascii="Times New Roman" w:hAnsi="Times New Roman"/>
          <w:b w:val="0"/>
          <w:i w:val="0"/>
          <w:color w:val="000000"/>
          <w:sz w:val="23"/>
        </w:rPr>
        <w:t>The recovery monitor is a background thread started through the application lifespan. It periodically evaluates active providers against a heartbeat timeout. For each affected job it reads the latest checkpoint, searches for an alternative compatible provider, increments the attempt, records recovery metadata and relies on fencing to reject late messages from a previous attempt. Figure 3.6 distinguishes a successful recovery branch from the failure/refund branch.</w:t>
      </w:r>
    </w:p>
    <w:p>
      <w:pPr>
        <w:spacing w:before="80" w:after="40"/>
        <w:jc w:val="center"/>
      </w:pPr>
      <w:r>
        <w:drawing>
          <wp:inline xmlns:a="http://schemas.openxmlformats.org/drawingml/2006/main" xmlns:pic="http://schemas.openxmlformats.org/drawingml/2006/picture">
            <wp:extent cx="5715000" cy="3333750"/>
            <wp:docPr id="12" name="Picture 12" descr="Image: image11.png"/>
            <wp:cNvGraphicFramePr>
              <a:graphicFrameLocks noChangeAspect="1"/>
            </wp:cNvGraphicFramePr>
            <a:graphic>
              <a:graphicData uri="http://schemas.openxmlformats.org/drawingml/2006/picture">
                <pic:pic>
                  <pic:nvPicPr>
                    <pic:cNvPr id="0" name="recovery.png"/>
                    <pic:cNvPicPr/>
                  </pic:nvPicPr>
                  <pic:blipFill>
                    <a:blip r:embed="rId20"/>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3.6: Heartbeat-loss detection, checkpoint selection and fenced recovery</w:t>
      </w:r>
    </w:p>
    <w:p>
      <w:pPr>
        <w:pStyle w:val="Heading2"/>
        <w:keepNext/>
        <w:spacing w:before="0" w:after="120" w:line="240" w:lineRule="auto"/>
        <w:jc w:val="both"/>
      </w:pPr>
      <w:r>
        <w:rPr>
          <w:rFonts w:ascii="Times New Roman" w:hAnsi="Times New Roman"/>
          <w:b/>
          <w:i w:val="0"/>
          <w:color w:val="000000"/>
          <w:sz w:val="26"/>
        </w:rPr>
        <w:t>3.8 Data Model and Ownership Methodology</w:t>
      </w:r>
    </w:p>
    <w:p>
      <w:pPr>
        <w:keepNext w:val="0"/>
        <w:spacing w:before="0" w:after="120" w:line="336" w:lineRule="auto"/>
        <w:jc w:val="both"/>
      </w:pPr>
      <w:r>
        <w:rPr>
          <w:rFonts w:ascii="Times New Roman" w:hAnsi="Times New Roman"/>
          <w:b w:val="0"/>
          <w:i w:val="0"/>
          <w:color w:val="000000"/>
          <w:sz w:val="23"/>
        </w:rPr>
        <w:t>The database is ownership-oriented. Users own sessions, wallets, jobs and user artifacts. Jobs optionally reference providers and have checkpoints, billing records and related artifacts. Stream sessions link user, provider, encrypted destination state and accounting data. This model enables user-specific job/artifact retrieval and allows provider activity to be reflected in persistent records. Figure 3.7 summarizes the entity groups; Chapter 4 and Appendix A enumerate fields and relationships.</w:t>
      </w:r>
    </w:p>
    <w:p>
      <w:pPr>
        <w:spacing w:before="80" w:after="40"/>
        <w:jc w:val="center"/>
      </w:pPr>
      <w:r>
        <w:drawing>
          <wp:inline xmlns:a="http://schemas.openxmlformats.org/drawingml/2006/main" xmlns:pic="http://schemas.openxmlformats.org/drawingml/2006/picture">
            <wp:extent cx="5715000" cy="3333750"/>
            <wp:docPr id="13" name="Picture 13" descr="Image: image12.png"/>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3.7: Component and data-store relationships across the Nexora architecture</w:t>
      </w:r>
    </w:p>
    <w:p>
      <w:pPr>
        <w:keepNext w:val="0"/>
        <w:spacing w:before="0" w:after="120" w:line="360" w:lineRule="auto"/>
        <w:jc w:val="both"/>
      </w:pPr>
      <w:r>
        <w:rPr>
          <w:rFonts w:ascii="Times New Roman" w:hAnsi="Times New Roman"/>
          <w:b w:val="0"/>
          <w:i w:val="0"/>
          <w:color w:val="000000"/>
          <w:sz w:val="24"/>
        </w:rPr>
        <w:t>The code records audit events in the database and prints selected provider/recovery status messages to process output. Artifacts are stored under the backend application data directory, specifically a `data/artifacts` tree derived from the backend path. No centralized logging, retention worker, object storage integration or historical telemetry table was found. The local filesystem arrangement is suitable for a prototype but constrains durability and scale.</w:t>
      </w:r>
    </w:p>
    <w:p>
      <w:r>
        <w:br w:type="page"/>
      </w:r>
    </w:p>
    <w:p>
      <w:pPr>
        <w:spacing w:before="2400" w:after="360"/>
        <w:jc w:val="center"/>
      </w:pPr>
      <w:r>
        <w:rPr>
          <w:rFonts w:ascii="Times New Roman" w:hAnsi="Times New Roman"/>
          <w:b/>
          <w:i w:val="0"/>
          <w:color w:val="000000"/>
          <w:sz w:val="36"/>
        </w:rPr>
        <w:t>CHAPTER 4</w:t>
      </w:r>
    </w:p>
    <w:p>
      <w:pPr>
        <w:spacing w:after="1200"/>
        <w:jc w:val="center"/>
      </w:pPr>
      <w:r>
        <w:rPr>
          <w:rFonts w:ascii="Times New Roman" w:hAnsi="Times New Roman"/>
          <w:b/>
          <w:i w:val="0"/>
          <w:color w:val="000000"/>
          <w:sz w:val="36"/>
        </w:rPr>
        <w:t>IMPLEMENTATION AND DETAILS</w:t>
      </w:r>
    </w:p>
    <w:p>
      <w:pPr>
        <w:pStyle w:val="Heading1"/>
        <w:keepNext/>
        <w:spacing w:before="280" w:after="140"/>
        <w:jc w:val="both"/>
      </w:pPr>
      <w:r>
        <w:rPr>
          <w:rFonts w:ascii="Times New Roman" w:hAnsi="Times New Roman"/>
          <w:b/>
          <w:i w:val="0"/>
          <w:color w:val="000000"/>
          <w:sz w:val="30"/>
        </w:rPr>
        <w:t>CHAPTER 4 IMPLEMENTATION AND DETAILS</w:t>
      </w:r>
    </w:p>
    <w:p>
      <w:pPr>
        <w:pStyle w:val="Heading2"/>
        <w:keepNext/>
        <w:spacing w:before="180" w:after="140"/>
        <w:jc w:val="both"/>
      </w:pPr>
      <w:r>
        <w:rPr>
          <w:rFonts w:ascii="Times New Roman" w:hAnsi="Times New Roman"/>
          <w:b/>
          <w:i w:val="0"/>
          <w:color w:val="000000"/>
          <w:sz w:val="26"/>
        </w:rPr>
        <w:t>4.1 Orchestration and Entry Points</w:t>
      </w:r>
    </w:p>
    <w:p>
      <w:pPr>
        <w:keepNext w:val="0"/>
        <w:spacing w:before="0" w:after="120" w:line="360" w:lineRule="auto"/>
        <w:jc w:val="both"/>
      </w:pPr>
      <w:r>
        <w:rPr>
          <w:rFonts w:ascii="Times New Roman" w:hAnsi="Times New Roman"/>
          <w:b w:val="0"/>
          <w:i w:val="0"/>
          <w:color w:val="000000"/>
          <w:sz w:val="24"/>
        </w:rPr>
        <w:t>The backend entry point is `user-website/backend/app/main.py`, which defines models, request schemas, lifecycle behavior, REST routes and the realtime hub in a single module. The provider entry point is `provider-server/main.py`, which initializes provider identity, hardware information and background heartbeat/listener behavior. The frontend entry point is `user-website/nexora-frontend/index.html`; `js/app.js` initializes routing, state refresh, polling and realtime behavior. The repository contains start scripts for backend, provider and static frontend serving, alongside Docker/Render/Vercel configuration.</w:t>
      </w:r>
    </w:p>
    <w:p>
      <w:pPr>
        <w:spacing w:after="140" w:line="240" w:lineRule="auto"/>
        <w:ind w:left="360" w:right="360"/>
        <w:shd w:fill="F2F2F2"/>
      </w:pPr>
      <w:r>
        <w:rPr>
          <w:rFonts w:ascii="Consolas" w:hAnsi="Consolas"/>
          <w:color w:val="000000"/>
          <w:sz w:val="17"/>
        </w:rPr>
        <w:t># Backend scheduling decision - simplified source-backed excerpt</w:t>
        <w:br/>
      </w:r>
      <w:r>
        <w:rPr>
          <w:rFonts w:ascii="Consolas" w:hAnsi="Consolas"/>
          <w:color w:val="000000"/>
          <w:sz w:val="17"/>
        </w:rPr>
        <w:t>for p in s.query(Provider).all():</w:t>
        <w:br/>
      </w:r>
      <w:r>
        <w:rPr>
          <w:rFonts w:ascii="Consolas" w:hAnsi="Consolas"/>
          <w:color w:val="000000"/>
          <w:sz w:val="17"/>
        </w:rPr>
        <w:t xml:space="preserve">    if p.id == exclude_id or p.status not in ("ONLINE", "AVAILABLE"):</w:t>
        <w:br/>
      </w:r>
      <w:r>
        <w:rPr>
          <w:rFonts w:ascii="Consolas" w:hAnsi="Consolas"/>
          <w:color w:val="000000"/>
          <w:sz w:val="17"/>
        </w:rPr>
        <w:t xml:space="preserve">        continue</w:t>
        <w:br/>
      </w:r>
      <w:r>
        <w:rPr>
          <w:rFonts w:ascii="Consolas" w:hAnsi="Consolas"/>
          <w:color w:val="000000"/>
          <w:sz w:val="17"/>
        </w:rPr>
        <w:t xml:space="preserve">    if p.cpu_cores &lt; min_cores or p.ram_gb &lt; min_ram:</w:t>
        <w:br/>
      </w:r>
      <w:r>
        <w:rPr>
          <w:rFonts w:ascii="Consolas" w:hAnsi="Consolas"/>
          <w:color w:val="000000"/>
          <w:sz w:val="17"/>
        </w:rPr>
        <w:t xml:space="preserve">        continue</w:t>
        <w:br/>
      </w:r>
      <w:r>
        <w:rPr>
          <w:rFonts w:ascii="Consolas" w:hAnsi="Consolas"/>
          <w:color w:val="000000"/>
          <w:sz w:val="17"/>
        </w:rPr>
        <w:t xml:space="preserve">    if requirements.get("gpu_required") and not p.gpu_name:</w:t>
        <w:br/>
      </w:r>
      <w:r>
        <w:rPr>
          <w:rFonts w:ascii="Consolas" w:hAnsi="Consolas"/>
          <w:color w:val="000000"/>
          <w:sz w:val="17"/>
        </w:rPr>
        <w:t xml:space="preserve">        continue</w:t>
        <w:br/>
      </w:r>
      <w:r>
        <w:rPr>
          <w:rFonts w:ascii="Consolas" w:hAnsi="Consolas"/>
          <w:color w:val="000000"/>
          <w:sz w:val="17"/>
        </w:rPr>
        <w:t xml:space="preserve">    candidates.append(p)</w:t>
        <w:br/>
      </w:r>
      <w:r>
        <w:rPr>
          <w:rFonts w:ascii="Consolas" w:hAnsi="Consolas"/>
          <w:color w:val="000000"/>
          <w:sz w:val="17"/>
        </w:rPr>
        <w:t>return min(candidates, key=lambda x: x.cost_per_hour / (max(x.reliability, 1) / 100))</w:t>
        <w:br/>
      </w:r>
    </w:p>
    <w:p>
      <w:pPr>
        <w:spacing w:before="60" w:after="180"/>
        <w:jc w:val="center"/>
      </w:pPr>
      <w:r>
        <w:rPr>
          <w:rFonts w:ascii="Times New Roman" w:hAnsi="Times New Roman"/>
          <w:b/>
          <w:i/>
          <w:color w:val="000000"/>
          <w:sz w:val="21"/>
        </w:rPr>
        <w:t>Listing 4.1: Condensed provider eligibility and selection logic based on `compatible_provider`</w:t>
      </w:r>
    </w:p>
    <w:p>
      <w:pPr>
        <w:pStyle w:val="Heading2"/>
        <w:keepNext/>
        <w:spacing w:before="180" w:after="140"/>
        <w:jc w:val="both"/>
      </w:pPr>
      <w:r>
        <w:rPr>
          <w:rFonts w:ascii="Times New Roman" w:hAnsi="Times New Roman"/>
          <w:b/>
          <w:i w:val="0"/>
          <w:color w:val="000000"/>
          <w:sz w:val="26"/>
        </w:rPr>
        <w:t>4.2 Authentication and Session Management</w:t>
      </w:r>
    </w:p>
    <w:p>
      <w:pPr>
        <w:keepNext w:val="0"/>
        <w:spacing w:before="0" w:after="120" w:line="360" w:lineRule="auto"/>
        <w:jc w:val="both"/>
      </w:pPr>
      <w:r>
        <w:rPr>
          <w:rFonts w:ascii="Times New Roman" w:hAnsi="Times New Roman"/>
          <w:b w:val="0"/>
          <w:i w:val="0"/>
          <w:color w:val="000000"/>
          <w:sz w:val="24"/>
        </w:rPr>
        <w:t>Registration and login accept an email and a minimum eight-character password. Password hashes use PBKDF2-HMAC-SHA256 with a generated salt and 600,000 rounds. A successful session creates an `auth_sessions` record and a JWT containing a user subject, session identifier, email and expiry. The `current_user` dependency verifies the JWT and checks that the associated database session exists, is not revoked and has not expired. Browser WebSocket authentication uses a `nexora.jwt.&lt;token&gt;` WebSocket subprotocol instead of placing the bearer token in the URL.</w:t>
      </w:r>
    </w:p>
    <w:p>
      <w:pPr>
        <w:keepNext w:val="0"/>
        <w:spacing w:before="0" w:after="120" w:line="360" w:lineRule="auto"/>
        <w:jc w:val="both"/>
      </w:pPr>
      <w:r>
        <w:rPr>
          <w:rFonts w:ascii="Times New Roman" w:hAnsi="Times New Roman"/>
          <w:b w:val="0"/>
          <w:i w:val="0"/>
          <w:color w:val="000000"/>
          <w:sz w:val="24"/>
        </w:rPr>
        <w:t>The implementation does not expose an observed logout/revoke endpoint, password reset flow, administrator role, or role-based authorization layer. User-facing resources generally filter jobs/artifacts by owning user, whereas provider endpoints are protected by one configured shared token. This distinction is material to the security analysis in Chapter 5.</w:t>
      </w:r>
    </w:p>
    <w:p>
      <w:pPr>
        <w:pStyle w:val="Heading2"/>
        <w:keepNext/>
        <w:spacing w:before="180" w:after="140"/>
        <w:jc w:val="both"/>
      </w:pPr>
      <w:r>
        <w:rPr>
          <w:rFonts w:ascii="Times New Roman" w:hAnsi="Times New Roman"/>
          <w:b/>
          <w:i w:val="0"/>
          <w:color w:val="000000"/>
          <w:sz w:val="26"/>
        </w:rPr>
        <w:t>4.3 Provider Registration and Telemetry</w:t>
      </w:r>
    </w:p>
    <w:p>
      <w:pPr>
        <w:keepNext w:val="0"/>
        <w:spacing w:before="0" w:after="120" w:line="360" w:lineRule="auto"/>
        <w:jc w:val="both"/>
      </w:pPr>
      <w:r>
        <w:rPr>
          <w:rFonts w:ascii="Times New Roman" w:hAnsi="Times New Roman"/>
          <w:b w:val="0"/>
          <w:i w:val="0"/>
          <w:color w:val="000000"/>
          <w:sz w:val="24"/>
        </w:rPr>
        <w:t>The provider maintains a persistent locally generated provider ID unless overridden by environment. At registration, it sends logical CPU core count, RAM size, optional GPU name and memory, configured cost per hour, detailed system information, FFmpeg availability and detected H.264 encoder names. Heartbeats store current provider status and utilization. CPU, RAM and disk values use psutil; `nvidia-smi` may produce device-wide GPU compute/memory utilization. The backend serializes provider state and emits provider/telemetry events to realtime subscribers.</w:t>
      </w:r>
    </w:p>
    <w:p>
      <w:pPr>
        <w:keepNext w:val="0"/>
        <w:spacing w:before="0" w:after="120" w:line="360" w:lineRule="auto"/>
        <w:jc w:val="both"/>
      </w:pPr>
      <w:r>
        <w:rPr>
          <w:rFonts w:ascii="Times New Roman" w:hAnsi="Times New Roman"/>
          <w:b w:val="0"/>
          <w:i w:val="0"/>
          <w:color w:val="000000"/>
          <w:sz w:val="24"/>
        </w:rPr>
        <w:t>Provider authentication compares the received `X-Provider-Token` against a single configured secret. The provider ID remains supplied in the route/body rather than being cryptographically bound to an enrolled identity. The report labels this design as implemented but unsuitable as a strong production identity model.</w:t>
      </w:r>
    </w:p>
    <w:p>
      <w:pPr>
        <w:pStyle w:val="Heading2"/>
        <w:keepNext/>
        <w:spacing w:before="180" w:after="140"/>
        <w:jc w:val="both"/>
      </w:pPr>
      <w:r>
        <w:rPr>
          <w:rFonts w:ascii="Times New Roman" w:hAnsi="Times New Roman"/>
          <w:b/>
          <w:i w:val="0"/>
          <w:color w:val="000000"/>
          <w:sz w:val="26"/>
        </w:rPr>
        <w:t>4.4 Workload Submission and Scheduling</w:t>
      </w:r>
    </w:p>
    <w:p>
      <w:pPr>
        <w:keepNext w:val="0"/>
        <w:spacing w:before="0" w:after="120" w:line="360" w:lineRule="auto"/>
        <w:jc w:val="both"/>
      </w:pPr>
      <w:r>
        <w:rPr>
          <w:rFonts w:ascii="Times New Roman" w:hAnsi="Times New Roman"/>
          <w:b w:val="0"/>
          <w:i w:val="0"/>
          <w:color w:val="000000"/>
          <w:sz w:val="24"/>
        </w:rPr>
        <w:t>A user POSTs a `JobCreate` body containing a bounded name, workload string and requirements object. The backend creates a provider-compatible requirements dictionary, validates a referenced artifact for video compression, chooses a provider, estimates tokens, ensures wallet balance, marks the provider BUSY, persists the job and creates a reservation ledger entry plus job billing row. For submitted Python source, it stores a source artifact record. The provider listener polls for jobs assigned to its own ID and creates a thread per returned job. This is a functional prototype mechanism, but the absence of an atomic execution claim creates a possible duplicate-dispatch race.</w:t>
      </w:r>
    </w:p>
    <w:p>
      <w:pPr>
        <w:jc w:val="center"/>
      </w:pPr>
      <w:r>
        <w:drawing>
          <wp:inline xmlns:a="http://schemas.openxmlformats.org/drawingml/2006/main" xmlns:pic="http://schemas.openxmlformats.org/drawingml/2006/picture">
            <wp:extent cx="5715000" cy="3214688"/>
            <wp:docPr id="3" name="Picture 3" descr="Image: image3.png"/>
            <wp:cNvGraphicFramePr>
              <a:graphicFrameLocks noChangeAspect="1"/>
            </wp:cNvGraphicFramePr>
            <a:graphic>
              <a:graphicData uri="http://schemas.openxmlformats.org/drawingml/2006/picture">
                <pic:pic>
                  <pic:nvPicPr>
                    <pic:cNvPr id="0" name="fig33_lifecycle.png"/>
                    <pic:cNvPicPr/>
                  </pic:nvPicPr>
                  <pic:blipFill>
                    <a:blip r:embed="rId12"/>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color w:val="000000"/>
          <w:sz w:val="21"/>
        </w:rPr>
        <w:t>Figure 4.1: Implemented workload lifecycle and recovery state concepts</w:t>
      </w:r>
    </w:p>
    <w:p>
      <w:pPr>
        <w:pStyle w:val="Heading2"/>
        <w:keepNext/>
        <w:spacing w:before="180" w:after="140"/>
        <w:jc w:val="both"/>
      </w:pPr>
      <w:r>
        <w:rPr>
          <w:rFonts w:ascii="Times New Roman" w:hAnsi="Times New Roman"/>
          <w:b/>
          <w:i w:val="0"/>
          <w:color w:val="000000"/>
          <w:sz w:val="26"/>
        </w:rPr>
        <w:t>4.5 Provider Execution and Job Lifecycle</w:t>
      </w:r>
    </w:p>
    <w:p>
      <w:pPr>
        <w:keepNext w:val="0"/>
        <w:spacing w:before="0" w:after="120" w:line="360" w:lineRule="auto"/>
        <w:jc w:val="both"/>
      </w:pPr>
      <w:r>
        <w:rPr>
          <w:rFonts w:ascii="Times New Roman" w:hAnsi="Times New Roman"/>
          <w:b w:val="0"/>
          <w:i w:val="0"/>
          <w:color w:val="000000"/>
          <w:sz w:val="24"/>
        </w:rPr>
        <w:t>Provider execution supports matrix multiplication, prime search, Fibonacci, video compression and custom Python branches. Controlled computation functions report progress and state to the checkpoint helper. Custom Python writes supplied source into a temporary directory and invokes the isolated Python interpreter mode using `-I`; however, isolated interpreter mode does not form a security sandbox. In a trusted demonstration environment the feature shows flexible dispatch. In an untrusted environment it is a high-risk remote-code-execution path and requires container or VM isolation, resource quotas and network/file restrictions.</w:t>
      </w:r>
    </w:p>
    <w:p>
      <w:pPr>
        <w:pStyle w:val="Heading2"/>
        <w:keepNext/>
        <w:spacing w:before="180" w:after="140"/>
        <w:jc w:val="both"/>
      </w:pPr>
      <w:r>
        <w:rPr>
          <w:rFonts w:ascii="Times New Roman" w:hAnsi="Times New Roman"/>
          <w:b/>
          <w:i w:val="0"/>
          <w:color w:val="000000"/>
          <w:sz w:val="26"/>
        </w:rPr>
        <w:t>4.6 Checkpointing and Failure Recovery</w:t>
      </w:r>
    </w:p>
    <w:p>
      <w:pPr>
        <w:keepNext w:val="0"/>
        <w:spacing w:before="0" w:after="120" w:line="360" w:lineRule="auto"/>
        <w:jc w:val="both"/>
      </w:pPr>
      <w:r>
        <w:rPr>
          <w:rFonts w:ascii="Times New Roman" w:hAnsi="Times New Roman"/>
          <w:b w:val="0"/>
          <w:i w:val="0"/>
          <w:color w:val="000000"/>
          <w:sz w:val="24"/>
        </w:rPr>
        <w:t>A checkpoint contains job/provider identifiers, attempt and sequence values, progress, state version, canonical state hash and payload. Provider updates carry an attempt value; stale updates are rejected by a fencing check. A background recovery thread identifies providers whose heartbeat exceeds the configured timeout. It marks a lost provider OFFLINE, finds the latest checkpoint for affected jobs, selects a replacement provider where possible, increments the attempt and recovery count, marks the job RECOVERING and embeds resume metadata in requirements. If no replacement exists, it marks the job failed and refunds the outstanding reservation. Figure 4.2 summarizes this control path.</w:t>
      </w:r>
    </w:p>
    <w:p>
      <w:pPr>
        <w:jc w:val="center"/>
      </w:pPr>
      <w:r>
        <w:drawing>
          <wp:inline xmlns:a="http://schemas.openxmlformats.org/drawingml/2006/main" xmlns:pic="http://schemas.openxmlformats.org/drawingml/2006/picture">
            <wp:extent cx="5715000" cy="3214688"/>
            <wp:docPr id="4" name="Picture 4" descr="Image: image4.png"/>
            <wp:cNvGraphicFramePr>
              <a:graphicFrameLocks noChangeAspect="1"/>
            </wp:cNvGraphicFramePr>
            <a:graphic>
              <a:graphicData uri="http://schemas.openxmlformats.org/drawingml/2006/picture">
                <pic:pic>
                  <pic:nvPicPr>
                    <pic:cNvPr id="0" name="fig34_recovery.png"/>
                    <pic:cNvPicPr/>
                  </pic:nvPicPr>
                  <pic:blipFill>
                    <a:blip r:embed="rId13"/>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color w:val="000000"/>
          <w:sz w:val="21"/>
        </w:rPr>
        <w:t>Figure 4.2: Checkpoint recovery and provider-loss handling workflow</w:t>
      </w:r>
    </w:p>
    <w:p>
      <w:pPr>
        <w:pStyle w:val="Heading2"/>
        <w:keepNext/>
        <w:spacing w:before="180" w:after="140"/>
        <w:jc w:val="both"/>
      </w:pPr>
      <w:r>
        <w:rPr>
          <w:rFonts w:ascii="Times New Roman" w:hAnsi="Times New Roman"/>
          <w:b/>
          <w:i w:val="0"/>
          <w:color w:val="000000"/>
          <w:sz w:val="26"/>
        </w:rPr>
        <w:t>4.7 Frontend State Management and Realtime Events</w:t>
      </w:r>
    </w:p>
    <w:p>
      <w:pPr>
        <w:keepNext w:val="0"/>
        <w:spacing w:before="0" w:after="120" w:line="360" w:lineRule="auto"/>
        <w:jc w:val="both"/>
      </w:pPr>
      <w:r>
        <w:rPr>
          <w:rFonts w:ascii="Times New Roman" w:hAnsi="Times New Roman"/>
          <w:b w:val="0"/>
          <w:i w:val="0"/>
          <w:color w:val="000000"/>
          <w:sz w:val="24"/>
        </w:rPr>
        <w:t>The static frontend uses ES modules rather than React. `router.js` maps landing, overview, jobs, streaming, providers, resource-pool, billing, analytics and settings views. Console routes require local authenticated state. `api.js` stores a selected API base and bearer token, wraps fetch errors and supports artifact upload. `state.js` obtains dashboard, jobs, providers, checkpoints, billing, analytics and active-stream data through a coordinated refresh. `realtime.js` subscribes to allowed topics, sends pings, reconnects with backoff and requests REST resynchronization after connection changes or recovery events.</w:t>
      </w:r>
    </w:p>
    <w:p>
      <w:pPr>
        <w:pStyle w:val="Heading2"/>
        <w:keepNext/>
        <w:spacing w:before="180" w:after="140"/>
        <w:jc w:val="both"/>
      </w:pPr>
      <w:r>
        <w:rPr>
          <w:rFonts w:ascii="Times New Roman" w:hAnsi="Times New Roman"/>
          <w:b/>
          <w:i w:val="0"/>
          <w:color w:val="000000"/>
          <w:sz w:val="26"/>
        </w:rPr>
        <w:t>4.8 Artifact Processing and Video Workloads</w:t>
      </w:r>
    </w:p>
    <w:p>
      <w:pPr>
        <w:keepNext w:val="0"/>
        <w:spacing w:before="0" w:after="120" w:line="360" w:lineRule="auto"/>
        <w:jc w:val="both"/>
      </w:pPr>
      <w:r>
        <w:rPr>
          <w:rFonts w:ascii="Times New Roman" w:hAnsi="Times New Roman"/>
          <w:b w:val="0"/>
          <w:i w:val="0"/>
          <w:color w:val="000000"/>
          <w:sz w:val="24"/>
        </w:rPr>
        <w:t>The input artifact endpoint accepts selected video extensions and MIME types, streams uploads to a generated artifact directory, enforces a configured maximum size, probes the file through FFmpeg, rejects invalid or oversized-duration videos, calculates a SHA-256 checksum, and persists metadata. An owner can retrieve artifact metadata or download output tied to an owned job. The provider has a dedicated download route for job input and an upload route for output. The provider output upload path does not apply the same observed size/type/duration validation as the user input path, so this is a current technical debt item.</w:t>
      </w:r>
    </w:p>
    <w:p>
      <w:pPr>
        <w:pStyle w:val="Heading2"/>
        <w:keepNext/>
        <w:spacing w:before="180" w:after="140"/>
        <w:jc w:val="both"/>
      </w:pPr>
      <w:r>
        <w:rPr>
          <w:rFonts w:ascii="Times New Roman" w:hAnsi="Times New Roman"/>
          <w:b/>
          <w:i w:val="0"/>
          <w:color w:val="000000"/>
          <w:sz w:val="26"/>
        </w:rPr>
        <w:t>4.9 Token Wallet and Billing</w:t>
      </w:r>
    </w:p>
    <w:p>
      <w:pPr>
        <w:keepNext w:val="0"/>
        <w:spacing w:before="0" w:after="120" w:line="360" w:lineRule="auto"/>
        <w:jc w:val="both"/>
      </w:pPr>
      <w:r>
        <w:rPr>
          <w:rFonts w:ascii="Times New Roman" w:hAnsi="Times New Roman"/>
          <w:b w:val="0"/>
          <w:i w:val="0"/>
          <w:color w:val="000000"/>
          <w:sz w:val="24"/>
        </w:rPr>
        <w:t>Wallets are created on demand with an initial token adjustment. A token ledger records the balance before and after each server-side mutation. Job estimation uses workload requirements and provider-related information to reserve tokens before dispatch. On terminal provider update, the current code settles a reservation only while the reservation remains positive: it refunds the full reservation and then debits calculated actual usage for successful work. Stream usage is billed only after the provider reports STREAMING and a complete minute has elapsed. Payment-related UI and top-up API flows are simulated; no payment gateway, charge authorization or external transaction confirmation is implemented.</w:t>
      </w:r>
    </w:p>
    <w:p>
      <w:pPr>
        <w:pStyle w:val="Heading2"/>
        <w:keepNext/>
        <w:spacing w:before="180" w:after="140"/>
        <w:jc w:val="both"/>
      </w:pPr>
      <w:r>
        <w:rPr>
          <w:rFonts w:ascii="Times New Roman" w:hAnsi="Times New Roman"/>
          <w:b/>
          <w:i w:val="0"/>
          <w:color w:val="000000"/>
          <w:sz w:val="26"/>
        </w:rPr>
        <w:t>4.10 Remote Live Stream Encoding</w:t>
      </w:r>
    </w:p>
    <w:p>
      <w:pPr>
        <w:pStyle w:val="Heading2"/>
        <w:keepNext/>
        <w:spacing w:before="0" w:after="120" w:line="240" w:lineRule="auto"/>
        <w:jc w:val="both"/>
      </w:pPr>
      <w:r>
        <w:rPr>
          <w:rFonts w:ascii="Times New Roman" w:hAnsi="Times New Roman"/>
          <w:b/>
          <w:i w:val="0"/>
          <w:color w:val="000000"/>
          <w:sz w:val="26"/>
        </w:rPr>
        <w:t>4.11 Frontend Page by Page Behavior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00"/>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Page</w:t>
            </w:r>
          </w:p>
        </w:tc>
        <w:tc>
          <w:tcPr>
            <w:tcW w:type="dxa" w:w="4536"/>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Purpose and controls</w:t>
            </w:r>
          </w:p>
        </w:tc>
        <w:tc>
          <w:tcPr>
            <w:tcW w:type="dxa" w:w="3240"/>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Data and resulting state</w:t>
            </w:r>
          </w:p>
        </w:tc>
      </w:tr>
      <w:tr>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Landing</w:t>
            </w:r>
          </w:p>
        </w:tc>
        <w:tc>
          <w:tcPr>
            <w:tcW w:type="dxa" w:w="453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Explains product concept; opens authentication interaction; exposes a client-side scheduling simulator.</w:t>
            </w:r>
          </w:p>
        </w:tc>
        <w:tc>
          <w:tcPr>
            <w:tcW w:type="dxa" w:w="324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Public view; no authenticated backend page data required.</w:t>
            </w:r>
          </w:p>
        </w:tc>
      </w:tr>
      <w:tr>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Overview</w:t>
            </w:r>
          </w:p>
        </w:tc>
        <w:tc>
          <w:tcPr>
            <w:tcW w:type="dxa" w:w="453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Displays active job count, available nodes, token balance, utilization summaries, recent jobs and charts.</w:t>
            </w:r>
          </w:p>
        </w:tc>
        <w:tc>
          <w:tcPr>
            <w:tcW w:type="dxa" w:w="324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Dashboard API snapshot plus provider/telemetry/job events update state.</w:t>
            </w:r>
          </w:p>
        </w:tc>
      </w:tr>
      <w:tr>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Jobs</w:t>
            </w:r>
          </w:p>
        </w:tc>
        <w:tc>
          <w:tcPr>
            <w:tcW w:type="dxa" w:w="453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Searches jobs, opens job creation modal, accepts supported video input, opens a drawer and can cancel/stop all.</w:t>
            </w:r>
          </w:p>
        </w:tc>
        <w:tc>
          <w:tcPr>
            <w:tcW w:type="dxa" w:w="324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Jobs and artifact APIs create/inspect/update user-owned jobs.</w:t>
            </w:r>
          </w:p>
        </w:tc>
      </w:tr>
      <w:tr>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Providers</w:t>
            </w:r>
          </w:p>
        </w:tc>
        <w:tc>
          <w:tcPr>
            <w:tcW w:type="dxa" w:w="453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Lists provider capacity, status, reliability and current utilization.</w:t>
            </w:r>
          </w:p>
        </w:tc>
        <w:tc>
          <w:tcPr>
            <w:tcW w:type="dxa" w:w="324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Provider list plus realtime provider-status events.</w:t>
            </w:r>
          </w:p>
        </w:tc>
      </w:tr>
      <w:tr>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Resource pool</w:t>
            </w:r>
          </w:p>
        </w:tc>
        <w:tc>
          <w:tcPr>
            <w:tcW w:type="dxa" w:w="453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Lets a user vary conditions and inspect candidate filtering.</w:t>
            </w:r>
          </w:p>
        </w:tc>
        <w:tc>
          <w:tcPr>
            <w:tcW w:type="dxa" w:w="324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Client-side simulation based on available provider data; not persistent scheduler configuration.</w:t>
            </w:r>
          </w:p>
        </w:tc>
      </w:tr>
      <w:tr>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Billing</w:t>
            </w:r>
          </w:p>
        </w:tc>
        <w:tc>
          <w:tcPr>
            <w:tcW w:type="dxa" w:w="453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Shows balance, package options, ledger activity and demo top-up form.</w:t>
            </w:r>
          </w:p>
        </w:tc>
        <w:tc>
          <w:tcPr>
            <w:tcW w:type="dxa" w:w="324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Billing APIs change application token state; payment itself is simulated.</w:t>
            </w:r>
          </w:p>
        </w:tc>
      </w:tr>
      <w:tr>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Analytics and settings</w:t>
            </w:r>
          </w:p>
        </w:tc>
        <w:tc>
          <w:tcPr>
            <w:tcW w:type="dxa" w:w="453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Shows total jobs/success ratio/recovering count; sets API base/theme/polling behavior.</w:t>
            </w:r>
          </w:p>
        </w:tc>
        <w:tc>
          <w:tcPr>
            <w:tcW w:type="dxa" w:w="324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Analytics API and browser-local settings/health check.</w:t>
            </w:r>
          </w:p>
        </w:tc>
      </w:tr>
      <w:tr>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Streaming</w:t>
            </w:r>
          </w:p>
        </w:tc>
        <w:tc>
          <w:tcPr>
            <w:tcW w:type="dxa" w:w="453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Creates OBS/browser-capture session, shows credentials/status/metrics and stops session.</w:t>
            </w:r>
          </w:p>
        </w:tc>
        <w:tc>
          <w:tcPr>
            <w:tcW w:type="dxa" w:w="324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Stream session REST, WebSocket updates and browser WHIP helper where selected.</w:t>
            </w:r>
          </w:p>
        </w:tc>
      </w:tr>
    </w:tbl>
    <w:p>
      <w:pPr>
        <w:spacing w:before="40" w:after="160"/>
        <w:jc w:val="center"/>
      </w:pPr>
      <w:r>
        <w:rPr>
          <w:rFonts w:ascii="Times New Roman" w:hAnsi="Times New Roman"/>
          <w:b/>
          <w:i/>
          <w:color w:val="000000"/>
          <w:sz w:val="20"/>
        </w:rPr>
        <w:t>Table 4.1: Frontend pages, user controls and state relationships</w:t>
      </w:r>
    </w:p>
    <w:p>
      <w:pPr>
        <w:keepNext w:val="0"/>
        <w:spacing w:before="0" w:after="120" w:line="336" w:lineRule="auto"/>
        <w:jc w:val="both"/>
      </w:pPr>
      <w:r>
        <w:rPr>
          <w:rFonts w:ascii="Times New Roman" w:hAnsi="Times New Roman"/>
          <w:b w:val="0"/>
          <w:i w:val="0"/>
          <w:color w:val="000000"/>
          <w:sz w:val="23"/>
        </w:rPr>
        <w:t>The frontend follows a small explicit architecture. `router.js` parses the hash and redirects unauthenticated console routes to the landing page. `state.js` owns the shared dashboard snapshot and prevents overlapping refreshes. `realtime.js` subscribes to server topics, sends periodic pings, reconnects when necessary and asks for a REST resynchronization when an event requires it. `api.js` centralizes bearer-token headers, configured API base selection and error-message extraction. This design makes page components thin: they render state and invoke named API helpers rather than implementing their own transport logic.</w:t>
      </w:r>
    </w:p>
    <w:p>
      <w:pPr>
        <w:pStyle w:val="Heading2"/>
        <w:keepNext/>
        <w:spacing w:before="0" w:after="120" w:line="240" w:lineRule="auto"/>
        <w:jc w:val="both"/>
      </w:pPr>
      <w:r>
        <w:rPr>
          <w:rFonts w:ascii="Times New Roman" w:hAnsi="Times New Roman"/>
          <w:b/>
          <w:i w:val="0"/>
          <w:color w:val="000000"/>
          <w:sz w:val="26"/>
        </w:rPr>
        <w:t>4.12 Backend Module Structure and Lifecycle</w:t>
      </w:r>
    </w:p>
    <w:p>
      <w:pPr>
        <w:keepNext w:val="0"/>
        <w:spacing w:before="0" w:after="120" w:line="336" w:lineRule="auto"/>
        <w:jc w:val="both"/>
      </w:pPr>
      <w:r>
        <w:rPr>
          <w:rFonts w:ascii="Times New Roman" w:hAnsi="Times New Roman"/>
          <w:b w:val="0"/>
          <w:i w:val="0"/>
          <w:color w:val="000000"/>
          <w:sz w:val="23"/>
        </w:rPr>
        <w:t>The FastAPI application is intentionally consolidated into `app/main.py`. Imports and environment loading are followed by database setup, model declarations, request schemas, lifecycle tasks, real-time support, authentication helpers, scheduling/billing functions and route definitions. At lifespan startup the application establishes the realtime event loop, attempts media configuration validation without disabling non-stream features, creates ORM tables, applies selected SQLite compatibility columns, ensures wallets for users and starts the recovery monitor. On shutdown it signals the monitor to stop and closes realtime clients. This lifecycle approach makes state initialization reproducible for a single application process.</w:t>
      </w:r>
    </w:p>
    <w:p>
      <w:pPr>
        <w:pStyle w:val="Heading2"/>
        <w:keepNext/>
        <w:spacing w:before="0" w:after="120" w:line="240" w:lineRule="auto"/>
        <w:jc w:val="both"/>
      </w:pPr>
      <w:r>
        <w:rPr>
          <w:rFonts w:ascii="Times New Roman" w:hAnsi="Times New Roman"/>
          <w:b/>
          <w:i w:val="0"/>
          <w:color w:val="000000"/>
          <w:sz w:val="26"/>
        </w:rPr>
        <w:t>4.13 Password Hashing JWT Sessions and Access Checks</w:t>
      </w:r>
    </w:p>
    <w:p>
      <w:pPr>
        <w:keepNext w:val="0"/>
        <w:spacing w:before="0" w:after="120" w:line="336" w:lineRule="auto"/>
        <w:jc w:val="both"/>
      </w:pPr>
      <w:r>
        <w:rPr>
          <w:rFonts w:ascii="Times New Roman" w:hAnsi="Times New Roman"/>
          <w:b w:val="0"/>
          <w:i w:val="0"/>
          <w:color w:val="000000"/>
          <w:sz w:val="23"/>
        </w:rPr>
        <w:t>The password helper generates a random 16-byte salt and derives a PBKDF2-HMAC-SHA256 digest. The stored representation records the algorithm, iteration count, salt and digest. Login uses a timing-safe comparison. `session_response` generates a durable session identifier with a twelve-hour expiry, stores it in `auth_sessions`, creates a JWT with `sub`, `sid`, email and `exp` claims, and returns a user object with current token balance. `current_user` decodes the token and verifies the referenced session. User-owned access is subsequently enforced by filters such as `job.user_id == u.id` and `artifact.user_id == u.id`.</w:t>
      </w:r>
    </w:p>
    <w:p>
      <w:pPr>
        <w:spacing w:line="240" w:lineRule="auto" w:after="120"/>
        <w:ind w:left="360" w:right="360"/>
        <w:shd w:fill="F2F2F2"/>
      </w:pPr>
      <w:r>
        <w:rPr>
          <w:rFonts w:ascii="Consolas" w:hAnsi="Consolas"/>
          <w:b w:val="0"/>
          <w:i w:val="0"/>
          <w:color w:val="000000"/>
          <w:sz w:val="16"/>
        </w:rPr>
        <w:t>def current_user(authorization: str = Header(...), s: Session = Depends(db)):</w:t>
        <w:br/>
      </w:r>
      <w:r>
        <w:rPr>
          <w:rFonts w:ascii="Consolas" w:hAnsi="Consolas"/>
          <w:b w:val="0"/>
          <w:i w:val="0"/>
          <w:color w:val="000000"/>
          <w:sz w:val="16"/>
        </w:rPr>
        <w:t xml:space="preserve">    payload = jwt.decode(authorization.removeprefix("Bearer "), JWT_SECRET,</w:t>
        <w:br/>
      </w:r>
      <w:r>
        <w:rPr>
          <w:rFonts w:ascii="Consolas" w:hAnsi="Consolas"/>
          <w:b w:val="0"/>
          <w:i w:val="0"/>
          <w:color w:val="000000"/>
          <w:sz w:val="16"/>
        </w:rPr>
        <w:t xml:space="preserve">                         algorithms=["HS256"])</w:t>
        <w:br/>
      </w:r>
      <w:r>
        <w:rPr>
          <w:rFonts w:ascii="Consolas" w:hAnsi="Consolas"/>
          <w:b w:val="0"/>
          <w:i w:val="0"/>
          <w:color w:val="000000"/>
          <w:sz w:val="16"/>
        </w:rPr>
        <w:t xml:space="preserve">    session = s.get(AuthSession, payload["sid"])</w:t>
        <w:br/>
      </w:r>
      <w:r>
        <w:rPr>
          <w:rFonts w:ascii="Consolas" w:hAnsi="Consolas"/>
          <w:b w:val="0"/>
          <w:i w:val="0"/>
          <w:color w:val="000000"/>
          <w:sz w:val="16"/>
        </w:rPr>
        <w:t xml:space="preserve">    if not session or session.revoked or session.expires_at &lt; now:</w:t>
        <w:br/>
      </w:r>
      <w:r>
        <w:rPr>
          <w:rFonts w:ascii="Consolas" w:hAnsi="Consolas"/>
          <w:b w:val="0"/>
          <w:i w:val="0"/>
          <w:color w:val="000000"/>
          <w:sz w:val="16"/>
        </w:rPr>
        <w:t xml:space="preserve">        raise HTTPException(401, "Invalid or expired session")</w:t>
        <w:br/>
      </w:r>
      <w:r>
        <w:rPr>
          <w:rFonts w:ascii="Consolas" w:hAnsi="Consolas"/>
          <w:b w:val="0"/>
          <w:i w:val="0"/>
          <w:color w:val="000000"/>
          <w:sz w:val="16"/>
        </w:rPr>
        <w:t xml:space="preserve">    return s.get(User, int(payload["sub"]))</w:t>
        <w:br/>
      </w:r>
    </w:p>
    <w:p>
      <w:pPr>
        <w:spacing w:before="40" w:after="160"/>
        <w:jc w:val="center"/>
      </w:pPr>
      <w:r>
        <w:rPr>
          <w:rFonts w:ascii="Times New Roman" w:hAnsi="Times New Roman"/>
          <w:b/>
          <w:i/>
          <w:color w:val="000000"/>
          <w:sz w:val="20"/>
        </w:rPr>
        <w:t>Listing 4.2: Condensed session-validation behavior derived from `current_user`</w:t>
      </w:r>
    </w:p>
    <w:p>
      <w:pPr>
        <w:pStyle w:val="Heading2"/>
        <w:keepNext/>
        <w:spacing w:before="0" w:after="120" w:line="240" w:lineRule="auto"/>
        <w:jc w:val="both"/>
      </w:pPr>
      <w:r>
        <w:rPr>
          <w:rFonts w:ascii="Times New Roman" w:hAnsi="Times New Roman"/>
          <w:b/>
          <w:i w:val="0"/>
          <w:color w:val="000000"/>
          <w:sz w:val="26"/>
        </w:rPr>
        <w:t>4.14 Provider Eligibility and Selection Algorithm</w:t>
      </w:r>
    </w:p>
    <w:p>
      <w:pPr>
        <w:keepNext w:val="0"/>
        <w:spacing w:before="0" w:after="120" w:line="336" w:lineRule="auto"/>
        <w:jc w:val="both"/>
      </w:pPr>
      <w:r>
        <w:rPr>
          <w:rFonts w:ascii="Times New Roman" w:hAnsi="Times New Roman"/>
          <w:b w:val="0"/>
          <w:i w:val="0"/>
          <w:color w:val="000000"/>
          <w:sz w:val="23"/>
        </w:rPr>
        <w:t>The `compatible_provider` function implements the scheduler decision. It identifies workload-specific minimum CPU and RAM requirements, excludes the failed provider during recovery, considers only ONLINE or AVAILABLE providers, checks requested GPU presence, and requires FFmpeg/encoder capability for video compression or streaming. For remote streaming it additionally excludes providers with active stream sessions. Among survivors it selects the minimum of `cost_per_hour / (max(reliability, 1) / 100)`. A lower cost and a higher reliability value reduce the effective score. The function returns no candidate when every provider fails a rule, causing the job creation route to return a clear conflict response rather than creating an unschedulable job.</w:t>
      </w:r>
    </w:p>
    <w:p>
      <w:pPr>
        <w:spacing w:before="80" w:after="40"/>
        <w:jc w:val="center"/>
      </w:pPr>
      <w:r>
        <w:drawing>
          <wp:inline xmlns:a="http://schemas.openxmlformats.org/drawingml/2006/main" xmlns:pic="http://schemas.openxmlformats.org/drawingml/2006/picture">
            <wp:extent cx="5715000" cy="3333750"/>
            <wp:docPr id="14" name="Picture 14" descr="Image: image10.png"/>
            <wp:cNvGraphicFramePr>
              <a:graphicFrameLocks noChangeAspect="1"/>
            </wp:cNvGraphicFramePr>
            <a:graphic>
              <a:graphicData uri="http://schemas.openxmlformats.org/drawingml/2006/picture">
                <pic:pic>
                  <pic:nvPicPr>
                    <pic:cNvPr id="0" name="schedule.png"/>
                    <pic:cNvPicPr/>
                  </pic:nvPicPr>
                  <pic:blipFill>
                    <a:blip r:embed="rId19"/>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4.3: Detailed eligibility, scoring and dispatch sequence</w:t>
      </w:r>
    </w:p>
    <w:p>
      <w:pPr>
        <w:pStyle w:val="Heading2"/>
        <w:keepNext/>
        <w:spacing w:before="0" w:after="120" w:line="240" w:lineRule="auto"/>
        <w:jc w:val="both"/>
      </w:pPr>
      <w:r>
        <w:rPr>
          <w:rFonts w:ascii="Times New Roman" w:hAnsi="Times New Roman"/>
          <w:b/>
          <w:i w:val="0"/>
          <w:color w:val="000000"/>
          <w:sz w:val="26"/>
        </w:rPr>
        <w:t>4.15 Job State Transitions and Execution Updates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728"/>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6"/>
              </w:rPr>
              <w:t>State</w:t>
            </w:r>
          </w:p>
        </w:tc>
        <w:tc>
          <w:tcPr>
            <w:tcW w:type="dxa" w:w="2088"/>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6"/>
              </w:rPr>
              <w:t>Entered by</w:t>
            </w:r>
          </w:p>
        </w:tc>
        <w:tc>
          <w:tcPr>
            <w:tcW w:type="dxa" w:w="5760"/>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6"/>
              </w:rPr>
              <w:t>Meaning and next actions</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SCHEDULED</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Backend job creation</w:t>
            </w:r>
          </w:p>
        </w:tc>
        <w:tc>
          <w:tcPr>
            <w:tcW w:type="dxa" w:w="576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Provider selected and tokens reserved; provider polling may retrieve job.</w:t>
            </w:r>
          </w:p>
        </w:tc>
      </w:tr>
      <w:tr>
        <w:tc>
          <w:tcPr>
            <w:tcW w:type="dxa" w:w="172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RUNNING</w:t>
            </w:r>
          </w:p>
        </w:tc>
        <w:tc>
          <w:tcPr>
            <w:tcW w:type="dxa" w:w="208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Provider update</w:t>
            </w:r>
          </w:p>
        </w:tc>
        <w:tc>
          <w:tcPr>
            <w:tcW w:type="dxa" w:w="576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Execution began; started time recorded when absent; progress and checkpoints may follow.</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RECOVERING</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Recovery monitor</w:t>
            </w:r>
          </w:p>
        </w:tc>
        <w:tc>
          <w:tcPr>
            <w:tcW w:type="dxa" w:w="576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Lost provider is replaced; attempt increases and resume metadata is supplied.</w:t>
            </w:r>
          </w:p>
        </w:tc>
      </w:tr>
      <w:tr>
        <w:tc>
          <w:tcPr>
            <w:tcW w:type="dxa" w:w="172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COMPLETED</w:t>
            </w:r>
          </w:p>
        </w:tc>
        <w:tc>
          <w:tcPr>
            <w:tcW w:type="dxa" w:w="208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Provider update</w:t>
            </w:r>
          </w:p>
        </w:tc>
        <w:tc>
          <w:tcPr>
            <w:tcW w:type="dxa" w:w="576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Result recorded; provider returned ONLINE; reservation settled to actual usage.</w:t>
            </w:r>
          </w:p>
        </w:tc>
      </w:tr>
      <w:tr>
        <w:tc>
          <w:tcPr>
            <w:tcW w:type="dxa" w:w="172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FAILED</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Provider or recovery monitor</w:t>
            </w:r>
          </w:p>
        </w:tc>
        <w:tc>
          <w:tcPr>
            <w:tcW w:type="dxa" w:w="576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6"/>
              </w:rPr>
              <w:t>Failure result persisted; reservation settlement/refund behavior applies.</w:t>
            </w:r>
          </w:p>
        </w:tc>
      </w:tr>
      <w:tr>
        <w:tc>
          <w:tcPr>
            <w:tcW w:type="dxa" w:w="172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CANCELLED</w:t>
            </w:r>
          </w:p>
        </w:tc>
        <w:tc>
          <w:tcPr>
            <w:tcW w:type="dxa" w:w="208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User cancel/stop-all</w:t>
            </w:r>
          </w:p>
        </w:tc>
        <w:tc>
          <w:tcPr>
            <w:tcW w:type="dxa" w:w="576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6"/>
              </w:rPr>
              <w:t>Application state records cancellation; provider-stop coverage is a future reliability item.</w:t>
            </w:r>
          </w:p>
        </w:tc>
      </w:tr>
    </w:tbl>
    <w:p>
      <w:pPr>
        <w:spacing w:before="40" w:after="160"/>
        <w:jc w:val="center"/>
      </w:pPr>
      <w:r>
        <w:rPr>
          <w:rFonts w:ascii="Times New Roman" w:hAnsi="Times New Roman"/>
          <w:b/>
          <w:i/>
          <w:color w:val="000000"/>
          <w:sz w:val="20"/>
        </w:rPr>
        <w:t>Table 4.2: Job states, authors and resulting control-plane behavior</w:t>
      </w:r>
    </w:p>
    <w:p>
      <w:pPr>
        <w:keepNext w:val="0"/>
        <w:spacing w:before="0" w:after="120" w:line="336" w:lineRule="auto"/>
        <w:jc w:val="both"/>
      </w:pPr>
      <w:r>
        <w:rPr>
          <w:rFonts w:ascii="Times New Roman" w:hAnsi="Times New Roman"/>
          <w:b w:val="0"/>
          <w:i w:val="0"/>
          <w:color w:val="000000"/>
          <w:sz w:val="23"/>
        </w:rPr>
        <w:t>The update route uses an attempt number as a fencing token. A provider message whose attempt does not match the stored attempt is rejected with HTTP 409. This prevents a late result from the failed provider attempt from overwriting a newer recovery attempt. The provider sends RUNNING before execution, progress/checkpoints during supported workloads and a terminal update with an elapsed duration/result payload. When a terminal update still has reserved tokens, the backend performs idempotent settlement by clearing the reservation, returning it to the wallet and debiting actual successful usage where applicable.</w:t>
      </w:r>
    </w:p>
    <w:p>
      <w:pPr>
        <w:pStyle w:val="Heading2"/>
        <w:keepNext/>
        <w:spacing w:before="0" w:after="120" w:line="240" w:lineRule="auto"/>
        <w:jc w:val="both"/>
      </w:pPr>
      <w:r>
        <w:rPr>
          <w:rFonts w:ascii="Times New Roman" w:hAnsi="Times New Roman"/>
          <w:b/>
          <w:i w:val="0"/>
          <w:color w:val="000000"/>
          <w:sz w:val="26"/>
        </w:rPr>
        <w:t>4.16 Checkpoint Storage Integrity and Recovery</w:t>
      </w:r>
    </w:p>
    <w:p>
      <w:pPr>
        <w:keepNext w:val="0"/>
        <w:spacing w:before="0" w:after="120" w:line="336" w:lineRule="auto"/>
        <w:jc w:val="both"/>
      </w:pPr>
      <w:r>
        <w:rPr>
          <w:rFonts w:ascii="Times New Roman" w:hAnsi="Times New Roman"/>
          <w:b w:val="0"/>
          <w:i w:val="0"/>
          <w:color w:val="000000"/>
          <w:sz w:val="23"/>
        </w:rPr>
        <w:t>Checkpoint requests are accepted only for existing jobs and current attempts. The backend computes a canonical JSON hash for state payloads and rejects a supplied nonmatching hash. It assigns a sequence number when one is not supplied and stores the provider identifier, attempt, progress, state version, hash, payload and timestamp. Latest and historical checkpoint routes make the state available to authenticated providers, while the user checkpoint route joins jobs to limit results to the caller. On recovery, the provider obtains the latest valid checkpoint and passes workload-specific resume state into matrix/prime/Fibonacci functions. Arbitrary custom Python does not claim transparent memory migration; it cleanly starts again.</w:t>
      </w:r>
    </w:p>
    <w:p>
      <w:pPr>
        <w:pStyle w:val="Heading2"/>
        <w:keepNext/>
        <w:spacing w:before="0" w:after="120" w:line="240" w:lineRule="auto"/>
        <w:jc w:val="both"/>
      </w:pPr>
      <w:r>
        <w:rPr>
          <w:rFonts w:ascii="Times New Roman" w:hAnsi="Times New Roman"/>
          <w:b/>
          <w:i w:val="0"/>
          <w:color w:val="000000"/>
          <w:sz w:val="26"/>
        </w:rPr>
        <w:t>4.17 Artifact Upload Validation and Video Processing</w:t>
      </w:r>
    </w:p>
    <w:p>
      <w:pPr>
        <w:keepNext w:val="0"/>
        <w:spacing w:before="0" w:after="120" w:line="336" w:lineRule="auto"/>
        <w:jc w:val="both"/>
      </w:pPr>
      <w:r>
        <w:rPr>
          <w:rFonts w:ascii="Times New Roman" w:hAnsi="Times New Roman"/>
          <w:b w:val="0"/>
          <w:i w:val="0"/>
          <w:color w:val="000000"/>
          <w:sz w:val="23"/>
        </w:rPr>
        <w:t>User video upload begins with extension and MIME allow lists. The server reads the uploaded file in chunks into an artifact-specific directory while enforcing a configured maximum byte count. It resolves FFmpeg through PATH or imageio-ffmpeg and probes duration, dimensions, codec, frame rate and audio presence. The route rejects a missing/invalid video or duration above the configured limit, computes a SHA-256 checksum, stores metadata in `job_artifacts`, records an audit event and returns non-sensitive metadata. The job creation route verifies that a video compression input artifact belongs to the authenticated user before attaching it to the job. The provider later downloads the matching input path, creates an output and uploads the result artifact.</w:t>
      </w:r>
    </w:p>
    <w:p>
      <w:pPr>
        <w:spacing w:before="80" w:after="40"/>
        <w:jc w:val="center"/>
      </w:pPr>
      <w:r>
        <w:drawing>
          <wp:inline xmlns:a="http://schemas.openxmlformats.org/drawingml/2006/main" xmlns:pic="http://schemas.openxmlformats.org/drawingml/2006/picture">
            <wp:extent cx="5715000" cy="3333750"/>
            <wp:docPr id="15" name="Picture 15" descr="Image: image13.png"/>
            <wp:cNvGraphicFramePr>
              <a:graphicFrameLocks noChangeAspect="1"/>
            </wp:cNvGraphicFramePr>
            <a:graphic>
              <a:graphicData uri="http://schemas.openxmlformats.org/drawingml/2006/picture">
                <pic:pic>
                  <pic:nvPicPr>
                    <pic:cNvPr id="0" name="artifact.png"/>
                    <pic:cNvPicPr/>
                  </pic:nvPicPr>
                  <pic:blipFill>
                    <a:blip r:embed="rId22"/>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4.4: Artifact upload, validation, provider transfer and output ownership flow</w:t>
      </w:r>
    </w:p>
    <w:p>
      <w:pPr>
        <w:pStyle w:val="Heading2"/>
        <w:keepNext/>
        <w:spacing w:before="0" w:after="120" w:line="240" w:lineRule="auto"/>
        <w:jc w:val="both"/>
      </w:pPr>
      <w:r>
        <w:rPr>
          <w:rFonts w:ascii="Times New Roman" w:hAnsi="Times New Roman"/>
          <w:b/>
          <w:i w:val="0"/>
          <w:color w:val="000000"/>
          <w:sz w:val="26"/>
        </w:rPr>
        <w:t>4.18 Token Wallet Reservation Settlement and Refunds</w:t>
      </w:r>
    </w:p>
    <w:p>
      <w:pPr>
        <w:keepNext w:val="0"/>
        <w:spacing w:before="0" w:after="120" w:line="336" w:lineRule="auto"/>
        <w:jc w:val="both"/>
      </w:pPr>
      <w:r>
        <w:rPr>
          <w:rFonts w:ascii="Times New Roman" w:hAnsi="Times New Roman"/>
          <w:b w:val="0"/>
          <w:i w:val="0"/>
          <w:color w:val="000000"/>
          <w:sz w:val="23"/>
        </w:rPr>
        <w:t>Token accounting is server owned. `wallet_for` creates a wallet and initial adjustment only where a user has no wallet. `token_ledger` records transaction type, signed amount, balance before/after, reference type, reference ID, description and optional job ID; it rejects a debit that would make the balance negative. `estimate_tokens` derives a reservation from workload requirements. Job creation creates both a negative reservation transaction and a `job_billing` record. Terminal successful completion uses the reported elapsed seconds to calculate a bounded actual token amount, returns the reservation and debits usage. Failure or provider loss can return an outstanding reservation. Package purchase and demo top-up are application token credits rather than card-network charges.</w:t>
      </w:r>
    </w:p>
    <w:p>
      <w:pPr>
        <w:spacing w:before="80" w:after="40"/>
        <w:jc w:val="center"/>
      </w:pPr>
      <w:r>
        <w:drawing>
          <wp:inline xmlns:a="http://schemas.openxmlformats.org/drawingml/2006/main" xmlns:pic="http://schemas.openxmlformats.org/drawingml/2006/picture">
            <wp:extent cx="5715000" cy="3333750"/>
            <wp:docPr id="16" name="Picture 16" descr="Image: image14.png"/>
            <wp:cNvGraphicFramePr>
              <a:graphicFrameLocks noChangeAspect="1"/>
            </wp:cNvGraphicFramePr>
            <a:graphic>
              <a:graphicData uri="http://schemas.openxmlformats.org/drawingml/2006/picture">
                <pic:pic>
                  <pic:nvPicPr>
                    <pic:cNvPr id="0" name="wallet.png"/>
                    <pic:cNvPicPr/>
                  </pic:nvPicPr>
                  <pic:blipFill>
                    <a:blip r:embed="rId23"/>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4.5: Wallet creation, reservation, settlement, refund and simulated purchase flow</w:t>
      </w:r>
    </w:p>
    <w:p>
      <w:pPr>
        <w:pStyle w:val="Heading2"/>
        <w:keepNext/>
        <w:spacing w:before="0" w:after="120" w:line="240" w:lineRule="auto"/>
        <w:jc w:val="both"/>
      </w:pPr>
      <w:r>
        <w:rPr>
          <w:rFonts w:ascii="Times New Roman" w:hAnsi="Times New Roman"/>
          <w:b/>
          <w:i w:val="0"/>
          <w:color w:val="000000"/>
          <w:sz w:val="26"/>
        </w:rPr>
        <w:t>4.19 REST API and WebSocket Topic Design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API group</w:t>
            </w:r>
          </w:p>
        </w:tc>
        <w:tc>
          <w:tcPr>
            <w:tcW w:type="dxa" w:w="4104"/>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Representative routes</w:t>
            </w:r>
          </w:p>
        </w:tc>
        <w:tc>
          <w:tcPr>
            <w:tcW w:type="dxa" w:w="1800"/>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Authentication</w:t>
            </w:r>
          </w:p>
        </w:tc>
        <w:tc>
          <w:tcPr>
            <w:tcW w:type="dxa" w:w="2592"/>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Primary effect</w:t>
            </w:r>
          </w:p>
        </w:tc>
      </w:tr>
      <w:tr>
        <w:tc>
          <w:tcPr>
            <w:tcW w:type="dxa" w:w="165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Identity</w:t>
            </w:r>
          </w:p>
        </w:tc>
        <w:tc>
          <w:tcPr>
            <w:tcW w:type="dxa" w:w="410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POST /auth/register; POST /auth/login</w:t>
            </w:r>
          </w:p>
        </w:tc>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Public</w:t>
            </w:r>
          </w:p>
        </w:tc>
        <w:tc>
          <w:tcPr>
            <w:tcW w:type="dxa" w:w="259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User/session creation or token return</w:t>
            </w:r>
          </w:p>
        </w:tc>
      </w:tr>
      <w:tr>
        <w:tc>
          <w:tcPr>
            <w:tcW w:type="dxa" w:w="165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User workload</w:t>
            </w:r>
          </w:p>
        </w:tc>
        <w:tc>
          <w:tcPr>
            <w:tcW w:type="dxa" w:w="410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GET/POST /jobs; POST /jobs/{id}/cancel; GET /checkpoints</w:t>
            </w:r>
          </w:p>
        </w:tc>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Bearer JWT</w:t>
            </w:r>
          </w:p>
        </w:tc>
        <w:tc>
          <w:tcPr>
            <w:tcW w:type="dxa" w:w="259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Create, inspect and alter owned job state</w:t>
            </w:r>
          </w:p>
        </w:tc>
      </w:tr>
      <w:tr>
        <w:tc>
          <w:tcPr>
            <w:tcW w:type="dxa" w:w="165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Provider</w:t>
            </w:r>
          </w:p>
        </w:tc>
        <w:tc>
          <w:tcPr>
            <w:tcW w:type="dxa" w:w="410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POST /providers/register; heartbeat; pending; update; checkpoint</w:t>
            </w:r>
          </w:p>
        </w:tc>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Provider token</w:t>
            </w:r>
          </w:p>
        </w:tc>
        <w:tc>
          <w:tcPr>
            <w:tcW w:type="dxa" w:w="259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Capacity state and execution lifecycle</w:t>
            </w:r>
          </w:p>
        </w:tc>
      </w:tr>
      <w:tr>
        <w:tc>
          <w:tcPr>
            <w:tcW w:type="dxa" w:w="165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Artifacts</w:t>
            </w:r>
          </w:p>
        </w:tc>
        <w:tc>
          <w:tcPr>
            <w:tcW w:type="dxa" w:w="410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upload, metadata, user download, provider download/output upload</w:t>
            </w:r>
          </w:p>
        </w:tc>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JWT or provider token</w:t>
            </w:r>
          </w:p>
        </w:tc>
        <w:tc>
          <w:tcPr>
            <w:tcW w:type="dxa" w:w="259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Transfer and ownership-controlled file access</w:t>
            </w:r>
          </w:p>
        </w:tc>
      </w:tr>
      <w:tr>
        <w:tc>
          <w:tcPr>
            <w:tcW w:type="dxa" w:w="165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Billing</w:t>
            </w:r>
          </w:p>
        </w:tc>
        <w:tc>
          <w:tcPr>
            <w:tcW w:type="dxa" w:w="410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GET /billing; transactions; purchase; demo-topup</w:t>
            </w:r>
          </w:p>
        </w:tc>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Bearer JWT</w:t>
            </w:r>
          </w:p>
        </w:tc>
        <w:tc>
          <w:tcPr>
            <w:tcW w:type="dxa" w:w="259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Read/change application token ledger</w:t>
            </w:r>
          </w:p>
        </w:tc>
      </w:tr>
      <w:tr>
        <w:tc>
          <w:tcPr>
            <w:tcW w:type="dxa" w:w="1656"/>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Streaming</w:t>
            </w:r>
          </w:p>
        </w:tc>
        <w:tc>
          <w:tcPr>
            <w:tcW w:type="dxa" w:w="410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stream sessions, claim, heartbeat, stopped, MediaMTX auth</w:t>
            </w:r>
          </w:p>
        </w:tc>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Context-specific</w:t>
            </w:r>
          </w:p>
        </w:tc>
        <w:tc>
          <w:tcPr>
            <w:tcW w:type="dxa" w:w="259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Allocate and supervise stream session</w:t>
            </w:r>
          </w:p>
        </w:tc>
      </w:tr>
      <w:tr>
        <w:tc>
          <w:tcPr>
            <w:tcW w:type="dxa" w:w="1656"/>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Realtime</w:t>
            </w:r>
          </w:p>
        </w:tc>
        <w:tc>
          <w:tcPr>
            <w:tcW w:type="dxa" w:w="410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WS /ws/realtime</w:t>
            </w:r>
          </w:p>
        </w:tc>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JWT in subprotocol</w:t>
            </w:r>
          </w:p>
        </w:tc>
        <w:tc>
          <w:tcPr>
            <w:tcW w:type="dxa" w:w="259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Topic subscription and event delivery</w:t>
            </w:r>
          </w:p>
        </w:tc>
      </w:tr>
    </w:tbl>
    <w:p>
      <w:pPr>
        <w:spacing w:before="40" w:after="160"/>
        <w:jc w:val="center"/>
      </w:pPr>
      <w:r>
        <w:rPr>
          <w:rFonts w:ascii="Times New Roman" w:hAnsi="Times New Roman"/>
          <w:b/>
          <w:i/>
          <w:color w:val="000000"/>
          <w:sz w:val="20"/>
        </w:rPr>
        <w:t>Table 4.3: Representative REST and realtime interface groups</w:t>
      </w:r>
    </w:p>
    <w:p>
      <w:pPr>
        <w:keepNext w:val="0"/>
        <w:spacing w:before="0" w:after="120" w:line="336" w:lineRule="auto"/>
        <w:jc w:val="both"/>
      </w:pPr>
      <w:r>
        <w:rPr>
          <w:rFonts w:ascii="Times New Roman" w:hAnsi="Times New Roman"/>
          <w:b w:val="0"/>
          <w:i w:val="0"/>
          <w:color w:val="000000"/>
          <w:sz w:val="23"/>
        </w:rPr>
        <w:t>The realtime endpoint accepts subscriptions to telemetry, providers, jobs, checkpoints, billing, resources and streams. It checks browser origin, authenticates a token carried in the WebSocket protocol list, caps connection/message characteristics, validates topic names and responds to a ping. The server publishes already committed state changes. The frontend still treats REST reads as authoritative and uses a refresh after reconnect or event-driven resync, preventing the realtime channel from becoming a separate persistence source.</w:t>
      </w:r>
    </w:p>
    <w:p>
      <w:pPr>
        <w:pStyle w:val="Heading2"/>
        <w:keepNext/>
        <w:spacing w:before="0" w:after="120" w:line="240" w:lineRule="auto"/>
        <w:jc w:val="both"/>
      </w:pPr>
      <w:r>
        <w:rPr>
          <w:rFonts w:ascii="Times New Roman" w:hAnsi="Times New Roman"/>
          <w:b/>
          <w:i w:val="0"/>
          <w:color w:val="000000"/>
          <w:sz w:val="26"/>
        </w:rPr>
        <w:t>4.20 Stream Sessions MediaMTX Authorization and FFmpeg</w:t>
      </w:r>
    </w:p>
    <w:p>
      <w:pPr>
        <w:keepNext w:val="0"/>
        <w:spacing w:before="0" w:after="120" w:line="336" w:lineRule="auto"/>
        <w:jc w:val="both"/>
      </w:pPr>
      <w:r>
        <w:rPr>
          <w:rFonts w:ascii="Times New Roman" w:hAnsi="Times New Roman"/>
          <w:b w:val="0"/>
          <w:i w:val="0"/>
          <w:color w:val="000000"/>
          <w:sz w:val="23"/>
        </w:rPr>
        <w:t>A stream-session request validates that its source mode is OBS or browser capture, destination platform is YouTube/Twitch/custom RTMP, profile exists, wallet balance meets the minimum, destination uses RTMP or RTMPS and does not resolve to forbidden local/internal addresses. The backend then selects a provider with capacity, FFmpeg availability and a usable H.264 encoder. It stores an allocated `stream_sessions` record containing a generated session ID, publish/read keys, encrypted destination key, profile/encoder configuration, token rate and state metrics. The owner obtains session credentials only through authorized calls; the provider receives the destination credentials only after a single-use claim of its assigned session.</w:t>
      </w:r>
    </w:p>
    <w:p>
      <w:pPr>
        <w:spacing w:before="80" w:after="40"/>
        <w:jc w:val="center"/>
      </w:pPr>
      <w:r>
        <w:drawing>
          <wp:inline xmlns:a="http://schemas.openxmlformats.org/drawingml/2006/main" xmlns:pic="http://schemas.openxmlformats.org/drawingml/2006/picture">
            <wp:extent cx="5715000" cy="3333750"/>
            <wp:docPr id="17" name="Picture 17" descr="Image: image15.png"/>
            <wp:cNvGraphicFramePr>
              <a:graphicFrameLocks noChangeAspect="1"/>
            </wp:cNvGraphicFramePr>
            <a:graphic>
              <a:graphicData uri="http://schemas.openxmlformats.org/drawingml/2006/picture">
                <pic:pic>
                  <pic:nvPicPr>
                    <pic:cNvPr id="0" name="stream.png"/>
                    <pic:cNvPicPr/>
                  </pic:nvPicPr>
                  <pic:blipFill>
                    <a:blip r:embed="rId24"/>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4.6: Remote streaming session, MediaMTX authorization and provider FFmpeg pathway</w:t>
      </w:r>
    </w:p>
    <w:p>
      <w:pPr>
        <w:keepNext w:val="0"/>
        <w:spacing w:before="0" w:after="120" w:line="336" w:lineRule="auto"/>
        <w:jc w:val="both"/>
      </w:pPr>
      <w:r>
        <w:rPr>
          <w:rFonts w:ascii="Times New Roman" w:hAnsi="Times New Roman"/>
          <w:b w:val="0"/>
          <w:i w:val="0"/>
          <w:color w:val="000000"/>
          <w:sz w:val="23"/>
        </w:rPr>
        <w:t>The MediaMTX callback authenticates publish/read attempts against the active session path and credential. The provider stream runner creates FFmpeg arguments for the chosen profile, parses progress, reports valid stream state and asks the backend for continue/stop action through heartbeat. The backend accrues stream tokens only while state is STREAMING and at least a full minute has elapsed. On a final stopped message it stores metrics/errors, releases the provider and clears the session credentials. This is a fully specified repository workflow, while a real public broadcast still depends on separately operating MediaMTX, networking and destination credentials.</w:t>
      </w:r>
    </w:p>
    <w:p>
      <w:pPr>
        <w:keepNext w:val="0"/>
        <w:spacing w:before="0" w:after="120" w:line="360" w:lineRule="auto"/>
        <w:jc w:val="both"/>
      </w:pPr>
      <w:r>
        <w:rPr>
          <w:rFonts w:ascii="Times New Roman" w:hAnsi="Times New Roman"/>
          <w:b w:val="0"/>
          <w:i w:val="0"/>
          <w:color w:val="000000"/>
          <w:sz w:val="24"/>
        </w:rPr>
        <w:t>Streaming sessions add a specialized but optional workflow. The backend validates destination platform, profile, token balance, URL host/scheme and provider FFmpeg capability. It creates session-scoped publish/read credentials and encrypts the destination key with Fernet derived from the configured JWT secret. MediaMTX sends publish/read authorization requests to an internal backend callback. The assigned provider claims exactly one session through the provider API, receives a source URL and destination credentials, starts FFmpeg and sends stream heartbeat metrics. Stream stop may be immediate before claim or asynchronous after a STOPPING command. Figure 4.3 depicts this source-backed topology; it must not be treated as a demonstrated public broadcast.</w:t>
      </w:r>
    </w:p>
    <w:p>
      <w:pPr>
        <w:jc w:val="center"/>
      </w:pPr>
      <w:r>
        <w:drawing>
          <wp:inline xmlns:a="http://schemas.openxmlformats.org/drawingml/2006/main" xmlns:pic="http://schemas.openxmlformats.org/drawingml/2006/picture">
            <wp:extent cx="5715000" cy="3214688"/>
            <wp:docPr id="5" name="Picture 5" descr="Image: image5.png"/>
            <wp:cNvGraphicFramePr>
              <a:graphicFrameLocks noChangeAspect="1"/>
            </wp:cNvGraphicFramePr>
            <a:graphic>
              <a:graphicData uri="http://schemas.openxmlformats.org/drawingml/2006/picture">
                <pic:pic>
                  <pic:nvPicPr>
                    <pic:cNvPr id="0" name="fig37_stream.png"/>
                    <pic:cNvPicPr/>
                  </pic:nvPicPr>
                  <pic:blipFill>
                    <a:blip r:embed="rId14"/>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color w:val="000000"/>
          <w:sz w:val="21"/>
        </w:rPr>
        <w:t>Figure 4.7: Optional MediaMTX and FFmpeg remote streaming architecture</w:t>
      </w:r>
    </w:p>
    <w:p>
      <w:r>
        <w:br w:type="page"/>
      </w:r>
    </w:p>
    <w:p>
      <w:pPr>
        <w:spacing w:before="2400" w:after="360"/>
        <w:jc w:val="center"/>
      </w:pPr>
      <w:r>
        <w:rPr>
          <w:rFonts w:ascii="Times New Roman" w:hAnsi="Times New Roman"/>
          <w:b/>
          <w:i w:val="0"/>
          <w:color w:val="000000"/>
          <w:sz w:val="36"/>
        </w:rPr>
        <w:t>CHAPTER 5</w:t>
      </w:r>
    </w:p>
    <w:p>
      <w:pPr>
        <w:spacing w:after="1200"/>
        <w:jc w:val="center"/>
      </w:pPr>
      <w:r>
        <w:rPr>
          <w:rFonts w:ascii="Times New Roman" w:hAnsi="Times New Roman"/>
          <w:b/>
          <w:i w:val="0"/>
          <w:color w:val="000000"/>
          <w:sz w:val="36"/>
        </w:rPr>
        <w:t>RESULTS AND ANALYSIS</w:t>
      </w:r>
    </w:p>
    <w:p>
      <w:pPr>
        <w:pStyle w:val="Heading1"/>
        <w:keepNext/>
        <w:spacing w:before="280" w:after="140"/>
        <w:jc w:val="both"/>
      </w:pPr>
      <w:r>
        <w:rPr>
          <w:rFonts w:ascii="Times New Roman" w:hAnsi="Times New Roman"/>
          <w:b/>
          <w:i w:val="0"/>
          <w:color w:val="000000"/>
          <w:sz w:val="30"/>
        </w:rPr>
        <w:t>CHAPTER 5 RESULTS AND ANALYSIS</w:t>
      </w:r>
    </w:p>
    <w:p>
      <w:pPr>
        <w:pStyle w:val="Heading2"/>
        <w:keepNext/>
        <w:spacing w:before="180" w:after="140"/>
        <w:jc w:val="both"/>
      </w:pPr>
      <w:r>
        <w:rPr>
          <w:rFonts w:ascii="Times New Roman" w:hAnsi="Times New Roman"/>
          <w:b/>
          <w:i w:val="0"/>
          <w:color w:val="000000"/>
          <w:sz w:val="26"/>
        </w:rPr>
        <w:t>5.1 Qualitative Results and Implementation Artifacts</w:t>
      </w:r>
    </w:p>
    <w:p>
      <w:pPr>
        <w:keepNext w:val="0"/>
        <w:spacing w:before="0" w:after="120" w:line="360" w:lineRule="auto"/>
        <w:jc w:val="both"/>
      </w:pPr>
      <w:r>
        <w:rPr>
          <w:rFonts w:ascii="Times New Roman" w:hAnsi="Times New Roman"/>
          <w:b w:val="0"/>
          <w:i w:val="0"/>
          <w:color w:val="000000"/>
          <w:sz w:val="24"/>
        </w:rPr>
        <w:t>The strongest result available for this report is implementation evidence, not a performance benchmark. Repository inspection confirms a coherent control-plane/provider path: user routes, provider routes, data models, scheduling logic, background recovery logic, frontend pages, stream configuration and test files are present. The frontend includes views for overview, jobs, providers, resource-pool simulation, billing, analytics, settings and streaming. The backend includes routes for those user workflows and provider-facing polling/update operations. Figure 5.1 presents the data relationships that make the workflow durable at application level.</w:t>
      </w:r>
    </w:p>
    <w:p>
      <w:pPr>
        <w:jc w:val="center"/>
      </w:pPr>
      <w:r>
        <w:drawing>
          <wp:inline xmlns:a="http://schemas.openxmlformats.org/drawingml/2006/main" xmlns:pic="http://schemas.openxmlformats.org/drawingml/2006/picture">
            <wp:extent cx="5715000" cy="3214688"/>
            <wp:docPr id="6" name="Picture 6" descr="Image: image6.png"/>
            <wp:cNvGraphicFramePr>
              <a:graphicFrameLocks noChangeAspect="1"/>
            </wp:cNvGraphicFramePr>
            <a:graphic>
              <a:graphicData uri="http://schemas.openxmlformats.org/drawingml/2006/picture">
                <pic:pic>
                  <pic:nvPicPr>
                    <pic:cNvPr id="0" name="fig35_er.png"/>
                    <pic:cNvPicPr/>
                  </pic:nvPicPr>
                  <pic:blipFill>
                    <a:blip r:embed="rId15"/>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color w:val="000000"/>
          <w:sz w:val="21"/>
        </w:rPr>
        <w:t>Figure 5.1: Entity relationship view derived from SQLAlchemy model declarations</w:t>
      </w:r>
    </w:p>
    <w:p>
      <w:pPr>
        <w:pStyle w:val="Heading2"/>
        <w:keepNext/>
        <w:spacing w:before="180" w:after="140"/>
        <w:jc w:val="both"/>
      </w:pPr>
      <w:r>
        <w:rPr>
          <w:rFonts w:ascii="Times New Roman" w:hAnsi="Times New Roman"/>
          <w:b/>
          <w:i w:val="0"/>
          <w:color w:val="000000"/>
          <w:sz w:val="26"/>
        </w:rPr>
        <w:t>5.2 Quantitative Validation Evidence</w:t>
      </w:r>
    </w:p>
    <w:p>
      <w:pPr>
        <w:keepNext w:val="0"/>
        <w:spacing w:before="0" w:after="120" w:line="360" w:lineRule="auto"/>
        <w:jc w:val="both"/>
      </w:pPr>
      <w:r>
        <w:rPr>
          <w:rFonts w:ascii="Times New Roman" w:hAnsi="Times New Roman"/>
          <w:b w:val="0"/>
          <w:i w:val="0"/>
          <w:color w:val="000000"/>
          <w:sz w:val="24"/>
        </w:rPr>
        <w:t>The audit recorded only the checks that were actually executed. Both primary Python modules compiled successfully with `py_compile`. The Node test runner executed twelve frontend utility tests across browser capture and stream stopping with zero failures. These tests covered error reporting, WHIP negotiation/cleanup behavior, capture cleanup, backend stop confirmation and idempotent combined cleanup. They do not demonstrate a native capture session, a media server or a remote destination broadcast.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528"/>
            <w:vAlign w:val="center"/>
            <w:shd w:fill="163A5F"/>
            <w:tcMar>
              <w:top w:w="90" w:type="dxa"/>
              <w:start w:w="90" w:type="dxa"/>
              <w:bottom w:w="90" w:type="dxa"/>
              <w:end w:w="90" w:type="dxa"/>
            </w:tcMar>
          </w:tcPr>
          <w:p>
            <w:pPr>
              <w:jc w:val="left"/>
            </w:pPr>
            <w:r/>
            <w:r>
              <w:rPr>
                <w:rFonts w:ascii="Times New Roman" w:hAnsi="Times New Roman"/>
                <w:b/>
                <w:color w:val="FFFFFF"/>
                <w:sz w:val="17"/>
              </w:rPr>
              <w:t>Validation activity</w:t>
            </w:r>
          </w:p>
        </w:tc>
        <w:tc>
          <w:tcPr>
            <w:tcW w:type="dxa" w:w="1800"/>
            <w:vAlign w:val="center"/>
            <w:shd w:fill="163A5F"/>
            <w:tcMar>
              <w:top w:w="90" w:type="dxa"/>
              <w:start w:w="90" w:type="dxa"/>
              <w:bottom w:w="90" w:type="dxa"/>
              <w:end w:w="90" w:type="dxa"/>
            </w:tcMar>
          </w:tcPr>
          <w:p>
            <w:pPr>
              <w:jc w:val="left"/>
            </w:pPr>
            <w:r/>
            <w:r>
              <w:rPr>
                <w:rFonts w:ascii="Times New Roman" w:hAnsi="Times New Roman"/>
                <w:b/>
                <w:color w:val="FFFFFF"/>
                <w:sz w:val="17"/>
              </w:rPr>
              <w:t>Result</w:t>
            </w:r>
          </w:p>
        </w:tc>
        <w:tc>
          <w:tcPr>
            <w:tcW w:type="dxa" w:w="4032"/>
            <w:vAlign w:val="center"/>
            <w:shd w:fill="163A5F"/>
            <w:tcMar>
              <w:top w:w="90" w:type="dxa"/>
              <w:start w:w="90" w:type="dxa"/>
              <w:bottom w:w="90" w:type="dxa"/>
              <w:end w:w="90" w:type="dxa"/>
            </w:tcMar>
          </w:tcPr>
          <w:p>
            <w:pPr>
              <w:jc w:val="left"/>
            </w:pPr>
            <w:r/>
            <w:r>
              <w:rPr>
                <w:rFonts w:ascii="Times New Roman" w:hAnsi="Times New Roman"/>
                <w:b/>
                <w:color w:val="FFFFFF"/>
                <w:sz w:val="17"/>
              </w:rPr>
              <w:t>Interpretation</w:t>
            </w:r>
          </w:p>
        </w:tc>
      </w:tr>
      <w:tr>
        <w:tc>
          <w:tcPr>
            <w:tcW w:type="dxa" w:w="3528"/>
            <w:vAlign w:val="center"/>
            <w:tcMar>
              <w:top w:w="90" w:type="dxa"/>
              <w:start w:w="90" w:type="dxa"/>
              <w:bottom w:w="90" w:type="dxa"/>
              <w:end w:w="90" w:type="dxa"/>
            </w:tcMar>
          </w:tcPr>
          <w:p>
            <w:pPr>
              <w:jc w:val="left"/>
            </w:pPr>
            <w:r/>
            <w:r>
              <w:rPr>
                <w:rFonts w:ascii="Times New Roman" w:hAnsi="Times New Roman"/>
                <w:b w:val="0"/>
                <w:sz w:val="17"/>
              </w:rPr>
              <w:t>Python syntax compilation: backend and provider modules</w:t>
            </w:r>
          </w:p>
        </w:tc>
        <w:tc>
          <w:tcPr>
            <w:tcW w:type="dxa" w:w="1800"/>
            <w:vAlign w:val="center"/>
            <w:tcMar>
              <w:top w:w="90" w:type="dxa"/>
              <w:start w:w="90" w:type="dxa"/>
              <w:bottom w:w="90" w:type="dxa"/>
              <w:end w:w="90" w:type="dxa"/>
            </w:tcMar>
          </w:tcPr>
          <w:p>
            <w:pPr>
              <w:jc w:val="left"/>
            </w:pPr>
            <w:r/>
            <w:r>
              <w:rPr>
                <w:rFonts w:ascii="Times New Roman" w:hAnsi="Times New Roman"/>
                <w:b w:val="0"/>
                <w:sz w:val="17"/>
              </w:rPr>
              <w:t>Passed, exit code 0</w:t>
            </w:r>
          </w:p>
        </w:tc>
        <w:tc>
          <w:tcPr>
            <w:tcW w:type="dxa" w:w="4032"/>
            <w:vAlign w:val="center"/>
            <w:tcMar>
              <w:top w:w="90" w:type="dxa"/>
              <w:start w:w="90" w:type="dxa"/>
              <w:bottom w:w="90" w:type="dxa"/>
              <w:end w:w="90" w:type="dxa"/>
            </w:tcMar>
          </w:tcPr>
          <w:p>
            <w:pPr>
              <w:jc w:val="left"/>
            </w:pPr>
            <w:r/>
            <w:r>
              <w:rPr>
                <w:rFonts w:ascii="Times New Roman" w:hAnsi="Times New Roman"/>
                <w:b w:val="0"/>
                <w:sz w:val="17"/>
              </w:rPr>
              <w:t>Modules parsed; runtime behavior not established</w:t>
            </w:r>
          </w:p>
        </w:tc>
      </w:tr>
      <w:tr>
        <w:tc>
          <w:tcPr>
            <w:tcW w:type="dxa" w:w="3528"/>
            <w:vAlign w:val="center"/>
            <w:tcMar>
              <w:top w:w="90" w:type="dxa"/>
              <w:start w:w="90" w:type="dxa"/>
              <w:bottom w:w="90" w:type="dxa"/>
              <w:end w:w="90" w:type="dxa"/>
            </w:tcMar>
            <w:shd w:fill="F7FAFC"/>
          </w:tcPr>
          <w:p>
            <w:pPr>
              <w:jc w:val="left"/>
            </w:pPr>
            <w:r/>
            <w:r>
              <w:rPr>
                <w:rFonts w:ascii="Times New Roman" w:hAnsi="Times New Roman"/>
                <w:b w:val="0"/>
                <w:sz w:val="17"/>
              </w:rPr>
              <w:t>Node utility tests for browser capture and stream stop</w:t>
            </w:r>
          </w:p>
        </w:tc>
        <w:tc>
          <w:tcPr>
            <w:tcW w:type="dxa" w:w="1800"/>
            <w:vAlign w:val="center"/>
            <w:tcMar>
              <w:top w:w="90" w:type="dxa"/>
              <w:start w:w="90" w:type="dxa"/>
              <w:bottom w:w="90" w:type="dxa"/>
              <w:end w:w="90" w:type="dxa"/>
            </w:tcMar>
            <w:shd w:fill="F7FAFC"/>
          </w:tcPr>
          <w:p>
            <w:pPr>
              <w:jc w:val="left"/>
            </w:pPr>
            <w:r/>
            <w:r>
              <w:rPr>
                <w:rFonts w:ascii="Times New Roman" w:hAnsi="Times New Roman"/>
                <w:b w:val="0"/>
                <w:sz w:val="17"/>
              </w:rPr>
              <w:t>Passed: 12 tests, 0 failures</w:t>
            </w:r>
          </w:p>
        </w:tc>
        <w:tc>
          <w:tcPr>
            <w:tcW w:type="dxa" w:w="4032"/>
            <w:vAlign w:val="center"/>
            <w:tcMar>
              <w:top w:w="90" w:type="dxa"/>
              <w:start w:w="90" w:type="dxa"/>
              <w:bottom w:w="90" w:type="dxa"/>
              <w:end w:w="90" w:type="dxa"/>
            </w:tcMar>
            <w:shd w:fill="F7FAFC"/>
          </w:tcPr>
          <w:p>
            <w:pPr>
              <w:jc w:val="left"/>
            </w:pPr>
            <w:r/>
            <w:r>
              <w:rPr>
                <w:rFonts w:ascii="Times New Roman" w:hAnsi="Times New Roman"/>
                <w:b w:val="0"/>
                <w:sz w:val="17"/>
              </w:rPr>
              <w:t>Focused unit behavior; external media mocked/absent</w:t>
            </w:r>
          </w:p>
        </w:tc>
      </w:tr>
      <w:tr>
        <w:tc>
          <w:tcPr>
            <w:tcW w:type="dxa" w:w="3528"/>
            <w:vAlign w:val="center"/>
            <w:tcMar>
              <w:top w:w="90" w:type="dxa"/>
              <w:start w:w="90" w:type="dxa"/>
              <w:bottom w:w="90" w:type="dxa"/>
              <w:end w:w="90" w:type="dxa"/>
            </w:tcMar>
          </w:tcPr>
          <w:p>
            <w:pPr>
              <w:jc w:val="left"/>
            </w:pPr>
            <w:r/>
            <w:r>
              <w:rPr>
                <w:rFonts w:ascii="Times New Roman" w:hAnsi="Times New Roman"/>
                <w:b w:val="0"/>
                <w:sz w:val="17"/>
              </w:rPr>
              <w:t>Backend pytest suite</w:t>
            </w:r>
          </w:p>
        </w:tc>
        <w:tc>
          <w:tcPr>
            <w:tcW w:type="dxa" w:w="1800"/>
            <w:vAlign w:val="center"/>
            <w:tcMar>
              <w:top w:w="90" w:type="dxa"/>
              <w:start w:w="90" w:type="dxa"/>
              <w:bottom w:w="90" w:type="dxa"/>
              <w:end w:w="90" w:type="dxa"/>
            </w:tcMar>
          </w:tcPr>
          <w:p>
            <w:pPr>
              <w:jc w:val="left"/>
            </w:pPr>
            <w:r/>
            <w:r>
              <w:rPr>
                <w:rFonts w:ascii="Times New Roman" w:hAnsi="Times New Roman"/>
                <w:b w:val="0"/>
                <w:sz w:val="17"/>
              </w:rPr>
              <w:t>Not run</w:t>
            </w:r>
          </w:p>
        </w:tc>
        <w:tc>
          <w:tcPr>
            <w:tcW w:type="dxa" w:w="4032"/>
            <w:vAlign w:val="center"/>
            <w:tcMar>
              <w:top w:w="90" w:type="dxa"/>
              <w:start w:w="90" w:type="dxa"/>
              <w:bottom w:w="90" w:type="dxa"/>
              <w:end w:w="90" w:type="dxa"/>
            </w:tcMar>
          </w:tcPr>
          <w:p>
            <w:pPr>
              <w:jc w:val="left"/>
            </w:pPr>
            <w:r/>
            <w:r>
              <w:rPr>
                <w:rFonts w:ascii="Times New Roman" w:hAnsi="Times New Roman"/>
                <w:b w:val="0"/>
                <w:sz w:val="17"/>
              </w:rPr>
              <w:t>pytest absent from supplied virtual environment</w:t>
            </w:r>
          </w:p>
        </w:tc>
      </w:tr>
      <w:tr>
        <w:tc>
          <w:tcPr>
            <w:tcW w:type="dxa" w:w="3528"/>
            <w:vAlign w:val="center"/>
            <w:tcMar>
              <w:top w:w="90" w:type="dxa"/>
              <w:start w:w="90" w:type="dxa"/>
              <w:bottom w:w="90" w:type="dxa"/>
              <w:end w:w="90" w:type="dxa"/>
            </w:tcMar>
            <w:shd w:fill="F7FAFC"/>
          </w:tcPr>
          <w:p>
            <w:pPr>
              <w:jc w:val="left"/>
            </w:pPr>
            <w:r/>
            <w:r>
              <w:rPr>
                <w:rFonts w:ascii="Times New Roman" w:hAnsi="Times New Roman"/>
                <w:b w:val="0"/>
                <w:sz w:val="17"/>
              </w:rPr>
              <w:t>Provider pytest suite</w:t>
            </w:r>
          </w:p>
        </w:tc>
        <w:tc>
          <w:tcPr>
            <w:tcW w:type="dxa" w:w="1800"/>
            <w:vAlign w:val="center"/>
            <w:tcMar>
              <w:top w:w="90" w:type="dxa"/>
              <w:start w:w="90" w:type="dxa"/>
              <w:bottom w:w="90" w:type="dxa"/>
              <w:end w:w="90" w:type="dxa"/>
            </w:tcMar>
            <w:shd w:fill="F7FAFC"/>
          </w:tcPr>
          <w:p>
            <w:pPr>
              <w:jc w:val="left"/>
            </w:pPr>
            <w:r/>
            <w:r>
              <w:rPr>
                <w:rFonts w:ascii="Times New Roman" w:hAnsi="Times New Roman"/>
                <w:b w:val="0"/>
                <w:sz w:val="17"/>
              </w:rPr>
              <w:t>Not run</w:t>
            </w:r>
          </w:p>
        </w:tc>
        <w:tc>
          <w:tcPr>
            <w:tcW w:type="dxa" w:w="4032"/>
            <w:vAlign w:val="center"/>
            <w:tcMar>
              <w:top w:w="90" w:type="dxa"/>
              <w:start w:w="90" w:type="dxa"/>
              <w:bottom w:w="90" w:type="dxa"/>
              <w:end w:w="90" w:type="dxa"/>
            </w:tcMar>
            <w:shd w:fill="F7FAFC"/>
          </w:tcPr>
          <w:p>
            <w:pPr>
              <w:jc w:val="left"/>
            </w:pPr>
            <w:r/>
            <w:r>
              <w:rPr>
                <w:rFonts w:ascii="Times New Roman" w:hAnsi="Times New Roman"/>
                <w:b w:val="0"/>
                <w:sz w:val="17"/>
              </w:rPr>
              <w:t>pytest absent from supplied virtual environment</w:t>
            </w:r>
          </w:p>
        </w:tc>
      </w:tr>
      <w:tr>
        <w:tc>
          <w:tcPr>
            <w:tcW w:type="dxa" w:w="3528"/>
            <w:vAlign w:val="center"/>
            <w:tcMar>
              <w:top w:w="90" w:type="dxa"/>
              <w:start w:w="90" w:type="dxa"/>
              <w:bottom w:w="90" w:type="dxa"/>
              <w:end w:w="90" w:type="dxa"/>
            </w:tcMar>
          </w:tcPr>
          <w:p>
            <w:pPr>
              <w:jc w:val="left"/>
            </w:pPr>
            <w:r/>
            <w:r>
              <w:rPr>
                <w:rFonts w:ascii="Times New Roman" w:hAnsi="Times New Roman"/>
                <w:b w:val="0"/>
                <w:sz w:val="17"/>
              </w:rPr>
              <w:t>Docker Compose, database, MediaMTX, OBS, cloud deployment</w:t>
            </w:r>
          </w:p>
        </w:tc>
        <w:tc>
          <w:tcPr>
            <w:tcW w:type="dxa" w:w="1800"/>
            <w:vAlign w:val="center"/>
            <w:tcMar>
              <w:top w:w="90" w:type="dxa"/>
              <w:start w:w="90" w:type="dxa"/>
              <w:bottom w:w="90" w:type="dxa"/>
              <w:end w:w="90" w:type="dxa"/>
            </w:tcMar>
          </w:tcPr>
          <w:p>
            <w:pPr>
              <w:jc w:val="left"/>
            </w:pPr>
            <w:r/>
            <w:r>
              <w:rPr>
                <w:rFonts w:ascii="Times New Roman" w:hAnsi="Times New Roman"/>
                <w:b w:val="0"/>
                <w:sz w:val="17"/>
              </w:rPr>
              <w:t>Not run</w:t>
            </w:r>
          </w:p>
        </w:tc>
        <w:tc>
          <w:tcPr>
            <w:tcW w:type="dxa" w:w="4032"/>
            <w:vAlign w:val="center"/>
            <w:tcMar>
              <w:top w:w="90" w:type="dxa"/>
              <w:start w:w="90" w:type="dxa"/>
              <w:bottom w:w="90" w:type="dxa"/>
              <w:end w:w="90" w:type="dxa"/>
            </w:tcMar>
          </w:tcPr>
          <w:p>
            <w:pPr>
              <w:jc w:val="left"/>
            </w:pPr>
            <w:r/>
            <w:r>
              <w:rPr>
                <w:rFonts w:ascii="Times New Roman" w:hAnsi="Times New Roman"/>
                <w:b w:val="0"/>
                <w:sz w:val="17"/>
              </w:rPr>
              <w:t>End-to-end behavior unverified</w:t>
            </w:r>
          </w:p>
        </w:tc>
      </w:tr>
    </w:tbl>
    <w:p>
      <w:pPr>
        <w:spacing w:after="40"/>
      </w:pPr>
    </w:p>
    <w:p>
      <w:pPr>
        <w:spacing w:before="60" w:after="180"/>
        <w:jc w:val="center"/>
      </w:pPr>
      <w:r>
        <w:rPr>
          <w:rFonts w:ascii="Times New Roman" w:hAnsi="Times New Roman"/>
          <w:b/>
          <w:i/>
          <w:color w:val="000000"/>
          <w:sz w:val="21"/>
        </w:rPr>
        <w:t>Table 5.1: Validation evidence actually available to this report</w:t>
      </w:r>
    </w:p>
    <w:p>
      <w:pPr>
        <w:pStyle w:val="Heading2"/>
        <w:keepNext/>
        <w:spacing w:before="180" w:after="140"/>
        <w:jc w:val="both"/>
      </w:pPr>
      <w:r>
        <w:rPr>
          <w:rFonts w:ascii="Times New Roman" w:hAnsi="Times New Roman"/>
          <w:b/>
          <w:i w:val="0"/>
          <w:color w:val="000000"/>
          <w:sz w:val="26"/>
        </w:rPr>
        <w:t>5.3 Feature Implementation and Verification Matrix</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04"/>
            <w:vAlign w:val="center"/>
            <w:shd w:fill="163A5F"/>
            <w:tcMar>
              <w:top w:w="90" w:type="dxa"/>
              <w:start w:w="90" w:type="dxa"/>
              <w:bottom w:w="90" w:type="dxa"/>
              <w:end w:w="90" w:type="dxa"/>
            </w:tcMar>
          </w:tcPr>
          <w:p>
            <w:pPr>
              <w:jc w:val="left"/>
            </w:pPr>
            <w:r/>
            <w:r>
              <w:rPr>
                <w:rFonts w:ascii="Times New Roman" w:hAnsi="Times New Roman"/>
                <w:b/>
                <w:color w:val="FFFFFF"/>
                <w:sz w:val="15"/>
              </w:rPr>
              <w:t>Capability</w:t>
            </w:r>
          </w:p>
        </w:tc>
        <w:tc>
          <w:tcPr>
            <w:tcW w:type="dxa" w:w="2304"/>
            <w:vAlign w:val="center"/>
            <w:shd w:fill="163A5F"/>
            <w:tcMar>
              <w:top w:w="90" w:type="dxa"/>
              <w:start w:w="90" w:type="dxa"/>
              <w:bottom w:w="90" w:type="dxa"/>
              <w:end w:w="90" w:type="dxa"/>
            </w:tcMar>
          </w:tcPr>
          <w:p>
            <w:pPr>
              <w:jc w:val="left"/>
            </w:pPr>
            <w:r/>
            <w:r>
              <w:rPr>
                <w:rFonts w:ascii="Times New Roman" w:hAnsi="Times New Roman"/>
                <w:b/>
                <w:color w:val="FFFFFF"/>
                <w:sz w:val="15"/>
              </w:rPr>
              <w:t>Implementation status</w:t>
            </w:r>
          </w:p>
        </w:tc>
        <w:tc>
          <w:tcPr>
            <w:tcW w:type="dxa" w:w="2016"/>
            <w:vAlign w:val="center"/>
            <w:shd w:fill="163A5F"/>
            <w:tcMar>
              <w:top w:w="90" w:type="dxa"/>
              <w:start w:w="90" w:type="dxa"/>
              <w:bottom w:w="90" w:type="dxa"/>
              <w:end w:w="90" w:type="dxa"/>
            </w:tcMar>
          </w:tcPr>
          <w:p>
            <w:pPr>
              <w:jc w:val="left"/>
            </w:pPr>
            <w:r/>
            <w:r>
              <w:rPr>
                <w:rFonts w:ascii="Times New Roman" w:hAnsi="Times New Roman"/>
                <w:b/>
                <w:color w:val="FFFFFF"/>
                <w:sz w:val="15"/>
              </w:rPr>
              <w:t>Validation status</w:t>
            </w:r>
          </w:p>
        </w:tc>
        <w:tc>
          <w:tcPr>
            <w:tcW w:type="dxa" w:w="2880"/>
            <w:vAlign w:val="center"/>
            <w:shd w:fill="163A5F"/>
            <w:tcMar>
              <w:top w:w="90" w:type="dxa"/>
              <w:start w:w="90" w:type="dxa"/>
              <w:bottom w:w="90" w:type="dxa"/>
              <w:end w:w="90" w:type="dxa"/>
            </w:tcMar>
          </w:tcPr>
          <w:p>
            <w:pPr>
              <w:jc w:val="left"/>
            </w:pPr>
            <w:r/>
            <w:r>
              <w:rPr>
                <w:rFonts w:ascii="Times New Roman" w:hAnsi="Times New Roman"/>
                <w:b/>
                <w:color w:val="FFFFFF"/>
                <w:sz w:val="15"/>
              </w:rPr>
              <w:t>Evidence boundary</w:t>
            </w:r>
          </w:p>
        </w:tc>
      </w:tr>
      <w:tr>
        <w:tc>
          <w:tcPr>
            <w:tcW w:type="dxa" w:w="2304"/>
            <w:vAlign w:val="center"/>
            <w:tcMar>
              <w:top w:w="90" w:type="dxa"/>
              <w:start w:w="90" w:type="dxa"/>
              <w:bottom w:w="90" w:type="dxa"/>
              <w:end w:w="90" w:type="dxa"/>
            </w:tcMar>
          </w:tcPr>
          <w:p>
            <w:pPr>
              <w:jc w:val="left"/>
            </w:pPr>
            <w:r/>
            <w:r>
              <w:rPr>
                <w:rFonts w:ascii="Times New Roman" w:hAnsi="Times New Roman"/>
                <w:b w:val="0"/>
                <w:sz w:val="15"/>
              </w:rPr>
              <w:t>JWT session and user routes</w:t>
            </w:r>
          </w:p>
        </w:tc>
        <w:tc>
          <w:tcPr>
            <w:tcW w:type="dxa" w:w="2304"/>
            <w:vAlign w:val="center"/>
            <w:tcMar>
              <w:top w:w="90" w:type="dxa"/>
              <w:start w:w="90" w:type="dxa"/>
              <w:bottom w:w="90" w:type="dxa"/>
              <w:end w:w="90" w:type="dxa"/>
            </w:tcMar>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tcPr>
          <w:p>
            <w:pPr>
              <w:jc w:val="left"/>
            </w:pPr>
            <w:r/>
            <w:r>
              <w:rPr>
                <w:rFonts w:ascii="Times New Roman" w:hAnsi="Times New Roman"/>
                <w:b w:val="0"/>
                <w:sz w:val="15"/>
              </w:rPr>
              <w:t>Unverified runtime</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Models and auth routes present</w:t>
            </w:r>
          </w:p>
        </w:tc>
      </w:tr>
      <w:tr>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Provider registration and heartbeat</w:t>
            </w:r>
          </w:p>
        </w:tc>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shd w:fill="F7FAFC"/>
          </w:tcPr>
          <w:p>
            <w:pPr>
              <w:jc w:val="left"/>
            </w:pPr>
            <w:r/>
            <w:r>
              <w:rPr>
                <w:rFonts w:ascii="Times New Roman" w:hAnsi="Times New Roman"/>
                <w:b w:val="0"/>
                <w:sz w:val="15"/>
              </w:rPr>
              <w:t>Unverified live provider</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Provider/client routes present</w:t>
            </w:r>
          </w:p>
        </w:tc>
      </w:tr>
      <w:tr>
        <w:tc>
          <w:tcPr>
            <w:tcW w:type="dxa" w:w="2304"/>
            <w:vAlign w:val="center"/>
            <w:tcMar>
              <w:top w:w="90" w:type="dxa"/>
              <w:start w:w="90" w:type="dxa"/>
              <w:bottom w:w="90" w:type="dxa"/>
              <w:end w:w="90" w:type="dxa"/>
            </w:tcMar>
          </w:tcPr>
          <w:p>
            <w:pPr>
              <w:jc w:val="left"/>
            </w:pPr>
            <w:r/>
            <w:r>
              <w:rPr>
                <w:rFonts w:ascii="Times New Roman" w:hAnsi="Times New Roman"/>
                <w:b w:val="0"/>
                <w:sz w:val="15"/>
              </w:rPr>
              <w:t>Capacity/cost selection</w:t>
            </w:r>
          </w:p>
        </w:tc>
        <w:tc>
          <w:tcPr>
            <w:tcW w:type="dxa" w:w="2304"/>
            <w:vAlign w:val="center"/>
            <w:tcMar>
              <w:top w:w="90" w:type="dxa"/>
              <w:start w:w="90" w:type="dxa"/>
              <w:bottom w:w="90" w:type="dxa"/>
              <w:end w:w="90" w:type="dxa"/>
            </w:tcMar>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tcPr>
          <w:p>
            <w:pPr>
              <w:jc w:val="left"/>
            </w:pPr>
            <w:r/>
            <w:r>
              <w:rPr>
                <w:rFonts w:ascii="Times New Roman" w:hAnsi="Times New Roman"/>
                <w:b w:val="0"/>
                <w:sz w:val="15"/>
              </w:rPr>
              <w:t>Unverified integrated</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Rule-based scheduler in backend</w:t>
            </w:r>
          </w:p>
        </w:tc>
      </w:tr>
      <w:tr>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Checkpoint and recovery</w:t>
            </w:r>
          </w:p>
        </w:tc>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shd w:fill="F7FAFC"/>
          </w:tcPr>
          <w:p>
            <w:pPr>
              <w:jc w:val="left"/>
            </w:pPr>
            <w:r/>
            <w:r>
              <w:rPr>
                <w:rFonts w:ascii="Times New Roman" w:hAnsi="Times New Roman"/>
                <w:b w:val="0"/>
                <w:sz w:val="15"/>
              </w:rPr>
              <w:t>Unverified multi-machine</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Recovery monitor and tests inspected</w:t>
            </w:r>
          </w:p>
        </w:tc>
      </w:tr>
      <w:tr>
        <w:tc>
          <w:tcPr>
            <w:tcW w:type="dxa" w:w="2304"/>
            <w:vAlign w:val="center"/>
            <w:tcMar>
              <w:top w:w="90" w:type="dxa"/>
              <w:start w:w="90" w:type="dxa"/>
              <w:bottom w:w="90" w:type="dxa"/>
              <w:end w:w="90" w:type="dxa"/>
            </w:tcMar>
          </w:tcPr>
          <w:p>
            <w:pPr>
              <w:jc w:val="left"/>
            </w:pPr>
            <w:r/>
            <w:r>
              <w:rPr>
                <w:rFonts w:ascii="Times New Roman" w:hAnsi="Times New Roman"/>
                <w:b w:val="0"/>
                <w:sz w:val="15"/>
              </w:rPr>
              <w:t>Token accounting</w:t>
            </w:r>
          </w:p>
        </w:tc>
        <w:tc>
          <w:tcPr>
            <w:tcW w:type="dxa" w:w="2304"/>
            <w:vAlign w:val="center"/>
            <w:tcMar>
              <w:top w:w="90" w:type="dxa"/>
              <w:start w:w="90" w:type="dxa"/>
              <w:bottom w:w="90" w:type="dxa"/>
              <w:end w:w="90" w:type="dxa"/>
            </w:tcMar>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tcPr>
          <w:p>
            <w:pPr>
              <w:jc w:val="left"/>
            </w:pPr>
            <w:r/>
            <w:r>
              <w:rPr>
                <w:rFonts w:ascii="Times New Roman" w:hAnsi="Times New Roman"/>
                <w:b w:val="0"/>
                <w:sz w:val="15"/>
              </w:rPr>
              <w:t>Unverified functional</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Ledger/reservation/settlement code</w:t>
            </w:r>
          </w:p>
        </w:tc>
      </w:tr>
      <w:tr>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Resource-pool interface</w:t>
            </w:r>
          </w:p>
        </w:tc>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Simulated</w:t>
            </w:r>
          </w:p>
        </w:tc>
        <w:tc>
          <w:tcPr>
            <w:tcW w:type="dxa" w:w="2016"/>
            <w:vAlign w:val="center"/>
            <w:tcMar>
              <w:top w:w="90" w:type="dxa"/>
              <w:start w:w="90" w:type="dxa"/>
              <w:bottom w:w="90" w:type="dxa"/>
              <w:end w:w="90" w:type="dxa"/>
            </w:tcMar>
            <w:shd w:fill="F7FAFC"/>
          </w:tcPr>
          <w:p>
            <w:pPr>
              <w:jc w:val="left"/>
            </w:pPr>
            <w:r/>
            <w:r>
              <w:rPr>
                <w:rFonts w:ascii="Times New Roman" w:hAnsi="Times New Roman"/>
                <w:b w:val="0"/>
                <w:sz w:val="15"/>
              </w:rPr>
              <w:t>N/A</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Client-side candidate filtering</w:t>
            </w:r>
          </w:p>
        </w:tc>
      </w:tr>
      <w:tr>
        <w:tc>
          <w:tcPr>
            <w:tcW w:type="dxa" w:w="2304"/>
            <w:vAlign w:val="center"/>
            <w:tcMar>
              <w:top w:w="90" w:type="dxa"/>
              <w:start w:w="90" w:type="dxa"/>
              <w:bottom w:w="90" w:type="dxa"/>
              <w:end w:w="90" w:type="dxa"/>
            </w:tcMar>
          </w:tcPr>
          <w:p>
            <w:pPr>
              <w:jc w:val="left"/>
            </w:pPr>
            <w:r/>
            <w:r>
              <w:rPr>
                <w:rFonts w:ascii="Times New Roman" w:hAnsi="Times New Roman"/>
                <w:b w:val="0"/>
                <w:sz w:val="15"/>
              </w:rPr>
              <w:t>Payment purchase</w:t>
            </w:r>
          </w:p>
        </w:tc>
        <w:tc>
          <w:tcPr>
            <w:tcW w:type="dxa" w:w="2304"/>
            <w:vAlign w:val="center"/>
            <w:tcMar>
              <w:top w:w="90" w:type="dxa"/>
              <w:start w:w="90" w:type="dxa"/>
              <w:bottom w:w="90" w:type="dxa"/>
              <w:end w:w="90" w:type="dxa"/>
            </w:tcMar>
          </w:tcPr>
          <w:p>
            <w:pPr>
              <w:jc w:val="left"/>
            </w:pPr>
            <w:r/>
            <w:r>
              <w:rPr>
                <w:rFonts w:ascii="Times New Roman" w:hAnsi="Times New Roman"/>
                <w:b w:val="0"/>
                <w:sz w:val="15"/>
              </w:rPr>
              <w:t>Simulated</w:t>
            </w:r>
          </w:p>
        </w:tc>
        <w:tc>
          <w:tcPr>
            <w:tcW w:type="dxa" w:w="2016"/>
            <w:vAlign w:val="center"/>
            <w:tcMar>
              <w:top w:w="90" w:type="dxa"/>
              <w:start w:w="90" w:type="dxa"/>
              <w:bottom w:w="90" w:type="dxa"/>
              <w:end w:w="90" w:type="dxa"/>
            </w:tcMar>
          </w:tcPr>
          <w:p>
            <w:pPr>
              <w:jc w:val="left"/>
            </w:pPr>
            <w:r/>
            <w:r>
              <w:rPr>
                <w:rFonts w:ascii="Times New Roman" w:hAnsi="Times New Roman"/>
                <w:b w:val="0"/>
                <w:sz w:val="15"/>
              </w:rPr>
              <w:t>N/A</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Configured demo packages only</w:t>
            </w:r>
          </w:p>
        </w:tc>
      </w:tr>
      <w:tr>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Media streaming</w:t>
            </w:r>
          </w:p>
        </w:tc>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shd w:fill="F7FAFC"/>
          </w:tcPr>
          <w:p>
            <w:pPr>
              <w:jc w:val="left"/>
            </w:pPr>
            <w:r/>
            <w:r>
              <w:rPr>
                <w:rFonts w:ascii="Times New Roman" w:hAnsi="Times New Roman"/>
                <w:b w:val="0"/>
                <w:sz w:val="15"/>
              </w:rPr>
              <w:t>Unverified end to end</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Routes, MediaMTX config, provider runner</w:t>
            </w:r>
          </w:p>
        </w:tc>
      </w:tr>
    </w:tbl>
    <w:p>
      <w:pPr>
        <w:spacing w:after="40"/>
      </w:pPr>
    </w:p>
    <w:p>
      <w:pPr>
        <w:spacing w:before="60" w:after="180"/>
        <w:jc w:val="center"/>
      </w:pPr>
      <w:r>
        <w:rPr>
          <w:rFonts w:ascii="Times New Roman" w:hAnsi="Times New Roman"/>
          <w:b/>
          <w:i/>
          <w:color w:val="000000"/>
          <w:sz w:val="21"/>
        </w:rPr>
        <w:t>Table 5.2: Feature status matrix with explicit verification boundaries</w:t>
      </w:r>
    </w:p>
    <w:p>
      <w:pPr>
        <w:pStyle w:val="Heading2"/>
        <w:keepNext/>
        <w:spacing w:before="180" w:after="140"/>
        <w:jc w:val="both"/>
      </w:pPr>
      <w:r>
        <w:rPr>
          <w:rFonts w:ascii="Times New Roman" w:hAnsi="Times New Roman"/>
          <w:b/>
          <w:i w:val="0"/>
          <w:color w:val="000000"/>
          <w:sz w:val="26"/>
        </w:rPr>
        <w:t>5.4 Edge Cases and Limitations</w:t>
      </w:r>
    </w:p>
    <w:p>
      <w:pPr>
        <w:pStyle w:val="ListBullet"/>
        <w:spacing w:line="312" w:lineRule="auto" w:after="40"/>
      </w:pPr>
      <w:r>
        <w:rPr>
          <w:rFonts w:ascii="Times New Roman" w:hAnsi="Times New Roman"/>
          <w:color w:val="000000"/>
          <w:sz w:val="22"/>
        </w:rPr>
        <w:t>Historical telemetry persistence was not found. Dashboard utilization derives from current provider state and frontend snapshots.</w:t>
      </w:r>
    </w:p>
    <w:p>
      <w:pPr>
        <w:pStyle w:val="ListBullet"/>
        <w:spacing w:line="312" w:lineRule="auto" w:after="40"/>
      </w:pPr>
      <w:r>
        <w:rPr>
          <w:rFonts w:ascii="Times New Roman" w:hAnsi="Times New Roman"/>
          <w:color w:val="000000"/>
          <w:sz w:val="22"/>
        </w:rPr>
        <w:t>Administrator RBAC was not found; authenticated users can list providers through the observed API.</w:t>
      </w:r>
    </w:p>
    <w:p>
      <w:pPr>
        <w:pStyle w:val="ListBullet"/>
        <w:spacing w:line="312" w:lineRule="auto" w:after="40"/>
      </w:pPr>
      <w:r>
        <w:rPr>
          <w:rFonts w:ascii="Times New Roman" w:hAnsi="Times New Roman"/>
          <w:color w:val="000000"/>
          <w:sz w:val="22"/>
        </w:rPr>
        <w:t>Cancellation state is recorded but does not show an observed command path that terminates a running provider workload; stop-all does not show reservation refunds.</w:t>
      </w:r>
    </w:p>
    <w:p>
      <w:pPr>
        <w:pStyle w:val="ListBullet"/>
        <w:spacing w:line="312" w:lineRule="auto" w:after="40"/>
      </w:pPr>
      <w:r>
        <w:rPr>
          <w:rFonts w:ascii="Times New Roman" w:hAnsi="Times New Roman"/>
          <w:color w:val="000000"/>
          <w:sz w:val="22"/>
        </w:rPr>
        <w:t>Artifact output upload lacks the same observed content limits applied to user input artifact upload.</w:t>
      </w:r>
    </w:p>
    <w:p>
      <w:pPr>
        <w:pStyle w:val="ListBullet"/>
        <w:spacing w:line="312" w:lineRule="auto" w:after="40"/>
      </w:pPr>
      <w:r>
        <w:rPr>
          <w:rFonts w:ascii="Times New Roman" w:hAnsi="Times New Roman"/>
          <w:color w:val="000000"/>
          <w:sz w:val="22"/>
        </w:rPr>
        <w:t>Media deployment requires a separately reachable MediaMTX host with applicable TCP/UDP, TLS and NAT configuration; Render web service configuration alone is insufficient.</w:t>
      </w:r>
    </w:p>
    <w:p>
      <w:pPr>
        <w:pStyle w:val="Heading2"/>
        <w:keepNext/>
        <w:spacing w:before="180" w:after="140"/>
        <w:jc w:val="both"/>
      </w:pPr>
      <w:r>
        <w:rPr>
          <w:rFonts w:ascii="Times New Roman" w:hAnsi="Times New Roman"/>
          <w:b/>
          <w:i w:val="0"/>
          <w:color w:val="000000"/>
          <w:sz w:val="26"/>
        </w:rPr>
        <w:t>5.5 Security and Reliability Analysis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944"/>
            <w:vAlign w:val="center"/>
            <w:shd w:fill="163A5F"/>
            <w:tcMar>
              <w:top w:w="90" w:type="dxa"/>
              <w:start w:w="90" w:type="dxa"/>
              <w:bottom w:w="90" w:type="dxa"/>
              <w:end w:w="90" w:type="dxa"/>
            </w:tcMar>
          </w:tcPr>
          <w:p>
            <w:pPr>
              <w:jc w:val="left"/>
            </w:pPr>
            <w:r/>
            <w:r>
              <w:rPr>
                <w:rFonts w:ascii="Times New Roman" w:hAnsi="Times New Roman"/>
                <w:b/>
                <w:color w:val="FFFFFF"/>
                <w:sz w:val="15"/>
              </w:rPr>
              <w:t>Risk</w:t>
            </w:r>
          </w:p>
        </w:tc>
        <w:tc>
          <w:tcPr>
            <w:tcW w:type="dxa" w:w="2376"/>
            <w:vAlign w:val="center"/>
            <w:shd w:fill="163A5F"/>
            <w:tcMar>
              <w:top w:w="90" w:type="dxa"/>
              <w:start w:w="90" w:type="dxa"/>
              <w:bottom w:w="90" w:type="dxa"/>
              <w:end w:w="90" w:type="dxa"/>
            </w:tcMar>
          </w:tcPr>
          <w:p>
            <w:pPr>
              <w:jc w:val="left"/>
            </w:pPr>
            <w:r/>
            <w:r>
              <w:rPr>
                <w:rFonts w:ascii="Times New Roman" w:hAnsi="Times New Roman"/>
                <w:b/>
                <w:color w:val="FFFFFF"/>
                <w:sz w:val="15"/>
              </w:rPr>
              <w:t>Evidence</w:t>
            </w:r>
          </w:p>
        </w:tc>
        <w:tc>
          <w:tcPr>
            <w:tcW w:type="dxa" w:w="2376"/>
            <w:vAlign w:val="center"/>
            <w:shd w:fill="163A5F"/>
            <w:tcMar>
              <w:top w:w="90" w:type="dxa"/>
              <w:start w:w="90" w:type="dxa"/>
              <w:bottom w:w="90" w:type="dxa"/>
              <w:end w:w="90" w:type="dxa"/>
            </w:tcMar>
          </w:tcPr>
          <w:p>
            <w:pPr>
              <w:jc w:val="left"/>
            </w:pPr>
            <w:r/>
            <w:r>
              <w:rPr>
                <w:rFonts w:ascii="Times New Roman" w:hAnsi="Times New Roman"/>
                <w:b/>
                <w:color w:val="FFFFFF"/>
                <w:sz w:val="15"/>
              </w:rPr>
              <w:t>Impact</w:t>
            </w:r>
          </w:p>
        </w:tc>
        <w:tc>
          <w:tcPr>
            <w:tcW w:type="dxa" w:w="2880"/>
            <w:vAlign w:val="center"/>
            <w:shd w:fill="163A5F"/>
            <w:tcMar>
              <w:top w:w="90" w:type="dxa"/>
              <w:start w:w="90" w:type="dxa"/>
              <w:bottom w:w="90" w:type="dxa"/>
              <w:end w:w="90" w:type="dxa"/>
            </w:tcMar>
          </w:tcPr>
          <w:p>
            <w:pPr>
              <w:jc w:val="left"/>
            </w:pPr>
            <w:r/>
            <w:r>
              <w:rPr>
                <w:rFonts w:ascii="Times New Roman" w:hAnsi="Times New Roman"/>
                <w:b/>
                <w:color w:val="FFFFFF"/>
                <w:sz w:val="15"/>
              </w:rPr>
              <w:t>Recommended mitigation</w:t>
            </w:r>
          </w:p>
        </w:tc>
      </w:tr>
      <w:tr>
        <w:tc>
          <w:tcPr>
            <w:tcW w:type="dxa" w:w="1944"/>
            <w:vAlign w:val="center"/>
            <w:tcMar>
              <w:top w:w="90" w:type="dxa"/>
              <w:start w:w="90" w:type="dxa"/>
              <w:bottom w:w="90" w:type="dxa"/>
              <w:end w:w="90" w:type="dxa"/>
            </w:tcMar>
          </w:tcPr>
          <w:p>
            <w:pPr>
              <w:jc w:val="left"/>
            </w:pPr>
            <w:r/>
            <w:r>
              <w:rPr>
                <w:rFonts w:ascii="Times New Roman" w:hAnsi="Times New Roman"/>
                <w:b w:val="0"/>
                <w:sz w:val="15"/>
              </w:rPr>
              <w:t>Custom Python execution</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Provider writes/runs submitted source</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Untrusted code can affect provider host</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Container/VM isolation, quotas, network/file policy</w:t>
            </w:r>
          </w:p>
        </w:tc>
      </w:tr>
      <w:tr>
        <w:tc>
          <w:tcPr>
            <w:tcW w:type="dxa" w:w="1944"/>
            <w:vAlign w:val="center"/>
            <w:tcMar>
              <w:top w:w="90" w:type="dxa"/>
              <w:start w:w="90" w:type="dxa"/>
              <w:bottom w:w="90" w:type="dxa"/>
              <w:end w:w="90" w:type="dxa"/>
            </w:tcMar>
            <w:shd w:fill="F7FAFC"/>
          </w:tcPr>
          <w:p>
            <w:pPr>
              <w:jc w:val="left"/>
            </w:pPr>
            <w:r/>
            <w:r>
              <w:rPr>
                <w:rFonts w:ascii="Times New Roman" w:hAnsi="Times New Roman"/>
                <w:b w:val="0"/>
                <w:sz w:val="15"/>
              </w:rPr>
              <w:t>Shared provider token</w:t>
            </w:r>
          </w:p>
        </w:tc>
        <w:tc>
          <w:tcPr>
            <w:tcW w:type="dxa" w:w="2376"/>
            <w:vAlign w:val="center"/>
            <w:tcMar>
              <w:top w:w="90" w:type="dxa"/>
              <w:start w:w="90" w:type="dxa"/>
              <w:bottom w:w="90" w:type="dxa"/>
              <w:end w:w="90" w:type="dxa"/>
            </w:tcMar>
            <w:shd w:fill="F7FAFC"/>
          </w:tcPr>
          <w:p>
            <w:pPr>
              <w:jc w:val="left"/>
            </w:pPr>
            <w:r/>
            <w:r>
              <w:rPr>
                <w:rFonts w:ascii="Times New Roman" w:hAnsi="Times New Roman"/>
                <w:b w:val="0"/>
                <w:sz w:val="15"/>
              </w:rPr>
              <w:t>Single configured provider credential</w:t>
            </w:r>
          </w:p>
        </w:tc>
        <w:tc>
          <w:tcPr>
            <w:tcW w:type="dxa" w:w="2376"/>
            <w:vAlign w:val="center"/>
            <w:tcMar>
              <w:top w:w="90" w:type="dxa"/>
              <w:start w:w="90" w:type="dxa"/>
              <w:bottom w:w="90" w:type="dxa"/>
              <w:end w:w="90" w:type="dxa"/>
            </w:tcMar>
            <w:shd w:fill="F7FAFC"/>
          </w:tcPr>
          <w:p>
            <w:pPr>
              <w:jc w:val="left"/>
            </w:pPr>
            <w:r/>
            <w:r>
              <w:rPr>
                <w:rFonts w:ascii="Times New Roman" w:hAnsi="Times New Roman"/>
                <w:b w:val="0"/>
                <w:sz w:val="15"/>
              </w:rPr>
              <w:t>Provider impersonation if secret leaks</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Per-provider enrollment, rotation or mTLS</w:t>
            </w:r>
          </w:p>
        </w:tc>
      </w:tr>
      <w:tr>
        <w:tc>
          <w:tcPr>
            <w:tcW w:type="dxa" w:w="1944"/>
            <w:vAlign w:val="center"/>
            <w:tcMar>
              <w:top w:w="90" w:type="dxa"/>
              <w:start w:w="90" w:type="dxa"/>
              <w:bottom w:w="90" w:type="dxa"/>
              <w:end w:w="90" w:type="dxa"/>
            </w:tcMar>
          </w:tcPr>
          <w:p>
            <w:pPr>
              <w:jc w:val="left"/>
            </w:pPr>
            <w:r/>
            <w:r>
              <w:rPr>
                <w:rFonts w:ascii="Times New Roman" w:hAnsi="Times New Roman"/>
                <w:b w:val="0"/>
                <w:sz w:val="15"/>
              </w:rPr>
              <w:t>Dispatch race</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Polling returns jobs before asynchronous RUNNING update</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Possible duplicate local execution</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Atomic lease/claim and single-slot worker control</w:t>
            </w:r>
          </w:p>
        </w:tc>
      </w:tr>
      <w:tr>
        <w:tc>
          <w:tcPr>
            <w:tcW w:type="dxa" w:w="1944"/>
            <w:vAlign w:val="center"/>
            <w:tcMar>
              <w:top w:w="90" w:type="dxa"/>
              <w:start w:w="90" w:type="dxa"/>
              <w:bottom w:w="90" w:type="dxa"/>
              <w:end w:w="90" w:type="dxa"/>
            </w:tcMar>
            <w:shd w:fill="F7FAFC"/>
          </w:tcPr>
          <w:p>
            <w:pPr>
              <w:jc w:val="left"/>
            </w:pPr>
            <w:r/>
            <w:r>
              <w:rPr>
                <w:rFonts w:ascii="Times New Roman" w:hAnsi="Times New Roman"/>
                <w:b w:val="0"/>
                <w:sz w:val="15"/>
              </w:rPr>
              <w:t>Single-process coordination</w:t>
            </w:r>
          </w:p>
        </w:tc>
        <w:tc>
          <w:tcPr>
            <w:tcW w:type="dxa" w:w="2376"/>
            <w:vAlign w:val="center"/>
            <w:tcMar>
              <w:top w:w="90" w:type="dxa"/>
              <w:start w:w="90" w:type="dxa"/>
              <w:bottom w:w="90" w:type="dxa"/>
              <w:end w:w="90" w:type="dxa"/>
            </w:tcMar>
            <w:shd w:fill="F7FAFC"/>
          </w:tcPr>
          <w:p>
            <w:pPr>
              <w:jc w:val="left"/>
            </w:pPr>
            <w:r/>
            <w:r>
              <w:rPr>
                <w:rFonts w:ascii="Times New Roman" w:hAnsi="Times New Roman"/>
                <w:b w:val="0"/>
                <w:sz w:val="15"/>
              </w:rPr>
              <w:t>In-memory event hub/recovery plus SQLite default</w:t>
            </w:r>
          </w:p>
        </w:tc>
        <w:tc>
          <w:tcPr>
            <w:tcW w:type="dxa" w:w="2376"/>
            <w:vAlign w:val="center"/>
            <w:tcMar>
              <w:top w:w="90" w:type="dxa"/>
              <w:start w:w="90" w:type="dxa"/>
              <w:bottom w:w="90" w:type="dxa"/>
              <w:end w:w="90" w:type="dxa"/>
            </w:tcMar>
            <w:shd w:fill="F7FAFC"/>
          </w:tcPr>
          <w:p>
            <w:pPr>
              <w:jc w:val="left"/>
            </w:pPr>
            <w:r/>
            <w:r>
              <w:rPr>
                <w:rFonts w:ascii="Times New Roman" w:hAnsi="Times New Roman"/>
                <w:b w:val="0"/>
                <w:sz w:val="15"/>
              </w:rPr>
              <w:t>Replica/durability limits</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PostgreSQL baseline, queue/lock/pubsub</w:t>
            </w:r>
          </w:p>
        </w:tc>
      </w:tr>
      <w:tr>
        <w:tc>
          <w:tcPr>
            <w:tcW w:type="dxa" w:w="1944"/>
            <w:vAlign w:val="center"/>
            <w:tcMar>
              <w:top w:w="90" w:type="dxa"/>
              <w:start w:w="90" w:type="dxa"/>
              <w:bottom w:w="90" w:type="dxa"/>
              <w:end w:w="90" w:type="dxa"/>
            </w:tcMar>
          </w:tcPr>
          <w:p>
            <w:pPr>
              <w:jc w:val="left"/>
            </w:pPr>
            <w:r/>
            <w:r>
              <w:rPr>
                <w:rFonts w:ascii="Times New Roman" w:hAnsi="Times New Roman"/>
                <w:b w:val="0"/>
                <w:sz w:val="15"/>
              </w:rPr>
              <w:t>Local artifact storage</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Backend filesystem artifact paths</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Durability and exhaustion risk</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Object store, retention and output limits</w:t>
            </w:r>
          </w:p>
        </w:tc>
      </w:tr>
    </w:tbl>
    <w:p>
      <w:pPr>
        <w:spacing w:after="40"/>
      </w:pPr>
    </w:p>
    <w:p>
      <w:pPr>
        <w:spacing w:before="60" w:after="180"/>
        <w:jc w:val="center"/>
      </w:pPr>
      <w:r>
        <w:rPr>
          <w:rFonts w:ascii="Times New Roman" w:hAnsi="Times New Roman"/>
          <w:b/>
          <w:i/>
          <w:color w:val="000000"/>
          <w:sz w:val="21"/>
        </w:rPr>
        <w:t>Table 5.3: Security and reliability findings</w:t>
      </w:r>
    </w:p>
    <w:p>
      <w:pPr>
        <w:pStyle w:val="Heading2"/>
        <w:keepNext/>
        <w:spacing w:before="180" w:after="140"/>
        <w:jc w:val="both"/>
      </w:pPr>
      <w:r>
        <w:rPr>
          <w:rFonts w:ascii="Times New Roman" w:hAnsi="Times New Roman"/>
          <w:b/>
          <w:i w:val="0"/>
          <w:color w:val="000000"/>
          <w:sz w:val="26"/>
        </w:rPr>
        <w:t>5.6 Deployment Topology</w:t>
      </w:r>
    </w:p>
    <w:p>
      <w:pPr>
        <w:pStyle w:val="Heading2"/>
        <w:keepNext/>
        <w:spacing w:before="0" w:after="120" w:line="240" w:lineRule="auto"/>
        <w:jc w:val="both"/>
      </w:pPr>
      <w:r>
        <w:rPr>
          <w:rFonts w:ascii="Times New Roman" w:hAnsi="Times New Roman"/>
          <w:b/>
          <w:i w:val="0"/>
          <w:color w:val="000000"/>
          <w:sz w:val="26"/>
        </w:rPr>
        <w:t>5.7 Component Level Results Analysis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800"/>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Subsystem</w:t>
            </w:r>
          </w:p>
        </w:tc>
        <w:tc>
          <w:tcPr>
            <w:tcW w:type="dxa" w:w="3240"/>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What source demonstrates</w:t>
            </w:r>
          </w:p>
        </w:tc>
        <w:tc>
          <w:tcPr>
            <w:tcW w:type="dxa" w:w="2592"/>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User or operator value</w:t>
            </w:r>
          </w:p>
        </w:tc>
        <w:tc>
          <w:tcPr>
            <w:tcW w:type="dxa" w:w="2088"/>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Evidence type</w:t>
            </w:r>
          </w:p>
        </w:tc>
      </w:tr>
      <w:tr>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Frontend console</w:t>
            </w:r>
          </w:p>
        </w:tc>
        <w:tc>
          <w:tcPr>
            <w:tcW w:type="dxa" w:w="324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Nine routes, page modules, authentication guard, API wrapper, shared state and realtime reconnection</w:t>
            </w:r>
          </w:p>
        </w:tc>
        <w:tc>
          <w:tcPr>
            <w:tcW w:type="dxa" w:w="259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One interface for jobs, providers, billing, analytics and streams</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Source inspection; frontend utility tests</w:t>
            </w:r>
          </w:p>
        </w:tc>
      </w:tr>
      <w:tr>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Control plane</w:t>
            </w:r>
          </w:p>
        </w:tc>
        <w:tc>
          <w:tcPr>
            <w:tcW w:type="dxa" w:w="324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Persistent models, route groups, scheduler, recovery loop and websocket hub</w:t>
            </w:r>
          </w:p>
        </w:tc>
        <w:tc>
          <w:tcPr>
            <w:tcW w:type="dxa" w:w="259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Centralized state and decisions</w:t>
            </w:r>
          </w:p>
        </w:tc>
        <w:tc>
          <w:tcPr>
            <w:tcW w:type="dxa" w:w="208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Source inspection; Python parse check</w:t>
            </w:r>
          </w:p>
        </w:tc>
      </w:tr>
      <w:tr>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Provider agent</w:t>
            </w:r>
          </w:p>
        </w:tc>
        <w:tc>
          <w:tcPr>
            <w:tcW w:type="dxa" w:w="324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Hardware probes, heartbeats, polling, workload handlers and FFmpeg runner</w:t>
            </w:r>
          </w:p>
        </w:tc>
        <w:tc>
          <w:tcPr>
            <w:tcW w:type="dxa" w:w="259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Local execution while retaining control-plane coordination</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Source inspection</w:t>
            </w:r>
          </w:p>
        </w:tc>
      </w:tr>
      <w:tr>
        <w:tc>
          <w:tcPr>
            <w:tcW w:type="dxa" w:w="18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Persistence</w:t>
            </w:r>
          </w:p>
        </w:tc>
        <w:tc>
          <w:tcPr>
            <w:tcW w:type="dxa" w:w="324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Users, sessions, providers, jobs, checkpoints, artifacts, wallet/ledger, audit and streams</w:t>
            </w:r>
          </w:p>
        </w:tc>
        <w:tc>
          <w:tcPr>
            <w:tcW w:type="dxa" w:w="2592"/>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Traceable ownership and lifecycle data</w:t>
            </w:r>
          </w:p>
        </w:tc>
        <w:tc>
          <w:tcPr>
            <w:tcW w:type="dxa" w:w="208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ORM declarations/configuration</w:t>
            </w:r>
          </w:p>
        </w:tc>
      </w:tr>
      <w:tr>
        <w:tc>
          <w:tcPr>
            <w:tcW w:type="dxa" w:w="18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Media path</w:t>
            </w:r>
          </w:p>
        </w:tc>
        <w:tc>
          <w:tcPr>
            <w:tcW w:type="dxa" w:w="324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Session credentials, callback checks and FFmpeg progress handling</w:t>
            </w:r>
          </w:p>
        </w:tc>
        <w:tc>
          <w:tcPr>
            <w:tcW w:type="dxa" w:w="2592"/>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Structured optional streaming demonstration</w:t>
            </w:r>
          </w:p>
        </w:tc>
        <w:tc>
          <w:tcPr>
            <w:tcW w:type="dxa" w:w="208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Source/config/test inventory</w:t>
            </w:r>
          </w:p>
        </w:tc>
      </w:tr>
    </w:tbl>
    <w:p>
      <w:pPr>
        <w:spacing w:before="40" w:after="160"/>
        <w:jc w:val="center"/>
      </w:pPr>
      <w:r>
        <w:rPr>
          <w:rFonts w:ascii="Times New Roman" w:hAnsi="Times New Roman"/>
          <w:b/>
          <w:i/>
          <w:color w:val="000000"/>
          <w:sz w:val="20"/>
        </w:rPr>
        <w:t>Table 5.4: Component-level implementation analysis</w:t>
      </w:r>
    </w:p>
    <w:p>
      <w:pPr>
        <w:pStyle w:val="Heading2"/>
        <w:keepNext/>
        <w:spacing w:before="0" w:after="120" w:line="240" w:lineRule="auto"/>
        <w:jc w:val="both"/>
      </w:pPr>
      <w:r>
        <w:rPr>
          <w:rFonts w:ascii="Times New Roman" w:hAnsi="Times New Roman"/>
          <w:b/>
          <w:i w:val="0"/>
          <w:color w:val="000000"/>
          <w:sz w:val="26"/>
        </w:rPr>
        <w:t>5.8 Scheduling Telemetry Billing Artifact and Streaming Analysis</w:t>
      </w:r>
    </w:p>
    <w:p>
      <w:pPr>
        <w:keepNext w:val="0"/>
        <w:spacing w:before="0" w:after="120" w:line="336" w:lineRule="auto"/>
        <w:jc w:val="both"/>
      </w:pPr>
      <w:r>
        <w:rPr>
          <w:rFonts w:ascii="Times New Roman" w:hAnsi="Times New Roman"/>
          <w:b w:val="0"/>
          <w:i w:val="0"/>
          <w:color w:val="000000"/>
          <w:sz w:val="23"/>
        </w:rPr>
        <w:t>Scheduling is transparent and easy to audit: every selection begins by eliminating incompatible resources, then applies a single score rather than hiding allocation behind a black-box model. This makes it suitable for explaining why a request cannot be scheduled and for demonstrating capacity-aware selection. Telemetry is intentionally current-state focused; it gives the dashboard a practical operational view of provider CPU, RAM, disk and optional GPU values. Billing connects an action to a durable token ledger before and after job execution. Artifact flow establishes provenance through owner association, checksum and metadata. Streaming extends the same provider-selection and accounting principles to a session-oriented media workload.</w:t>
      </w:r>
    </w:p>
    <w:p>
      <w:pPr>
        <w:pStyle w:val="Heading2"/>
        <w:keepNext/>
        <w:spacing w:before="0" w:after="120" w:line="240" w:lineRule="auto"/>
        <w:jc w:val="both"/>
      </w:pPr>
      <w:r>
        <w:rPr>
          <w:rFonts w:ascii="Times New Roman" w:hAnsi="Times New Roman"/>
          <w:b/>
          <w:i w:val="0"/>
          <w:color w:val="000000"/>
          <w:sz w:val="26"/>
        </w:rPr>
        <w:t>5.9 Deployment and Operational Considerations</w:t>
      </w:r>
    </w:p>
    <w:p>
      <w:pPr>
        <w:keepNext w:val="0"/>
        <w:spacing w:before="0" w:after="120" w:line="336" w:lineRule="auto"/>
        <w:jc w:val="both"/>
      </w:pPr>
      <w:r>
        <w:rPr>
          <w:rFonts w:ascii="Times New Roman" w:hAnsi="Times New Roman"/>
          <w:b w:val="0"/>
          <w:i w:val="0"/>
          <w:color w:val="000000"/>
          <w:sz w:val="23"/>
        </w:rPr>
        <w:t>Figure 5.3 describes the supported deployment alternatives. The static dashboard can be served locally or through Vercel. The control plane can run directly, in Docker Compose or through the Render Blueprint. SQLite is appropriate for the default direct demonstration, while Compose/Render configuration makes PostgreSQL available for a more durable service topology. Providers remain separate processes and must target the same backend and credential configuration. The media plane is deliberately separate because MediaMTX needs network listeners that ordinary web hosting does not provide.</w:t>
      </w:r>
    </w:p>
    <w:p>
      <w:pPr>
        <w:spacing w:before="80" w:after="40"/>
        <w:jc w:val="center"/>
      </w:pPr>
      <w:r>
        <w:drawing>
          <wp:inline xmlns:a="http://schemas.openxmlformats.org/drawingml/2006/main" xmlns:pic="http://schemas.openxmlformats.org/drawingml/2006/picture">
            <wp:extent cx="5715000" cy="3333750"/>
            <wp:docPr id="18" name="Picture 18" descr="Image: image16.png"/>
            <wp:cNvGraphicFramePr>
              <a:graphicFrameLocks noChangeAspect="1"/>
            </wp:cNvGraphicFramePr>
            <a:graphic>
              <a:graphicData uri="http://schemas.openxmlformats.org/drawingml/2006/picture">
                <pic:pic>
                  <pic:nvPicPr>
                    <pic:cNvPr id="0" name="deploy.png"/>
                    <pic:cNvPicPr/>
                  </pic:nvPicPr>
                  <pic:blipFill>
                    <a:blip r:embed="rId25"/>
                    <a:stretch>
                      <a:fillRect/>
                    </a:stretch>
                  </pic:blipFill>
                  <pic:spPr>
                    <a:xfrm>
                      <a:off x="0" y="0"/>
                      <a:ext cx="5715000" cy="3333750"/>
                    </a:xfrm>
                    <a:prstGeom prst="rect"/>
                  </pic:spPr>
                </pic:pic>
              </a:graphicData>
            </a:graphic>
          </wp:inline>
        </w:drawing>
      </w:r>
    </w:p>
    <w:p>
      <w:pPr>
        <w:spacing w:before="40" w:after="160"/>
        <w:jc w:val="center"/>
      </w:pPr>
      <w:r>
        <w:rPr>
          <w:rFonts w:ascii="Times New Roman" w:hAnsi="Times New Roman"/>
          <w:b/>
          <w:i/>
          <w:color w:val="000000"/>
          <w:sz w:val="20"/>
        </w:rPr>
        <w:t>Figure 5.2: Local, hosted and media deployment topology</w:t>
      </w:r>
    </w:p>
    <w:p>
      <w:pPr>
        <w:pStyle w:val="Heading2"/>
        <w:keepNext/>
        <w:spacing w:before="0" w:after="120" w:line="240" w:lineRule="auto"/>
        <w:jc w:val="both"/>
      </w:pPr>
      <w:r>
        <w:rPr>
          <w:rFonts w:ascii="Times New Roman" w:hAnsi="Times New Roman"/>
          <w:b/>
          <w:i w:val="0"/>
          <w:color w:val="000000"/>
          <w:sz w:val="26"/>
        </w:rPr>
        <w:t>5.10 Focused Limitations and Engineering Implications</w:t>
      </w:r>
    </w:p>
    <w:p>
      <w:pPr>
        <w:keepNext w:val="0"/>
        <w:spacing w:before="0" w:after="120" w:line="336" w:lineRule="auto"/>
        <w:jc w:val="both"/>
      </w:pPr>
      <w:r>
        <w:rPr>
          <w:rFonts w:ascii="Times New Roman" w:hAnsi="Times New Roman"/>
          <w:b w:val="0"/>
          <w:i w:val="0"/>
          <w:color w:val="000000"/>
          <w:sz w:val="23"/>
        </w:rPr>
        <w:t>The codebase has a clear prototype boundary. Custom Python execution is flexible but needs true workload isolation before it is exposed to untrusted users. The shared provider token simplifies setup but should be replaced with per-provider enrollment and revocation. Polling dispatch should gain an atomic lease/claim so concurrent agent activity cannot start duplicated work. Application cancellation should send a provider-visible stop command and perform one idempotent settlement. Artifact paths should evolve from backend-local storage to capacity-controlled durable storage. The in-memory realtime/recovery mechanism is appropriate to a single process but would require a distributed coordination design for replicas. These are focused engineering improvements; they do not invalidate the implemented workflows described above.</w:t>
      </w:r>
    </w:p>
    <w:p>
      <w:pPr>
        <w:keepNext w:val="0"/>
        <w:spacing w:before="0" w:after="120" w:line="360" w:lineRule="auto"/>
        <w:jc w:val="both"/>
      </w:pPr>
      <w:r>
        <w:rPr>
          <w:rFonts w:ascii="Times New Roman" w:hAnsi="Times New Roman"/>
          <w:b w:val="0"/>
          <w:i w:val="0"/>
          <w:color w:val="000000"/>
          <w:sz w:val="24"/>
        </w:rPr>
        <w:t>Figure 5.2 presents the available deployment configurations. Direct local operation uses separate backend, provider and static-server processes. Docker Compose defines backend, PostgreSQL and MediaMTX services but does not start a provider. The Render and Vercel files define a potential hosted backend/database and static frontend topology. An external media host remains required for remote streaming. The audit did not deploy any of these configurations.</w:t>
      </w:r>
    </w:p>
    <w:p>
      <w:pPr>
        <w:jc w:val="center"/>
      </w:pPr>
      <w:r>
        <w:drawing>
          <wp:inline xmlns:a="http://schemas.openxmlformats.org/drawingml/2006/main" xmlns:pic="http://schemas.openxmlformats.org/drawingml/2006/picture">
            <wp:extent cx="5715000" cy="3214688"/>
            <wp:docPr id="7" name="Picture 7" descr="Image: image7.png"/>
            <wp:cNvGraphicFramePr>
              <a:graphicFrameLocks noChangeAspect="1"/>
            </wp:cNvGraphicFramePr>
            <a:graphic>
              <a:graphicData uri="http://schemas.openxmlformats.org/drawingml/2006/picture">
                <pic:pic>
                  <pic:nvPicPr>
                    <pic:cNvPr id="0" name="fig36_deploy.png"/>
                    <pic:cNvPicPr/>
                  </pic:nvPicPr>
                  <pic:blipFill>
                    <a:blip r:embed="rId16"/>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color w:val="000000"/>
          <w:sz w:val="21"/>
        </w:rPr>
        <w:t>Figure 5.3: Documented but unverified deployment topology</w:t>
      </w:r>
    </w:p>
    <w:p>
      <w:r>
        <w:br w:type="page"/>
      </w:r>
    </w:p>
    <w:p>
      <w:pPr>
        <w:spacing w:before="2400" w:after="360"/>
        <w:jc w:val="center"/>
      </w:pPr>
      <w:r>
        <w:rPr>
          <w:rFonts w:ascii="Times New Roman" w:hAnsi="Times New Roman"/>
          <w:b/>
          <w:i w:val="0"/>
          <w:color w:val="000000"/>
          <w:sz w:val="36"/>
        </w:rPr>
        <w:t>CHAPTER 6</w:t>
      </w:r>
    </w:p>
    <w:p>
      <w:pPr>
        <w:spacing w:after="1200"/>
        <w:jc w:val="center"/>
      </w:pPr>
      <w:r>
        <w:rPr>
          <w:rFonts w:ascii="Times New Roman" w:hAnsi="Times New Roman"/>
          <w:b/>
          <w:i w:val="0"/>
          <w:color w:val="000000"/>
          <w:sz w:val="36"/>
        </w:rPr>
        <w:t>CONCLUSION AND FUTURE WORK</w:t>
      </w:r>
    </w:p>
    <w:p>
      <w:pPr>
        <w:pStyle w:val="Heading1"/>
        <w:keepNext/>
        <w:spacing w:before="280" w:after="140"/>
        <w:jc w:val="both"/>
      </w:pPr>
      <w:r>
        <w:rPr>
          <w:rFonts w:ascii="Times New Roman" w:hAnsi="Times New Roman"/>
          <w:b/>
          <w:i w:val="0"/>
          <w:color w:val="000000"/>
          <w:sz w:val="30"/>
        </w:rPr>
        <w:t>CHAPTER 6 CONCLUSION AND FUTURE WORK</w:t>
      </w:r>
    </w:p>
    <w:p>
      <w:pPr>
        <w:pStyle w:val="Heading2"/>
        <w:keepNext/>
        <w:spacing w:before="180" w:after="140"/>
        <w:jc w:val="both"/>
      </w:pPr>
      <w:r>
        <w:rPr>
          <w:rFonts w:ascii="Times New Roman" w:hAnsi="Times New Roman"/>
          <w:b/>
          <w:i w:val="0"/>
          <w:color w:val="000000"/>
          <w:sz w:val="26"/>
        </w:rPr>
        <w:t>6.1 Conclusion</w:t>
      </w:r>
    </w:p>
    <w:p>
      <w:pPr>
        <w:keepNext w:val="0"/>
        <w:spacing w:before="0" w:after="120" w:line="360" w:lineRule="auto"/>
        <w:jc w:val="both"/>
      </w:pPr>
      <w:r>
        <w:rPr>
          <w:rFonts w:ascii="Times New Roman" w:hAnsi="Times New Roman"/>
          <w:b w:val="0"/>
          <w:i w:val="0"/>
          <w:color w:val="000000"/>
          <w:sz w:val="24"/>
        </w:rPr>
        <w:t>Nexora demonstrates a complete source-level prototype of a unified compute management workflow. The project connects user-facing job submission to provider discovery, capacity filtering, selection, polling-based dispatch, provider execution, checkpoints, recovery state, artifacts, token ledger operations and dashboard updates. Its design is particularly useful as an academic case study because each concern remains visible in a compact repository: the frontend is static and inspectable, the backend exposes the state model and routes, and the provider agent reveals the boundary between control-plane decisions and local execution.</w:t>
      </w:r>
    </w:p>
    <w:p>
      <w:pPr>
        <w:keepNext w:val="0"/>
        <w:spacing w:before="0" w:after="120" w:line="360" w:lineRule="auto"/>
        <w:jc w:val="both"/>
      </w:pPr>
      <w:r>
        <w:rPr>
          <w:rFonts w:ascii="Times New Roman" w:hAnsi="Times New Roman"/>
          <w:b w:val="0"/>
          <w:i w:val="0"/>
          <w:color w:val="000000"/>
          <w:sz w:val="24"/>
        </w:rPr>
        <w:t>The implementation should nevertheless be described accurately. Python syntax validation and twelve frontend utility tests are the runtime evidence recorded in this report. The principal integrations - actual provider execution, database deployment, Docker Compose, MediaMTX, OBS/browser capture, remote streaming, external destination delivery and hosted service deployment - remain unverified. Nexora is therefore a substantial prototype, not a production readiness claim.</w:t>
      </w:r>
    </w:p>
    <w:p>
      <w:pPr>
        <w:pStyle w:val="Heading2"/>
        <w:keepNext/>
        <w:spacing w:before="180" w:after="140"/>
        <w:jc w:val="both"/>
      </w:pPr>
      <w:r>
        <w:rPr>
          <w:rFonts w:ascii="Times New Roman" w:hAnsi="Times New Roman"/>
          <w:b/>
          <w:i w:val="0"/>
          <w:color w:val="000000"/>
          <w:sz w:val="26"/>
        </w:rPr>
        <w:t>6.2 Future Enhancements</w:t>
      </w:r>
    </w:p>
    <w:p>
      <w:pPr>
        <w:pStyle w:val="Heading2"/>
        <w:keepNext/>
        <w:spacing w:before="0" w:after="120" w:line="240" w:lineRule="auto"/>
        <w:jc w:val="both"/>
      </w:pPr>
      <w:r>
        <w:rPr>
          <w:rFonts w:ascii="Times New Roman" w:hAnsi="Times New Roman"/>
          <w:b/>
          <w:i w:val="0"/>
          <w:color w:val="000000"/>
          <w:sz w:val="26"/>
        </w:rPr>
        <w:t>6.3 Prioritized Engineering Roadmap</w:t>
      </w:r>
    </w:p>
    <w:p>
      <w:pPr>
        <w:keepNext w:val="0"/>
        <w:spacing w:before="0" w:after="120" w:line="336" w:lineRule="auto"/>
        <w:jc w:val="both"/>
      </w:pPr>
      <w:r>
        <w:rPr>
          <w:rFonts w:ascii="Times New Roman" w:hAnsi="Times New Roman"/>
          <w:b w:val="0"/>
          <w:i w:val="0"/>
          <w:color w:val="000000"/>
          <w:sz w:val="23"/>
        </w:rPr>
        <w:t>The immediate roadmap strengthens trust and execution safety: introduce per-provider identity, isolate untrusted workloads, and establish atomic dispatch/cancel acknowledgements. The next stage makes state operationally durable through migrations, PostgreSQL policy, artifact lifecycle management and telemetry history. The final stage increases usability and scale through provider pools, labels, quotas, fairness policies, administrative roles, structured observability and fully automated integration testing. This sequence preserves the current educational value of a simple control plane while addressing the requirements that matter before broader deployment.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864"/>
            <w:vAlign w:val="center"/>
            <w:shd w:fill="163A5F"/>
            <w:tcMar>
              <w:top w:w="90" w:type="dxa"/>
              <w:start w:w="90" w:type="dxa"/>
              <w:bottom w:w="90" w:type="dxa"/>
              <w:end w:w="90" w:type="dxa"/>
            </w:tcMar>
          </w:tcPr>
          <w:p>
            <w:pPr>
              <w:jc w:val="left"/>
            </w:pPr>
            <w:r/>
            <w:r>
              <w:rPr>
                <w:rFonts w:ascii="Times New Roman" w:hAnsi="Times New Roman"/>
                <w:b/>
                <w:color w:val="FFFFFF"/>
                <w:sz w:val="16"/>
              </w:rPr>
              <w:t>Priority</w:t>
            </w:r>
          </w:p>
        </w:tc>
        <w:tc>
          <w:tcPr>
            <w:tcW w:type="dxa" w:w="4464"/>
            <w:vAlign w:val="center"/>
            <w:shd w:fill="163A5F"/>
            <w:tcMar>
              <w:top w:w="90" w:type="dxa"/>
              <w:start w:w="90" w:type="dxa"/>
              <w:bottom w:w="90" w:type="dxa"/>
              <w:end w:w="90" w:type="dxa"/>
            </w:tcMar>
          </w:tcPr>
          <w:p>
            <w:pPr>
              <w:jc w:val="left"/>
            </w:pPr>
            <w:r/>
            <w:r>
              <w:rPr>
                <w:rFonts w:ascii="Times New Roman" w:hAnsi="Times New Roman"/>
                <w:b/>
                <w:color w:val="FFFFFF"/>
                <w:sz w:val="16"/>
              </w:rPr>
              <w:t>Future work</w:t>
            </w:r>
          </w:p>
        </w:tc>
        <w:tc>
          <w:tcPr>
            <w:tcW w:type="dxa" w:w="4176"/>
            <w:vAlign w:val="center"/>
            <w:shd w:fill="163A5F"/>
            <w:tcMar>
              <w:top w:w="90" w:type="dxa"/>
              <w:start w:w="90" w:type="dxa"/>
              <w:bottom w:w="90" w:type="dxa"/>
              <w:end w:w="90" w:type="dxa"/>
            </w:tcMar>
          </w:tcPr>
          <w:p>
            <w:pPr>
              <w:jc w:val="left"/>
            </w:pPr>
            <w:r/>
            <w:r>
              <w:rPr>
                <w:rFonts w:ascii="Times New Roman" w:hAnsi="Times New Roman"/>
                <w:b/>
                <w:color w:val="FFFFFF"/>
                <w:sz w:val="16"/>
              </w:rPr>
              <w:t>Acceptance criterion</w:t>
            </w:r>
          </w:p>
        </w:tc>
      </w:tr>
      <w:tr>
        <w:tc>
          <w:tcPr>
            <w:tcW w:type="dxa" w:w="864"/>
            <w:vAlign w:val="center"/>
            <w:tcMar>
              <w:top w:w="90" w:type="dxa"/>
              <w:start w:w="90" w:type="dxa"/>
              <w:bottom w:w="90" w:type="dxa"/>
              <w:end w:w="90" w:type="dxa"/>
            </w:tcMar>
          </w:tcPr>
          <w:p>
            <w:pPr>
              <w:jc w:val="left"/>
            </w:pPr>
            <w:r/>
            <w:r>
              <w:rPr>
                <w:rFonts w:ascii="Times New Roman" w:hAnsi="Times New Roman"/>
                <w:b w:val="0"/>
                <w:sz w:val="16"/>
              </w:rPr>
              <w:t>P0</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Isolate custom code and strengthen provider identity</w:t>
            </w:r>
          </w:p>
        </w:tc>
        <w:tc>
          <w:tcPr>
            <w:tcW w:type="dxa" w:w="4176"/>
            <w:vAlign w:val="center"/>
            <w:tcMar>
              <w:top w:w="90" w:type="dxa"/>
              <w:start w:w="90" w:type="dxa"/>
              <w:bottom w:w="90" w:type="dxa"/>
              <w:end w:w="90" w:type="dxa"/>
            </w:tcMar>
          </w:tcPr>
          <w:p>
            <w:pPr>
              <w:jc w:val="left"/>
            </w:pPr>
            <w:r/>
            <w:r>
              <w:rPr>
                <w:rFonts w:ascii="Times New Roman" w:hAnsi="Times New Roman"/>
                <w:b w:val="0"/>
                <w:sz w:val="16"/>
              </w:rPr>
              <w:t>Untrusted workload cannot access provider host; one credential cannot impersonate another provider</w:t>
            </w:r>
          </w:p>
        </w:tc>
      </w:tr>
      <w:tr>
        <w:tc>
          <w:tcPr>
            <w:tcW w:type="dxa" w:w="864"/>
            <w:vAlign w:val="center"/>
            <w:tcMar>
              <w:top w:w="90" w:type="dxa"/>
              <w:start w:w="90" w:type="dxa"/>
              <w:bottom w:w="90" w:type="dxa"/>
              <w:end w:w="90" w:type="dxa"/>
            </w:tcMar>
            <w:shd w:fill="F7FAFC"/>
          </w:tcPr>
          <w:p>
            <w:pPr>
              <w:jc w:val="left"/>
            </w:pPr>
            <w:r/>
            <w:r>
              <w:rPr>
                <w:rFonts w:ascii="Times New Roman" w:hAnsi="Times New Roman"/>
                <w:b w:val="0"/>
                <w:sz w:val="16"/>
              </w:rPr>
              <w:t>P1</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Add atomic leases, cancellation acknowledgements and recovery stress tests</w:t>
            </w:r>
          </w:p>
        </w:tc>
        <w:tc>
          <w:tcPr>
            <w:tcW w:type="dxa" w:w="4176"/>
            <w:vAlign w:val="center"/>
            <w:tcMar>
              <w:top w:w="90" w:type="dxa"/>
              <w:start w:w="90" w:type="dxa"/>
              <w:bottom w:w="90" w:type="dxa"/>
              <w:end w:w="90" w:type="dxa"/>
            </w:tcMar>
            <w:shd w:fill="F7FAFC"/>
          </w:tcPr>
          <w:p>
            <w:pPr>
              <w:jc w:val="left"/>
            </w:pPr>
            <w:r/>
            <w:r>
              <w:rPr>
                <w:rFonts w:ascii="Times New Roman" w:hAnsi="Times New Roman"/>
                <w:b w:val="0"/>
                <w:sz w:val="16"/>
              </w:rPr>
              <w:t>One job has one active execution; cancel reaches the provider and settles once</w:t>
            </w:r>
          </w:p>
        </w:tc>
      </w:tr>
      <w:tr>
        <w:tc>
          <w:tcPr>
            <w:tcW w:type="dxa" w:w="864"/>
            <w:vAlign w:val="center"/>
            <w:tcMar>
              <w:top w:w="90" w:type="dxa"/>
              <w:start w:w="90" w:type="dxa"/>
              <w:bottom w:w="90" w:type="dxa"/>
              <w:end w:w="90" w:type="dxa"/>
            </w:tcMar>
          </w:tcPr>
          <w:p>
            <w:pPr>
              <w:jc w:val="left"/>
            </w:pPr>
            <w:r/>
            <w:r>
              <w:rPr>
                <w:rFonts w:ascii="Times New Roman" w:hAnsi="Times New Roman"/>
                <w:b w:val="0"/>
                <w:sz w:val="16"/>
              </w:rPr>
              <w:t>P1</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Use durable production persistence and artifact management</w:t>
            </w:r>
          </w:p>
        </w:tc>
        <w:tc>
          <w:tcPr>
            <w:tcW w:type="dxa" w:w="4176"/>
            <w:vAlign w:val="center"/>
            <w:tcMar>
              <w:top w:w="90" w:type="dxa"/>
              <w:start w:w="90" w:type="dxa"/>
              <w:bottom w:w="90" w:type="dxa"/>
              <w:end w:w="90" w:type="dxa"/>
            </w:tcMar>
          </w:tcPr>
          <w:p>
            <w:pPr>
              <w:jc w:val="left"/>
            </w:pPr>
            <w:r/>
            <w:r>
              <w:rPr>
                <w:rFonts w:ascii="Times New Roman" w:hAnsi="Times New Roman"/>
                <w:b w:val="0"/>
                <w:sz w:val="16"/>
              </w:rPr>
              <w:t>Versioned migrations, retained backups, object storage lifecycle and limits</w:t>
            </w:r>
          </w:p>
        </w:tc>
      </w:tr>
      <w:tr>
        <w:tc>
          <w:tcPr>
            <w:tcW w:type="dxa" w:w="864"/>
            <w:vAlign w:val="center"/>
            <w:tcMar>
              <w:top w:w="90" w:type="dxa"/>
              <w:start w:w="90" w:type="dxa"/>
              <w:bottom w:w="90" w:type="dxa"/>
              <w:end w:w="90" w:type="dxa"/>
            </w:tcMar>
            <w:shd w:fill="F7FAFC"/>
          </w:tcPr>
          <w:p>
            <w:pPr>
              <w:jc w:val="left"/>
            </w:pPr>
            <w:r/>
            <w:r>
              <w:rPr>
                <w:rFonts w:ascii="Times New Roman" w:hAnsi="Times New Roman"/>
                <w:b w:val="0"/>
                <w:sz w:val="16"/>
              </w:rPr>
              <w:t>P2</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Add telemetry history, structured logs, health alerts and audit visibility</w:t>
            </w:r>
          </w:p>
        </w:tc>
        <w:tc>
          <w:tcPr>
            <w:tcW w:type="dxa" w:w="4176"/>
            <w:vAlign w:val="center"/>
            <w:tcMar>
              <w:top w:w="90" w:type="dxa"/>
              <w:start w:w="90" w:type="dxa"/>
              <w:bottom w:w="90" w:type="dxa"/>
              <w:end w:w="90" w:type="dxa"/>
            </w:tcMar>
            <w:shd w:fill="F7FAFC"/>
          </w:tcPr>
          <w:p>
            <w:pPr>
              <w:jc w:val="left"/>
            </w:pPr>
            <w:r/>
            <w:r>
              <w:rPr>
                <w:rFonts w:ascii="Times New Roman" w:hAnsi="Times New Roman"/>
                <w:b w:val="0"/>
                <w:sz w:val="16"/>
              </w:rPr>
              <w:t>Operators can inspect time-series and correlated job/provider events</w:t>
            </w:r>
          </w:p>
        </w:tc>
      </w:tr>
      <w:tr>
        <w:tc>
          <w:tcPr>
            <w:tcW w:type="dxa" w:w="864"/>
            <w:vAlign w:val="center"/>
            <w:tcMar>
              <w:top w:w="90" w:type="dxa"/>
              <w:start w:w="90" w:type="dxa"/>
              <w:bottom w:w="90" w:type="dxa"/>
              <w:end w:w="90" w:type="dxa"/>
            </w:tcMar>
          </w:tcPr>
          <w:p>
            <w:pPr>
              <w:jc w:val="left"/>
            </w:pPr>
            <w:r/>
            <w:r>
              <w:rPr>
                <w:rFonts w:ascii="Times New Roman" w:hAnsi="Times New Roman"/>
                <w:b w:val="0"/>
                <w:sz w:val="16"/>
              </w:rPr>
              <w:t>P2</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Refresh docs and run CI/integration suites</w:t>
            </w:r>
          </w:p>
        </w:tc>
        <w:tc>
          <w:tcPr>
            <w:tcW w:type="dxa" w:w="4176"/>
            <w:vAlign w:val="center"/>
            <w:tcMar>
              <w:top w:w="90" w:type="dxa"/>
              <w:start w:w="90" w:type="dxa"/>
              <w:bottom w:w="90" w:type="dxa"/>
              <w:end w:w="90" w:type="dxa"/>
            </w:tcMar>
          </w:tcPr>
          <w:p>
            <w:pPr>
              <w:jc w:val="left"/>
            </w:pPr>
            <w:r/>
            <w:r>
              <w:rPr>
                <w:rFonts w:ascii="Times New Roman" w:hAnsi="Times New Roman"/>
                <w:b w:val="0"/>
                <w:sz w:val="16"/>
              </w:rPr>
              <w:t>Documented routes/config align with source and automated tests run reproducibly</w:t>
            </w:r>
          </w:p>
        </w:tc>
      </w:tr>
      <w:tr>
        <w:tc>
          <w:tcPr>
            <w:tcW w:type="dxa" w:w="864"/>
            <w:vAlign w:val="center"/>
            <w:tcMar>
              <w:top w:w="90" w:type="dxa"/>
              <w:start w:w="90" w:type="dxa"/>
              <w:bottom w:w="90" w:type="dxa"/>
              <w:end w:w="90" w:type="dxa"/>
            </w:tcMar>
            <w:shd w:fill="F7FAFC"/>
          </w:tcPr>
          <w:p>
            <w:pPr>
              <w:jc w:val="left"/>
            </w:pPr>
            <w:r/>
            <w:r>
              <w:rPr>
                <w:rFonts w:ascii="Times New Roman" w:hAnsi="Times New Roman"/>
                <w:b w:val="0"/>
                <w:sz w:val="16"/>
              </w:rPr>
              <w:t>P3</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Formalize roles, quotas, provider pools and fair scheduling</w:t>
            </w:r>
          </w:p>
        </w:tc>
        <w:tc>
          <w:tcPr>
            <w:tcW w:type="dxa" w:w="4176"/>
            <w:vAlign w:val="center"/>
            <w:tcMar>
              <w:top w:w="90" w:type="dxa"/>
              <w:start w:w="90" w:type="dxa"/>
              <w:bottom w:w="90" w:type="dxa"/>
              <w:end w:w="90" w:type="dxa"/>
            </w:tcMar>
            <w:shd w:fill="F7FAFC"/>
          </w:tcPr>
          <w:p>
            <w:pPr>
              <w:jc w:val="left"/>
            </w:pPr>
            <w:r/>
            <w:r>
              <w:rPr>
                <w:rFonts w:ascii="Times New Roman" w:hAnsi="Times New Roman"/>
                <w:b w:val="0"/>
                <w:sz w:val="16"/>
              </w:rPr>
              <w:t>Policy-backed access and predictable multi-provider allocation</w:t>
            </w:r>
          </w:p>
        </w:tc>
      </w:tr>
    </w:tbl>
    <w:p>
      <w:pPr>
        <w:spacing w:after="40"/>
      </w:pPr>
    </w:p>
    <w:p>
      <w:pPr>
        <w:spacing w:before="60" w:after="180"/>
        <w:jc w:val="center"/>
      </w:pPr>
      <w:r>
        <w:rPr>
          <w:rFonts w:ascii="Times New Roman" w:hAnsi="Times New Roman"/>
          <w:b/>
          <w:i/>
          <w:color w:val="000000"/>
          <w:sz w:val="21"/>
        </w:rPr>
        <w:t>Table 6.1: Prioritized future-work roadmap</w:t>
      </w:r>
    </w:p>
    <w:p>
      <w:r>
        <w:br w:type="page"/>
      </w:r>
    </w:p>
    <w:p>
      <w:pPr>
        <w:pStyle w:val="Heading1"/>
        <w:keepNext/>
        <w:spacing w:before="280" w:after="140"/>
        <w:jc w:val="both"/>
      </w:pPr>
      <w:r>
        <w:rPr>
          <w:rFonts w:ascii="Times New Roman" w:hAnsi="Times New Roman"/>
          <w:b/>
          <w:i w:val="0"/>
          <w:color w:val="000000"/>
          <w:sz w:val="30"/>
        </w:rPr>
        <w:t>SUPPORTING MATERIALS</w:t>
      </w:r>
    </w:p>
    <w:p>
      <w:pPr>
        <w:keepNext w:val="0"/>
        <w:spacing w:before="0" w:after="120" w:line="360" w:lineRule="auto"/>
        <w:jc w:val="both"/>
      </w:pPr>
      <w:r>
        <w:rPr>
          <w:rFonts w:ascii="Times New Roman" w:hAnsi="Times New Roman"/>
          <w:b w:val="0"/>
          <w:i w:val="0"/>
          <w:color w:val="000000"/>
          <w:sz w:val="24"/>
        </w:rPr>
        <w:t>The following source materials were inspected to prepare this report: `README.md`; the backend control plane at `user-website/backend/app/main.py`; the provider agent at `provider-server/main.py`; static frontend modules under `user-website/nexora-frontend/js`; Docker and hosting configuration; MediaMTX configuration; backend/provider/frontend tests; and the supplied audit documents `OVERALL_PROJECT_REPORT.md`, `API_REFERENCE.md`, `ARCHITECTURE.md`, `DATABASE_DESIGN.md`, `DEPLOYMENT_GUIDE.md`, `FEATURE_IMPLEMENTATION_MATRIX.md`, `TESTING_AND_VALIDATION.md`, and `TECHNICAL_DEBT_AND_FUTURE_SCOPE.md`. The reference PBC format document was used for chapter sequence, cover composition, abstract, table of contents, heading structure, supporting materials, references and appendix arrangement.</w:t>
      </w:r>
    </w:p>
    <w:p>
      <w:pPr>
        <w:pStyle w:val="Heading2"/>
        <w:keepNext/>
        <w:spacing w:before="180" w:after="140"/>
        <w:jc w:val="both"/>
      </w:pPr>
      <w:r>
        <w:rPr>
          <w:rFonts w:ascii="Times New Roman" w:hAnsi="Times New Roman"/>
          <w:b/>
          <w:i w:val="0"/>
          <w:color w:val="000000"/>
          <w:sz w:val="26"/>
        </w:rPr>
        <w:t>REFERENCES</w:t>
      </w:r>
    </w:p>
    <w:p>
      <w:pPr>
        <w:keepNext w:val="0"/>
        <w:spacing w:before="0" w:after="80" w:line="360" w:lineRule="auto"/>
        <w:jc w:val="left"/>
      </w:pPr>
      <w:r>
        <w:rPr>
          <w:rFonts w:ascii="Times New Roman" w:hAnsi="Times New Roman"/>
          <w:b w:val="0"/>
          <w:i w:val="0"/>
          <w:color w:val="000000"/>
          <w:sz w:val="22"/>
        </w:rPr>
        <w:t>[1] Nexora repository, README.md, backend, provider, frontend, tests and deployment configuration. Inspected 25-26 October 2026.</w:t>
      </w:r>
    </w:p>
    <w:p>
      <w:pPr>
        <w:keepNext w:val="0"/>
        <w:spacing w:before="0" w:after="80" w:line="360" w:lineRule="auto"/>
        <w:jc w:val="left"/>
      </w:pPr>
      <w:r>
        <w:rPr>
          <w:rFonts w:ascii="Times New Roman" w:hAnsi="Times New Roman"/>
          <w:b w:val="0"/>
          <w:i w:val="0"/>
          <w:color w:val="000000"/>
          <w:sz w:val="22"/>
        </w:rPr>
        <w:t>[2] Nexora Overall Project Report, API Reference, Architecture, Database Design, Deployment Guide, Feature Implementation Matrix, Testing and Validation, and Technical Debt and Future Scope. Internal project documentation, 2026.</w:t>
      </w:r>
    </w:p>
    <w:p>
      <w:pPr>
        <w:keepNext w:val="0"/>
        <w:spacing w:before="0" w:after="80" w:line="360" w:lineRule="auto"/>
        <w:jc w:val="left"/>
      </w:pPr>
      <w:r>
        <w:rPr>
          <w:rFonts w:ascii="Times New Roman" w:hAnsi="Times New Roman"/>
          <w:b w:val="0"/>
          <w:i w:val="0"/>
          <w:color w:val="000000"/>
          <w:sz w:val="22"/>
        </w:rPr>
        <w:t>[3] FastAPI. FastAPI Documentation. https://fastapi.tiangolo.com/ (accessed for framework context; project-specific facts are based on source code).</w:t>
      </w:r>
    </w:p>
    <w:p>
      <w:pPr>
        <w:keepNext w:val="0"/>
        <w:spacing w:before="0" w:after="80" w:line="360" w:lineRule="auto"/>
        <w:jc w:val="left"/>
      </w:pPr>
      <w:r>
        <w:rPr>
          <w:rFonts w:ascii="Times New Roman" w:hAnsi="Times New Roman"/>
          <w:b w:val="0"/>
          <w:i w:val="0"/>
          <w:color w:val="000000"/>
          <w:sz w:val="22"/>
        </w:rPr>
        <w:t>[4] SQLAlchemy. SQLAlchemy 2.0 Documentation. https://docs.sqlalchemy.org/en/20/.</w:t>
      </w:r>
    </w:p>
    <w:p>
      <w:pPr>
        <w:keepNext w:val="0"/>
        <w:spacing w:before="0" w:after="80" w:line="360" w:lineRule="auto"/>
        <w:jc w:val="left"/>
      </w:pPr>
      <w:r>
        <w:rPr>
          <w:rFonts w:ascii="Times New Roman" w:hAnsi="Times New Roman"/>
          <w:b w:val="0"/>
          <w:i w:val="0"/>
          <w:color w:val="000000"/>
          <w:sz w:val="22"/>
        </w:rPr>
        <w:t>[5] Docker. Docker Compose Documentation. https://docs.docker.com/compose/.</w:t>
      </w:r>
    </w:p>
    <w:p>
      <w:pPr>
        <w:keepNext w:val="0"/>
        <w:spacing w:before="0" w:after="80" w:line="360" w:lineRule="auto"/>
        <w:jc w:val="left"/>
      </w:pPr>
      <w:r>
        <w:rPr>
          <w:rFonts w:ascii="Times New Roman" w:hAnsi="Times New Roman"/>
          <w:b w:val="0"/>
          <w:i w:val="0"/>
          <w:color w:val="000000"/>
          <w:sz w:val="22"/>
        </w:rPr>
        <w:t>[6] MediaMTX. MediaMTX Documentation. https://mediamtx.org/docs/.</w:t>
      </w:r>
    </w:p>
    <w:p>
      <w:pPr>
        <w:keepNext w:val="0"/>
        <w:spacing w:before="0" w:after="80" w:line="360" w:lineRule="auto"/>
        <w:jc w:val="left"/>
      </w:pPr>
      <w:r>
        <w:rPr>
          <w:rFonts w:ascii="Times New Roman" w:hAnsi="Times New Roman"/>
          <w:b w:val="0"/>
          <w:i w:val="0"/>
          <w:color w:val="000000"/>
          <w:sz w:val="22"/>
        </w:rPr>
        <w:t>[7] FFmpeg. FFmpeg Documentation. https://ffmpeg.org/documentation.html.</w:t>
      </w:r>
    </w:p>
    <w:p>
      <w:pPr>
        <w:keepNext w:val="0"/>
        <w:spacing w:before="0" w:after="80" w:line="360" w:lineRule="auto"/>
        <w:jc w:val="left"/>
      </w:pPr>
      <w:r>
        <w:rPr>
          <w:rFonts w:ascii="Times New Roman" w:hAnsi="Times New Roman"/>
          <w:b w:val="0"/>
          <w:i w:val="0"/>
          <w:color w:val="000000"/>
          <w:sz w:val="22"/>
        </w:rPr>
        <w:t>[8] Python Software Foundation. Python 3 Documentation. https://docs.python.org/3/.</w:t>
      </w:r>
    </w:p>
    <w:p>
      <w:r>
        <w:br w:type="page"/>
      </w:r>
    </w:p>
    <w:p>
      <w:pPr>
        <w:pStyle w:val="Heading2"/>
        <w:keepNext/>
        <w:spacing w:before="180" w:after="140"/>
        <w:jc w:val="both"/>
      </w:pPr>
      <w:r>
        <w:rPr>
          <w:rFonts w:ascii="Times New Roman" w:hAnsi="Times New Roman"/>
          <w:b/>
          <w:i w:val="0"/>
          <w:color w:val="000000"/>
          <w:sz w:val="26"/>
        </w:rPr>
        <w:t>APPENDIX</w:t>
      </w:r>
    </w:p>
    <w:p>
      <w:pPr>
        <w:pStyle w:val="Heading3"/>
        <w:keepNext/>
        <w:spacing w:before="180" w:after="140"/>
        <w:jc w:val="both"/>
      </w:pPr>
      <w:r>
        <w:rPr>
          <w:rFonts w:ascii="Times New Roman" w:hAnsi="Times New Roman"/>
          <w:b/>
          <w:i w:val="0"/>
          <w:color w:val="000000"/>
          <w:sz w:val="24"/>
        </w:rPr>
        <w:t>Appendix A: API and Database Design Summary</w:t>
      </w:r>
    </w:p>
    <w:p>
      <w:pPr>
        <w:keepNext w:val="0"/>
        <w:spacing w:before="0" w:after="120" w:line="360" w:lineRule="auto"/>
        <w:jc w:val="both"/>
      </w:pPr>
      <w:r>
        <w:rPr>
          <w:rFonts w:ascii="Times New Roman" w:hAnsi="Times New Roman"/>
          <w:b w:val="0"/>
          <w:i w:val="0"/>
          <w:color w:val="000000"/>
          <w:sz w:val="24"/>
        </w:rPr>
        <w:t>This appendix preserves the reference report position for extended technical material while adapting it to Nexora. It is a compact companion to the full API_REFERENCE.md and DATABASE_DESIGN.md documents.</w:t>
      </w:r>
    </w:p>
    <w:p>
      <w:pPr>
        <w:pStyle w:val="Heading3"/>
        <w:keepNext/>
        <w:spacing w:before="180" w:after="140"/>
        <w:jc w:val="both"/>
      </w:pPr>
      <w:r>
        <w:rPr>
          <w:rFonts w:ascii="Times New Roman" w:hAnsi="Times New Roman"/>
          <w:b/>
          <w:i w:val="0"/>
          <w:color w:val="000000"/>
          <w:sz w:val="24"/>
        </w:rPr>
        <w:t>A.1 API Endpoint Groups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vAlign w:val="center"/>
            <w:shd w:fill="163A5F"/>
            <w:tcMar>
              <w:top w:w="90" w:type="dxa"/>
              <w:start w:w="90" w:type="dxa"/>
              <w:bottom w:w="90" w:type="dxa"/>
              <w:end w:w="90" w:type="dxa"/>
            </w:tcMar>
          </w:tcPr>
          <w:p>
            <w:pPr>
              <w:jc w:val="left"/>
            </w:pPr>
            <w:r/>
            <w:r>
              <w:rPr>
                <w:rFonts w:ascii="Times New Roman" w:hAnsi="Times New Roman"/>
                <w:b/>
                <w:color w:val="FFFFFF"/>
                <w:sz w:val="16"/>
              </w:rPr>
              <w:t>Group</w:t>
            </w:r>
          </w:p>
        </w:tc>
        <w:tc>
          <w:tcPr>
            <w:tcW w:type="dxa" w:w="5472"/>
            <w:vAlign w:val="center"/>
            <w:shd w:fill="163A5F"/>
            <w:tcMar>
              <w:top w:w="90" w:type="dxa"/>
              <w:start w:w="90" w:type="dxa"/>
              <w:bottom w:w="90" w:type="dxa"/>
              <w:end w:w="90" w:type="dxa"/>
            </w:tcMar>
          </w:tcPr>
          <w:p>
            <w:pPr>
              <w:jc w:val="left"/>
            </w:pPr>
            <w:r/>
            <w:r>
              <w:rPr>
                <w:rFonts w:ascii="Times New Roman" w:hAnsi="Times New Roman"/>
                <w:b/>
                <w:color w:val="FFFFFF"/>
                <w:sz w:val="16"/>
              </w:rPr>
              <w:t>Representative endpoints</w:t>
            </w:r>
          </w:p>
        </w:tc>
        <w:tc>
          <w:tcPr>
            <w:tcW w:type="dxa" w:w="1872"/>
            <w:vAlign w:val="center"/>
            <w:shd w:fill="163A5F"/>
            <w:tcMar>
              <w:top w:w="90" w:type="dxa"/>
              <w:start w:w="90" w:type="dxa"/>
              <w:bottom w:w="90" w:type="dxa"/>
              <w:end w:w="90" w:type="dxa"/>
            </w:tcMar>
          </w:tcPr>
          <w:p>
            <w:pPr>
              <w:jc w:val="left"/>
            </w:pPr>
            <w:r/>
            <w:r>
              <w:rPr>
                <w:rFonts w:ascii="Times New Roman" w:hAnsi="Times New Roman"/>
                <w:b/>
                <w:color w:val="FFFFFF"/>
                <w:sz w:val="16"/>
              </w:rPr>
              <w:t>Authentication</w:t>
            </w:r>
          </w:p>
        </w:tc>
      </w:tr>
      <w:tr>
        <w:tc>
          <w:tcPr>
            <w:tcW w:type="dxa" w:w="2160"/>
            <w:vAlign w:val="center"/>
            <w:tcMar>
              <w:top w:w="90" w:type="dxa"/>
              <w:start w:w="90" w:type="dxa"/>
              <w:bottom w:w="90" w:type="dxa"/>
              <w:end w:w="90" w:type="dxa"/>
            </w:tcMar>
          </w:tcPr>
          <w:p>
            <w:pPr>
              <w:jc w:val="left"/>
            </w:pPr>
            <w:r/>
            <w:r>
              <w:rPr>
                <w:rFonts w:ascii="Times New Roman" w:hAnsi="Times New Roman"/>
                <w:b w:val="0"/>
                <w:sz w:val="16"/>
              </w:rPr>
              <w:t>Health and authentication</w:t>
            </w:r>
          </w:p>
        </w:tc>
        <w:tc>
          <w:tcPr>
            <w:tcW w:type="dxa" w:w="5472"/>
            <w:vAlign w:val="center"/>
            <w:tcMar>
              <w:top w:w="90" w:type="dxa"/>
              <w:start w:w="90" w:type="dxa"/>
              <w:bottom w:w="90" w:type="dxa"/>
              <w:end w:w="90" w:type="dxa"/>
            </w:tcMar>
          </w:tcPr>
          <w:p>
            <w:pPr>
              <w:jc w:val="left"/>
            </w:pPr>
            <w:r/>
            <w:r>
              <w:rPr>
                <w:rFonts w:ascii="Times New Roman" w:hAnsi="Times New Roman"/>
                <w:b w:val="0"/>
                <w:sz w:val="16"/>
              </w:rPr>
              <w:t>GET /health; POST /auth/register; POST /auth/login</w:t>
            </w:r>
          </w:p>
        </w:tc>
        <w:tc>
          <w:tcPr>
            <w:tcW w:type="dxa" w:w="1872"/>
            <w:vAlign w:val="center"/>
            <w:tcMar>
              <w:top w:w="90" w:type="dxa"/>
              <w:start w:w="90" w:type="dxa"/>
              <w:bottom w:w="90" w:type="dxa"/>
              <w:end w:w="90" w:type="dxa"/>
            </w:tcMar>
          </w:tcPr>
          <w:p>
            <w:pPr>
              <w:jc w:val="left"/>
            </w:pPr>
            <w:r/>
            <w:r>
              <w:rPr>
                <w:rFonts w:ascii="Times New Roman" w:hAnsi="Times New Roman"/>
                <w:b w:val="0"/>
                <w:sz w:val="16"/>
              </w:rPr>
              <w:t>Public</w:t>
            </w:r>
          </w:p>
        </w:tc>
      </w:tr>
      <w:tr>
        <w:tc>
          <w:tcPr>
            <w:tcW w:type="dxa" w:w="2160"/>
            <w:vAlign w:val="center"/>
            <w:tcMar>
              <w:top w:w="90" w:type="dxa"/>
              <w:start w:w="90" w:type="dxa"/>
              <w:bottom w:w="90" w:type="dxa"/>
              <w:end w:w="90" w:type="dxa"/>
            </w:tcMar>
            <w:shd w:fill="F7FAFC"/>
          </w:tcPr>
          <w:p>
            <w:pPr>
              <w:jc w:val="left"/>
            </w:pPr>
            <w:r/>
            <w:r>
              <w:rPr>
                <w:rFonts w:ascii="Times New Roman" w:hAnsi="Times New Roman"/>
                <w:b w:val="0"/>
                <w:sz w:val="16"/>
              </w:rPr>
              <w:t>User/job workflow</w:t>
            </w:r>
          </w:p>
        </w:tc>
        <w:tc>
          <w:tcPr>
            <w:tcW w:type="dxa" w:w="5472"/>
            <w:vAlign w:val="center"/>
            <w:tcMar>
              <w:top w:w="90" w:type="dxa"/>
              <w:start w:w="90" w:type="dxa"/>
              <w:bottom w:w="90" w:type="dxa"/>
              <w:end w:w="90" w:type="dxa"/>
            </w:tcMar>
            <w:shd w:fill="F7FAFC"/>
          </w:tcPr>
          <w:p>
            <w:pPr>
              <w:jc w:val="left"/>
            </w:pPr>
            <w:r/>
            <w:r>
              <w:rPr>
                <w:rFonts w:ascii="Times New Roman" w:hAnsi="Times New Roman"/>
                <w:b w:val="0"/>
                <w:sz w:val="16"/>
              </w:rPr>
              <w:t>GET/POST /jobs; cancel; checkpoints; dashboard; analytics</w:t>
            </w:r>
          </w:p>
        </w:tc>
        <w:tc>
          <w:tcPr>
            <w:tcW w:type="dxa" w:w="1872"/>
            <w:vAlign w:val="center"/>
            <w:tcMar>
              <w:top w:w="90" w:type="dxa"/>
              <w:start w:w="90" w:type="dxa"/>
              <w:bottom w:w="90" w:type="dxa"/>
              <w:end w:w="90" w:type="dxa"/>
            </w:tcMar>
            <w:shd w:fill="F7FAFC"/>
          </w:tcPr>
          <w:p>
            <w:pPr>
              <w:jc w:val="left"/>
            </w:pPr>
            <w:r/>
            <w:r>
              <w:rPr>
                <w:rFonts w:ascii="Times New Roman" w:hAnsi="Times New Roman"/>
                <w:b w:val="0"/>
                <w:sz w:val="16"/>
              </w:rPr>
              <w:t>Bearer JWT</w:t>
            </w:r>
          </w:p>
        </w:tc>
      </w:tr>
      <w:tr>
        <w:tc>
          <w:tcPr>
            <w:tcW w:type="dxa" w:w="2160"/>
            <w:vAlign w:val="center"/>
            <w:tcMar>
              <w:top w:w="90" w:type="dxa"/>
              <w:start w:w="90" w:type="dxa"/>
              <w:bottom w:w="90" w:type="dxa"/>
              <w:end w:w="90" w:type="dxa"/>
            </w:tcMar>
          </w:tcPr>
          <w:p>
            <w:pPr>
              <w:jc w:val="left"/>
            </w:pPr>
            <w:r/>
            <w:r>
              <w:rPr>
                <w:rFonts w:ascii="Times New Roman" w:hAnsi="Times New Roman"/>
                <w:b w:val="0"/>
                <w:sz w:val="16"/>
              </w:rPr>
              <w:t>Billing and artifacts</w:t>
            </w:r>
          </w:p>
        </w:tc>
        <w:tc>
          <w:tcPr>
            <w:tcW w:type="dxa" w:w="5472"/>
            <w:vAlign w:val="center"/>
            <w:tcMar>
              <w:top w:w="90" w:type="dxa"/>
              <w:start w:w="90" w:type="dxa"/>
              <w:bottom w:w="90" w:type="dxa"/>
              <w:end w:w="90" w:type="dxa"/>
            </w:tcMar>
          </w:tcPr>
          <w:p>
            <w:pPr>
              <w:jc w:val="left"/>
            </w:pPr>
            <w:r/>
            <w:r>
              <w:rPr>
                <w:rFonts w:ascii="Times New Roman" w:hAnsi="Times New Roman"/>
                <w:b w:val="0"/>
                <w:sz w:val="16"/>
              </w:rPr>
              <w:t>billing, transactions, purchase, demo top-up, upload/download</w:t>
            </w:r>
          </w:p>
        </w:tc>
        <w:tc>
          <w:tcPr>
            <w:tcW w:type="dxa" w:w="1872"/>
            <w:vAlign w:val="center"/>
            <w:tcMar>
              <w:top w:w="90" w:type="dxa"/>
              <w:start w:w="90" w:type="dxa"/>
              <w:bottom w:w="90" w:type="dxa"/>
              <w:end w:w="90" w:type="dxa"/>
            </w:tcMar>
          </w:tcPr>
          <w:p>
            <w:pPr>
              <w:jc w:val="left"/>
            </w:pPr>
            <w:r/>
            <w:r>
              <w:rPr>
                <w:rFonts w:ascii="Times New Roman" w:hAnsi="Times New Roman"/>
                <w:b w:val="0"/>
                <w:sz w:val="16"/>
              </w:rPr>
              <w:t>Bearer JWT</w:t>
            </w:r>
          </w:p>
        </w:tc>
      </w:tr>
      <w:tr>
        <w:tc>
          <w:tcPr>
            <w:tcW w:type="dxa" w:w="2160"/>
            <w:vAlign w:val="center"/>
            <w:tcMar>
              <w:top w:w="90" w:type="dxa"/>
              <w:start w:w="90" w:type="dxa"/>
              <w:bottom w:w="90" w:type="dxa"/>
              <w:end w:w="90" w:type="dxa"/>
            </w:tcMar>
            <w:shd w:fill="F7FAFC"/>
          </w:tcPr>
          <w:p>
            <w:pPr>
              <w:jc w:val="left"/>
            </w:pPr>
            <w:r/>
            <w:r>
              <w:rPr>
                <w:rFonts w:ascii="Times New Roman" w:hAnsi="Times New Roman"/>
                <w:b w:val="0"/>
                <w:sz w:val="16"/>
              </w:rPr>
              <w:t>Provider workflow</w:t>
            </w:r>
          </w:p>
        </w:tc>
        <w:tc>
          <w:tcPr>
            <w:tcW w:type="dxa" w:w="5472"/>
            <w:vAlign w:val="center"/>
            <w:tcMar>
              <w:top w:w="90" w:type="dxa"/>
              <w:start w:w="90" w:type="dxa"/>
              <w:bottom w:w="90" w:type="dxa"/>
              <w:end w:w="90" w:type="dxa"/>
            </w:tcMar>
            <w:shd w:fill="F7FAFC"/>
          </w:tcPr>
          <w:p>
            <w:pPr>
              <w:jc w:val="left"/>
            </w:pPr>
            <w:r/>
            <w:r>
              <w:rPr>
                <w:rFonts w:ascii="Times New Roman" w:hAnsi="Times New Roman"/>
                <w:b w:val="0"/>
                <w:sz w:val="16"/>
              </w:rPr>
              <w:t>register, heartbeat, pending jobs, updates, checkpoints, artifacts</w:t>
            </w:r>
          </w:p>
        </w:tc>
        <w:tc>
          <w:tcPr>
            <w:tcW w:type="dxa" w:w="1872"/>
            <w:vAlign w:val="center"/>
            <w:tcMar>
              <w:top w:w="90" w:type="dxa"/>
              <w:start w:w="90" w:type="dxa"/>
              <w:bottom w:w="90" w:type="dxa"/>
              <w:end w:w="90" w:type="dxa"/>
            </w:tcMar>
            <w:shd w:fill="F7FAFC"/>
          </w:tcPr>
          <w:p>
            <w:pPr>
              <w:jc w:val="left"/>
            </w:pPr>
            <w:r/>
            <w:r>
              <w:rPr>
                <w:rFonts w:ascii="Times New Roman" w:hAnsi="Times New Roman"/>
                <w:b w:val="0"/>
                <w:sz w:val="16"/>
              </w:rPr>
              <w:t>X-Provider-Token</w:t>
            </w:r>
          </w:p>
        </w:tc>
      </w:tr>
      <w:tr>
        <w:tc>
          <w:tcPr>
            <w:tcW w:type="dxa" w:w="2160"/>
            <w:vAlign w:val="center"/>
            <w:tcMar>
              <w:top w:w="90" w:type="dxa"/>
              <w:start w:w="90" w:type="dxa"/>
              <w:bottom w:w="90" w:type="dxa"/>
              <w:end w:w="90" w:type="dxa"/>
            </w:tcMar>
          </w:tcPr>
          <w:p>
            <w:pPr>
              <w:jc w:val="left"/>
            </w:pPr>
            <w:r/>
            <w:r>
              <w:rPr>
                <w:rFonts w:ascii="Times New Roman" w:hAnsi="Times New Roman"/>
                <w:b w:val="0"/>
                <w:sz w:val="16"/>
              </w:rPr>
              <w:t>Streaming</w:t>
            </w:r>
          </w:p>
        </w:tc>
        <w:tc>
          <w:tcPr>
            <w:tcW w:type="dxa" w:w="5472"/>
            <w:vAlign w:val="center"/>
            <w:tcMar>
              <w:top w:w="90" w:type="dxa"/>
              <w:start w:w="90" w:type="dxa"/>
              <w:bottom w:w="90" w:type="dxa"/>
              <w:end w:w="90" w:type="dxa"/>
            </w:tcMar>
          </w:tcPr>
          <w:p>
            <w:pPr>
              <w:jc w:val="left"/>
            </w:pPr>
            <w:r/>
            <w:r>
              <w:rPr>
                <w:rFonts w:ascii="Times New Roman" w:hAnsi="Times New Roman"/>
                <w:b w:val="0"/>
                <w:sz w:val="16"/>
              </w:rPr>
              <w:t>stream sessions, MediaMTX callback, claim, heartbeat, stopped</w:t>
            </w:r>
          </w:p>
        </w:tc>
        <w:tc>
          <w:tcPr>
            <w:tcW w:type="dxa" w:w="1872"/>
            <w:vAlign w:val="center"/>
            <w:tcMar>
              <w:top w:w="90" w:type="dxa"/>
              <w:start w:w="90" w:type="dxa"/>
              <w:bottom w:w="90" w:type="dxa"/>
              <w:end w:w="90" w:type="dxa"/>
            </w:tcMar>
          </w:tcPr>
          <w:p>
            <w:pPr>
              <w:jc w:val="left"/>
            </w:pPr>
            <w:r/>
            <w:r>
              <w:rPr>
                <w:rFonts w:ascii="Times New Roman" w:hAnsi="Times New Roman"/>
                <w:b w:val="0"/>
                <w:sz w:val="16"/>
              </w:rPr>
              <w:t>JWT, provider token or callback</w:t>
            </w:r>
          </w:p>
        </w:tc>
      </w:tr>
      <w:tr>
        <w:tc>
          <w:tcPr>
            <w:tcW w:type="dxa" w:w="2160"/>
            <w:vAlign w:val="center"/>
            <w:tcMar>
              <w:top w:w="90" w:type="dxa"/>
              <w:start w:w="90" w:type="dxa"/>
              <w:bottom w:w="90" w:type="dxa"/>
              <w:end w:w="90" w:type="dxa"/>
            </w:tcMar>
            <w:shd w:fill="F7FAFC"/>
          </w:tcPr>
          <w:p>
            <w:pPr>
              <w:jc w:val="left"/>
            </w:pPr>
            <w:r/>
            <w:r>
              <w:rPr>
                <w:rFonts w:ascii="Times New Roman" w:hAnsi="Times New Roman"/>
                <w:b w:val="0"/>
                <w:sz w:val="16"/>
              </w:rPr>
              <w:t>Realtime</w:t>
            </w:r>
          </w:p>
        </w:tc>
        <w:tc>
          <w:tcPr>
            <w:tcW w:type="dxa" w:w="5472"/>
            <w:vAlign w:val="center"/>
            <w:tcMar>
              <w:top w:w="90" w:type="dxa"/>
              <w:start w:w="90" w:type="dxa"/>
              <w:bottom w:w="90" w:type="dxa"/>
              <w:end w:w="90" w:type="dxa"/>
            </w:tcMar>
            <w:shd w:fill="F7FAFC"/>
          </w:tcPr>
          <w:p>
            <w:pPr>
              <w:jc w:val="left"/>
            </w:pPr>
            <w:r/>
            <w:r>
              <w:rPr>
                <w:rFonts w:ascii="Times New Roman" w:hAnsi="Times New Roman"/>
                <w:b w:val="0"/>
                <w:sz w:val="16"/>
              </w:rPr>
              <w:t>WS /ws/realtime</w:t>
            </w:r>
          </w:p>
        </w:tc>
        <w:tc>
          <w:tcPr>
            <w:tcW w:type="dxa" w:w="1872"/>
            <w:vAlign w:val="center"/>
            <w:tcMar>
              <w:top w:w="90" w:type="dxa"/>
              <w:start w:w="90" w:type="dxa"/>
              <w:bottom w:w="90" w:type="dxa"/>
              <w:end w:w="90" w:type="dxa"/>
            </w:tcMar>
            <w:shd w:fill="F7FAFC"/>
          </w:tcPr>
          <w:p>
            <w:pPr>
              <w:jc w:val="left"/>
            </w:pPr>
            <w:r/>
            <w:r>
              <w:rPr>
                <w:rFonts w:ascii="Times New Roman" w:hAnsi="Times New Roman"/>
                <w:b w:val="0"/>
                <w:sz w:val="16"/>
              </w:rPr>
              <w:t>JWT in WebSocket subprotocol</w:t>
            </w:r>
          </w:p>
        </w:tc>
      </w:tr>
    </w:tbl>
    <w:p>
      <w:pPr>
        <w:spacing w:after="40"/>
      </w:pPr>
    </w:p>
    <w:p>
      <w:pPr>
        <w:spacing w:before="60" w:after="180"/>
        <w:jc w:val="center"/>
      </w:pPr>
      <w:r>
        <w:rPr>
          <w:rFonts w:ascii="Times New Roman" w:hAnsi="Times New Roman"/>
          <w:b/>
          <w:i/>
          <w:color w:val="000000"/>
          <w:sz w:val="21"/>
        </w:rPr>
        <w:t>Table A.1: API endpoint groups</w:t>
      </w:r>
    </w:p>
    <w:p>
      <w:pPr>
        <w:pStyle w:val="Heading3"/>
        <w:keepNext/>
        <w:spacing w:before="180" w:after="140"/>
        <w:jc w:val="both"/>
      </w:pPr>
      <w:r>
        <w:rPr>
          <w:rFonts w:ascii="Times New Roman" w:hAnsi="Times New Roman"/>
          <w:b/>
          <w:i w:val="0"/>
          <w:color w:val="000000"/>
          <w:sz w:val="24"/>
        </w:rPr>
        <w:t>A.2 Database Entities and Relationships</w:t>
      </w:r>
    </w:p>
    <w:p>
      <w:pPr>
        <w:keepNext w:val="0"/>
        <w:spacing w:before="0" w:after="120" w:line="360" w:lineRule="auto"/>
        <w:jc w:val="both"/>
      </w:pPr>
      <w:r>
        <w:rPr>
          <w:rFonts w:ascii="Times New Roman" w:hAnsi="Times New Roman"/>
          <w:b w:val="0"/>
          <w:i w:val="0"/>
          <w:color w:val="000000"/>
          <w:sz w:val="24"/>
        </w:rPr>
        <w:t>Core entities are users, providers, jobs, checkpoints, auth sessions, job artifacts, wallets, token transactions, job billing, audit events and stream sessions. Users own sessions, wallet records, jobs and artifacts. Jobs reference users and an optional provider, own checkpoints/artifacts and have one billing record. Stream sessions reference users and optional providers. The following figure repeats the relationship summary for appendix use.</w:t>
      </w:r>
    </w:p>
    <w:p>
      <w:pPr>
        <w:jc w:val="center"/>
      </w:pPr>
      <w:r>
        <w:drawing>
          <wp:inline xmlns:a="http://schemas.openxmlformats.org/drawingml/2006/main" xmlns:pic="http://schemas.openxmlformats.org/drawingml/2006/picture">
            <wp:extent cx="5715000" cy="3214688"/>
            <wp:docPr id="8" name="Picture 8" descr="Image: image6.png"/>
            <wp:cNvGraphicFramePr>
              <a:graphicFrameLocks noChangeAspect="1"/>
            </wp:cNvGraphicFramePr>
            <a:graphic>
              <a:graphicData uri="http://schemas.openxmlformats.org/drawingml/2006/picture">
                <pic:pic>
                  <pic:nvPicPr>
                    <pic:cNvPr id="0" name="fig35_er.png"/>
                    <pic:cNvPicPr/>
                  </pic:nvPicPr>
                  <pic:blipFill>
                    <a:blip r:embed="rId15"/>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color w:val="000000"/>
          <w:sz w:val="21"/>
        </w:rPr>
        <w:t>Figure A.1: Database entity relationship summary</w:t>
      </w:r>
    </w:p>
    <w:p>
      <w:pPr>
        <w:pStyle w:val="Heading3"/>
        <w:keepNext/>
        <w:spacing w:before="180" w:after="140"/>
        <w:jc w:val="both"/>
      </w:pPr>
      <w:r>
        <w:rPr>
          <w:rFonts w:ascii="Times New Roman" w:hAnsi="Times New Roman"/>
          <w:b/>
          <w:i w:val="0"/>
          <w:color w:val="000000"/>
          <w:sz w:val="24"/>
        </w:rPr>
        <w:t>A.3 Selected Source Listings</w:t>
      </w:r>
    </w:p>
    <w:p>
      <w:pPr>
        <w:spacing w:after="140" w:line="240" w:lineRule="auto"/>
        <w:ind w:left="360" w:right="360"/>
        <w:shd w:fill="F2F2F2"/>
      </w:pPr>
      <w:r>
        <w:rPr>
          <w:rFonts w:ascii="Consolas" w:hAnsi="Consolas"/>
          <w:color w:val="000000"/>
          <w:sz w:val="17"/>
        </w:rPr>
        <w:t># Source-backed heartbeat update behavior</w:t>
        <w:br/>
      </w:r>
      <w:r>
        <w:rPr>
          <w:rFonts w:ascii="Consolas" w:hAnsi="Consolas"/>
          <w:color w:val="000000"/>
          <w:sz w:val="17"/>
        </w:rPr>
        <w:t>@app.post("/providers/{provider_id}/heartbeat")</w:t>
        <w:br/>
      </w:r>
      <w:r>
        <w:rPr>
          <w:rFonts w:ascii="Consolas" w:hAnsi="Consolas"/>
          <w:color w:val="000000"/>
          <w:sz w:val="17"/>
        </w:rPr>
        <w:t>def heartbeat(provider_id: str, body: Heartbeat, _=Depends(provider_auth), s: Session=Depends(db)):</w:t>
        <w:br/>
      </w:r>
      <w:r>
        <w:rPr>
          <w:rFonts w:ascii="Consolas" w:hAnsi="Consolas"/>
          <w:color w:val="000000"/>
          <w:sz w:val="17"/>
        </w:rPr>
        <w:t xml:space="preserve">    p = s.get(Provider, provider_id)</w:t>
        <w:br/>
      </w:r>
      <w:r>
        <w:rPr>
          <w:rFonts w:ascii="Consolas" w:hAnsi="Consolas"/>
          <w:color w:val="000000"/>
          <w:sz w:val="17"/>
        </w:rPr>
        <w:t xml:space="preserve">    if not p:</w:t>
        <w:br/>
      </w:r>
      <w:r>
        <w:rPr>
          <w:rFonts w:ascii="Consolas" w:hAnsi="Consolas"/>
          <w:color w:val="000000"/>
          <w:sz w:val="17"/>
        </w:rPr>
        <w:t xml:space="preserve">        raise HTTPException(404, "Provider not registered")</w:t>
        <w:br/>
      </w:r>
      <w:r>
        <w:rPr>
          <w:rFonts w:ascii="Consolas" w:hAnsi="Consolas"/>
          <w:color w:val="000000"/>
          <w:sz w:val="17"/>
        </w:rPr>
        <w:t xml:space="preserve">    p.status = body.status</w:t>
        <w:br/>
      </w:r>
      <w:r>
        <w:rPr>
          <w:rFonts w:ascii="Consolas" w:hAnsi="Consolas"/>
          <w:color w:val="000000"/>
          <w:sz w:val="17"/>
        </w:rPr>
        <w:t xml:space="preserve">    p.utilization = body.utilization</w:t>
        <w:br/>
      </w:r>
      <w:r>
        <w:rPr>
          <w:rFonts w:ascii="Consolas" w:hAnsi="Consolas"/>
          <w:color w:val="000000"/>
          <w:sz w:val="17"/>
        </w:rPr>
        <w:t xml:space="preserve">    p.last_heartbeat = datetime.now(timezone.utc)</w:t>
        <w:br/>
      </w:r>
      <w:r>
        <w:rPr>
          <w:rFonts w:ascii="Consolas" w:hAnsi="Consolas"/>
          <w:color w:val="000000"/>
          <w:sz w:val="17"/>
        </w:rPr>
        <w:t xml:space="preserve">    s.commit()</w:t>
        <w:br/>
      </w:r>
      <w:r>
        <w:rPr>
          <w:rFonts w:ascii="Consolas" w:hAnsi="Consolas"/>
          <w:color w:val="000000"/>
          <w:sz w:val="17"/>
        </w:rPr>
        <w:t xml:space="preserve">    return {"ok": True}</w:t>
        <w:br/>
      </w:r>
    </w:p>
    <w:p>
      <w:pPr>
        <w:spacing w:before="60" w:after="180"/>
        <w:jc w:val="center"/>
      </w:pPr>
      <w:r>
        <w:rPr>
          <w:rFonts w:ascii="Times New Roman" w:hAnsi="Times New Roman"/>
          <w:b/>
          <w:i/>
          <w:color w:val="000000"/>
          <w:sz w:val="21"/>
        </w:rPr>
        <w:t>Listing A.1: Condensed provider heartbeat endpoint behavior</w:t>
      </w:r>
    </w:p>
    <w:p>
      <w:r>
        <w:br w:type="page"/>
      </w:r>
    </w:p>
    <w:p>
      <w:pPr>
        <w:pStyle w:val="Heading3"/>
        <w:keepNext/>
        <w:spacing w:before="180" w:after="140"/>
        <w:jc w:val="both"/>
      </w:pPr>
      <w:r>
        <w:rPr>
          <w:rFonts w:ascii="Times New Roman" w:hAnsi="Times New Roman"/>
          <w:b/>
          <w:i w:val="0"/>
          <w:color w:val="000000"/>
          <w:sz w:val="24"/>
        </w:rPr>
        <w:t>Appendix B: Deployment, Testing and Implementation Checklist</w:t>
      </w:r>
    </w:p>
    <w:p>
      <w:pPr>
        <w:pStyle w:val="Heading3"/>
        <w:keepNext/>
        <w:spacing w:before="180" w:after="140"/>
        <w:jc w:val="both"/>
      </w:pPr>
      <w:r>
        <w:rPr>
          <w:rFonts w:ascii="Times New Roman" w:hAnsi="Times New Roman"/>
          <w:b/>
          <w:i w:val="0"/>
          <w:color w:val="000000"/>
          <w:sz w:val="24"/>
        </w:rPr>
        <w:t>B.1 Direct Local Setup</w:t>
      </w:r>
    </w:p>
    <w:p>
      <w:pPr>
        <w:keepNext w:val="0"/>
        <w:spacing w:before="0" w:after="120" w:line="360" w:lineRule="auto"/>
        <w:jc w:val="both"/>
      </w:pPr>
      <w:r>
        <w:rPr>
          <w:rFonts w:ascii="Times New Roman" w:hAnsi="Times New Roman"/>
          <w:b w:val="0"/>
          <w:i w:val="0"/>
          <w:color w:val="000000"/>
          <w:sz w:val="24"/>
        </w:rPr>
        <w:t>Repository-supported local setup separates backend, provider and static frontend. The backend can run Uvicorn for `app.main:app`; the provider uses `python main.py`; and the frontend can be served with Python HTTP server or its provided batch script. The provider must use the same control-plane URL and provider shared token as the backend. These are documented commands, not commands executed by this audit.</w:t>
      </w:r>
    </w:p>
    <w:p>
      <w:pPr>
        <w:spacing w:after="140" w:line="240" w:lineRule="auto"/>
        <w:ind w:left="360" w:right="360"/>
        <w:shd w:fill="F2F2F2"/>
      </w:pPr>
      <w:r>
        <w:rPr>
          <w:rFonts w:ascii="Consolas" w:hAnsi="Consolas"/>
          <w:color w:val="000000"/>
          <w:sz w:val="17"/>
        </w:rPr>
        <w:t># Repository-supported example commands (not executed for this report)</w:t>
        <w:br/>
      </w:r>
      <w:r>
        <w:rPr>
          <w:rFonts w:ascii="Consolas" w:hAnsi="Consolas"/>
          <w:color w:val="000000"/>
          <w:sz w:val="17"/>
        </w:rPr>
        <w:t>cd user-website/backend</w:t>
        <w:br/>
      </w:r>
      <w:r>
        <w:rPr>
          <w:rFonts w:ascii="Consolas" w:hAnsi="Consolas"/>
          <w:color w:val="000000"/>
          <w:sz w:val="17"/>
        </w:rPr>
        <w:t>uvicorn app.main:app --host 0.0.0.0 --port 8000</w:t>
        <w:br/>
      </w:r>
      <w:r>
        <w:rPr>
          <w:rFonts w:ascii="Consolas" w:hAnsi="Consolas"/>
          <w:color w:val="000000"/>
          <w:sz w:val="17"/>
        </w:rPr>
        <w:br/>
      </w:r>
      <w:r>
        <w:rPr>
          <w:rFonts w:ascii="Consolas" w:hAnsi="Consolas"/>
          <w:color w:val="000000"/>
          <w:sz w:val="17"/>
        </w:rPr>
        <w:t>cd provider-server</w:t>
        <w:br/>
      </w:r>
      <w:r>
        <w:rPr>
          <w:rFonts w:ascii="Consolas" w:hAnsi="Consolas"/>
          <w:color w:val="000000"/>
          <w:sz w:val="17"/>
        </w:rPr>
        <w:t>python main.py</w:t>
        <w:br/>
      </w:r>
      <w:r>
        <w:rPr>
          <w:rFonts w:ascii="Consolas" w:hAnsi="Consolas"/>
          <w:color w:val="000000"/>
          <w:sz w:val="17"/>
        </w:rPr>
        <w:br/>
      </w:r>
      <w:r>
        <w:rPr>
          <w:rFonts w:ascii="Consolas" w:hAnsi="Consolas"/>
          <w:color w:val="000000"/>
          <w:sz w:val="17"/>
        </w:rPr>
        <w:t>cd user-website/nexora-frontend</w:t>
        <w:br/>
      </w:r>
      <w:r>
        <w:rPr>
          <w:rFonts w:ascii="Consolas" w:hAnsi="Consolas"/>
          <w:color w:val="000000"/>
          <w:sz w:val="17"/>
        </w:rPr>
        <w:t>python -m http.server 5173 --bind 127.0.0.1</w:t>
        <w:br/>
      </w:r>
    </w:p>
    <w:p>
      <w:pPr>
        <w:spacing w:before="60" w:after="180"/>
        <w:jc w:val="center"/>
      </w:pPr>
      <w:r>
        <w:rPr>
          <w:rFonts w:ascii="Times New Roman" w:hAnsi="Times New Roman"/>
          <w:b/>
          <w:i/>
          <w:color w:val="000000"/>
          <w:sz w:val="21"/>
        </w:rPr>
        <w:t>Listing B.1: Repository-supported local startup commands</w:t>
      </w:r>
    </w:p>
    <w:p>
      <w:pPr>
        <w:pStyle w:val="Heading3"/>
        <w:keepNext/>
        <w:spacing w:before="180" w:after="140"/>
        <w:jc w:val="both"/>
      </w:pPr>
      <w:r>
        <w:rPr>
          <w:rFonts w:ascii="Times New Roman" w:hAnsi="Times New Roman"/>
          <w:b/>
          <w:i w:val="0"/>
          <w:color w:val="000000"/>
          <w:sz w:val="24"/>
        </w:rPr>
        <w:t>B.2 Docker and Hosted Setup</w:t>
      </w:r>
    </w:p>
    <w:p>
      <w:pPr>
        <w:keepNext w:val="0"/>
        <w:spacing w:before="0" w:after="120" w:line="360" w:lineRule="auto"/>
        <w:jc w:val="both"/>
      </w:pPr>
      <w:r>
        <w:rPr>
          <w:rFonts w:ascii="Times New Roman" w:hAnsi="Times New Roman"/>
          <w:b w:val="0"/>
          <w:i w:val="0"/>
          <w:color w:val="000000"/>
          <w:sz w:val="24"/>
        </w:rPr>
        <w:t>The root Docker Compose file describes a backend, PostgreSQL and MediaMTX topology. `render.yaml` defines a Render web service and PostgreSQL database; `vercel.json` serves the static frontend. An internet-accessible media deployment requires a host that exposes the required RTMP, RTSP and WebRTC ports. The deployment guide also records that a standard Render web service is not that media host.</w:t>
      </w:r>
    </w:p>
    <w:p>
      <w:pPr>
        <w:pStyle w:val="Heading3"/>
        <w:keepNext/>
        <w:spacing w:before="180" w:after="140"/>
        <w:jc w:val="both"/>
      </w:pPr>
      <w:r>
        <w:rPr>
          <w:rFonts w:ascii="Times New Roman" w:hAnsi="Times New Roman"/>
          <w:b/>
          <w:i w:val="0"/>
          <w:color w:val="000000"/>
          <w:sz w:val="24"/>
        </w:rPr>
        <w:t>B.3 Test and Evidence Checklist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744"/>
            <w:vAlign w:val="center"/>
            <w:shd w:fill="163A5F"/>
            <w:tcMar>
              <w:top w:w="90" w:type="dxa"/>
              <w:start w:w="90" w:type="dxa"/>
              <w:bottom w:w="90" w:type="dxa"/>
              <w:end w:w="90" w:type="dxa"/>
            </w:tcMar>
          </w:tcPr>
          <w:p>
            <w:pPr>
              <w:jc w:val="left"/>
            </w:pPr>
            <w:r/>
            <w:r>
              <w:rPr>
                <w:rFonts w:ascii="Times New Roman" w:hAnsi="Times New Roman"/>
                <w:b/>
                <w:color w:val="FFFFFF"/>
                <w:sz w:val="17"/>
              </w:rPr>
              <w:t>Item</w:t>
            </w:r>
          </w:p>
        </w:tc>
        <w:tc>
          <w:tcPr>
            <w:tcW w:type="dxa" w:w="2880"/>
            <w:vAlign w:val="center"/>
            <w:shd w:fill="163A5F"/>
            <w:tcMar>
              <w:top w:w="90" w:type="dxa"/>
              <w:start w:w="90" w:type="dxa"/>
              <w:bottom w:w="90" w:type="dxa"/>
              <w:end w:w="90" w:type="dxa"/>
            </w:tcMar>
          </w:tcPr>
          <w:p>
            <w:pPr>
              <w:jc w:val="left"/>
            </w:pPr>
            <w:r/>
            <w:r>
              <w:rPr>
                <w:rFonts w:ascii="Times New Roman" w:hAnsi="Times New Roman"/>
                <w:b/>
                <w:color w:val="FFFFFF"/>
                <w:sz w:val="17"/>
              </w:rPr>
              <w:t>Recorded outcome</w:t>
            </w:r>
          </w:p>
        </w:tc>
        <w:tc>
          <w:tcPr>
            <w:tcW w:type="dxa" w:w="2880"/>
            <w:vAlign w:val="center"/>
            <w:shd w:fill="163A5F"/>
            <w:tcMar>
              <w:top w:w="90" w:type="dxa"/>
              <w:start w:w="90" w:type="dxa"/>
              <w:bottom w:w="90" w:type="dxa"/>
              <w:end w:w="90" w:type="dxa"/>
            </w:tcMar>
          </w:tcPr>
          <w:p>
            <w:pPr>
              <w:jc w:val="left"/>
            </w:pPr>
            <w:r/>
            <w:r>
              <w:rPr>
                <w:rFonts w:ascii="Times New Roman" w:hAnsi="Times New Roman"/>
                <w:b/>
                <w:color w:val="FFFFFF"/>
                <w:sz w:val="17"/>
              </w:rPr>
              <w:t>Report classification</w:t>
            </w:r>
          </w:p>
        </w:tc>
      </w:tr>
      <w:tr>
        <w:tc>
          <w:tcPr>
            <w:tcW w:type="dxa" w:w="3744"/>
            <w:vAlign w:val="center"/>
            <w:tcMar>
              <w:top w:w="90" w:type="dxa"/>
              <w:start w:w="90" w:type="dxa"/>
              <w:bottom w:w="90" w:type="dxa"/>
              <w:end w:w="90" w:type="dxa"/>
            </w:tcMar>
          </w:tcPr>
          <w:p>
            <w:pPr>
              <w:jc w:val="left"/>
            </w:pPr>
            <w:r/>
            <w:r>
              <w:rPr>
                <w:rFonts w:ascii="Times New Roman" w:hAnsi="Times New Roman"/>
                <w:b w:val="0"/>
                <w:sz w:val="17"/>
              </w:rPr>
              <w:t>Python primary-module parse check</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Passed</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Tested</w:t>
            </w:r>
          </w:p>
        </w:tc>
      </w:tr>
      <w:tr>
        <w:tc>
          <w:tcPr>
            <w:tcW w:type="dxa" w:w="3744"/>
            <w:vAlign w:val="center"/>
            <w:tcMar>
              <w:top w:w="90" w:type="dxa"/>
              <w:start w:w="90" w:type="dxa"/>
              <w:bottom w:w="90" w:type="dxa"/>
              <w:end w:w="90" w:type="dxa"/>
            </w:tcMar>
            <w:shd w:fill="F7FAFC"/>
          </w:tcPr>
          <w:p>
            <w:pPr>
              <w:jc w:val="left"/>
            </w:pPr>
            <w:r/>
            <w:r>
              <w:rPr>
                <w:rFonts w:ascii="Times New Roman" w:hAnsi="Times New Roman"/>
                <w:b w:val="0"/>
                <w:sz w:val="17"/>
              </w:rPr>
              <w:t>Frontend browser-capture/stream-stop utilities</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12 passed, 0 failed</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Tested</w:t>
            </w:r>
          </w:p>
        </w:tc>
      </w:tr>
      <w:tr>
        <w:tc>
          <w:tcPr>
            <w:tcW w:type="dxa" w:w="3744"/>
            <w:vAlign w:val="center"/>
            <w:tcMar>
              <w:top w:w="90" w:type="dxa"/>
              <w:start w:w="90" w:type="dxa"/>
              <w:bottom w:w="90" w:type="dxa"/>
              <w:end w:w="90" w:type="dxa"/>
            </w:tcMar>
          </w:tcPr>
          <w:p>
            <w:pPr>
              <w:jc w:val="left"/>
            </w:pPr>
            <w:r/>
            <w:r>
              <w:rPr>
                <w:rFonts w:ascii="Times New Roman" w:hAnsi="Times New Roman"/>
                <w:b w:val="0"/>
                <w:sz w:val="17"/>
              </w:rPr>
              <w:t>Backend and provider pytest suites</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pytest missing; not run</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Unverified</w:t>
            </w:r>
          </w:p>
        </w:tc>
      </w:tr>
      <w:tr>
        <w:tc>
          <w:tcPr>
            <w:tcW w:type="dxa" w:w="3744"/>
            <w:vAlign w:val="center"/>
            <w:tcMar>
              <w:top w:w="90" w:type="dxa"/>
              <w:start w:w="90" w:type="dxa"/>
              <w:bottom w:w="90" w:type="dxa"/>
              <w:end w:w="90" w:type="dxa"/>
            </w:tcMar>
            <w:shd w:fill="F7FAFC"/>
          </w:tcPr>
          <w:p>
            <w:pPr>
              <w:jc w:val="left"/>
            </w:pPr>
            <w:r/>
            <w:r>
              <w:rPr>
                <w:rFonts w:ascii="Times New Roman" w:hAnsi="Times New Roman"/>
                <w:b w:val="0"/>
                <w:sz w:val="17"/>
              </w:rPr>
              <w:t>Control-plane APIs with live database</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Not run</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Unverified</w:t>
            </w:r>
          </w:p>
        </w:tc>
      </w:tr>
      <w:tr>
        <w:tc>
          <w:tcPr>
            <w:tcW w:type="dxa" w:w="3744"/>
            <w:vAlign w:val="center"/>
            <w:tcMar>
              <w:top w:w="90" w:type="dxa"/>
              <w:start w:w="90" w:type="dxa"/>
              <w:bottom w:w="90" w:type="dxa"/>
              <w:end w:w="90" w:type="dxa"/>
            </w:tcMar>
          </w:tcPr>
          <w:p>
            <w:pPr>
              <w:jc w:val="left"/>
            </w:pPr>
            <w:r/>
            <w:r>
              <w:rPr>
                <w:rFonts w:ascii="Times New Roman" w:hAnsi="Times New Roman"/>
                <w:b w:val="0"/>
                <w:sz w:val="17"/>
              </w:rPr>
              <w:t>Docker/PostgreSQL/MediaMTX</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Not run</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Unverified</w:t>
            </w:r>
          </w:p>
        </w:tc>
      </w:tr>
      <w:tr>
        <w:tc>
          <w:tcPr>
            <w:tcW w:type="dxa" w:w="3744"/>
            <w:vAlign w:val="center"/>
            <w:tcMar>
              <w:top w:w="90" w:type="dxa"/>
              <w:start w:w="90" w:type="dxa"/>
              <w:bottom w:w="90" w:type="dxa"/>
              <w:end w:w="90" w:type="dxa"/>
            </w:tcMar>
            <w:shd w:fill="F7FAFC"/>
          </w:tcPr>
          <w:p>
            <w:pPr>
              <w:jc w:val="left"/>
            </w:pPr>
            <w:r/>
            <w:r>
              <w:rPr>
                <w:rFonts w:ascii="Times New Roman" w:hAnsi="Times New Roman"/>
                <w:b w:val="0"/>
                <w:sz w:val="17"/>
              </w:rPr>
              <w:t>Remote provider and destination stream</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Not run</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Unverified</w:t>
            </w:r>
          </w:p>
        </w:tc>
      </w:tr>
    </w:tbl>
    <w:p>
      <w:pPr>
        <w:spacing w:after="40"/>
      </w:pPr>
    </w:p>
    <w:p>
      <w:pPr>
        <w:spacing w:before="60" w:after="180"/>
        <w:jc w:val="center"/>
      </w:pPr>
      <w:r>
        <w:rPr>
          <w:rFonts w:ascii="Times New Roman" w:hAnsi="Times New Roman"/>
          <w:b/>
          <w:i/>
          <w:color w:val="000000"/>
          <w:sz w:val="21"/>
        </w:rPr>
        <w:t>Table B.1: Testing and validation checklist</w:t>
      </w:r>
    </w:p>
    <w:p>
      <w:pPr>
        <w:pStyle w:val="Heading3"/>
        <w:keepNext/>
        <w:spacing w:before="180" w:after="140"/>
        <w:jc w:val="both"/>
      </w:pPr>
      <w:r>
        <w:rPr>
          <w:rFonts w:ascii="Times New Roman" w:hAnsi="Times New Roman"/>
          <w:b/>
          <w:i w:val="0"/>
          <w:color w:val="000000"/>
          <w:sz w:val="24"/>
        </w:rPr>
        <w:t>B.4 Final Audit Notes</w:t>
      </w:r>
    </w:p>
    <w:p>
      <w:pPr>
        <w:pStyle w:val="Heading3"/>
        <w:keepNext/>
        <w:spacing w:before="0" w:after="120" w:line="240" w:lineRule="auto"/>
        <w:jc w:val="both"/>
      </w:pPr>
      <w:r>
        <w:rPr>
          <w:rFonts w:ascii="Times New Roman" w:hAnsi="Times New Roman"/>
          <w:b/>
          <w:i w:val="0"/>
          <w:color w:val="000000"/>
          <w:sz w:val="24"/>
        </w:rPr>
        <w:t>B.5 API Request and Response Examples</w:t>
      </w:r>
    </w:p>
    <w:p>
      <w:pPr>
        <w:keepNext w:val="0"/>
        <w:spacing w:before="0" w:after="120" w:line="336" w:lineRule="auto"/>
        <w:jc w:val="both"/>
      </w:pPr>
      <w:r>
        <w:rPr>
          <w:rFonts w:ascii="Times New Roman" w:hAnsi="Times New Roman"/>
          <w:b w:val="0"/>
          <w:i w:val="0"/>
          <w:color w:val="000000"/>
          <w:sz w:val="23"/>
        </w:rPr>
        <w:t>The following examples are schematic representations of the actual request schemas and response fields. Values are illustrative only and do not represent captured production data or credentials.</w:t>
      </w:r>
    </w:p>
    <w:p>
      <w:pPr>
        <w:spacing w:line="240" w:lineRule="auto" w:after="120"/>
        <w:ind w:left="360" w:right="360"/>
        <w:shd w:fill="F2F2F2"/>
      </w:pPr>
      <w:r>
        <w:rPr>
          <w:rFonts w:ascii="Consolas" w:hAnsi="Consolas"/>
          <w:b w:val="0"/>
          <w:i w:val="0"/>
          <w:color w:val="000000"/>
          <w:sz w:val="16"/>
        </w:rPr>
        <w:t>POST /jobs</w:t>
        <w:br/>
      </w:r>
      <w:r>
        <w:rPr>
          <w:rFonts w:ascii="Consolas" w:hAnsi="Consolas"/>
          <w:b w:val="0"/>
          <w:i w:val="0"/>
          <w:color w:val="000000"/>
          <w:sz w:val="16"/>
        </w:rPr>
        <w:t>Authorization: Bearer &lt;session-token&gt;</w:t>
        <w:br/>
      </w:r>
      <w:r>
        <w:rPr>
          <w:rFonts w:ascii="Consolas" w:hAnsi="Consolas"/>
          <w:b w:val="0"/>
          <w:i w:val="0"/>
          <w:color w:val="000000"/>
          <w:sz w:val="16"/>
        </w:rPr>
        <w:t>{</w:t>
        <w:br/>
      </w:r>
      <w:r>
        <w:rPr>
          <w:rFonts w:ascii="Consolas" w:hAnsi="Consolas"/>
          <w:b w:val="0"/>
          <w:i w:val="0"/>
          <w:color w:val="000000"/>
          <w:sz w:val="16"/>
        </w:rPr>
        <w:t xml:space="preserve">  "name": "Matrix Benchmark",</w:t>
        <w:br/>
      </w:r>
      <w:r>
        <w:rPr>
          <w:rFonts w:ascii="Consolas" w:hAnsi="Consolas"/>
          <w:b w:val="0"/>
          <w:i w:val="0"/>
          <w:color w:val="000000"/>
          <w:sz w:val="16"/>
        </w:rPr>
        <w:t xml:space="preserve">  "workload": "matrix_multiply",</w:t>
        <w:br/>
      </w:r>
      <w:r>
        <w:rPr>
          <w:rFonts w:ascii="Consolas" w:hAnsi="Consolas"/>
          <w:b w:val="0"/>
          <w:i w:val="0"/>
          <w:color w:val="000000"/>
          <w:sz w:val="16"/>
        </w:rPr>
        <w:t xml:space="preserve">  "requirements": {"matrix_size": 300, "expected_runtime_hours": 0.05}</w:t>
        <w:br/>
      </w:r>
      <w:r>
        <w:rPr>
          <w:rFonts w:ascii="Consolas" w:hAnsi="Consolas"/>
          <w:b w:val="0"/>
          <w:i w:val="0"/>
          <w:color w:val="000000"/>
          <w:sz w:val="16"/>
        </w:rPr>
        <w:t>}</w:t>
        <w:br/>
      </w:r>
      <w:r>
        <w:rPr>
          <w:rFonts w:ascii="Consolas" w:hAnsi="Consolas"/>
          <w:b w:val="0"/>
          <w:i w:val="0"/>
          <w:color w:val="000000"/>
          <w:sz w:val="16"/>
        </w:rPr>
        <w:br/>
      </w:r>
      <w:r>
        <w:rPr>
          <w:rFonts w:ascii="Consolas" w:hAnsi="Consolas"/>
          <w:b w:val="0"/>
          <w:i w:val="0"/>
          <w:color w:val="000000"/>
          <w:sz w:val="16"/>
        </w:rPr>
        <w:t>201/200 response shape</w:t>
        <w:br/>
      </w:r>
      <w:r>
        <w:rPr>
          <w:rFonts w:ascii="Consolas" w:hAnsi="Consolas"/>
          <w:b w:val="0"/>
          <w:i w:val="0"/>
          <w:color w:val="000000"/>
          <w:sz w:val="16"/>
        </w:rPr>
        <w:t>{</w:t>
        <w:br/>
      </w:r>
      <w:r>
        <w:rPr>
          <w:rFonts w:ascii="Consolas" w:hAnsi="Consolas"/>
          <w:b w:val="0"/>
          <w:i w:val="0"/>
          <w:color w:val="000000"/>
          <w:sz w:val="16"/>
        </w:rPr>
        <w:t xml:space="preserve">  "id": "job_&lt;generated&gt;", "status": "SCHEDULED",</w:t>
        <w:br/>
      </w:r>
      <w:r>
        <w:rPr>
          <w:rFonts w:ascii="Consolas" w:hAnsi="Consolas"/>
          <w:b w:val="0"/>
          <w:i w:val="0"/>
          <w:color w:val="000000"/>
          <w:sz w:val="16"/>
        </w:rPr>
        <w:t xml:space="preserve">  "provider_id": "provider_&lt;assigned&gt;", "estimated_tokens": 6,</w:t>
        <w:br/>
      </w:r>
      <w:r>
        <w:rPr>
          <w:rFonts w:ascii="Consolas" w:hAnsi="Consolas"/>
          <w:b w:val="0"/>
          <w:i w:val="0"/>
          <w:color w:val="000000"/>
          <w:sz w:val="16"/>
        </w:rPr>
        <w:t xml:space="preserve">  "reserved_tokens": 6, "progress": 0</w:t>
        <w:br/>
      </w:r>
      <w:r>
        <w:rPr>
          <w:rFonts w:ascii="Consolas" w:hAnsi="Consolas"/>
          <w:b w:val="0"/>
          <w:i w:val="0"/>
          <w:color w:val="000000"/>
          <w:sz w:val="16"/>
        </w:rPr>
        <w:t>}</w:t>
        <w:br/>
      </w:r>
    </w:p>
    <w:p>
      <w:pPr>
        <w:spacing w:before="40" w:after="160"/>
        <w:jc w:val="center"/>
      </w:pPr>
      <w:r>
        <w:rPr>
          <w:rFonts w:ascii="Times New Roman" w:hAnsi="Times New Roman"/>
          <w:b/>
          <w:i/>
          <w:color w:val="000000"/>
          <w:sz w:val="20"/>
        </w:rPr>
        <w:t>Listing B.2: Illustrative job creation schema and response fields</w:t>
      </w:r>
    </w:p>
    <w:p>
      <w:pPr>
        <w:spacing w:line="240" w:lineRule="auto" w:after="120"/>
        <w:ind w:left="360" w:right="360"/>
        <w:shd w:fill="F2F2F2"/>
      </w:pPr>
      <w:r>
        <w:rPr>
          <w:rFonts w:ascii="Consolas" w:hAnsi="Consolas"/>
          <w:b w:val="0"/>
          <w:i w:val="0"/>
          <w:color w:val="000000"/>
          <w:sz w:val="16"/>
        </w:rPr>
        <w:t>POST /providers/&lt;provider-id&gt;/heartbeat</w:t>
        <w:br/>
      </w:r>
      <w:r>
        <w:rPr>
          <w:rFonts w:ascii="Consolas" w:hAnsi="Consolas"/>
          <w:b w:val="0"/>
          <w:i w:val="0"/>
          <w:color w:val="000000"/>
          <w:sz w:val="16"/>
        </w:rPr>
        <w:t>X-Provider-Token: &lt;configured-provider-token&gt;</w:t>
        <w:br/>
      </w:r>
      <w:r>
        <w:rPr>
          <w:rFonts w:ascii="Consolas" w:hAnsi="Consolas"/>
          <w:b w:val="0"/>
          <w:i w:val="0"/>
          <w:color w:val="000000"/>
          <w:sz w:val="16"/>
        </w:rPr>
        <w:t>{</w:t>
        <w:br/>
      </w:r>
      <w:r>
        <w:rPr>
          <w:rFonts w:ascii="Consolas" w:hAnsi="Consolas"/>
          <w:b w:val="0"/>
          <w:i w:val="0"/>
          <w:color w:val="000000"/>
          <w:sz w:val="16"/>
        </w:rPr>
        <w:t xml:space="preserve">  "status": "ONLINE",</w:t>
        <w:br/>
      </w:r>
      <w:r>
        <w:rPr>
          <w:rFonts w:ascii="Consolas" w:hAnsi="Consolas"/>
          <w:b w:val="0"/>
          <w:i w:val="0"/>
          <w:color w:val="000000"/>
          <w:sz w:val="16"/>
        </w:rPr>
        <w:t xml:space="preserve">  "utilization": {"cpu": 22.1, "ram": 48.0,</w:t>
        <w:br/>
      </w:r>
      <w:r>
        <w:rPr>
          <w:rFonts w:ascii="Consolas" w:hAnsi="Consolas"/>
          <w:b w:val="0"/>
          <w:i w:val="0"/>
          <w:color w:val="000000"/>
          <w:sz w:val="16"/>
        </w:rPr>
        <w:t xml:space="preserve">                  "disk": 51.4, "gpu_memory": null, "gpu_compute": null}</w:t>
        <w:br/>
      </w:r>
      <w:r>
        <w:rPr>
          <w:rFonts w:ascii="Consolas" w:hAnsi="Consolas"/>
          <w:b w:val="0"/>
          <w:i w:val="0"/>
          <w:color w:val="000000"/>
          <w:sz w:val="16"/>
        </w:rPr>
        <w:t>}</w:t>
        <w:br/>
      </w:r>
      <w:r>
        <w:rPr>
          <w:rFonts w:ascii="Consolas" w:hAnsi="Consolas"/>
          <w:b w:val="0"/>
          <w:i w:val="0"/>
          <w:color w:val="000000"/>
          <w:sz w:val="16"/>
        </w:rPr>
        <w:br/>
      </w:r>
      <w:r>
        <w:rPr>
          <w:rFonts w:ascii="Consolas" w:hAnsi="Consolas"/>
          <w:b w:val="0"/>
          <w:i w:val="0"/>
          <w:color w:val="000000"/>
          <w:sz w:val="16"/>
        </w:rPr>
        <w:t>Response: {"ok": true}</w:t>
        <w:br/>
      </w:r>
    </w:p>
    <w:p>
      <w:pPr>
        <w:spacing w:before="40" w:after="160"/>
        <w:jc w:val="center"/>
      </w:pPr>
      <w:r>
        <w:rPr>
          <w:rFonts w:ascii="Times New Roman" w:hAnsi="Times New Roman"/>
          <w:b/>
          <w:i/>
          <w:color w:val="000000"/>
          <w:sz w:val="20"/>
        </w:rPr>
        <w:t>Listing B.3: Illustrative provider heartbeat schema</w:t>
      </w:r>
    </w:p>
    <w:p>
      <w:pPr>
        <w:pStyle w:val="Heading3"/>
        <w:keepNext/>
        <w:spacing w:before="0" w:after="120" w:line="240" w:lineRule="auto"/>
        <w:jc w:val="both"/>
      </w:pPr>
      <w:r>
        <w:rPr>
          <w:rFonts w:ascii="Times New Roman" w:hAnsi="Times New Roman"/>
          <w:b/>
          <w:i w:val="0"/>
          <w:color w:val="000000"/>
          <w:sz w:val="24"/>
        </w:rPr>
        <w:t>B.6 Detailed Database Field Summary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944"/>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Entity</w:t>
            </w:r>
          </w:p>
        </w:tc>
        <w:tc>
          <w:tcPr>
            <w:tcW w:type="dxa" w:w="5400"/>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Important fields</w:t>
            </w:r>
          </w:p>
        </w:tc>
        <w:tc>
          <w:tcPr>
            <w:tcW w:type="dxa" w:w="2448"/>
            <w:vAlign w:val="center"/>
            <w:tcMar>
              <w:top w:w="100" w:type="dxa"/>
              <w:start w:w="100" w:type="dxa"/>
              <w:bottom w:w="100" w:type="dxa"/>
              <w:end w:w="100" w:type="dxa"/>
            </w:tcMar>
            <w:shd w:fill="163A5F"/>
          </w:tcPr>
          <w:p>
            <w:pPr>
              <w:spacing w:after="0" w:line="259" w:lineRule="auto"/>
              <w:jc w:val="left"/>
            </w:pPr>
            <w:r/>
            <w:r>
              <w:rPr>
                <w:rFonts w:ascii="Times New Roman" w:hAnsi="Times New Roman"/>
                <w:b/>
                <w:i w:val="0"/>
                <w:color w:val="FFFFFF"/>
                <w:sz w:val="14"/>
              </w:rPr>
              <w:t>Ownership/constraint</w:t>
            </w:r>
          </w:p>
        </w:tc>
      </w:tr>
      <w:tr>
        <w:tc>
          <w:tcPr>
            <w:tcW w:type="dxa" w:w="194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users</w:t>
            </w:r>
          </w:p>
        </w:tc>
        <w:tc>
          <w:tcPr>
            <w:tcW w:type="dxa" w:w="54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id, email, password_hash, wallet_balance</w:t>
            </w:r>
          </w:p>
        </w:tc>
        <w:tc>
          <w:tcPr>
            <w:tcW w:type="dxa" w:w="244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email unique; user root entity</w:t>
            </w:r>
          </w:p>
        </w:tc>
      </w:tr>
      <w:tr>
        <w:tc>
          <w:tcPr>
            <w:tcW w:type="dxa" w:w="194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providers</w:t>
            </w:r>
          </w:p>
        </w:tc>
        <w:tc>
          <w:tcPr>
            <w:tcW w:type="dxa" w:w="54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id, name, cpu_cores, ram_gb, GPU fields, status, reliability, utilization, system_info, last_heartbeat</w:t>
            </w:r>
          </w:p>
        </w:tc>
        <w:tc>
          <w:tcPr>
            <w:tcW w:type="dxa" w:w="244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provider ID primary key</w:t>
            </w:r>
          </w:p>
        </w:tc>
      </w:tr>
      <w:tr>
        <w:tc>
          <w:tcPr>
            <w:tcW w:type="dxa" w:w="194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jobs</w:t>
            </w:r>
          </w:p>
        </w:tc>
        <w:tc>
          <w:tcPr>
            <w:tcW w:type="dxa" w:w="54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id, name, workload, requirements, status, progress, user_id, provider_id, attempt, recovery_count, result, timestamps</w:t>
            </w:r>
          </w:p>
        </w:tc>
        <w:tc>
          <w:tcPr>
            <w:tcW w:type="dxa" w:w="244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user and optional provider foreign keys</w:t>
            </w:r>
          </w:p>
        </w:tc>
      </w:tr>
      <w:tr>
        <w:tc>
          <w:tcPr>
            <w:tcW w:type="dxa" w:w="194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checkpoints</w:t>
            </w:r>
          </w:p>
        </w:tc>
        <w:tc>
          <w:tcPr>
            <w:tcW w:type="dxa" w:w="54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id, job_id, provider_id, attempt, seq, progress, state_version, state_hash, payload</w:t>
            </w:r>
          </w:p>
        </w:tc>
        <w:tc>
          <w:tcPr>
            <w:tcW w:type="dxa" w:w="244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job foreign key; application-level sequence</w:t>
            </w:r>
          </w:p>
        </w:tc>
      </w:tr>
      <w:tr>
        <w:tc>
          <w:tcPr>
            <w:tcW w:type="dxa" w:w="194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auth_sessions</w:t>
            </w:r>
          </w:p>
        </w:tc>
        <w:tc>
          <w:tcPr>
            <w:tcW w:type="dxa" w:w="54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id, user_id, issued_at, expires_at, revoked</w:t>
            </w:r>
          </w:p>
        </w:tc>
        <w:tc>
          <w:tcPr>
            <w:tcW w:type="dxa" w:w="244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user foreign key/index</w:t>
            </w:r>
          </w:p>
        </w:tc>
      </w:tr>
      <w:tr>
        <w:tc>
          <w:tcPr>
            <w:tcW w:type="dxa" w:w="194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job_artifacts</w:t>
            </w:r>
          </w:p>
        </w:tc>
        <w:tc>
          <w:tcPr>
            <w:tcW w:type="dxa" w:w="54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id, job_id, user_id, file_path, checksum_sha256, meta_data, content</w:t>
            </w:r>
          </w:p>
        </w:tc>
        <w:tc>
          <w:tcPr>
            <w:tcW w:type="dxa" w:w="244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user ownership; job optional until assignment</w:t>
            </w:r>
          </w:p>
        </w:tc>
      </w:tr>
      <w:tr>
        <w:tc>
          <w:tcPr>
            <w:tcW w:type="dxa" w:w="1944"/>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wallets and token_transactions</w:t>
            </w:r>
          </w:p>
        </w:tc>
        <w:tc>
          <w:tcPr>
            <w:tcW w:type="dxa" w:w="5400"/>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token_balance; ledger type/amount/before/after/reference</w:t>
            </w:r>
          </w:p>
        </w:tc>
        <w:tc>
          <w:tcPr>
            <w:tcW w:type="dxa" w:w="2448"/>
            <w:vAlign w:val="center"/>
            <w:tcMar>
              <w:top w:w="100" w:type="dxa"/>
              <w:start w:w="100" w:type="dxa"/>
              <w:bottom w:w="100" w:type="dxa"/>
              <w:end w:w="100" w:type="dxa"/>
            </w:tcMar>
          </w:tcPr>
          <w:p>
            <w:pPr>
              <w:spacing w:after="0" w:line="259" w:lineRule="auto"/>
              <w:jc w:val="left"/>
            </w:pPr>
            <w:r/>
            <w:r>
              <w:rPr>
                <w:rFonts w:ascii="Times New Roman" w:hAnsi="Times New Roman"/>
                <w:b w:val="0"/>
                <w:i w:val="0"/>
                <w:color w:val="000000"/>
                <w:sz w:val="14"/>
              </w:rPr>
              <w:t>wallet unique by user; ledger references wallet/user/job</w:t>
            </w:r>
          </w:p>
        </w:tc>
      </w:tr>
      <w:tr>
        <w:tc>
          <w:tcPr>
            <w:tcW w:type="dxa" w:w="1944"/>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stream_sessions</w:t>
            </w:r>
          </w:p>
        </w:tc>
        <w:tc>
          <w:tcPr>
            <w:tcW w:type="dxa" w:w="5400"/>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user_id, provider_id, status, keys, destination fields, profile, metrics, billing times</w:t>
            </w:r>
          </w:p>
        </w:tc>
        <w:tc>
          <w:tcPr>
            <w:tcW w:type="dxa" w:w="2448"/>
            <w:vAlign w:val="center"/>
            <w:tcMar>
              <w:top w:w="100" w:type="dxa"/>
              <w:start w:w="100" w:type="dxa"/>
              <w:bottom w:w="100" w:type="dxa"/>
              <w:end w:w="100" w:type="dxa"/>
            </w:tcMar>
            <w:shd w:fill="F7FAFC"/>
          </w:tcPr>
          <w:p>
            <w:pPr>
              <w:spacing w:after="0" w:line="259" w:lineRule="auto"/>
              <w:jc w:val="left"/>
            </w:pPr>
            <w:r/>
            <w:r>
              <w:rPr>
                <w:rFonts w:ascii="Times New Roman" w:hAnsi="Times New Roman"/>
                <w:b w:val="0"/>
                <w:i w:val="0"/>
                <w:color w:val="000000"/>
                <w:sz w:val="14"/>
              </w:rPr>
              <w:t>session-scoped media/accounting state</w:t>
            </w:r>
          </w:p>
        </w:tc>
      </w:tr>
    </w:tbl>
    <w:p>
      <w:pPr>
        <w:spacing w:before="40" w:after="160"/>
        <w:jc w:val="center"/>
      </w:pPr>
      <w:r>
        <w:rPr>
          <w:rFonts w:ascii="Times New Roman" w:hAnsi="Times New Roman"/>
          <w:b/>
          <w:i/>
          <w:color w:val="000000"/>
          <w:sz w:val="20"/>
        </w:rPr>
        <w:t>Table B.2: Detailed data-entity field and ownership summary</w:t>
      </w:r>
    </w:p>
    <w:p>
      <w:pPr>
        <w:keepNext w:val="0"/>
        <w:spacing w:before="0" w:after="120" w:line="360" w:lineRule="auto"/>
        <w:jc w:val="both"/>
      </w:pPr>
      <w:r>
        <w:rPr>
          <w:rFonts w:ascii="Times New Roman" w:hAnsi="Times New Roman"/>
          <w:b w:val="0"/>
          <w:i w:val="0"/>
          <w:color w:val="000000"/>
          <w:sz w:val="24"/>
        </w:rPr>
        <w:t>No secret values are reproduced in this report. Implementation claims are linked to repository evidence, and claims of successful live deployment, payment processing, remote execution, external media delivery, performance or scalability are intentionally excluded unless the supplied audit recorded a corresponding executed check. The report uses placeholders for student-specific information because no student names or registration numbers were provided.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Unified Compute Management Platform PBC Project Report</dc:title>
  <dc:subject>Project Based Component report for Nexora Unified Compute Management Platform</dc:subject>
  <dc:creator>[Student Name]</dc:creator>
  <cp:keywords/>
  <dc:description>Generated from supplied project evidence and reference format.</dc:description>
  <cp:lastModifiedBy/>
  <cp:revision>1</cp:revision>
  <dcterms:created xsi:type="dcterms:W3CDTF">2013-12-23T23:15:00Z</dcterms:created>
  <dcterms:modified xsi:type="dcterms:W3CDTF">2013-12-23T23:15:00Z</dcterms:modified>
  <cp:category/>
</cp:coreProperties>
</file>