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DAC" w:rsidRPr="00FC0EB2" w:rsidRDefault="00E43DAC" w:rsidP="00FB1395">
      <w:pPr>
        <w:rPr>
          <w:b/>
          <w:i/>
        </w:rPr>
      </w:pPr>
      <w:r w:rsidRPr="00FC0EB2">
        <w:rPr>
          <w:rFonts w:hint="eastAsia"/>
          <w:b/>
          <w:i/>
        </w:rPr>
        <w:t>结构化产品测算方案一</w:t>
      </w:r>
    </w:p>
    <w:p w:rsidR="00E754F5" w:rsidRDefault="00134A48" w:rsidP="00134A48">
      <w:pPr>
        <w:pStyle w:val="1"/>
        <w:spacing w:before="156" w:after="156"/>
      </w:pPr>
      <w:r>
        <w:rPr>
          <w:rFonts w:hint="eastAsia"/>
        </w:rPr>
        <w:t>产品测算方案</w:t>
      </w:r>
    </w:p>
    <w:p w:rsidR="00134A48" w:rsidRDefault="00134A48" w:rsidP="00134A48">
      <w:pPr>
        <w:pStyle w:val="2"/>
        <w:spacing w:before="156" w:after="156"/>
      </w:pPr>
      <w:r>
        <w:rPr>
          <w:rFonts w:hint="eastAsia"/>
        </w:rPr>
        <w:t>产品基本信息</w:t>
      </w:r>
    </w:p>
    <w:p w:rsidR="00E43DAC" w:rsidRDefault="00E43DAC" w:rsidP="00FB1395">
      <w:r>
        <w:rPr>
          <w:rFonts w:hint="eastAsia"/>
        </w:rPr>
        <w:t>挂钩资产：上期所黄金</w:t>
      </w:r>
      <w:r>
        <w:rPr>
          <w:rFonts w:hint="eastAsia"/>
        </w:rPr>
        <w:t>1812</w:t>
      </w:r>
      <w:r w:rsidR="00E754F5">
        <w:rPr>
          <w:rFonts w:hint="eastAsia"/>
        </w:rPr>
        <w:t>合约</w:t>
      </w:r>
    </w:p>
    <w:p w:rsidR="00E754F5" w:rsidRDefault="00E754F5" w:rsidP="00FB1395">
      <w:r>
        <w:rPr>
          <w:rFonts w:hint="eastAsia"/>
        </w:rPr>
        <w:t>产品周期：一个月（</w:t>
      </w:r>
      <w:r>
        <w:rPr>
          <w:rFonts w:hint="eastAsia"/>
        </w:rPr>
        <w:t>21</w:t>
      </w:r>
      <w:r>
        <w:rPr>
          <w:rFonts w:hint="eastAsia"/>
        </w:rPr>
        <w:t>个交易日）</w:t>
      </w:r>
    </w:p>
    <w:p w:rsidR="00E754F5" w:rsidRDefault="00E754F5" w:rsidP="00FB1395">
      <w:r>
        <w:rPr>
          <w:rFonts w:hint="eastAsia"/>
        </w:rPr>
        <w:t>产品规模：</w:t>
      </w:r>
      <w:r>
        <w:rPr>
          <w:rFonts w:hint="eastAsia"/>
        </w:rPr>
        <w:t>3000</w:t>
      </w:r>
      <w:r>
        <w:rPr>
          <w:rFonts w:hint="eastAsia"/>
        </w:rPr>
        <w:t>万元</w:t>
      </w:r>
    </w:p>
    <w:p w:rsidR="00E754F5" w:rsidRDefault="00E754F5" w:rsidP="00FB1395">
      <w:r>
        <w:rPr>
          <w:rFonts w:hint="eastAsia"/>
        </w:rPr>
        <w:t>管理费率：</w:t>
      </w:r>
      <w:r>
        <w:rPr>
          <w:rFonts w:hint="eastAsia"/>
        </w:rPr>
        <w:t>1.5%</w:t>
      </w:r>
      <w:r w:rsidR="003F54D4">
        <w:rPr>
          <w:rFonts w:hint="eastAsia"/>
        </w:rPr>
        <w:t>（每日计提）</w:t>
      </w:r>
    </w:p>
    <w:p w:rsidR="00E754F5" w:rsidRDefault="00E754F5" w:rsidP="00FB1395">
      <w:r>
        <w:rPr>
          <w:rFonts w:hint="eastAsia"/>
        </w:rPr>
        <w:t>托管费率：</w:t>
      </w:r>
      <w:r>
        <w:rPr>
          <w:rFonts w:hint="eastAsia"/>
        </w:rPr>
        <w:t>0.</w:t>
      </w:r>
      <w:r>
        <w:t>1%</w:t>
      </w:r>
      <w:r w:rsidR="003F54D4">
        <w:rPr>
          <w:rFonts w:hint="eastAsia"/>
        </w:rPr>
        <w:t>（每日计提）</w:t>
      </w:r>
    </w:p>
    <w:p w:rsidR="00E754F5" w:rsidRDefault="00E754F5" w:rsidP="00FB1395">
      <w:r>
        <w:rPr>
          <w:rFonts w:hint="eastAsia"/>
        </w:rPr>
        <w:t>销售费率：</w:t>
      </w:r>
      <w:r>
        <w:rPr>
          <w:rFonts w:hint="eastAsia"/>
        </w:rPr>
        <w:t>0.5%</w:t>
      </w:r>
      <w:r w:rsidR="003F54D4">
        <w:rPr>
          <w:rFonts w:hint="eastAsia"/>
        </w:rPr>
        <w:t>（前端费用）</w:t>
      </w:r>
    </w:p>
    <w:p w:rsidR="00E754F5" w:rsidRDefault="00E754F5" w:rsidP="00FB1395">
      <w:r>
        <w:rPr>
          <w:rFonts w:hint="eastAsia"/>
        </w:rPr>
        <w:t>外包费率：</w:t>
      </w:r>
      <w:r>
        <w:rPr>
          <w:rFonts w:hint="eastAsia"/>
        </w:rPr>
        <w:t>0.05%</w:t>
      </w:r>
      <w:r w:rsidR="003F54D4">
        <w:rPr>
          <w:rFonts w:hint="eastAsia"/>
        </w:rPr>
        <w:t>（前端费用）</w:t>
      </w:r>
    </w:p>
    <w:p w:rsidR="00134A48" w:rsidRDefault="00134A48" w:rsidP="00134A48">
      <w:pPr>
        <w:pStyle w:val="2"/>
        <w:spacing w:before="156" w:after="156"/>
      </w:pPr>
      <w:r>
        <w:rPr>
          <w:rFonts w:hint="eastAsia"/>
        </w:rPr>
        <w:t>收益结构设计</w:t>
      </w:r>
    </w:p>
    <w:p w:rsidR="00134A48" w:rsidRDefault="00134A48" w:rsidP="00134A48">
      <w:r>
        <w:rPr>
          <w:rFonts w:hint="eastAsia"/>
        </w:rPr>
        <w:t>参与率：</w:t>
      </w:r>
      <w:r w:rsidR="008D51F0">
        <w:rPr>
          <w:rFonts w:hint="eastAsia"/>
        </w:rPr>
        <w:t>100.00</w:t>
      </w:r>
      <w:r>
        <w:rPr>
          <w:rFonts w:hint="eastAsia"/>
        </w:rPr>
        <w:t>%</w:t>
      </w:r>
    </w:p>
    <w:p w:rsidR="009261F9" w:rsidRDefault="009261F9" w:rsidP="00134A48">
      <w:r>
        <w:rPr>
          <w:rFonts w:hint="eastAsia"/>
        </w:rPr>
        <w:t>行权价：</w:t>
      </w:r>
      <w:r>
        <w:rPr>
          <w:rFonts w:hint="eastAsia"/>
        </w:rPr>
        <w:t>10</w:t>
      </w:r>
      <w:r w:rsidR="008D51F0">
        <w:rPr>
          <w:rFonts w:hint="eastAsia"/>
        </w:rPr>
        <w:t>3.50</w:t>
      </w:r>
      <w:r>
        <w:rPr>
          <w:rFonts w:hint="eastAsia"/>
        </w:rPr>
        <w:t>%</w:t>
      </w:r>
    </w:p>
    <w:p w:rsidR="00134A48" w:rsidRDefault="00134A48" w:rsidP="00134A48">
      <w:r>
        <w:rPr>
          <w:rFonts w:hint="eastAsia"/>
        </w:rPr>
        <w:t>保本收益率：</w:t>
      </w:r>
      <w:r w:rsidR="004D0F28">
        <w:rPr>
          <w:rFonts w:hint="eastAsia"/>
        </w:rPr>
        <w:t>2</w:t>
      </w:r>
      <w:r w:rsidR="004D0F28">
        <w:t>.</w:t>
      </w:r>
      <w:r w:rsidR="008D51F0">
        <w:rPr>
          <w:rFonts w:hint="eastAsia"/>
        </w:rPr>
        <w:t>70</w:t>
      </w:r>
      <w:r w:rsidR="004D0F28">
        <w:t>%</w:t>
      </w:r>
    </w:p>
    <w:p w:rsidR="00134A48" w:rsidRDefault="00134A48" w:rsidP="00134A48">
      <w:r>
        <w:rPr>
          <w:rFonts w:hint="eastAsia"/>
        </w:rPr>
        <w:t>收益</w:t>
      </w:r>
      <w:r w:rsidR="00FC0EB2">
        <w:rPr>
          <w:rFonts w:hint="eastAsia"/>
        </w:rPr>
        <w:t>结构</w:t>
      </w:r>
      <w:r>
        <w:rPr>
          <w:rFonts w:hint="eastAsia"/>
        </w:rPr>
        <w:t>：看涨欧式期权</w:t>
      </w:r>
    </w:p>
    <w:p w:rsidR="00134A48" w:rsidRDefault="00134A48" w:rsidP="00134A48">
      <w:r>
        <w:rPr>
          <w:rFonts w:hint="eastAsia"/>
        </w:rPr>
        <w:t>收益计算方法</w:t>
      </w:r>
      <w:r w:rsidR="0047513E">
        <w:rPr>
          <w:rFonts w:hint="eastAsia"/>
        </w:rPr>
        <w:t>：</w:t>
      </w:r>
    </w:p>
    <w:p w:rsidR="0047513E" w:rsidRPr="00FC0EB2" w:rsidRDefault="00FC0EB2" w:rsidP="00134A48">
      <w:pPr>
        <w:rPr>
          <w:b/>
          <w:i/>
          <w:sz w:val="22"/>
        </w:rPr>
      </w:pPr>
      <w:r w:rsidRPr="00FC0EB2">
        <w:rPr>
          <w:rFonts w:hint="eastAsia"/>
          <w:b/>
          <w:i/>
          <w:sz w:val="22"/>
        </w:rPr>
        <w:t>当标的资产价格变化率小于</w:t>
      </w:r>
      <w:r w:rsidR="008D51F0">
        <w:rPr>
          <w:rFonts w:hint="eastAsia"/>
          <w:b/>
          <w:i/>
          <w:sz w:val="22"/>
        </w:rPr>
        <w:t>3.50</w:t>
      </w:r>
      <w:r w:rsidRPr="00FC0EB2">
        <w:rPr>
          <w:rFonts w:hint="eastAsia"/>
          <w:b/>
          <w:i/>
          <w:sz w:val="22"/>
        </w:rPr>
        <w:t>%</w:t>
      </w:r>
      <w:r w:rsidRPr="00FC0EB2">
        <w:rPr>
          <w:rFonts w:hint="eastAsia"/>
          <w:b/>
          <w:i/>
          <w:sz w:val="22"/>
        </w:rPr>
        <w:t>时，产品的年化收益为保本收益率</w:t>
      </w:r>
      <w:r w:rsidRPr="00FC0EB2">
        <w:rPr>
          <w:rFonts w:hint="eastAsia"/>
          <w:b/>
          <w:i/>
          <w:sz w:val="22"/>
        </w:rPr>
        <w:t>2.</w:t>
      </w:r>
      <w:r w:rsidR="008D51F0">
        <w:rPr>
          <w:rFonts w:hint="eastAsia"/>
          <w:b/>
          <w:i/>
          <w:sz w:val="22"/>
        </w:rPr>
        <w:t>70</w:t>
      </w:r>
      <w:r w:rsidRPr="00FC0EB2">
        <w:rPr>
          <w:rFonts w:hint="eastAsia"/>
          <w:b/>
          <w:i/>
          <w:sz w:val="22"/>
        </w:rPr>
        <w:t>%</w:t>
      </w:r>
    </w:p>
    <w:p w:rsidR="00FC0EB2" w:rsidRPr="00FC0EB2" w:rsidRDefault="00FC0EB2" w:rsidP="00134A48">
      <w:pPr>
        <w:rPr>
          <w:b/>
          <w:i/>
          <w:sz w:val="22"/>
        </w:rPr>
      </w:pPr>
      <w:r w:rsidRPr="00FC0EB2">
        <w:rPr>
          <w:rFonts w:hint="eastAsia"/>
          <w:b/>
          <w:i/>
          <w:sz w:val="22"/>
        </w:rPr>
        <w:t>当标的资产价格变化率大于</w:t>
      </w:r>
      <w:r w:rsidR="008D51F0">
        <w:rPr>
          <w:rFonts w:hint="eastAsia"/>
          <w:b/>
          <w:i/>
          <w:sz w:val="22"/>
        </w:rPr>
        <w:t>3.50</w:t>
      </w:r>
      <w:r w:rsidRPr="00FC0EB2">
        <w:rPr>
          <w:rFonts w:hint="eastAsia"/>
          <w:b/>
          <w:i/>
          <w:sz w:val="22"/>
        </w:rPr>
        <w:t>%</w:t>
      </w:r>
      <w:r w:rsidRPr="00FC0EB2">
        <w:rPr>
          <w:rFonts w:hint="eastAsia"/>
          <w:b/>
          <w:i/>
          <w:sz w:val="22"/>
        </w:rPr>
        <w:t>时，产品的</w:t>
      </w:r>
      <w:proofErr w:type="gramStart"/>
      <w:r w:rsidRPr="00FC0EB2">
        <w:rPr>
          <w:rFonts w:hint="eastAsia"/>
          <w:b/>
          <w:i/>
          <w:sz w:val="22"/>
        </w:rPr>
        <w:t>年化收益</w:t>
      </w:r>
      <w:proofErr w:type="gramEnd"/>
      <w:r w:rsidRPr="00FC0EB2">
        <w:rPr>
          <w:rFonts w:hint="eastAsia"/>
          <w:b/>
          <w:i/>
          <w:sz w:val="22"/>
        </w:rPr>
        <w:t>=2.</w:t>
      </w:r>
      <w:r w:rsidR="008D51F0">
        <w:rPr>
          <w:rFonts w:hint="eastAsia"/>
          <w:b/>
          <w:i/>
          <w:sz w:val="22"/>
        </w:rPr>
        <w:t>70</w:t>
      </w:r>
      <w:r w:rsidRPr="00FC0EB2">
        <w:rPr>
          <w:rFonts w:hint="eastAsia"/>
          <w:b/>
          <w:i/>
          <w:sz w:val="22"/>
        </w:rPr>
        <w:t>%+</w:t>
      </w:r>
      <w:r w:rsidR="008D51F0">
        <w:rPr>
          <w:rFonts w:hint="eastAsia"/>
          <w:b/>
          <w:i/>
          <w:sz w:val="22"/>
        </w:rPr>
        <w:t>100</w:t>
      </w:r>
      <w:r w:rsidRPr="00FC0EB2">
        <w:rPr>
          <w:rFonts w:hint="eastAsia"/>
          <w:b/>
          <w:i/>
          <w:sz w:val="22"/>
        </w:rPr>
        <w:t>%*(</w:t>
      </w:r>
      <w:r w:rsidRPr="00FC0EB2">
        <w:rPr>
          <w:rFonts w:hint="eastAsia"/>
          <w:b/>
          <w:i/>
          <w:sz w:val="22"/>
        </w:rPr>
        <w:t>标的资产价格的变化率</w:t>
      </w:r>
      <w:r w:rsidRPr="00FC0EB2">
        <w:rPr>
          <w:rFonts w:hint="eastAsia"/>
          <w:b/>
          <w:i/>
          <w:sz w:val="22"/>
        </w:rPr>
        <w:t>-</w:t>
      </w:r>
      <w:r w:rsidR="008D51F0">
        <w:rPr>
          <w:rFonts w:hint="eastAsia"/>
          <w:b/>
          <w:i/>
          <w:sz w:val="22"/>
        </w:rPr>
        <w:t>3.50</w:t>
      </w:r>
      <w:r w:rsidRPr="00FC0EB2">
        <w:rPr>
          <w:rFonts w:hint="eastAsia"/>
          <w:b/>
          <w:i/>
          <w:sz w:val="22"/>
        </w:rPr>
        <w:t>%)</w:t>
      </w:r>
    </w:p>
    <w:p w:rsidR="00FC0EB2" w:rsidRDefault="00FC0EB2" w:rsidP="00134A48">
      <w:r>
        <w:rPr>
          <w:rFonts w:hint="eastAsia"/>
        </w:rPr>
        <w:t>收益模式的示意图如下所示：</w:t>
      </w:r>
    </w:p>
    <w:p w:rsidR="00134A48" w:rsidRPr="00134A48" w:rsidRDefault="008D51F0" w:rsidP="00134A48">
      <w:r>
        <w:rPr>
          <w:noProof/>
        </w:rPr>
        <w:lastRenderedPageBreak/>
        <w:drawing>
          <wp:inline distT="0" distB="0" distL="0" distR="0" wp14:anchorId="676B608E" wp14:editId="1D641A9A">
            <wp:extent cx="5274310" cy="2881512"/>
            <wp:effectExtent l="0" t="0" r="2540" b="0"/>
            <wp:docPr id="3" name="图表 3">
              <a:extLst xmlns:a="http://schemas.openxmlformats.org/drawingml/2006/main">
                <a:ext uri="{FF2B5EF4-FFF2-40B4-BE49-F238E27FC236}">
                  <a16:creationId xmlns:a16="http://schemas.microsoft.com/office/drawing/2014/main" id="{5BB55703-4A96-43D8-9938-D26A1B1FB1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34A48" w:rsidRDefault="00134A48" w:rsidP="00134A48">
      <w:pPr>
        <w:pStyle w:val="2"/>
        <w:spacing w:before="156" w:after="156"/>
      </w:pPr>
      <w:r>
        <w:rPr>
          <w:rFonts w:hint="eastAsia"/>
        </w:rPr>
        <w:t>对冲方案</w:t>
      </w:r>
    </w:p>
    <w:p w:rsidR="00FC0EB2" w:rsidRDefault="00FC0EB2" w:rsidP="00FC0EB2">
      <w:pPr>
        <w:pStyle w:val="3"/>
        <w:spacing w:before="156" w:after="156"/>
      </w:pPr>
      <w:r>
        <w:rPr>
          <w:rFonts w:hint="eastAsia"/>
        </w:rPr>
        <w:t>策略介绍</w:t>
      </w:r>
    </w:p>
    <w:p w:rsidR="00FC0EB2" w:rsidRDefault="00FC0EB2" w:rsidP="00FC0EB2">
      <w:r>
        <w:rPr>
          <w:rFonts w:hint="eastAsia"/>
        </w:rPr>
        <w:t>基于</w:t>
      </w:r>
      <w:r>
        <w:rPr>
          <w:rFonts w:hint="eastAsia"/>
        </w:rPr>
        <w:t xml:space="preserve">OBPI </w:t>
      </w:r>
      <w:r>
        <w:rPr>
          <w:rFonts w:hint="eastAsia"/>
        </w:rPr>
        <w:t>策略的保本基金又称结构化基金。发行人或者担保人在产品条款中承</w:t>
      </w:r>
    </w:p>
    <w:p w:rsidR="00FC0EB2" w:rsidRPr="00FC0EB2" w:rsidRDefault="00FC0EB2" w:rsidP="00FC0EB2">
      <w:r>
        <w:rPr>
          <w:rFonts w:hint="eastAsia"/>
        </w:rPr>
        <w:t>诺保本或者保收益。投资者期末的收益按照一定的公式根据挂钩标的表现获取。因此，该类基金产品又称“公式化基金”。本产品运用</w:t>
      </w:r>
      <w:r>
        <w:rPr>
          <w:rFonts w:hint="eastAsia"/>
        </w:rPr>
        <w:t>O</w:t>
      </w:r>
      <w:r>
        <w:t>BPI</w:t>
      </w:r>
      <w:r>
        <w:rPr>
          <w:rFonts w:hint="eastAsia"/>
        </w:rPr>
        <w:t>策略，采用价值底线</w:t>
      </w:r>
      <w:r>
        <w:rPr>
          <w:rFonts w:hint="eastAsia"/>
        </w:rPr>
        <w:t>+</w:t>
      </w:r>
      <w:r>
        <w:rPr>
          <w:rFonts w:hint="eastAsia"/>
        </w:rPr>
        <w:t>期权的模式，即一定比例资金投资于无风险资产实施保本，剩余资金通过购买期货合约并进行动态</w:t>
      </w:r>
      <w:proofErr w:type="gramStart"/>
      <w:r>
        <w:rPr>
          <w:rFonts w:hint="eastAsia"/>
        </w:rPr>
        <w:t>调仓来</w:t>
      </w:r>
      <w:proofErr w:type="gramEnd"/>
      <w:r>
        <w:rPr>
          <w:rFonts w:hint="eastAsia"/>
        </w:rPr>
        <w:t>复制出期权的收益形态。</w:t>
      </w:r>
    </w:p>
    <w:p w:rsidR="00134A48" w:rsidRDefault="00134A48" w:rsidP="00134A48">
      <w:pPr>
        <w:pStyle w:val="3"/>
        <w:spacing w:before="156" w:after="156"/>
      </w:pPr>
      <w:r>
        <w:rPr>
          <w:rFonts w:hint="eastAsia"/>
        </w:rPr>
        <w:t>对冲规则</w:t>
      </w:r>
    </w:p>
    <w:p w:rsidR="003F54D4" w:rsidRDefault="003F54D4" w:rsidP="003F54D4">
      <w:pPr>
        <w:pStyle w:val="a7"/>
        <w:numPr>
          <w:ilvl w:val="0"/>
          <w:numId w:val="2"/>
        </w:numPr>
        <w:ind w:firstLineChars="0"/>
      </w:pPr>
      <w:r>
        <w:rPr>
          <w:rFonts w:hint="eastAsia"/>
        </w:rPr>
        <w:t>使用固定</w:t>
      </w:r>
      <w:proofErr w:type="gramStart"/>
      <w:r>
        <w:rPr>
          <w:rFonts w:hint="eastAsia"/>
        </w:rPr>
        <w:t>频率调仓方式</w:t>
      </w:r>
      <w:proofErr w:type="gramEnd"/>
    </w:p>
    <w:p w:rsidR="00134A48" w:rsidRDefault="00134A48" w:rsidP="00134A48">
      <w:pPr>
        <w:pStyle w:val="a7"/>
        <w:numPr>
          <w:ilvl w:val="0"/>
          <w:numId w:val="2"/>
        </w:numPr>
        <w:ind w:firstLineChars="0"/>
      </w:pPr>
      <w:r>
        <w:rPr>
          <w:rFonts w:hint="eastAsia"/>
        </w:rPr>
        <w:t>采用</w:t>
      </w:r>
      <w:r>
        <w:rPr>
          <w:rFonts w:hint="eastAsia"/>
        </w:rPr>
        <w:t>Delta</w:t>
      </w:r>
      <w:r>
        <w:rPr>
          <w:rFonts w:hint="eastAsia"/>
        </w:rPr>
        <w:t>动态对冲，使用期货合约复制与期货合约价格挂钩的欧式看涨期权</w:t>
      </w:r>
      <w:r w:rsidR="003364A9">
        <w:rPr>
          <w:rFonts w:hint="eastAsia"/>
        </w:rPr>
        <w:t>。</w:t>
      </w:r>
    </w:p>
    <w:p w:rsidR="00134A48" w:rsidRDefault="00134A48" w:rsidP="00134A48">
      <w:pPr>
        <w:pStyle w:val="a7"/>
        <w:numPr>
          <w:ilvl w:val="0"/>
          <w:numId w:val="2"/>
        </w:numPr>
        <w:ind w:firstLineChars="0"/>
      </w:pPr>
      <w:r>
        <w:rPr>
          <w:rFonts w:hint="eastAsia"/>
        </w:rPr>
        <w:t>期货账户会设定一定的</w:t>
      </w:r>
      <w:proofErr w:type="gramStart"/>
      <w:r>
        <w:rPr>
          <w:rFonts w:hint="eastAsia"/>
        </w:rPr>
        <w:t>仓位</w:t>
      </w:r>
      <w:proofErr w:type="gramEnd"/>
      <w:r>
        <w:rPr>
          <w:rFonts w:hint="eastAsia"/>
        </w:rPr>
        <w:t>，每日结算时若权益小于保证金</w:t>
      </w:r>
      <w:r w:rsidR="003364A9">
        <w:rPr>
          <w:rFonts w:hint="eastAsia"/>
        </w:rPr>
        <w:t>/</w:t>
      </w:r>
      <w:proofErr w:type="gramStart"/>
      <w:r>
        <w:rPr>
          <w:rFonts w:hint="eastAsia"/>
        </w:rPr>
        <w:t>仓位</w:t>
      </w:r>
      <w:proofErr w:type="gramEnd"/>
      <w:r>
        <w:rPr>
          <w:rFonts w:hint="eastAsia"/>
        </w:rPr>
        <w:t>，则需要动用无风险账户补足保证金；若结算时扣除可去资金后总权益仍大于保证金</w:t>
      </w:r>
      <w:r w:rsidR="003364A9">
        <w:rPr>
          <w:rFonts w:hint="eastAsia"/>
        </w:rPr>
        <w:t>/</w:t>
      </w:r>
      <w:proofErr w:type="gramStart"/>
      <w:r>
        <w:rPr>
          <w:rFonts w:hint="eastAsia"/>
        </w:rPr>
        <w:t>仓位</w:t>
      </w:r>
      <w:proofErr w:type="gramEnd"/>
      <w:r>
        <w:rPr>
          <w:rFonts w:hint="eastAsia"/>
        </w:rPr>
        <w:t>，则取出账户中的保证金放入无风险账户</w:t>
      </w:r>
      <w:r w:rsidR="003364A9">
        <w:rPr>
          <w:rFonts w:hint="eastAsia"/>
        </w:rPr>
        <w:t>。</w:t>
      </w:r>
    </w:p>
    <w:p w:rsidR="00134A48" w:rsidRDefault="00134A48" w:rsidP="00134A48">
      <w:pPr>
        <w:pStyle w:val="a7"/>
        <w:numPr>
          <w:ilvl w:val="0"/>
          <w:numId w:val="2"/>
        </w:numPr>
        <w:ind w:firstLineChars="0"/>
      </w:pPr>
      <w:r>
        <w:rPr>
          <w:rFonts w:hint="eastAsia"/>
        </w:rPr>
        <w:t>每个</w:t>
      </w:r>
      <w:proofErr w:type="gramStart"/>
      <w:r>
        <w:rPr>
          <w:rFonts w:hint="eastAsia"/>
        </w:rPr>
        <w:t>调仓日一</w:t>
      </w:r>
      <w:proofErr w:type="gramEnd"/>
      <w:r>
        <w:rPr>
          <w:rFonts w:hint="eastAsia"/>
        </w:rPr>
        <w:t>开盘进行调仓，对</w:t>
      </w:r>
      <w:proofErr w:type="gramStart"/>
      <w:r>
        <w:rPr>
          <w:rFonts w:hint="eastAsia"/>
        </w:rPr>
        <w:t>冲价格</w:t>
      </w:r>
      <w:proofErr w:type="gramEnd"/>
      <w:r>
        <w:rPr>
          <w:rFonts w:hint="eastAsia"/>
        </w:rPr>
        <w:t>为前一日的收盘价</w:t>
      </w:r>
      <w:r w:rsidR="00FF4690">
        <w:rPr>
          <w:rFonts w:hint="eastAsia"/>
        </w:rPr>
        <w:t>。</w:t>
      </w:r>
    </w:p>
    <w:p w:rsidR="003F54D4" w:rsidRPr="003F54D4" w:rsidRDefault="00134A48" w:rsidP="003F54D4">
      <w:pPr>
        <w:pStyle w:val="a7"/>
        <w:numPr>
          <w:ilvl w:val="0"/>
          <w:numId w:val="2"/>
        </w:numPr>
        <w:ind w:firstLineChars="0"/>
      </w:pPr>
      <w:r>
        <w:rPr>
          <w:rFonts w:hint="eastAsia"/>
        </w:rPr>
        <w:t>第一日设定为调仓日；最后一日不进行调仓</w:t>
      </w:r>
      <w:r w:rsidR="003364A9">
        <w:rPr>
          <w:rFonts w:hint="eastAsia"/>
        </w:rPr>
        <w:t>。</w:t>
      </w:r>
    </w:p>
    <w:p w:rsidR="00E754F5" w:rsidRDefault="003364A9" w:rsidP="003364A9">
      <w:pPr>
        <w:pStyle w:val="3"/>
        <w:spacing w:before="156" w:after="156"/>
      </w:pPr>
      <w:r>
        <w:rPr>
          <w:rFonts w:hint="eastAsia"/>
        </w:rPr>
        <w:lastRenderedPageBreak/>
        <w:t>参数</w:t>
      </w:r>
    </w:p>
    <w:p w:rsidR="003364A9" w:rsidRDefault="003364A9" w:rsidP="003364A9">
      <w:r>
        <w:rPr>
          <w:rFonts w:hint="eastAsia"/>
        </w:rPr>
        <w:t>无风险利率：</w:t>
      </w:r>
      <w:r w:rsidR="008B5977">
        <w:rPr>
          <w:rFonts w:hint="eastAsia"/>
        </w:rPr>
        <w:t>5%</w:t>
      </w:r>
    </w:p>
    <w:p w:rsidR="008B5977" w:rsidRDefault="003F54D4" w:rsidP="003364A9">
      <w:proofErr w:type="gramStart"/>
      <w:r>
        <w:rPr>
          <w:rFonts w:hint="eastAsia"/>
        </w:rPr>
        <w:t>调仓频次</w:t>
      </w:r>
      <w:proofErr w:type="gramEnd"/>
      <w:r>
        <w:rPr>
          <w:rFonts w:hint="eastAsia"/>
        </w:rPr>
        <w:t>：</w:t>
      </w:r>
      <w:r>
        <w:rPr>
          <w:rFonts w:hint="eastAsia"/>
        </w:rPr>
        <w:t>1</w:t>
      </w:r>
      <w:r>
        <w:rPr>
          <w:rFonts w:hint="eastAsia"/>
        </w:rPr>
        <w:t>天</w:t>
      </w:r>
    </w:p>
    <w:p w:rsidR="003F54D4" w:rsidRDefault="003F54D4" w:rsidP="003364A9">
      <w:proofErr w:type="gramStart"/>
      <w:r>
        <w:rPr>
          <w:rFonts w:hint="eastAsia"/>
        </w:rPr>
        <w:t>调仓使用</w:t>
      </w:r>
      <w:proofErr w:type="gramEnd"/>
      <w:r>
        <w:rPr>
          <w:rFonts w:hint="eastAsia"/>
        </w:rPr>
        <w:t>的波动率：</w:t>
      </w:r>
      <w:proofErr w:type="gramStart"/>
      <w:r>
        <w:rPr>
          <w:rFonts w:hint="eastAsia"/>
        </w:rPr>
        <w:t>取理想</w:t>
      </w:r>
      <w:proofErr w:type="gramEnd"/>
      <w:r>
        <w:rPr>
          <w:rFonts w:hint="eastAsia"/>
        </w:rPr>
        <w:t>状况（与历史波动率相等）</w:t>
      </w:r>
    </w:p>
    <w:p w:rsidR="003F54D4" w:rsidRDefault="003F54D4" w:rsidP="003364A9">
      <w:r>
        <w:rPr>
          <w:rFonts w:hint="eastAsia"/>
        </w:rPr>
        <w:t>期货保证金率：</w:t>
      </w:r>
      <w:r>
        <w:rPr>
          <w:rFonts w:hint="eastAsia"/>
        </w:rPr>
        <w:t>5%</w:t>
      </w:r>
    </w:p>
    <w:p w:rsidR="003F54D4" w:rsidRDefault="003F54D4" w:rsidP="003364A9">
      <w:r>
        <w:rPr>
          <w:rFonts w:hint="eastAsia"/>
        </w:rPr>
        <w:t>期货交易手续费：</w:t>
      </w:r>
      <w:r>
        <w:rPr>
          <w:rFonts w:hint="eastAsia"/>
        </w:rPr>
        <w:t>10</w:t>
      </w:r>
      <w:r>
        <w:rPr>
          <w:rFonts w:hint="eastAsia"/>
        </w:rPr>
        <w:t>元</w:t>
      </w:r>
      <w:r>
        <w:rPr>
          <w:rFonts w:hint="eastAsia"/>
        </w:rPr>
        <w:t>/</w:t>
      </w:r>
      <w:r>
        <w:rPr>
          <w:rFonts w:hint="eastAsia"/>
        </w:rPr>
        <w:t>手</w:t>
      </w:r>
    </w:p>
    <w:p w:rsidR="003F54D4" w:rsidRDefault="003F54D4" w:rsidP="003F54D4">
      <w:pPr>
        <w:pStyle w:val="2"/>
        <w:spacing w:before="156" w:after="156"/>
      </w:pPr>
      <w:r>
        <w:rPr>
          <w:rFonts w:hint="eastAsia"/>
        </w:rPr>
        <w:t>测算方案</w:t>
      </w:r>
    </w:p>
    <w:p w:rsidR="008D51F0" w:rsidRPr="008D51F0" w:rsidRDefault="008D51F0" w:rsidP="008D51F0">
      <w:pPr>
        <w:rPr>
          <w:rFonts w:hint="eastAsia"/>
        </w:rPr>
      </w:pPr>
      <w:r>
        <w:rPr>
          <w:rFonts w:hint="eastAsia"/>
        </w:rPr>
        <w:t>由于该产品测算需要了解在不同价格路径之下产品的净值能否复制出欧式看涨期权的收益形态，因此需要大量的、具有足够变异性的价格路径数据。针对这一情况，本方案选择使用蒙特卡罗模拟基于标的资产的历史变化率生成大量的价格路径，对于每一条得到路径都使用动态对冲策略进行测试，得到期末的净值。通过观察产品期末净值与标的资产价格变化率的关系，我们可以观察该策略对期权收益形态的复制效果。</w:t>
      </w:r>
    </w:p>
    <w:p w:rsidR="003F54D4" w:rsidRDefault="00FF4690" w:rsidP="003F54D4">
      <w:pPr>
        <w:pStyle w:val="3"/>
        <w:spacing w:before="156" w:after="156"/>
      </w:pPr>
      <w:r>
        <w:rPr>
          <w:rFonts w:hint="eastAsia"/>
        </w:rPr>
        <w:t>价格数据生成</w:t>
      </w:r>
    </w:p>
    <w:p w:rsidR="00FF4690" w:rsidRDefault="00FF4690" w:rsidP="00FF4690">
      <w:r>
        <w:rPr>
          <w:rFonts w:hint="eastAsia"/>
        </w:rPr>
        <w:t>根据期货的历史波动率进行蒙特卡洛模拟生成期货的价格路径。</w:t>
      </w:r>
    </w:p>
    <w:p w:rsidR="00FF4690" w:rsidRPr="00FF4690" w:rsidRDefault="00FF4690" w:rsidP="00FF4690">
      <w:r>
        <w:rPr>
          <w:rFonts w:hint="eastAsia"/>
        </w:rPr>
        <w:t>模拟步长：每分钟（黄金期货</w:t>
      </w:r>
      <w:proofErr w:type="gramStart"/>
      <w:r>
        <w:rPr>
          <w:rFonts w:hint="eastAsia"/>
        </w:rPr>
        <w:t>有夜盘交易</w:t>
      </w:r>
      <w:proofErr w:type="gramEnd"/>
      <w:r>
        <w:rPr>
          <w:rFonts w:hint="eastAsia"/>
        </w:rPr>
        <w:t>，即一天</w:t>
      </w:r>
      <w:r>
        <w:rPr>
          <w:rFonts w:hint="eastAsia"/>
        </w:rPr>
        <w:t>555</w:t>
      </w:r>
      <w:r>
        <w:rPr>
          <w:rFonts w:hint="eastAsia"/>
        </w:rPr>
        <w:t>分钟）</w:t>
      </w:r>
    </w:p>
    <w:p w:rsidR="003F54D4" w:rsidRDefault="00FF4690" w:rsidP="003F54D4">
      <w:r>
        <w:rPr>
          <w:rFonts w:hint="eastAsia"/>
        </w:rPr>
        <w:t>模拟次数：</w:t>
      </w:r>
      <w:r>
        <w:rPr>
          <w:rFonts w:hint="eastAsia"/>
        </w:rPr>
        <w:t>1000</w:t>
      </w:r>
      <w:r w:rsidR="00740249">
        <w:t>0</w:t>
      </w:r>
      <w:r>
        <w:rPr>
          <w:rFonts w:hint="eastAsia"/>
        </w:rPr>
        <w:t>次</w:t>
      </w:r>
    </w:p>
    <w:p w:rsidR="00FF4690" w:rsidRDefault="00FF4690" w:rsidP="00FF4690">
      <w:pPr>
        <w:pStyle w:val="3"/>
        <w:spacing w:before="156" w:after="156"/>
      </w:pPr>
      <w:r>
        <w:rPr>
          <w:rFonts w:hint="eastAsia"/>
        </w:rPr>
        <w:t>测算方法</w:t>
      </w:r>
    </w:p>
    <w:p w:rsidR="00FF4690" w:rsidRDefault="00E7079F" w:rsidP="00FF4690">
      <w:r>
        <w:rPr>
          <w:rFonts w:hint="eastAsia"/>
        </w:rPr>
        <w:t>使用蒙特卡罗</w:t>
      </w:r>
      <w:r w:rsidR="00FF4690">
        <w:rPr>
          <w:rFonts w:hint="eastAsia"/>
        </w:rPr>
        <w:t>模拟得到</w:t>
      </w:r>
      <w:r>
        <w:rPr>
          <w:rFonts w:hint="eastAsia"/>
        </w:rPr>
        <w:t>能够开盘价、收盘价</w:t>
      </w:r>
      <w:r w:rsidR="00FF4690">
        <w:rPr>
          <w:rFonts w:hint="eastAsia"/>
        </w:rPr>
        <w:t>数据，并根据规则计算每日的结算价</w:t>
      </w:r>
      <w:r>
        <w:rPr>
          <w:rFonts w:hint="eastAsia"/>
        </w:rPr>
        <w:t>（本方案采用的是一个简化的规则：结算价</w:t>
      </w:r>
      <w:r>
        <w:rPr>
          <w:rFonts w:hint="eastAsia"/>
        </w:rPr>
        <w:t>=</w:t>
      </w:r>
      <w:r>
        <w:rPr>
          <w:rFonts w:hint="eastAsia"/>
        </w:rPr>
        <w:t>每日价格的算术平均），由此得到测算所需要的价格数据。</w:t>
      </w:r>
      <w:r w:rsidR="00FF4690">
        <w:rPr>
          <w:rFonts w:hint="eastAsia"/>
        </w:rPr>
        <w:t>根据上文所述的对冲规则，使用期货账户和无风险账户来进行产品的资产配置。</w:t>
      </w:r>
    </w:p>
    <w:p w:rsidR="00010802" w:rsidRDefault="00010802" w:rsidP="00010802">
      <w:pPr>
        <w:pStyle w:val="1"/>
        <w:spacing w:before="156" w:after="156"/>
      </w:pPr>
      <w:r>
        <w:rPr>
          <w:rFonts w:hint="eastAsia"/>
        </w:rPr>
        <w:lastRenderedPageBreak/>
        <w:t>测算结果</w:t>
      </w:r>
    </w:p>
    <w:p w:rsidR="00563E0A" w:rsidRPr="00563E0A" w:rsidRDefault="00EB5E88" w:rsidP="00563E0A">
      <w:pPr>
        <w:pStyle w:val="2"/>
        <w:spacing w:before="156" w:after="156"/>
      </w:pPr>
      <w:r>
        <w:rPr>
          <w:rFonts w:hint="eastAsia"/>
        </w:rPr>
        <w:t>价格路径生成情况</w:t>
      </w:r>
    </w:p>
    <w:p w:rsidR="00EB5E88" w:rsidRPr="00EB5E88" w:rsidRDefault="005E489E" w:rsidP="00013F7C">
      <w:pPr>
        <w:jc w:val="center"/>
      </w:pPr>
      <w:r>
        <w:rPr>
          <w:noProof/>
        </w:rPr>
        <w:drawing>
          <wp:inline distT="0" distB="0" distL="0" distR="0" wp14:anchorId="23D4FE49" wp14:editId="291A3CBC">
            <wp:extent cx="5274310" cy="275653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6535"/>
                    </a:xfrm>
                    <a:prstGeom prst="rect">
                      <a:avLst/>
                    </a:prstGeom>
                  </pic:spPr>
                </pic:pic>
              </a:graphicData>
            </a:graphic>
          </wp:inline>
        </w:drawing>
      </w:r>
      <w:bookmarkStart w:id="0" w:name="_GoBack"/>
      <w:bookmarkEnd w:id="0"/>
    </w:p>
    <w:p w:rsidR="00740249" w:rsidRDefault="00013F7C" w:rsidP="00740249">
      <w:pPr>
        <w:pStyle w:val="2"/>
        <w:spacing w:before="156" w:after="156"/>
      </w:pPr>
      <w:r>
        <w:rPr>
          <w:rFonts w:hint="eastAsia"/>
        </w:rPr>
        <w:t>收益情况</w:t>
      </w:r>
    </w:p>
    <w:p w:rsidR="009261F9" w:rsidRDefault="009261F9" w:rsidP="009261F9">
      <w:r>
        <w:rPr>
          <w:rFonts w:hint="eastAsia"/>
        </w:rPr>
        <w:t>10000</w:t>
      </w:r>
      <w:r>
        <w:rPr>
          <w:rFonts w:hint="eastAsia"/>
        </w:rPr>
        <w:t>次模拟对冲后年化收益率与标的资产价格变化率的散点图如下所示。由图可知，该对</w:t>
      </w:r>
      <w:proofErr w:type="gramStart"/>
      <w:r>
        <w:rPr>
          <w:rFonts w:hint="eastAsia"/>
        </w:rPr>
        <w:t>冲方案</w:t>
      </w:r>
      <w:proofErr w:type="gramEnd"/>
      <w:r w:rsidR="00563E0A">
        <w:rPr>
          <w:rFonts w:hint="eastAsia"/>
        </w:rPr>
        <w:t>整体能够复制出所要求的看涨期权的收益，但是在行权价附近</w:t>
      </w:r>
      <w:r w:rsidR="00023B81">
        <w:rPr>
          <w:rFonts w:hint="eastAsia"/>
        </w:rPr>
        <w:t>复制净值波动较大。</w:t>
      </w:r>
    </w:p>
    <w:p w:rsidR="00023B81" w:rsidRPr="00023B81" w:rsidRDefault="00023B81" w:rsidP="00023B81">
      <w:pPr>
        <w:jc w:val="center"/>
        <w:rPr>
          <w:rFonts w:ascii="楷体" w:eastAsia="楷体" w:hAnsi="楷体"/>
          <w:b/>
        </w:rPr>
      </w:pPr>
      <w:proofErr w:type="gramStart"/>
      <w:r w:rsidRPr="00023B81">
        <w:rPr>
          <w:rFonts w:ascii="楷体" w:eastAsia="楷体" w:hAnsi="楷体" w:hint="eastAsia"/>
          <w:b/>
          <w:sz w:val="22"/>
        </w:rPr>
        <w:t>年化收益率</w:t>
      </w:r>
      <w:proofErr w:type="gramEnd"/>
      <w:r w:rsidRPr="00023B81">
        <w:rPr>
          <w:rFonts w:ascii="楷体" w:eastAsia="楷体" w:hAnsi="楷体" w:hint="eastAsia"/>
          <w:b/>
          <w:sz w:val="22"/>
        </w:rPr>
        <w:t>与标的资产价格变化率的关系</w:t>
      </w:r>
    </w:p>
    <w:p w:rsidR="00013F7C" w:rsidRDefault="005E489E" w:rsidP="00013F7C">
      <w:r>
        <w:rPr>
          <w:noProof/>
        </w:rPr>
        <w:drawing>
          <wp:inline distT="0" distB="0" distL="0" distR="0" wp14:anchorId="170AE574" wp14:editId="7C1C0CD5">
            <wp:extent cx="5274310" cy="27495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9550"/>
                    </a:xfrm>
                    <a:prstGeom prst="rect">
                      <a:avLst/>
                    </a:prstGeom>
                  </pic:spPr>
                </pic:pic>
              </a:graphicData>
            </a:graphic>
          </wp:inline>
        </w:drawing>
      </w:r>
    </w:p>
    <w:p w:rsidR="00013F7C" w:rsidRDefault="00F0533F" w:rsidP="00013F7C">
      <w:pPr>
        <w:pStyle w:val="2"/>
        <w:spacing w:before="156" w:after="156"/>
      </w:pPr>
      <w:r>
        <w:rPr>
          <w:rFonts w:hint="eastAsia"/>
        </w:rPr>
        <w:lastRenderedPageBreak/>
        <w:t>复制成本分析</w:t>
      </w:r>
    </w:p>
    <w:p w:rsidR="00F0533F" w:rsidRPr="004C05EF" w:rsidRDefault="00F0533F" w:rsidP="004C05EF">
      <w:pPr>
        <w:jc w:val="left"/>
        <w:rPr>
          <w:b/>
          <w:i/>
          <w:sz w:val="22"/>
        </w:rPr>
      </w:pPr>
      <w:r w:rsidRPr="004C05EF">
        <w:rPr>
          <w:rFonts w:hint="eastAsia"/>
          <w:b/>
          <w:i/>
          <w:sz w:val="22"/>
        </w:rPr>
        <w:t>复制成本</w:t>
      </w:r>
      <w:r w:rsidRPr="004C05EF">
        <w:rPr>
          <w:rFonts w:hint="eastAsia"/>
          <w:b/>
          <w:i/>
          <w:sz w:val="22"/>
        </w:rPr>
        <w:t>=</w:t>
      </w:r>
      <w:r w:rsidR="004C05EF" w:rsidRPr="004C05EF">
        <w:rPr>
          <w:b/>
          <w:i/>
          <w:sz w:val="22"/>
        </w:rPr>
        <w:t>(</w:t>
      </w:r>
      <w:r w:rsidR="004C05EF" w:rsidRPr="004C05EF">
        <w:rPr>
          <w:rFonts w:hint="eastAsia"/>
          <w:b/>
          <w:i/>
          <w:sz w:val="22"/>
        </w:rPr>
        <w:t>期初净值</w:t>
      </w:r>
      <w:r w:rsidR="004C05EF" w:rsidRPr="004C05EF">
        <w:rPr>
          <w:rFonts w:hint="eastAsia"/>
          <w:b/>
          <w:i/>
          <w:sz w:val="22"/>
        </w:rPr>
        <w:t>*e</w:t>
      </w:r>
      <w:r w:rsidR="004C05EF" w:rsidRPr="004C05EF">
        <w:rPr>
          <w:b/>
          <w:i/>
          <w:sz w:val="22"/>
        </w:rPr>
        <w:t>^</w:t>
      </w:r>
      <w:r w:rsidR="004C05EF" w:rsidRPr="004C05EF">
        <w:rPr>
          <w:rFonts w:hint="eastAsia"/>
          <w:b/>
          <w:i/>
          <w:sz w:val="22"/>
        </w:rPr>
        <w:t>(</w:t>
      </w:r>
      <w:r w:rsidR="004C05EF" w:rsidRPr="004C05EF">
        <w:rPr>
          <w:rFonts w:hint="eastAsia"/>
          <w:b/>
          <w:i/>
          <w:sz w:val="22"/>
        </w:rPr>
        <w:t>无风险利率</w:t>
      </w:r>
      <w:r w:rsidR="004C05EF">
        <w:rPr>
          <w:rFonts w:hint="eastAsia"/>
          <w:b/>
          <w:i/>
          <w:sz w:val="22"/>
        </w:rPr>
        <w:t>*</w:t>
      </w:r>
      <w:r w:rsidR="004C05EF">
        <w:rPr>
          <w:rFonts w:hint="eastAsia"/>
          <w:b/>
          <w:i/>
          <w:sz w:val="22"/>
        </w:rPr>
        <w:t>存续时间</w:t>
      </w:r>
      <w:r w:rsidR="004C05EF" w:rsidRPr="004C05EF">
        <w:rPr>
          <w:b/>
          <w:i/>
          <w:sz w:val="22"/>
        </w:rPr>
        <w:t>)</w:t>
      </w:r>
      <w:r w:rsidR="004C05EF" w:rsidRPr="004C05EF">
        <w:rPr>
          <w:rFonts w:hint="eastAsia"/>
          <w:b/>
          <w:i/>
          <w:sz w:val="22"/>
        </w:rPr>
        <w:t>+</w:t>
      </w:r>
      <w:r w:rsidR="004C05EF" w:rsidRPr="004C05EF">
        <w:rPr>
          <w:rFonts w:hint="eastAsia"/>
          <w:b/>
          <w:i/>
          <w:sz w:val="22"/>
        </w:rPr>
        <w:t>期权收益</w:t>
      </w:r>
      <w:r w:rsidR="004C05EF" w:rsidRPr="004C05EF">
        <w:rPr>
          <w:rFonts w:hint="eastAsia"/>
          <w:b/>
          <w:i/>
          <w:sz w:val="22"/>
        </w:rPr>
        <w:t>)-</w:t>
      </w:r>
      <w:r w:rsidR="004C05EF" w:rsidRPr="004C05EF">
        <w:rPr>
          <w:rFonts w:hint="eastAsia"/>
          <w:b/>
          <w:i/>
          <w:sz w:val="22"/>
        </w:rPr>
        <w:t>动态对冲</w:t>
      </w:r>
      <w:r w:rsidR="004C05EF">
        <w:rPr>
          <w:rFonts w:hint="eastAsia"/>
          <w:b/>
          <w:i/>
          <w:sz w:val="22"/>
        </w:rPr>
        <w:t>得到的</w:t>
      </w:r>
      <w:r w:rsidR="004C05EF" w:rsidRPr="004C05EF">
        <w:rPr>
          <w:rFonts w:hint="eastAsia"/>
          <w:b/>
          <w:i/>
          <w:sz w:val="22"/>
        </w:rPr>
        <w:t>期末净值</w:t>
      </w:r>
    </w:p>
    <w:p w:rsidR="00563E0A" w:rsidRPr="00563E0A" w:rsidRDefault="004C05EF" w:rsidP="004C05EF">
      <w:pPr>
        <w:jc w:val="left"/>
        <w:rPr>
          <w:b/>
          <w:i/>
          <w:sz w:val="22"/>
        </w:rPr>
      </w:pPr>
      <w:r w:rsidRPr="004C05EF">
        <w:rPr>
          <w:rFonts w:hint="eastAsia"/>
          <w:b/>
          <w:i/>
          <w:sz w:val="22"/>
        </w:rPr>
        <w:t>标准化的复制成本</w:t>
      </w:r>
      <w:r w:rsidRPr="004C05EF">
        <w:rPr>
          <w:rFonts w:hint="eastAsia"/>
          <w:b/>
          <w:i/>
          <w:sz w:val="22"/>
        </w:rPr>
        <w:t>=</w:t>
      </w:r>
      <w:r w:rsidRPr="004C05EF">
        <w:rPr>
          <w:rFonts w:hint="eastAsia"/>
          <w:b/>
          <w:i/>
          <w:sz w:val="22"/>
        </w:rPr>
        <w:t>复制成本</w:t>
      </w:r>
      <w:r w:rsidRPr="004C05EF">
        <w:rPr>
          <w:rFonts w:hint="eastAsia"/>
          <w:b/>
          <w:i/>
          <w:sz w:val="22"/>
        </w:rPr>
        <w:t>/</w:t>
      </w:r>
      <w:r w:rsidRPr="004C05EF">
        <w:rPr>
          <w:rFonts w:hint="eastAsia"/>
          <w:b/>
          <w:i/>
          <w:sz w:val="22"/>
        </w:rPr>
        <w:t>总本金</w:t>
      </w:r>
    </w:p>
    <w:p w:rsidR="00563E0A" w:rsidRDefault="00563E0A" w:rsidP="004C05EF">
      <w:pPr>
        <w:jc w:val="left"/>
      </w:pPr>
      <w:r w:rsidRPr="00563E0A">
        <w:rPr>
          <w:rFonts w:hint="eastAsia"/>
        </w:rPr>
        <w:t>历史波动率</w:t>
      </w:r>
      <w:r w:rsidRPr="00563E0A">
        <w:rPr>
          <w:rFonts w:hint="eastAsia"/>
        </w:rPr>
        <w:t>=</w:t>
      </w:r>
      <w:r w:rsidRPr="00563E0A">
        <w:rPr>
          <w:sz w:val="28"/>
        </w:rPr>
        <w:t xml:space="preserve"> </w:t>
      </w:r>
      <w:r w:rsidRPr="00563E0A">
        <w:t>0.070</w:t>
      </w:r>
      <w:r w:rsidRPr="00563E0A">
        <w:rPr>
          <w:rFonts w:hint="eastAsia"/>
        </w:rPr>
        <w:t>2</w:t>
      </w:r>
      <w:r w:rsidRPr="00563E0A">
        <w:rPr>
          <w:rFonts w:hint="eastAsia"/>
        </w:rPr>
        <w:t>时（即</w:t>
      </w:r>
      <w:r w:rsidRPr="00563E0A">
        <w:rPr>
          <w:rFonts w:hint="eastAsia"/>
        </w:rPr>
        <w:t>A</w:t>
      </w:r>
      <w:r w:rsidRPr="00563E0A">
        <w:t>U1812</w:t>
      </w:r>
      <w:r w:rsidRPr="00563E0A">
        <w:rPr>
          <w:rFonts w:hint="eastAsia"/>
        </w:rPr>
        <w:t>的历史波动率）</w:t>
      </w:r>
    </w:p>
    <w:p w:rsidR="00023B81" w:rsidRPr="00023B81" w:rsidRDefault="00FC0EB2" w:rsidP="00023B81">
      <w:pPr>
        <w:jc w:val="center"/>
        <w:rPr>
          <w:rFonts w:ascii="楷体" w:eastAsia="楷体" w:hAnsi="楷体"/>
          <w:b/>
        </w:rPr>
      </w:pPr>
      <w:r>
        <w:rPr>
          <w:rFonts w:ascii="楷体" w:eastAsia="楷体" w:hAnsi="楷体" w:hint="eastAsia"/>
          <w:b/>
          <w:sz w:val="22"/>
        </w:rPr>
        <w:t>复制成本</w:t>
      </w:r>
      <w:r w:rsidR="00023B81" w:rsidRPr="00023B81">
        <w:rPr>
          <w:rFonts w:ascii="楷体" w:eastAsia="楷体" w:hAnsi="楷体" w:hint="eastAsia"/>
          <w:b/>
          <w:sz w:val="22"/>
        </w:rPr>
        <w:t>与标的资产价格变化率的关系</w:t>
      </w:r>
    </w:p>
    <w:p w:rsidR="004C05EF" w:rsidRDefault="005E489E" w:rsidP="004C05EF">
      <w:pPr>
        <w:jc w:val="left"/>
      </w:pPr>
      <w:r>
        <w:rPr>
          <w:noProof/>
        </w:rPr>
        <w:drawing>
          <wp:inline distT="0" distB="0" distL="0" distR="0" wp14:anchorId="7320056F" wp14:editId="7586283D">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88920"/>
                    </a:xfrm>
                    <a:prstGeom prst="rect">
                      <a:avLst/>
                    </a:prstGeom>
                  </pic:spPr>
                </pic:pic>
              </a:graphicData>
            </a:graphic>
          </wp:inline>
        </w:drawing>
      </w:r>
    </w:p>
    <w:p w:rsidR="00FC0EB2" w:rsidRDefault="00FC0EB2" w:rsidP="00FC0EB2">
      <w:pPr>
        <w:jc w:val="center"/>
        <w:rPr>
          <w:rFonts w:ascii="楷体" w:eastAsia="楷体" w:hAnsi="楷体"/>
          <w:b/>
          <w:sz w:val="22"/>
        </w:rPr>
      </w:pPr>
    </w:p>
    <w:p w:rsidR="00FC0EB2" w:rsidRPr="00FC0EB2" w:rsidRDefault="00FC0EB2" w:rsidP="00FC0EB2">
      <w:pPr>
        <w:jc w:val="center"/>
        <w:rPr>
          <w:rFonts w:ascii="楷体" w:eastAsia="楷体" w:hAnsi="楷体"/>
          <w:b/>
        </w:rPr>
      </w:pPr>
      <w:r>
        <w:rPr>
          <w:rFonts w:ascii="楷体" w:eastAsia="楷体" w:hAnsi="楷体" w:hint="eastAsia"/>
          <w:b/>
          <w:sz w:val="22"/>
        </w:rPr>
        <w:t>标准化后的复制成本</w:t>
      </w:r>
      <w:r w:rsidRPr="00023B81">
        <w:rPr>
          <w:rFonts w:ascii="楷体" w:eastAsia="楷体" w:hAnsi="楷体" w:hint="eastAsia"/>
          <w:b/>
          <w:sz w:val="22"/>
        </w:rPr>
        <w:t>与标的资产价格变化率的关系</w:t>
      </w:r>
    </w:p>
    <w:p w:rsidR="00563E0A" w:rsidRPr="004C05EF" w:rsidRDefault="005E489E" w:rsidP="004C05EF">
      <w:pPr>
        <w:jc w:val="left"/>
      </w:pPr>
      <w:r>
        <w:rPr>
          <w:noProof/>
        </w:rPr>
        <w:drawing>
          <wp:inline distT="0" distB="0" distL="0" distR="0" wp14:anchorId="32F60E67" wp14:editId="3856367D">
            <wp:extent cx="5274310" cy="26987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8750"/>
                    </a:xfrm>
                    <a:prstGeom prst="rect">
                      <a:avLst/>
                    </a:prstGeom>
                  </pic:spPr>
                </pic:pic>
              </a:graphicData>
            </a:graphic>
          </wp:inline>
        </w:drawing>
      </w:r>
    </w:p>
    <w:p w:rsidR="008D51F0" w:rsidRDefault="008D51F0" w:rsidP="008D51F0">
      <w:pPr>
        <w:pStyle w:val="2"/>
        <w:spacing w:before="156" w:after="156"/>
      </w:pPr>
      <w:r>
        <w:rPr>
          <w:rFonts w:hint="eastAsia"/>
        </w:rPr>
        <w:lastRenderedPageBreak/>
        <w:t>风险分析</w:t>
      </w:r>
    </w:p>
    <w:p w:rsidR="008D51F0" w:rsidRDefault="008D51F0" w:rsidP="008D51F0">
      <w:r>
        <w:rPr>
          <w:rFonts w:hint="eastAsia"/>
        </w:rPr>
        <w:t>在进一步的产品构建与细化之中需要考虑以下的风险：</w:t>
      </w:r>
    </w:p>
    <w:p w:rsidR="008D51F0" w:rsidRDefault="008D51F0" w:rsidP="008D51F0">
      <w:pPr>
        <w:pStyle w:val="a7"/>
        <w:numPr>
          <w:ilvl w:val="0"/>
          <w:numId w:val="3"/>
        </w:numPr>
        <w:ind w:firstLineChars="0"/>
      </w:pPr>
      <w:r w:rsidRPr="008D51F0">
        <w:rPr>
          <w:rFonts w:hint="eastAsia"/>
          <w:b/>
        </w:rPr>
        <w:t>成本风险：</w:t>
      </w:r>
      <w:r>
        <w:rPr>
          <w:rFonts w:hint="eastAsia"/>
        </w:rPr>
        <w:t>在期权的敲出价附近，复制的成本的波动性较大，若复制成本不能得到有效的控制，将给产品的收益率带来较大的风险。在后期的设计中，应当更精确地设计对冲规则，可以在固定频率对冲的基础进行改进。但由于黄金期货合约价值较大且只能进行整数手数的交易，受制于此交易规则，可能无法将期权复制成本的波动性控制在较低的范围之内。</w:t>
      </w:r>
    </w:p>
    <w:p w:rsidR="008D51F0" w:rsidRPr="008D51F0" w:rsidRDefault="008D51F0" w:rsidP="008D51F0">
      <w:pPr>
        <w:pStyle w:val="a7"/>
        <w:numPr>
          <w:ilvl w:val="0"/>
          <w:numId w:val="3"/>
        </w:numPr>
        <w:ind w:firstLineChars="0"/>
        <w:rPr>
          <w:rFonts w:hint="eastAsia"/>
        </w:rPr>
      </w:pPr>
      <w:r w:rsidRPr="008D51F0">
        <w:rPr>
          <w:rFonts w:hint="eastAsia"/>
          <w:b/>
        </w:rPr>
        <w:t>复制风险：</w:t>
      </w:r>
      <w:r>
        <w:rPr>
          <w:rFonts w:hint="eastAsia"/>
        </w:rPr>
        <w:t>在期权的敲出价附近，复制的精确度仍有待提高。</w:t>
      </w:r>
      <w:r>
        <w:rPr>
          <w:rFonts w:hint="eastAsia"/>
        </w:rPr>
        <w:t>该情况出现的原因与成本风险类似。</w:t>
      </w:r>
    </w:p>
    <w:p w:rsidR="008D51F0" w:rsidRDefault="008D51F0" w:rsidP="008D51F0">
      <w:pPr>
        <w:pStyle w:val="a7"/>
        <w:numPr>
          <w:ilvl w:val="0"/>
          <w:numId w:val="3"/>
        </w:numPr>
        <w:ind w:firstLineChars="0"/>
        <w:rPr>
          <w:rFonts w:hint="eastAsia"/>
        </w:rPr>
      </w:pPr>
      <w:r w:rsidRPr="008D51F0">
        <w:rPr>
          <w:rFonts w:hint="eastAsia"/>
          <w:b/>
        </w:rPr>
        <w:t>交易风险：</w:t>
      </w:r>
      <w:r>
        <w:rPr>
          <w:rFonts w:hint="eastAsia"/>
        </w:rPr>
        <w:t>测算中，对于交易价格的处理采用了理想的情况，并未考虑滑点。但在实际的交易之中，成交价格可能并不等于下单价格，另外，在下单量较大的情况下，可能市场价格会出现波动。这些交易风险在实际运行中均会影响产品的复制成本于收益情况。</w:t>
      </w:r>
    </w:p>
    <w:p w:rsidR="008D51F0" w:rsidRDefault="008D51F0" w:rsidP="008D51F0">
      <w:pPr>
        <w:pStyle w:val="2"/>
        <w:spacing w:before="156" w:after="156"/>
        <w:rPr>
          <w:rFonts w:hint="eastAsia"/>
        </w:rPr>
      </w:pPr>
      <w:r>
        <w:rPr>
          <w:rFonts w:hint="eastAsia"/>
        </w:rPr>
        <w:t>测算结论</w:t>
      </w:r>
    </w:p>
    <w:p w:rsidR="008D51F0" w:rsidRPr="008D51F0" w:rsidRDefault="008D51F0" w:rsidP="008D51F0">
      <w:pPr>
        <w:rPr>
          <w:rFonts w:hint="eastAsia"/>
        </w:rPr>
      </w:pPr>
      <w:r>
        <w:rPr>
          <w:rFonts w:hint="eastAsia"/>
        </w:rPr>
        <w:t>总体来说，使用动态对冲策略，能够大体复制出欧式看涨期权的收益形态，收益率与参与率均能够得到保障，所以基于该策略来构建</w:t>
      </w:r>
      <w:proofErr w:type="gramStart"/>
      <w:r>
        <w:rPr>
          <w:rFonts w:hint="eastAsia"/>
        </w:rPr>
        <w:t>结构化资管产品</w:t>
      </w:r>
      <w:proofErr w:type="gramEnd"/>
      <w:r>
        <w:rPr>
          <w:rFonts w:hint="eastAsia"/>
        </w:rPr>
        <w:t>是可行的。</w:t>
      </w:r>
      <w:r>
        <w:rPr>
          <w:rFonts w:hint="eastAsia"/>
        </w:rPr>
        <w:t>但现有的参与率、行权价、保本率仍有优化的空间，除了通过合理的风险控制、成本控制降低期权复制成本、提高复制精确程度以外，还可以通过对三者的适当权衡来设计吸引力更高的产品。</w:t>
      </w:r>
    </w:p>
    <w:p w:rsidR="008D51F0" w:rsidRPr="008D51F0" w:rsidRDefault="008D51F0" w:rsidP="008D51F0">
      <w:pPr>
        <w:rPr>
          <w:rFonts w:hint="eastAsia"/>
        </w:rPr>
      </w:pPr>
    </w:p>
    <w:p w:rsidR="008D51F0" w:rsidRPr="008D51F0" w:rsidRDefault="008D51F0" w:rsidP="008D51F0">
      <w:pPr>
        <w:rPr>
          <w:rFonts w:hint="eastAsia"/>
        </w:rPr>
      </w:pPr>
    </w:p>
    <w:p w:rsidR="004C05EF" w:rsidRPr="00563E0A" w:rsidRDefault="004C05EF" w:rsidP="00563E0A">
      <w:pPr>
        <w:jc w:val="left"/>
        <w:rPr>
          <w:sz w:val="22"/>
        </w:rPr>
      </w:pPr>
    </w:p>
    <w:sectPr w:rsidR="004C05EF" w:rsidRPr="00563E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5D3" w:rsidRDefault="009775D3" w:rsidP="00FB1395">
      <w:pPr>
        <w:spacing w:line="240" w:lineRule="auto"/>
      </w:pPr>
      <w:r>
        <w:separator/>
      </w:r>
    </w:p>
  </w:endnote>
  <w:endnote w:type="continuationSeparator" w:id="0">
    <w:p w:rsidR="009775D3" w:rsidRDefault="009775D3" w:rsidP="00FB1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5D3" w:rsidRDefault="009775D3" w:rsidP="00FB1395">
      <w:pPr>
        <w:spacing w:line="240" w:lineRule="auto"/>
      </w:pPr>
      <w:r>
        <w:separator/>
      </w:r>
    </w:p>
  </w:footnote>
  <w:footnote w:type="continuationSeparator" w:id="0">
    <w:p w:rsidR="009775D3" w:rsidRDefault="009775D3" w:rsidP="00FB13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F7762"/>
    <w:multiLevelType w:val="hybridMultilevel"/>
    <w:tmpl w:val="8B7C8A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0800AB"/>
    <w:multiLevelType w:val="multilevel"/>
    <w:tmpl w:val="165E7DA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59653E15"/>
    <w:multiLevelType w:val="hybridMultilevel"/>
    <w:tmpl w:val="FCAAA0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FF5"/>
    <w:rsid w:val="00010802"/>
    <w:rsid w:val="00013F7C"/>
    <w:rsid w:val="00023B81"/>
    <w:rsid w:val="00041B24"/>
    <w:rsid w:val="00101C00"/>
    <w:rsid w:val="00134A48"/>
    <w:rsid w:val="002F558B"/>
    <w:rsid w:val="003364A9"/>
    <w:rsid w:val="003F54D4"/>
    <w:rsid w:val="004059B8"/>
    <w:rsid w:val="0047513E"/>
    <w:rsid w:val="004C05EF"/>
    <w:rsid w:val="004D0F28"/>
    <w:rsid w:val="00563E0A"/>
    <w:rsid w:val="005E489E"/>
    <w:rsid w:val="006F1CA0"/>
    <w:rsid w:val="00732862"/>
    <w:rsid w:val="00740249"/>
    <w:rsid w:val="00817ED8"/>
    <w:rsid w:val="00852698"/>
    <w:rsid w:val="008B5977"/>
    <w:rsid w:val="008D51F0"/>
    <w:rsid w:val="009261F9"/>
    <w:rsid w:val="009775D3"/>
    <w:rsid w:val="00A34FF5"/>
    <w:rsid w:val="00B66540"/>
    <w:rsid w:val="00C7412E"/>
    <w:rsid w:val="00CD56F8"/>
    <w:rsid w:val="00E43DAC"/>
    <w:rsid w:val="00E7079F"/>
    <w:rsid w:val="00E754F5"/>
    <w:rsid w:val="00EB5E88"/>
    <w:rsid w:val="00F0533F"/>
    <w:rsid w:val="00FB1395"/>
    <w:rsid w:val="00FC0EB2"/>
    <w:rsid w:val="00FF46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3F7314"/>
  <w15:chartTrackingRefBased/>
  <w15:docId w15:val="{7F101F70-71EE-4A4C-B500-1EF951721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4FF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A34FF5"/>
    <w:pPr>
      <w:keepNext/>
      <w:keepLines/>
      <w:numPr>
        <w:numId w:val="1"/>
      </w:numPr>
      <w:spacing w:beforeLines="50" w:before="50" w:afterLines="50" w:after="50"/>
      <w:jc w:val="center"/>
      <w:outlineLvl w:val="0"/>
    </w:pPr>
    <w:rPr>
      <w:rFonts w:eastAsia="黑体"/>
      <w:b/>
      <w:kern w:val="44"/>
      <w:sz w:val="32"/>
      <w:szCs w:val="44"/>
    </w:rPr>
  </w:style>
  <w:style w:type="paragraph" w:styleId="2">
    <w:name w:val="heading 2"/>
    <w:basedOn w:val="a"/>
    <w:next w:val="a"/>
    <w:link w:val="20"/>
    <w:uiPriority w:val="9"/>
    <w:unhideWhenUsed/>
    <w:qFormat/>
    <w:rsid w:val="00A34FF5"/>
    <w:pPr>
      <w:keepNext/>
      <w:keepLines/>
      <w:numPr>
        <w:ilvl w:val="1"/>
        <w:numId w:val="1"/>
      </w:numPr>
      <w:spacing w:beforeLines="50" w:before="50" w:afterLines="50" w:after="50"/>
      <w:jc w:val="left"/>
      <w:outlineLvl w:val="1"/>
    </w:pPr>
    <w:rPr>
      <w:rFonts w:eastAsia="黑体"/>
      <w:b/>
      <w:kern w:val="44"/>
      <w:sz w:val="28"/>
      <w:szCs w:val="32"/>
    </w:rPr>
  </w:style>
  <w:style w:type="paragraph" w:styleId="3">
    <w:name w:val="heading 3"/>
    <w:basedOn w:val="a"/>
    <w:next w:val="a"/>
    <w:link w:val="30"/>
    <w:uiPriority w:val="9"/>
    <w:unhideWhenUsed/>
    <w:qFormat/>
    <w:rsid w:val="00A34FF5"/>
    <w:pPr>
      <w:keepNext/>
      <w:keepLines/>
      <w:numPr>
        <w:ilvl w:val="2"/>
        <w:numId w:val="1"/>
      </w:numPr>
      <w:spacing w:beforeLines="50" w:before="50" w:afterLines="50" w:after="50"/>
      <w:jc w:val="left"/>
      <w:outlineLvl w:val="2"/>
    </w:pPr>
    <w:rPr>
      <w:rFonts w:eastAsia="黑体"/>
      <w:b/>
      <w:bCs/>
      <w:kern w:val="4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4FF5"/>
    <w:rPr>
      <w:rFonts w:ascii="Times New Roman" w:eastAsia="黑体" w:hAnsi="Times New Roman" w:cs="Times New Roman"/>
      <w:b/>
      <w:kern w:val="44"/>
      <w:sz w:val="32"/>
      <w:szCs w:val="44"/>
    </w:rPr>
  </w:style>
  <w:style w:type="character" w:customStyle="1" w:styleId="20">
    <w:name w:val="标题 2 字符"/>
    <w:basedOn w:val="a0"/>
    <w:link w:val="2"/>
    <w:uiPriority w:val="9"/>
    <w:rsid w:val="00A34FF5"/>
    <w:rPr>
      <w:rFonts w:ascii="Times New Roman" w:eastAsia="黑体" w:hAnsi="Times New Roman" w:cs="Times New Roman"/>
      <w:b/>
      <w:kern w:val="44"/>
      <w:sz w:val="28"/>
      <w:szCs w:val="32"/>
    </w:rPr>
  </w:style>
  <w:style w:type="character" w:customStyle="1" w:styleId="30">
    <w:name w:val="标题 3 字符"/>
    <w:basedOn w:val="a0"/>
    <w:link w:val="3"/>
    <w:uiPriority w:val="9"/>
    <w:rsid w:val="00A34FF5"/>
    <w:rPr>
      <w:rFonts w:ascii="Times New Roman" w:eastAsia="黑体" w:hAnsi="Times New Roman" w:cs="Times New Roman"/>
      <w:b/>
      <w:bCs/>
      <w:kern w:val="44"/>
      <w:sz w:val="24"/>
      <w:szCs w:val="32"/>
    </w:rPr>
  </w:style>
  <w:style w:type="paragraph" w:styleId="a3">
    <w:name w:val="header"/>
    <w:basedOn w:val="a"/>
    <w:link w:val="a4"/>
    <w:uiPriority w:val="99"/>
    <w:unhideWhenUsed/>
    <w:rsid w:val="00FB1395"/>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FB1395"/>
    <w:rPr>
      <w:rFonts w:ascii="Times New Roman" w:eastAsia="宋体" w:hAnsi="Times New Roman" w:cs="Times New Roman"/>
      <w:sz w:val="18"/>
      <w:szCs w:val="18"/>
    </w:rPr>
  </w:style>
  <w:style w:type="paragraph" w:styleId="a5">
    <w:name w:val="footer"/>
    <w:basedOn w:val="a"/>
    <w:link w:val="a6"/>
    <w:uiPriority w:val="99"/>
    <w:unhideWhenUsed/>
    <w:rsid w:val="00FB1395"/>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FB1395"/>
    <w:rPr>
      <w:rFonts w:ascii="Times New Roman" w:eastAsia="宋体" w:hAnsi="Times New Roman" w:cs="Times New Roman"/>
      <w:sz w:val="18"/>
      <w:szCs w:val="18"/>
    </w:rPr>
  </w:style>
  <w:style w:type="paragraph" w:styleId="a7">
    <w:name w:val="List Paragraph"/>
    <w:basedOn w:val="a"/>
    <w:uiPriority w:val="34"/>
    <w:qFormat/>
    <w:rsid w:val="00134A4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5" Type="http://schemas.openxmlformats.org/officeDocument/2006/relationships/chartUserShapes" Target="../drawings/drawing1.xml"/><Relationship Id="rId4" Type="http://schemas.openxmlformats.org/officeDocument/2006/relationships/oleObject" Target="Microsoft%20Word%20&#20013;&#30340;&#22270;&#34920;"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400" b="1">
                <a:solidFill>
                  <a:schemeClr val="tx1"/>
                </a:solidFill>
                <a:latin typeface="楷体" panose="02010609060101010101" pitchFamily="49" charset="-122"/>
                <a:ea typeface="楷体" panose="02010609060101010101" pitchFamily="49" charset="-122"/>
              </a:rPr>
              <a:t>产品收益结构</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2061624533775384"/>
          <c:y val="0.17113444152814231"/>
          <c:w val="0.78056133443845821"/>
          <c:h val="0.67725320793234167"/>
        </c:manualLayout>
      </c:layout>
      <c:scatterChart>
        <c:scatterStyle val="lineMarker"/>
        <c:varyColors val="0"/>
        <c:ser>
          <c:idx val="0"/>
          <c:order val="0"/>
          <c:spPr>
            <a:ln w="25400" cap="rnd">
              <a:solidFill>
                <a:schemeClr val="accent1">
                  <a:alpha val="97000"/>
                </a:schemeClr>
              </a:solidFill>
              <a:round/>
            </a:ln>
            <a:effectLst/>
          </c:spPr>
          <c:marker>
            <c:symbol val="none"/>
          </c:marker>
          <c:dLbls>
            <c:dLbl>
              <c:idx val="1"/>
              <c:layout>
                <c:manualLayout>
                  <c:x val="-0.36429877673233085"/>
                  <c:y val="-6.2016545839259161E-2"/>
                </c:manualLayout>
              </c:layout>
              <c:tx>
                <c:rich>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保本收益率：</a:t>
                    </a:r>
                    <a:r>
                      <a:rPr lang="en-US" altLang="zh-CN"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2.70%</a:t>
                    </a:r>
                  </a:p>
                </c:rich>
              </c:tx>
              <c:spPr>
                <a:noFill/>
                <a:ln>
                  <a:noFill/>
                </a:ln>
                <a:effectLst/>
              </c:spPr>
              <c:txPr>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dLblPos val="r"/>
              <c:showLegendKey val="0"/>
              <c:showVal val="1"/>
              <c:showCatName val="0"/>
              <c:showSerName val="0"/>
              <c:showPercent val="0"/>
              <c:showBubbleSize val="0"/>
              <c:extLst>
                <c:ext xmlns:c15="http://schemas.microsoft.com/office/drawing/2012/chart" uri="{CE6537A1-D6FC-4f65-9D91-7224C49458BB}">
                  <c15:layout>
                    <c:manualLayout>
                      <c:w val="0.25299638989169676"/>
                      <c:h val="6.6387665198237869E-2"/>
                    </c:manualLayout>
                  </c15:layout>
                </c:ext>
                <c:ext xmlns:c16="http://schemas.microsoft.com/office/drawing/2014/chart" uri="{C3380CC4-5D6E-409C-BE32-E72D297353CC}">
                  <c16:uniqueId val="{00000000-AB79-4C0E-99BE-0CC8FE7AE074}"/>
                </c:ext>
              </c:extLst>
            </c:dLbl>
            <c:dLbl>
              <c:idx val="2"/>
              <c:tx>
                <c:rich>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mn-ea"/>
                        <a:cs typeface="Times New Roman" panose="02020603050405020304" pitchFamily="18" charset="0"/>
                      </a:defRPr>
                    </a:pPr>
                    <a:r>
                      <a:rPr lang="en-US" altLang="zh-CN" sz="1100" b="1" i="1">
                        <a:solidFill>
                          <a:schemeClr val="accent2"/>
                        </a:solidFill>
                        <a:latin typeface="Times New Roman" panose="02020603050405020304" pitchFamily="18" charset="0"/>
                        <a:cs typeface="Times New Roman" panose="02020603050405020304" pitchFamily="18" charset="0"/>
                      </a:rPr>
                      <a:t>9.20%</a:t>
                    </a:r>
                  </a:p>
                </c:rich>
              </c:tx>
              <c:spPr>
                <a:noFill/>
                <a:ln>
                  <a:noFill/>
                </a:ln>
                <a:effectLst/>
              </c:spPr>
              <c:txPr>
                <a:bodyPr rot="0" spcFirstLastPara="1" vertOverflow="ellipsis" vert="horz" wrap="square" lIns="38100" tIns="19050" rIns="38100" bIns="19050" anchor="ctr" anchorCtr="1">
                  <a:spAutoFit/>
                </a:bodyPr>
                <a:lstStyle/>
                <a:p>
                  <a:pPr>
                    <a:defRPr sz="1100" b="1" i="1" u="none" strike="noStrike" kern="1200" baseline="0">
                      <a:solidFill>
                        <a:schemeClr val="accent2"/>
                      </a:solidFill>
                      <a:latin typeface="Times New Roman" panose="02020603050405020304" pitchFamily="18" charset="0"/>
                      <a:ea typeface="+mn-ea"/>
                      <a:cs typeface="Times New Roman" panose="02020603050405020304" pitchFamily="18" charset="0"/>
                    </a:defRPr>
                  </a:pPr>
                  <a:endParaRPr lang="zh-CN"/>
                </a:p>
              </c:txPr>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B79-4C0E-99BE-0CC8FE7AE07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'[Microsoft Word 中的图表]Sheet1'!$C$1:$C$3</c:f>
              <c:numCache>
                <c:formatCode>0.00_);[Red]\(0.00\)</c:formatCode>
                <c:ptCount val="3"/>
                <c:pt idx="0">
                  <c:v>95</c:v>
                </c:pt>
                <c:pt idx="1">
                  <c:v>103.5</c:v>
                </c:pt>
                <c:pt idx="2">
                  <c:v>110</c:v>
                </c:pt>
              </c:numCache>
            </c:numRef>
          </c:xVal>
          <c:yVal>
            <c:numRef>
              <c:f>'[Microsoft Word 中的图表]Sheet1'!$D$1:$D$3</c:f>
              <c:numCache>
                <c:formatCode>General</c:formatCode>
                <c:ptCount val="3"/>
                <c:pt idx="0">
                  <c:v>2.7</c:v>
                </c:pt>
                <c:pt idx="1">
                  <c:v>2.7</c:v>
                </c:pt>
                <c:pt idx="2">
                  <c:v>9.1999999999999993</c:v>
                </c:pt>
              </c:numCache>
            </c:numRef>
          </c:yVal>
          <c:smooth val="0"/>
          <c:extLst>
            <c:ext xmlns:c16="http://schemas.microsoft.com/office/drawing/2014/chart" uri="{C3380CC4-5D6E-409C-BE32-E72D297353CC}">
              <c16:uniqueId val="{00000002-AB79-4C0E-99BE-0CC8FE7AE074}"/>
            </c:ext>
          </c:extLst>
        </c:ser>
        <c:dLbls>
          <c:showLegendKey val="0"/>
          <c:showVal val="0"/>
          <c:showCatName val="0"/>
          <c:showSerName val="0"/>
          <c:showPercent val="0"/>
          <c:showBubbleSize val="0"/>
        </c:dLbls>
        <c:axId val="506798536"/>
        <c:axId val="506801160"/>
      </c:scatterChart>
      <c:valAx>
        <c:axId val="506798536"/>
        <c:scaling>
          <c:orientation val="minMax"/>
          <c:max val="110"/>
          <c:min val="96"/>
        </c:scaling>
        <c:delete val="0"/>
        <c:axPos val="b"/>
        <c:title>
          <c:tx>
            <c:rich>
              <a:bodyPr rot="0" spcFirstLastPara="1" vertOverflow="ellipsis" vert="horz" wrap="square" anchor="ctr" anchorCtr="1"/>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标的资产期末价格</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期初价格</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endPar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06801160"/>
        <c:crosses val="autoZero"/>
        <c:crossBetween val="midCat"/>
        <c:minorUnit val="1"/>
      </c:valAx>
      <c:valAx>
        <c:axId val="506801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0"/>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r>
                  <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年化收益率</a:t>
                </a:r>
                <a:r>
                  <a:rPr lang="en-US" altLang="zh-CN"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rPr>
                  <a:t>(%)</a:t>
                </a:r>
                <a:endParaRPr lang="zh-CN" altLang="en-US" sz="1050" b="1">
                  <a:solidFill>
                    <a:schemeClr val="accent1"/>
                  </a:solidFill>
                  <a:latin typeface="Times New Roman" panose="02020603050405020304" pitchFamily="18" charset="0"/>
                  <a:ea typeface="楷体" panose="02010609060101010101" pitchFamily="49" charset="-122"/>
                  <a:cs typeface="Times New Roman" panose="02020603050405020304" pitchFamily="18" charset="0"/>
                </a:endParaRPr>
              </a:p>
            </c:rich>
          </c:tx>
          <c:layout>
            <c:manualLayout>
              <c:xMode val="edge"/>
              <c:yMode val="edge"/>
              <c:x val="1.1503074751035184E-2"/>
              <c:y val="6.6133754205834408E-2"/>
            </c:manualLayout>
          </c:layout>
          <c:overlay val="0"/>
          <c:spPr>
            <a:noFill/>
            <a:ln>
              <a:noFill/>
            </a:ln>
            <a:effectLst/>
          </c:spPr>
          <c:txPr>
            <a:bodyPr rot="0" spcFirstLastPara="1" vertOverflow="ellipsis" wrap="square" anchor="ctr" anchorCtr="0"/>
            <a:lstStyle/>
            <a:p>
              <a:pPr>
                <a:defRPr sz="1050" b="1" i="0" u="none" strike="noStrike" kern="1200" baseline="0">
                  <a:solidFill>
                    <a:schemeClr val="accent1"/>
                  </a:solidFill>
                  <a:latin typeface="Times New Roman" panose="02020603050405020304" pitchFamily="18" charset="0"/>
                  <a:ea typeface="楷体" panose="02010609060101010101" pitchFamily="49" charset="-122"/>
                  <a:cs typeface="Times New Roman" panose="02020603050405020304" pitchFamily="18" charset="0"/>
                </a:defRPr>
              </a:pPr>
              <a:endParaRPr lang="zh-CN"/>
            </a:p>
          </c:txPr>
        </c:title>
        <c:numFmt formatCode="#,##0.00_);[Red]\(#,##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067985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0.55578</cdr:x>
      <cdr:y>0.34141</cdr:y>
    </cdr:from>
    <cdr:to>
      <cdr:x>0.82025</cdr:x>
      <cdr:y>0.41189</cdr:y>
    </cdr:to>
    <cdr:sp macro="" textlink="">
      <cdr:nvSpPr>
        <cdr:cNvPr id="2" name="文本框 1">
          <a:extLst xmlns:a="http://schemas.openxmlformats.org/drawingml/2006/main">
            <a:ext uri="{FF2B5EF4-FFF2-40B4-BE49-F238E27FC236}">
              <a16:creationId xmlns:a16="http://schemas.microsoft.com/office/drawing/2014/main" id="{C72B8B83-52C4-4C55-81DB-F5D53336D9D3}"/>
            </a:ext>
          </a:extLst>
        </cdr:cNvPr>
        <cdr:cNvSpPr txBox="1"/>
      </cdr:nvSpPr>
      <cdr:spPr>
        <a:xfrm xmlns:a="http://schemas.openxmlformats.org/drawingml/2006/main">
          <a:off x="2932761" y="984251"/>
          <a:ext cx="1395569" cy="20318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参与率</a:t>
          </a:r>
          <a:r>
            <a:rPr lang="en-US" altLang="zh-CN"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rPr>
            <a:t>=100%</a:t>
          </a:r>
          <a:endParaRPr lang="zh-CN" altLang="en-US" sz="1100" b="1" i="1">
            <a:solidFill>
              <a:schemeClr val="accent2"/>
            </a:solidFill>
            <a:latin typeface="Times New Roman" panose="02020603050405020304" pitchFamily="18" charset="0"/>
            <a:ea typeface="楷体" panose="02010609060101010101" pitchFamily="49" charset="-122"/>
            <a:cs typeface="Times New Roman" panose="02020603050405020304" pitchFamily="18" charset="0"/>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F7D0F-2548-4A04-8421-91F796249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12445</TotalTime>
  <Pages>6</Pages>
  <Words>286</Words>
  <Characters>1631</Characters>
  <Application>Microsoft Office Word</Application>
  <DocSecurity>0</DocSecurity>
  <Lines>13</Lines>
  <Paragraphs>3</Paragraphs>
  <ScaleCrop>false</ScaleCrop>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培杰 赵</dc:creator>
  <cp:keywords/>
  <dc:description/>
  <cp:lastModifiedBy>赵 培杰</cp:lastModifiedBy>
  <cp:revision>7</cp:revision>
  <dcterms:created xsi:type="dcterms:W3CDTF">2018-04-12T06:59:00Z</dcterms:created>
  <dcterms:modified xsi:type="dcterms:W3CDTF">2018-06-19T06:22:00Z</dcterms:modified>
</cp:coreProperties>
</file>