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drawings/drawing1.xml" ContentType="application/vnd.openxmlformats-officedocument.drawingml.chartshap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B61740" w14:textId="0D531DFD" w:rsidR="00492002" w:rsidRPr="00D75759" w:rsidRDefault="0072042E" w:rsidP="00492002">
      <w:pPr>
        <w:spacing w:line="360" w:lineRule="auto"/>
        <w:jc w:val="center"/>
        <w:rPr>
          <w:rFonts w:ascii="仿宋_GB2312"/>
          <w:b/>
          <w:sz w:val="28"/>
          <w:szCs w:val="28"/>
        </w:rPr>
      </w:pPr>
      <w:r>
        <w:rPr>
          <w:rFonts w:eastAsia="楷体" w:hint="eastAsia"/>
          <w:b/>
          <w:sz w:val="28"/>
          <w:szCs w:val="28"/>
        </w:rPr>
        <w:t>黄金挂钩</w:t>
      </w:r>
      <w:r w:rsidR="00003116">
        <w:rPr>
          <w:rFonts w:eastAsia="楷体" w:hint="eastAsia"/>
          <w:b/>
          <w:sz w:val="28"/>
          <w:szCs w:val="28"/>
        </w:rPr>
        <w:t>结构化产品方案设计</w:t>
      </w:r>
      <w:r>
        <w:rPr>
          <w:rFonts w:eastAsia="楷体" w:hint="eastAsia"/>
          <w:b/>
          <w:sz w:val="28"/>
          <w:szCs w:val="28"/>
        </w:rPr>
        <w:t>（</w:t>
      </w:r>
      <w:r w:rsidR="004F0879">
        <w:rPr>
          <w:rFonts w:eastAsia="楷体" w:hint="eastAsia"/>
          <w:b/>
          <w:sz w:val="28"/>
          <w:szCs w:val="28"/>
        </w:rPr>
        <w:t>1</w:t>
      </w:r>
      <w:r>
        <w:rPr>
          <w:rFonts w:eastAsia="楷体"/>
          <w:b/>
          <w:sz w:val="28"/>
          <w:szCs w:val="28"/>
        </w:rPr>
        <w:t>M</w:t>
      </w:r>
      <w:r w:rsidR="004F0879">
        <w:rPr>
          <w:rFonts w:eastAsia="楷体" w:hint="eastAsia"/>
          <w:b/>
          <w:sz w:val="28"/>
          <w:szCs w:val="28"/>
        </w:rPr>
        <w:t>欧式</w:t>
      </w:r>
      <w:r>
        <w:rPr>
          <w:rFonts w:eastAsia="楷体" w:hint="eastAsia"/>
          <w:b/>
          <w:sz w:val="28"/>
          <w:szCs w:val="28"/>
        </w:rPr>
        <w:t>看涨</w:t>
      </w:r>
      <w:r w:rsidR="004F0879">
        <w:rPr>
          <w:rFonts w:eastAsia="楷体" w:hint="eastAsia"/>
          <w:b/>
          <w:sz w:val="28"/>
          <w:szCs w:val="28"/>
        </w:rPr>
        <w:t>期权</w:t>
      </w:r>
      <w:r>
        <w:rPr>
          <w:rFonts w:eastAsia="楷体" w:hint="eastAsia"/>
          <w:b/>
          <w:sz w:val="28"/>
          <w:szCs w:val="28"/>
        </w:rPr>
        <w:t>）</w:t>
      </w:r>
    </w:p>
    <w:p w14:paraId="7638F697" w14:textId="4FF05978" w:rsidR="00C817FE" w:rsidRPr="00A405C4" w:rsidRDefault="00C817FE" w:rsidP="00A405C4">
      <w:pPr>
        <w:pStyle w:val="af"/>
        <w:numPr>
          <w:ilvl w:val="0"/>
          <w:numId w:val="27"/>
        </w:numPr>
        <w:spacing w:line="400" w:lineRule="exact"/>
        <w:ind w:firstLineChars="0"/>
        <w:rPr>
          <w:rFonts w:ascii="楷体" w:eastAsia="楷体" w:hAnsi="楷体"/>
          <w:b/>
          <w:sz w:val="24"/>
        </w:rPr>
      </w:pPr>
      <w:r w:rsidRPr="00A405C4">
        <w:rPr>
          <w:rFonts w:ascii="楷体" w:eastAsia="楷体" w:hAnsi="楷体" w:hint="eastAsia"/>
          <w:b/>
          <w:sz w:val="24"/>
        </w:rPr>
        <w:t>产品基本信息</w:t>
      </w:r>
    </w:p>
    <w:p w14:paraId="485D3E75" w14:textId="7FD4FA64" w:rsidR="001B10CF" w:rsidRPr="00A405C4" w:rsidRDefault="00C817FE" w:rsidP="00C817FE">
      <w:pPr>
        <w:spacing w:line="400" w:lineRule="exact"/>
        <w:rPr>
          <w:rFonts w:ascii="仿宋" w:eastAsia="仿宋" w:hAnsi="仿宋"/>
          <w:b/>
          <w:sz w:val="24"/>
        </w:rPr>
      </w:pPr>
      <w:r w:rsidRPr="00A405C4">
        <w:rPr>
          <w:rFonts w:ascii="仿宋" w:eastAsia="仿宋" w:hAnsi="仿宋" w:hint="eastAsia"/>
          <w:b/>
          <w:sz w:val="24"/>
        </w:rPr>
        <w:t>（</w:t>
      </w:r>
      <w:bookmarkStart w:id="0" w:name="_Hlk518432587"/>
      <w:r w:rsidRPr="00A405C4">
        <w:rPr>
          <w:rFonts w:ascii="仿宋" w:eastAsia="仿宋" w:hAnsi="仿宋" w:hint="eastAsia"/>
          <w:b/>
          <w:sz w:val="24"/>
        </w:rPr>
        <w:t>一）</w:t>
      </w:r>
      <w:r w:rsidR="00492002" w:rsidRPr="00A405C4">
        <w:rPr>
          <w:rFonts w:ascii="仿宋" w:eastAsia="仿宋" w:hAnsi="仿宋"/>
          <w:b/>
          <w:sz w:val="24"/>
        </w:rPr>
        <w:t>产品要素表</w:t>
      </w:r>
    </w:p>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3"/>
        <w:gridCol w:w="1600"/>
        <w:gridCol w:w="6480"/>
      </w:tblGrid>
      <w:tr w:rsidR="00EA3D01" w:rsidRPr="00EA3D01" w14:paraId="33C72525" w14:textId="77777777" w:rsidTr="00FA2E47">
        <w:trPr>
          <w:trHeight w:val="276"/>
        </w:trPr>
        <w:tc>
          <w:tcPr>
            <w:tcW w:w="1413" w:type="dxa"/>
            <w:tcBorders>
              <w:top w:val="single" w:sz="4" w:space="0" w:color="auto"/>
              <w:left w:val="single" w:sz="4" w:space="0" w:color="auto"/>
              <w:bottom w:val="single" w:sz="4" w:space="0" w:color="auto"/>
              <w:right w:val="single" w:sz="4" w:space="0" w:color="auto"/>
            </w:tcBorders>
            <w:vAlign w:val="center"/>
          </w:tcPr>
          <w:p w14:paraId="1A998608" w14:textId="77777777" w:rsidR="00EA3D01" w:rsidRPr="00EA3D01" w:rsidRDefault="00EA3D01" w:rsidP="00EA3D01">
            <w:pPr>
              <w:spacing w:line="0" w:lineRule="atLeast"/>
              <w:jc w:val="center"/>
              <w:rPr>
                <w:rFonts w:ascii="华文楷体" w:eastAsia="华文楷体" w:hAnsi="华文楷体"/>
                <w:color w:val="000000"/>
                <w:sz w:val="21"/>
                <w:szCs w:val="21"/>
              </w:rPr>
            </w:pPr>
            <w:r w:rsidRPr="00EA3D01">
              <w:rPr>
                <w:rFonts w:ascii="华文楷体" w:eastAsia="华文楷体" w:hAnsi="华文楷体" w:hint="eastAsia"/>
                <w:color w:val="000000"/>
                <w:sz w:val="21"/>
                <w:szCs w:val="21"/>
              </w:rPr>
              <w:t>产品名称</w:t>
            </w:r>
          </w:p>
        </w:tc>
        <w:tc>
          <w:tcPr>
            <w:tcW w:w="8080" w:type="dxa"/>
            <w:gridSpan w:val="2"/>
            <w:tcBorders>
              <w:top w:val="single" w:sz="4" w:space="0" w:color="auto"/>
              <w:left w:val="single" w:sz="4" w:space="0" w:color="auto"/>
              <w:bottom w:val="single" w:sz="4" w:space="0" w:color="auto"/>
              <w:right w:val="single" w:sz="4" w:space="0" w:color="auto"/>
            </w:tcBorders>
            <w:vAlign w:val="center"/>
          </w:tcPr>
          <w:p w14:paraId="0EB79476" w14:textId="2060B13F" w:rsidR="00EA3D01" w:rsidRPr="00EA3D01" w:rsidRDefault="0072042E" w:rsidP="00EA3D01">
            <w:pPr>
              <w:spacing w:line="0" w:lineRule="atLeast"/>
              <w:rPr>
                <w:rFonts w:ascii="华文楷体" w:eastAsia="华文楷体" w:hAnsi="华文楷体"/>
                <w:color w:val="000000"/>
                <w:sz w:val="21"/>
                <w:szCs w:val="21"/>
              </w:rPr>
            </w:pPr>
            <w:r w:rsidRPr="0072042E">
              <w:rPr>
                <w:rFonts w:ascii="华文楷体" w:eastAsia="华文楷体" w:hAnsi="华文楷体" w:hint="eastAsia"/>
                <w:sz w:val="21"/>
                <w:szCs w:val="21"/>
              </w:rPr>
              <w:t>黄金挂钩结构化</w:t>
            </w:r>
            <w:r>
              <w:rPr>
                <w:rFonts w:ascii="华文楷体" w:eastAsia="华文楷体" w:hAnsi="华文楷体" w:hint="eastAsia"/>
                <w:sz w:val="21"/>
                <w:szCs w:val="21"/>
              </w:rPr>
              <w:t>资管计划</w:t>
            </w:r>
            <w:r w:rsidRPr="0072042E">
              <w:rPr>
                <w:rFonts w:ascii="华文楷体" w:eastAsia="华文楷体" w:hAnsi="华文楷体" w:hint="eastAsia"/>
                <w:sz w:val="21"/>
                <w:szCs w:val="21"/>
              </w:rPr>
              <w:t>（</w:t>
            </w:r>
            <w:r w:rsidR="008E36DB">
              <w:rPr>
                <w:rFonts w:ascii="华文楷体" w:eastAsia="华文楷体" w:hAnsi="华文楷体" w:hint="eastAsia"/>
                <w:sz w:val="21"/>
                <w:szCs w:val="21"/>
              </w:rPr>
              <w:t>1</w:t>
            </w:r>
            <w:r w:rsidRPr="0072042E">
              <w:rPr>
                <w:rFonts w:ascii="华文楷体" w:eastAsia="华文楷体" w:hAnsi="华文楷体" w:hint="eastAsia"/>
                <w:sz w:val="21"/>
                <w:szCs w:val="21"/>
              </w:rPr>
              <w:t>M看涨）</w:t>
            </w:r>
          </w:p>
        </w:tc>
      </w:tr>
      <w:tr w:rsidR="00EA3D01" w:rsidRPr="00EA3D01" w14:paraId="534D6E95" w14:textId="77777777" w:rsidTr="00FA2E47">
        <w:trPr>
          <w:trHeight w:val="148"/>
        </w:trPr>
        <w:tc>
          <w:tcPr>
            <w:tcW w:w="1413" w:type="dxa"/>
            <w:vMerge w:val="restart"/>
            <w:tcBorders>
              <w:top w:val="single" w:sz="4" w:space="0" w:color="auto"/>
              <w:left w:val="single" w:sz="4" w:space="0" w:color="auto"/>
              <w:right w:val="single" w:sz="4" w:space="0" w:color="auto"/>
            </w:tcBorders>
            <w:vAlign w:val="center"/>
          </w:tcPr>
          <w:p w14:paraId="79E8D1B5" w14:textId="77777777" w:rsidR="00EA3D01" w:rsidRPr="00EA3D01" w:rsidRDefault="00EA3D01" w:rsidP="00EA3D01">
            <w:pPr>
              <w:spacing w:line="0" w:lineRule="atLeast"/>
              <w:jc w:val="center"/>
              <w:rPr>
                <w:rFonts w:ascii="华文楷体" w:eastAsia="华文楷体" w:hAnsi="华文楷体"/>
                <w:color w:val="000000"/>
                <w:sz w:val="21"/>
                <w:szCs w:val="21"/>
              </w:rPr>
            </w:pPr>
            <w:r w:rsidRPr="00EA3D01">
              <w:rPr>
                <w:rFonts w:ascii="华文楷体" w:eastAsia="华文楷体" w:hAnsi="华文楷体" w:hint="eastAsia"/>
                <w:color w:val="000000"/>
                <w:sz w:val="21"/>
                <w:szCs w:val="21"/>
              </w:rPr>
              <w:t>交易主体</w:t>
            </w:r>
          </w:p>
        </w:tc>
        <w:tc>
          <w:tcPr>
            <w:tcW w:w="1600" w:type="dxa"/>
            <w:tcBorders>
              <w:top w:val="single" w:sz="4" w:space="0" w:color="auto"/>
              <w:left w:val="single" w:sz="4" w:space="0" w:color="auto"/>
              <w:bottom w:val="single" w:sz="4" w:space="0" w:color="auto"/>
              <w:right w:val="single" w:sz="4" w:space="0" w:color="auto"/>
            </w:tcBorders>
            <w:vAlign w:val="center"/>
          </w:tcPr>
          <w:p w14:paraId="73C201B7" w14:textId="77777777" w:rsidR="00EA3D01" w:rsidRPr="00EA3D01" w:rsidRDefault="00EA3D01" w:rsidP="00EA3D01">
            <w:pPr>
              <w:spacing w:line="0" w:lineRule="atLeast"/>
              <w:jc w:val="center"/>
              <w:rPr>
                <w:rFonts w:ascii="华文楷体" w:eastAsia="华文楷体" w:hAnsi="华文楷体"/>
                <w:color w:val="000000"/>
                <w:sz w:val="21"/>
                <w:szCs w:val="21"/>
              </w:rPr>
            </w:pPr>
            <w:r w:rsidRPr="00EA3D01">
              <w:rPr>
                <w:rFonts w:ascii="华文楷体" w:eastAsia="华文楷体" w:hAnsi="华文楷体" w:hint="eastAsia"/>
                <w:color w:val="000000"/>
                <w:sz w:val="21"/>
                <w:szCs w:val="21"/>
              </w:rPr>
              <w:t>管理人</w:t>
            </w:r>
          </w:p>
        </w:tc>
        <w:tc>
          <w:tcPr>
            <w:tcW w:w="6480" w:type="dxa"/>
            <w:tcBorders>
              <w:top w:val="single" w:sz="4" w:space="0" w:color="auto"/>
              <w:left w:val="single" w:sz="4" w:space="0" w:color="auto"/>
              <w:bottom w:val="single" w:sz="4" w:space="0" w:color="auto"/>
              <w:right w:val="single" w:sz="4" w:space="0" w:color="auto"/>
            </w:tcBorders>
            <w:vAlign w:val="center"/>
          </w:tcPr>
          <w:p w14:paraId="74C8B826" w14:textId="4E42187D" w:rsidR="00EA3D01" w:rsidRPr="00EA3D01" w:rsidRDefault="00EA3D01" w:rsidP="00EA3D01">
            <w:pPr>
              <w:spacing w:line="0" w:lineRule="atLeast"/>
              <w:jc w:val="center"/>
              <w:rPr>
                <w:rFonts w:ascii="华文楷体" w:eastAsia="华文楷体" w:hAnsi="华文楷体"/>
                <w:color w:val="000000"/>
                <w:sz w:val="21"/>
                <w:szCs w:val="21"/>
              </w:rPr>
            </w:pPr>
            <w:bookmarkStart w:id="1" w:name="_GoBack"/>
            <w:bookmarkEnd w:id="1"/>
          </w:p>
        </w:tc>
      </w:tr>
      <w:tr w:rsidR="00EA3D01" w:rsidRPr="00EA3D01" w14:paraId="4FC12F7B" w14:textId="77777777" w:rsidTr="00FA2E47">
        <w:trPr>
          <w:trHeight w:val="148"/>
        </w:trPr>
        <w:tc>
          <w:tcPr>
            <w:tcW w:w="1413" w:type="dxa"/>
            <w:vMerge/>
            <w:tcBorders>
              <w:left w:val="single" w:sz="4" w:space="0" w:color="auto"/>
              <w:right w:val="single" w:sz="4" w:space="0" w:color="auto"/>
            </w:tcBorders>
            <w:vAlign w:val="center"/>
          </w:tcPr>
          <w:p w14:paraId="5C982FCE" w14:textId="77777777" w:rsidR="00EA3D01" w:rsidRPr="00EA3D01" w:rsidRDefault="00EA3D01" w:rsidP="00EA3D01">
            <w:pPr>
              <w:spacing w:line="0" w:lineRule="atLeast"/>
              <w:jc w:val="center"/>
              <w:rPr>
                <w:rFonts w:ascii="华文楷体" w:eastAsia="华文楷体" w:hAnsi="华文楷体"/>
                <w:color w:val="000000"/>
                <w:sz w:val="21"/>
                <w:szCs w:val="21"/>
              </w:rPr>
            </w:pPr>
          </w:p>
        </w:tc>
        <w:tc>
          <w:tcPr>
            <w:tcW w:w="1600" w:type="dxa"/>
            <w:tcBorders>
              <w:top w:val="single" w:sz="4" w:space="0" w:color="auto"/>
              <w:left w:val="single" w:sz="4" w:space="0" w:color="auto"/>
              <w:bottom w:val="single" w:sz="4" w:space="0" w:color="auto"/>
              <w:right w:val="single" w:sz="4" w:space="0" w:color="auto"/>
            </w:tcBorders>
            <w:vAlign w:val="center"/>
          </w:tcPr>
          <w:p w14:paraId="556EDE55" w14:textId="77777777" w:rsidR="00EA3D01" w:rsidRPr="00EA3D01" w:rsidRDefault="00EA3D01" w:rsidP="00EA3D01">
            <w:pPr>
              <w:spacing w:line="0" w:lineRule="atLeast"/>
              <w:jc w:val="center"/>
              <w:rPr>
                <w:rFonts w:ascii="华文楷体" w:eastAsia="华文楷体" w:hAnsi="华文楷体"/>
                <w:color w:val="000000"/>
                <w:sz w:val="21"/>
                <w:szCs w:val="21"/>
              </w:rPr>
            </w:pPr>
            <w:r w:rsidRPr="00EA3D01">
              <w:rPr>
                <w:rFonts w:ascii="华文楷体" w:eastAsia="华文楷体" w:hAnsi="华文楷体" w:hint="eastAsia"/>
                <w:color w:val="000000"/>
                <w:sz w:val="21"/>
                <w:szCs w:val="21"/>
              </w:rPr>
              <w:t>托管人</w:t>
            </w:r>
          </w:p>
        </w:tc>
        <w:tc>
          <w:tcPr>
            <w:tcW w:w="6480" w:type="dxa"/>
            <w:tcBorders>
              <w:top w:val="single" w:sz="4" w:space="0" w:color="auto"/>
              <w:left w:val="single" w:sz="4" w:space="0" w:color="auto"/>
              <w:bottom w:val="single" w:sz="4" w:space="0" w:color="auto"/>
              <w:right w:val="single" w:sz="4" w:space="0" w:color="auto"/>
            </w:tcBorders>
            <w:vAlign w:val="center"/>
          </w:tcPr>
          <w:p w14:paraId="19543D52" w14:textId="58B25EB5" w:rsidR="00EA3D01" w:rsidRPr="00EA3D01" w:rsidRDefault="00EA3D01" w:rsidP="00EA3D01">
            <w:pPr>
              <w:spacing w:line="0" w:lineRule="atLeast"/>
              <w:jc w:val="center"/>
              <w:rPr>
                <w:rFonts w:ascii="华文楷体" w:eastAsia="华文楷体" w:hAnsi="华文楷体"/>
                <w:color w:val="000000"/>
                <w:sz w:val="21"/>
                <w:szCs w:val="21"/>
              </w:rPr>
            </w:pPr>
          </w:p>
        </w:tc>
      </w:tr>
      <w:tr w:rsidR="00EA3D01" w:rsidRPr="00EA3D01" w14:paraId="6D316299" w14:textId="77777777" w:rsidTr="00FA2E47">
        <w:trPr>
          <w:trHeight w:val="148"/>
        </w:trPr>
        <w:tc>
          <w:tcPr>
            <w:tcW w:w="1413" w:type="dxa"/>
            <w:vMerge/>
            <w:tcBorders>
              <w:left w:val="single" w:sz="4" w:space="0" w:color="auto"/>
              <w:right w:val="single" w:sz="4" w:space="0" w:color="auto"/>
            </w:tcBorders>
            <w:vAlign w:val="center"/>
          </w:tcPr>
          <w:p w14:paraId="41476078" w14:textId="77777777" w:rsidR="00EA3D01" w:rsidRPr="00EA3D01" w:rsidRDefault="00EA3D01" w:rsidP="00EA3D01">
            <w:pPr>
              <w:spacing w:line="0" w:lineRule="atLeast"/>
              <w:jc w:val="center"/>
              <w:rPr>
                <w:rFonts w:ascii="华文楷体" w:eastAsia="华文楷体" w:hAnsi="华文楷体"/>
                <w:color w:val="000000"/>
                <w:sz w:val="21"/>
                <w:szCs w:val="21"/>
              </w:rPr>
            </w:pPr>
          </w:p>
        </w:tc>
        <w:tc>
          <w:tcPr>
            <w:tcW w:w="1600" w:type="dxa"/>
            <w:tcBorders>
              <w:top w:val="single" w:sz="4" w:space="0" w:color="auto"/>
              <w:left w:val="single" w:sz="4" w:space="0" w:color="auto"/>
              <w:bottom w:val="single" w:sz="4" w:space="0" w:color="auto"/>
              <w:right w:val="single" w:sz="4" w:space="0" w:color="auto"/>
            </w:tcBorders>
            <w:vAlign w:val="center"/>
          </w:tcPr>
          <w:p w14:paraId="6A4CACD0" w14:textId="77777777" w:rsidR="00EA3D01" w:rsidRPr="00EA3D01" w:rsidRDefault="00EA3D01" w:rsidP="00EA3D01">
            <w:pPr>
              <w:spacing w:line="0" w:lineRule="atLeast"/>
              <w:jc w:val="center"/>
              <w:rPr>
                <w:rFonts w:ascii="华文楷体" w:eastAsia="华文楷体" w:hAnsi="华文楷体"/>
                <w:color w:val="000000"/>
                <w:sz w:val="21"/>
                <w:szCs w:val="21"/>
              </w:rPr>
            </w:pPr>
            <w:r w:rsidRPr="00EA3D01">
              <w:rPr>
                <w:rFonts w:ascii="华文楷体" w:eastAsia="华文楷体" w:hAnsi="华文楷体" w:hint="eastAsia"/>
                <w:color w:val="000000"/>
                <w:sz w:val="21"/>
                <w:szCs w:val="21"/>
              </w:rPr>
              <w:t>销售机构</w:t>
            </w:r>
          </w:p>
        </w:tc>
        <w:tc>
          <w:tcPr>
            <w:tcW w:w="6480" w:type="dxa"/>
            <w:tcBorders>
              <w:top w:val="single" w:sz="4" w:space="0" w:color="auto"/>
              <w:left w:val="single" w:sz="4" w:space="0" w:color="auto"/>
              <w:bottom w:val="single" w:sz="4" w:space="0" w:color="auto"/>
              <w:right w:val="single" w:sz="4" w:space="0" w:color="auto"/>
            </w:tcBorders>
            <w:vAlign w:val="center"/>
          </w:tcPr>
          <w:p w14:paraId="1A8EA3DF" w14:textId="4DE823CA" w:rsidR="00EA3D01" w:rsidRPr="00EA3D01" w:rsidRDefault="00EA3D01" w:rsidP="00EA3D01">
            <w:pPr>
              <w:spacing w:line="0" w:lineRule="atLeast"/>
              <w:jc w:val="center"/>
              <w:rPr>
                <w:rFonts w:ascii="华文楷体" w:eastAsia="华文楷体" w:hAnsi="华文楷体"/>
                <w:color w:val="000000"/>
                <w:sz w:val="21"/>
                <w:szCs w:val="21"/>
              </w:rPr>
            </w:pPr>
          </w:p>
        </w:tc>
      </w:tr>
      <w:tr w:rsidR="00EA3D01" w:rsidRPr="00EA3D01" w14:paraId="3B5A0837" w14:textId="77777777" w:rsidTr="00FA2E47">
        <w:trPr>
          <w:trHeight w:val="263"/>
        </w:trPr>
        <w:tc>
          <w:tcPr>
            <w:tcW w:w="1413" w:type="dxa"/>
            <w:vMerge/>
            <w:tcBorders>
              <w:left w:val="single" w:sz="4" w:space="0" w:color="auto"/>
              <w:bottom w:val="single" w:sz="4" w:space="0" w:color="auto"/>
              <w:right w:val="single" w:sz="4" w:space="0" w:color="auto"/>
            </w:tcBorders>
            <w:vAlign w:val="center"/>
          </w:tcPr>
          <w:p w14:paraId="1AA07774" w14:textId="77777777" w:rsidR="00EA3D01" w:rsidRPr="00EA3D01" w:rsidRDefault="00EA3D01" w:rsidP="00EA3D01">
            <w:pPr>
              <w:spacing w:line="0" w:lineRule="atLeast"/>
              <w:jc w:val="center"/>
              <w:rPr>
                <w:rFonts w:ascii="华文楷体" w:eastAsia="华文楷体" w:hAnsi="华文楷体"/>
                <w:color w:val="000000"/>
                <w:sz w:val="21"/>
                <w:szCs w:val="21"/>
              </w:rPr>
            </w:pPr>
          </w:p>
        </w:tc>
        <w:tc>
          <w:tcPr>
            <w:tcW w:w="1600" w:type="dxa"/>
            <w:tcBorders>
              <w:top w:val="single" w:sz="4" w:space="0" w:color="auto"/>
              <w:left w:val="single" w:sz="4" w:space="0" w:color="auto"/>
              <w:bottom w:val="single" w:sz="4" w:space="0" w:color="auto"/>
              <w:right w:val="single" w:sz="4" w:space="0" w:color="auto"/>
            </w:tcBorders>
            <w:vAlign w:val="center"/>
          </w:tcPr>
          <w:p w14:paraId="191357F6" w14:textId="77777777" w:rsidR="00EA3D01" w:rsidRPr="00EA3D01" w:rsidRDefault="00EA3D01" w:rsidP="00EA3D01">
            <w:pPr>
              <w:spacing w:line="0" w:lineRule="atLeast"/>
              <w:jc w:val="center"/>
              <w:rPr>
                <w:rFonts w:ascii="华文楷体" w:eastAsia="华文楷体" w:hAnsi="华文楷体"/>
                <w:color w:val="000000"/>
                <w:sz w:val="21"/>
                <w:szCs w:val="21"/>
              </w:rPr>
            </w:pPr>
            <w:r w:rsidRPr="00EA3D01">
              <w:rPr>
                <w:rFonts w:ascii="华文楷体" w:eastAsia="华文楷体" w:hAnsi="华文楷体" w:hint="eastAsia"/>
                <w:color w:val="000000"/>
                <w:sz w:val="21"/>
                <w:szCs w:val="21"/>
              </w:rPr>
              <w:t>TA估值外包</w:t>
            </w:r>
          </w:p>
        </w:tc>
        <w:tc>
          <w:tcPr>
            <w:tcW w:w="6480" w:type="dxa"/>
            <w:tcBorders>
              <w:top w:val="single" w:sz="4" w:space="0" w:color="auto"/>
              <w:left w:val="single" w:sz="4" w:space="0" w:color="auto"/>
              <w:bottom w:val="single" w:sz="4" w:space="0" w:color="auto"/>
              <w:right w:val="single" w:sz="4" w:space="0" w:color="auto"/>
            </w:tcBorders>
            <w:vAlign w:val="center"/>
          </w:tcPr>
          <w:p w14:paraId="16224266" w14:textId="5DB1D4A6" w:rsidR="00EA3D01" w:rsidRPr="00EA3D01" w:rsidRDefault="00EA3D01" w:rsidP="00EA3D01">
            <w:pPr>
              <w:spacing w:line="0" w:lineRule="atLeast"/>
              <w:jc w:val="center"/>
              <w:rPr>
                <w:rFonts w:ascii="华文楷体" w:eastAsia="华文楷体" w:hAnsi="华文楷体"/>
                <w:color w:val="000000"/>
                <w:sz w:val="21"/>
                <w:szCs w:val="21"/>
              </w:rPr>
            </w:pPr>
          </w:p>
        </w:tc>
      </w:tr>
      <w:tr w:rsidR="00EA3D01" w:rsidRPr="00EA3D01" w14:paraId="63FB3C1B" w14:textId="77777777" w:rsidTr="00FA2E47">
        <w:trPr>
          <w:trHeight w:val="599"/>
        </w:trPr>
        <w:tc>
          <w:tcPr>
            <w:tcW w:w="1413" w:type="dxa"/>
            <w:tcBorders>
              <w:top w:val="single" w:sz="4" w:space="0" w:color="auto"/>
              <w:left w:val="single" w:sz="4" w:space="0" w:color="auto"/>
              <w:bottom w:val="single" w:sz="4" w:space="0" w:color="auto"/>
              <w:right w:val="single" w:sz="4" w:space="0" w:color="auto"/>
            </w:tcBorders>
            <w:vAlign w:val="center"/>
          </w:tcPr>
          <w:p w14:paraId="07F9F290" w14:textId="248203CE" w:rsidR="00EA3D01" w:rsidRPr="00EA3D01" w:rsidRDefault="00EA3D01" w:rsidP="00EA3D01">
            <w:pPr>
              <w:spacing w:line="0" w:lineRule="atLeast"/>
              <w:jc w:val="center"/>
              <w:rPr>
                <w:rFonts w:ascii="华文楷体" w:eastAsia="华文楷体" w:hAnsi="华文楷体"/>
                <w:color w:val="000000"/>
                <w:sz w:val="21"/>
                <w:szCs w:val="21"/>
              </w:rPr>
            </w:pPr>
            <w:r w:rsidRPr="00EA3D01">
              <w:rPr>
                <w:rFonts w:ascii="华文楷体" w:eastAsia="华文楷体" w:hAnsi="华文楷体" w:hint="eastAsia"/>
                <w:color w:val="000000"/>
                <w:sz w:val="21"/>
                <w:szCs w:val="21"/>
              </w:rPr>
              <w:t>投资范围</w:t>
            </w:r>
          </w:p>
        </w:tc>
        <w:tc>
          <w:tcPr>
            <w:tcW w:w="8080" w:type="dxa"/>
            <w:gridSpan w:val="2"/>
            <w:tcBorders>
              <w:top w:val="single" w:sz="4" w:space="0" w:color="auto"/>
              <w:left w:val="single" w:sz="4" w:space="0" w:color="auto"/>
              <w:bottom w:val="single" w:sz="4" w:space="0" w:color="auto"/>
              <w:right w:val="single" w:sz="4" w:space="0" w:color="auto"/>
            </w:tcBorders>
            <w:vAlign w:val="center"/>
          </w:tcPr>
          <w:p w14:paraId="7F726947" w14:textId="77777777" w:rsidR="00F200B1" w:rsidRPr="00F200B1" w:rsidRDefault="00F200B1" w:rsidP="00F200B1">
            <w:pPr>
              <w:adjustRightInd w:val="0"/>
              <w:snapToGrid w:val="0"/>
              <w:rPr>
                <w:rFonts w:ascii="华文楷体" w:eastAsia="华文楷体" w:hAnsi="华文楷体" w:cs="宋体"/>
                <w:color w:val="000000"/>
                <w:kern w:val="0"/>
                <w:sz w:val="21"/>
                <w:szCs w:val="21"/>
              </w:rPr>
            </w:pPr>
            <w:r w:rsidRPr="00F200B1">
              <w:rPr>
                <w:rFonts w:ascii="华文楷体" w:eastAsia="华文楷体" w:hAnsi="华文楷体" w:cs="宋体"/>
                <w:color w:val="000000"/>
                <w:kern w:val="0"/>
                <w:sz w:val="21"/>
                <w:szCs w:val="21"/>
              </w:rPr>
              <w:t>1.</w:t>
            </w:r>
            <w:r w:rsidRPr="00F200B1">
              <w:rPr>
                <w:rFonts w:ascii="华文楷体" w:eastAsia="华文楷体" w:hAnsi="华文楷体" w:cs="宋体" w:hint="eastAsia"/>
                <w:color w:val="000000"/>
                <w:kern w:val="0"/>
                <w:sz w:val="21"/>
                <w:szCs w:val="21"/>
              </w:rPr>
              <w:t>固定收益类：国债、金融债、央票、高等级信用债、债券基金、资产支持证券和其他固定收益类资产；</w:t>
            </w:r>
          </w:p>
          <w:p w14:paraId="633DC46C" w14:textId="77777777" w:rsidR="00F200B1" w:rsidRPr="00F200B1" w:rsidRDefault="00F200B1" w:rsidP="00F200B1">
            <w:pPr>
              <w:adjustRightInd w:val="0"/>
              <w:snapToGrid w:val="0"/>
              <w:rPr>
                <w:rFonts w:ascii="华文楷体" w:eastAsia="华文楷体" w:hAnsi="华文楷体" w:cs="宋体"/>
                <w:color w:val="000000"/>
                <w:kern w:val="0"/>
                <w:sz w:val="21"/>
                <w:szCs w:val="21"/>
              </w:rPr>
            </w:pPr>
            <w:r w:rsidRPr="00F200B1">
              <w:rPr>
                <w:rFonts w:ascii="华文楷体" w:eastAsia="华文楷体" w:hAnsi="华文楷体" w:cs="宋体"/>
                <w:color w:val="000000"/>
                <w:kern w:val="0"/>
                <w:sz w:val="21"/>
                <w:szCs w:val="21"/>
              </w:rPr>
              <w:t>2.</w:t>
            </w:r>
            <w:r w:rsidRPr="00F200B1">
              <w:rPr>
                <w:rFonts w:ascii="华文楷体" w:eastAsia="华文楷体" w:hAnsi="华文楷体" w:cs="宋体" w:hint="eastAsia"/>
                <w:color w:val="000000"/>
                <w:kern w:val="0"/>
                <w:sz w:val="21"/>
                <w:szCs w:val="21"/>
              </w:rPr>
              <w:t>货币市场类：同业存款、同业借款、债券回购、货币基金和其他货币市场类资产；</w:t>
            </w:r>
          </w:p>
          <w:p w14:paraId="1ADB23DB" w14:textId="6F80F524" w:rsidR="00EA3D01" w:rsidRPr="00EA3D01" w:rsidRDefault="00F200B1" w:rsidP="00F200B1">
            <w:pPr>
              <w:adjustRightInd w:val="0"/>
              <w:snapToGrid w:val="0"/>
              <w:rPr>
                <w:rFonts w:ascii="华文楷体" w:eastAsia="华文楷体" w:hAnsi="华文楷体" w:cs="宋体"/>
                <w:color w:val="000000"/>
                <w:kern w:val="0"/>
                <w:sz w:val="21"/>
                <w:szCs w:val="21"/>
              </w:rPr>
            </w:pPr>
            <w:r w:rsidRPr="00F200B1">
              <w:rPr>
                <w:rFonts w:ascii="华文楷体" w:eastAsia="华文楷体" w:hAnsi="华文楷体" w:cs="宋体"/>
                <w:color w:val="000000"/>
                <w:kern w:val="0"/>
                <w:sz w:val="21"/>
                <w:szCs w:val="21"/>
              </w:rPr>
              <w:t>3.</w:t>
            </w:r>
            <w:r w:rsidRPr="00F200B1">
              <w:rPr>
                <w:rFonts w:ascii="华文楷体" w:eastAsia="华文楷体" w:hAnsi="华文楷体" w:cs="宋体" w:hint="eastAsia"/>
                <w:color w:val="000000"/>
                <w:kern w:val="0"/>
                <w:sz w:val="21"/>
                <w:szCs w:val="21"/>
              </w:rPr>
              <w:t>金融衍生工具</w:t>
            </w:r>
            <w:r w:rsidR="001116B3">
              <w:rPr>
                <w:rFonts w:ascii="华文楷体" w:eastAsia="华文楷体" w:hAnsi="华文楷体" w:cs="宋体" w:hint="eastAsia"/>
                <w:color w:val="000000"/>
                <w:kern w:val="0"/>
                <w:sz w:val="21"/>
                <w:szCs w:val="21"/>
              </w:rPr>
              <w:t>：</w:t>
            </w:r>
            <w:r w:rsidR="001116B3" w:rsidRPr="001116B3">
              <w:rPr>
                <w:rFonts w:ascii="华文楷体" w:eastAsia="华文楷体" w:hAnsi="华文楷体" w:cs="宋体" w:hint="eastAsia"/>
                <w:color w:val="000000"/>
                <w:kern w:val="0"/>
                <w:sz w:val="21"/>
                <w:szCs w:val="21"/>
              </w:rPr>
              <w:t>交易所挂牌交易的商品期货合约及法律法规或中国证监会允许基金投资的其它金融衍生工具。</w:t>
            </w:r>
          </w:p>
        </w:tc>
      </w:tr>
      <w:tr w:rsidR="00EA3D01" w:rsidRPr="00EA3D01" w14:paraId="583103E2" w14:textId="77777777" w:rsidTr="00FA2E47">
        <w:trPr>
          <w:trHeight w:val="584"/>
        </w:trPr>
        <w:tc>
          <w:tcPr>
            <w:tcW w:w="1413" w:type="dxa"/>
            <w:tcBorders>
              <w:top w:val="single" w:sz="4" w:space="0" w:color="auto"/>
              <w:left w:val="single" w:sz="4" w:space="0" w:color="auto"/>
              <w:bottom w:val="single" w:sz="4" w:space="0" w:color="auto"/>
              <w:right w:val="single" w:sz="4" w:space="0" w:color="auto"/>
            </w:tcBorders>
            <w:vAlign w:val="center"/>
          </w:tcPr>
          <w:p w14:paraId="4C8D683E" w14:textId="77777777" w:rsidR="00EA3D01" w:rsidRPr="00EA3D01" w:rsidRDefault="00EA3D01" w:rsidP="00EA3D01">
            <w:pPr>
              <w:spacing w:line="0" w:lineRule="atLeast"/>
              <w:jc w:val="center"/>
              <w:rPr>
                <w:rFonts w:ascii="华文楷体" w:eastAsia="华文楷体" w:hAnsi="华文楷体"/>
                <w:color w:val="000000"/>
                <w:sz w:val="21"/>
                <w:szCs w:val="21"/>
              </w:rPr>
            </w:pPr>
            <w:r w:rsidRPr="00EA3D01">
              <w:rPr>
                <w:rFonts w:ascii="华文楷体" w:eastAsia="华文楷体" w:hAnsi="华文楷体" w:hint="eastAsia"/>
                <w:color w:val="000000"/>
                <w:sz w:val="21"/>
                <w:szCs w:val="21"/>
              </w:rPr>
              <w:t>投资策略</w:t>
            </w:r>
          </w:p>
          <w:p w14:paraId="67E4F547" w14:textId="77777777" w:rsidR="00EA3D01" w:rsidRPr="00EA3D01" w:rsidRDefault="00EA3D01" w:rsidP="00EA3D01">
            <w:pPr>
              <w:spacing w:line="0" w:lineRule="atLeast"/>
              <w:jc w:val="center"/>
              <w:rPr>
                <w:rFonts w:ascii="华文楷体" w:eastAsia="华文楷体" w:hAnsi="华文楷体"/>
                <w:color w:val="000000"/>
                <w:sz w:val="21"/>
                <w:szCs w:val="21"/>
              </w:rPr>
            </w:pPr>
            <w:r w:rsidRPr="00EA3D01">
              <w:rPr>
                <w:rFonts w:ascii="华文楷体" w:eastAsia="华文楷体" w:hAnsi="华文楷体" w:hint="eastAsia"/>
                <w:color w:val="000000"/>
                <w:sz w:val="21"/>
                <w:szCs w:val="21"/>
              </w:rPr>
              <w:t>说明</w:t>
            </w:r>
          </w:p>
        </w:tc>
        <w:tc>
          <w:tcPr>
            <w:tcW w:w="8080" w:type="dxa"/>
            <w:gridSpan w:val="2"/>
            <w:tcBorders>
              <w:top w:val="single" w:sz="4" w:space="0" w:color="auto"/>
              <w:left w:val="single" w:sz="4" w:space="0" w:color="auto"/>
              <w:bottom w:val="single" w:sz="4" w:space="0" w:color="auto"/>
              <w:right w:val="single" w:sz="4" w:space="0" w:color="auto"/>
            </w:tcBorders>
          </w:tcPr>
          <w:p w14:paraId="55A28E11" w14:textId="71964717" w:rsidR="00EA3D01" w:rsidRPr="00EA3D01" w:rsidRDefault="001976B6" w:rsidP="00A405C4">
            <w:pPr>
              <w:adjustRightInd w:val="0"/>
              <w:snapToGrid w:val="0"/>
              <w:rPr>
                <w:rFonts w:ascii="华文楷体" w:eastAsia="华文楷体" w:hAnsi="华文楷体" w:cs="宋体"/>
                <w:color w:val="000000"/>
                <w:kern w:val="0"/>
                <w:sz w:val="21"/>
                <w:szCs w:val="21"/>
              </w:rPr>
            </w:pPr>
            <w:r>
              <w:rPr>
                <w:rFonts w:ascii="华文楷体" w:eastAsia="华文楷体" w:hAnsi="华文楷体" w:cs="宋体" w:hint="eastAsia"/>
                <w:color w:val="000000"/>
                <w:kern w:val="0"/>
                <w:sz w:val="21"/>
                <w:szCs w:val="21"/>
              </w:rPr>
              <w:t>该</w:t>
            </w:r>
            <w:r w:rsidR="00A405C4" w:rsidRPr="00A405C4">
              <w:rPr>
                <w:rFonts w:ascii="华文楷体" w:eastAsia="华文楷体" w:hAnsi="华文楷体" w:cs="宋体" w:hint="eastAsia"/>
                <w:color w:val="000000"/>
                <w:kern w:val="0"/>
                <w:sz w:val="21"/>
                <w:szCs w:val="21"/>
              </w:rPr>
              <w:t>将固定收益证券与衍生产品的特征相结合，采用价值底线+</w:t>
            </w:r>
            <w:r w:rsidR="00E7069F">
              <w:rPr>
                <w:rFonts w:ascii="华文楷体" w:eastAsia="华文楷体" w:hAnsi="华文楷体" w:cs="宋体" w:hint="eastAsia"/>
                <w:color w:val="000000"/>
                <w:kern w:val="0"/>
                <w:sz w:val="21"/>
                <w:szCs w:val="21"/>
              </w:rPr>
              <w:t>欧式看涨</w:t>
            </w:r>
            <w:r w:rsidR="00A405C4" w:rsidRPr="00A405C4">
              <w:rPr>
                <w:rFonts w:ascii="华文楷体" w:eastAsia="华文楷体" w:hAnsi="华文楷体" w:cs="宋体" w:hint="eastAsia"/>
                <w:color w:val="000000"/>
                <w:kern w:val="0"/>
                <w:sz w:val="21"/>
                <w:szCs w:val="21"/>
              </w:rPr>
              <w:t>期权的模式，执行</w:t>
            </w:r>
            <w:r w:rsidR="00A405C4">
              <w:rPr>
                <w:rFonts w:ascii="华文楷体" w:eastAsia="华文楷体" w:hAnsi="华文楷体" w:cs="宋体" w:hint="eastAsia"/>
                <w:color w:val="000000"/>
                <w:kern w:val="0"/>
                <w:sz w:val="21"/>
                <w:szCs w:val="21"/>
              </w:rPr>
              <w:t>动态复制期权的</w:t>
            </w:r>
            <w:r w:rsidR="00A405C4" w:rsidRPr="00A405C4">
              <w:rPr>
                <w:rFonts w:ascii="华文楷体" w:eastAsia="华文楷体" w:hAnsi="华文楷体" w:cs="宋体" w:hint="eastAsia"/>
                <w:color w:val="000000"/>
                <w:kern w:val="0"/>
                <w:sz w:val="21"/>
                <w:szCs w:val="21"/>
              </w:rPr>
              <w:t>投资策略，即一定比例资金投资于无风险资产实施保本，剩余资金</w:t>
            </w:r>
            <w:r w:rsidR="00A405C4">
              <w:rPr>
                <w:rFonts w:ascii="华文楷体" w:eastAsia="华文楷体" w:hAnsi="华文楷体" w:cs="宋体" w:hint="eastAsia"/>
                <w:color w:val="000000"/>
                <w:kern w:val="0"/>
                <w:sz w:val="21"/>
                <w:szCs w:val="21"/>
              </w:rPr>
              <w:t>使用黄金期货合约采用D</w:t>
            </w:r>
            <w:r w:rsidR="00A405C4">
              <w:rPr>
                <w:rFonts w:ascii="华文楷体" w:eastAsia="华文楷体" w:hAnsi="华文楷体" w:cs="宋体"/>
                <w:color w:val="000000"/>
                <w:kern w:val="0"/>
                <w:sz w:val="21"/>
                <w:szCs w:val="21"/>
              </w:rPr>
              <w:t>elta</w:t>
            </w:r>
            <w:r w:rsidR="00A405C4">
              <w:rPr>
                <w:rFonts w:ascii="华文楷体" w:eastAsia="华文楷体" w:hAnsi="华文楷体" w:cs="宋体" w:hint="eastAsia"/>
                <w:color w:val="000000"/>
                <w:kern w:val="0"/>
                <w:sz w:val="21"/>
                <w:szCs w:val="21"/>
              </w:rPr>
              <w:t>动态复制方法构造出向上敲出期权以获得期权</w:t>
            </w:r>
            <w:r w:rsidR="00A405C4" w:rsidRPr="00A405C4">
              <w:rPr>
                <w:rFonts w:ascii="华文楷体" w:eastAsia="华文楷体" w:hAnsi="华文楷体" w:cs="宋体" w:hint="eastAsia"/>
                <w:color w:val="000000"/>
                <w:kern w:val="0"/>
                <w:sz w:val="21"/>
                <w:szCs w:val="21"/>
              </w:rPr>
              <w:t>产生</w:t>
            </w:r>
            <w:r w:rsidR="00A405C4">
              <w:rPr>
                <w:rFonts w:ascii="华文楷体" w:eastAsia="华文楷体" w:hAnsi="华文楷体" w:cs="宋体" w:hint="eastAsia"/>
                <w:color w:val="000000"/>
                <w:kern w:val="0"/>
                <w:sz w:val="21"/>
                <w:szCs w:val="21"/>
              </w:rPr>
              <w:t>的</w:t>
            </w:r>
            <w:r w:rsidR="00A405C4" w:rsidRPr="00A405C4">
              <w:rPr>
                <w:rFonts w:ascii="华文楷体" w:eastAsia="华文楷体" w:hAnsi="华文楷体" w:cs="宋体" w:hint="eastAsia"/>
                <w:color w:val="000000"/>
                <w:kern w:val="0"/>
                <w:sz w:val="21"/>
                <w:szCs w:val="21"/>
              </w:rPr>
              <w:t>潜在收益</w:t>
            </w:r>
            <w:r w:rsidR="00A405C4">
              <w:rPr>
                <w:rFonts w:ascii="华文楷体" w:eastAsia="华文楷体" w:hAnsi="华文楷体" w:cs="宋体" w:hint="eastAsia"/>
                <w:color w:val="000000"/>
                <w:kern w:val="0"/>
                <w:sz w:val="21"/>
                <w:szCs w:val="21"/>
              </w:rPr>
              <w:t>。</w:t>
            </w:r>
          </w:p>
        </w:tc>
      </w:tr>
      <w:tr w:rsidR="00EA3D01" w:rsidRPr="00EA3D01" w14:paraId="159E2D1F" w14:textId="77777777" w:rsidTr="00FA2E47">
        <w:trPr>
          <w:trHeight w:val="445"/>
        </w:trPr>
        <w:tc>
          <w:tcPr>
            <w:tcW w:w="1413" w:type="dxa"/>
            <w:tcBorders>
              <w:top w:val="single" w:sz="4" w:space="0" w:color="auto"/>
              <w:left w:val="single" w:sz="4" w:space="0" w:color="auto"/>
              <w:bottom w:val="single" w:sz="4" w:space="0" w:color="auto"/>
              <w:right w:val="single" w:sz="4" w:space="0" w:color="auto"/>
            </w:tcBorders>
            <w:vAlign w:val="center"/>
          </w:tcPr>
          <w:p w14:paraId="6B6EC98B" w14:textId="77777777" w:rsidR="00EA3D01" w:rsidRPr="00EA3D01" w:rsidRDefault="00EA3D01" w:rsidP="00EA3D01">
            <w:pPr>
              <w:spacing w:line="0" w:lineRule="atLeast"/>
              <w:jc w:val="center"/>
              <w:rPr>
                <w:rFonts w:ascii="华文楷体" w:eastAsia="华文楷体" w:hAnsi="华文楷体"/>
                <w:color w:val="000000"/>
                <w:sz w:val="21"/>
                <w:szCs w:val="21"/>
              </w:rPr>
            </w:pPr>
            <w:r w:rsidRPr="00EA3D01">
              <w:rPr>
                <w:rFonts w:ascii="华文楷体" w:eastAsia="华文楷体" w:hAnsi="华文楷体" w:hint="eastAsia"/>
                <w:color w:val="000000"/>
                <w:sz w:val="21"/>
                <w:szCs w:val="21"/>
              </w:rPr>
              <w:t>投资目标</w:t>
            </w:r>
          </w:p>
        </w:tc>
        <w:tc>
          <w:tcPr>
            <w:tcW w:w="8080" w:type="dxa"/>
            <w:gridSpan w:val="2"/>
            <w:tcBorders>
              <w:top w:val="single" w:sz="4" w:space="0" w:color="auto"/>
              <w:left w:val="single" w:sz="4" w:space="0" w:color="auto"/>
              <w:bottom w:val="single" w:sz="4" w:space="0" w:color="auto"/>
              <w:right w:val="single" w:sz="4" w:space="0" w:color="auto"/>
            </w:tcBorders>
            <w:vAlign w:val="center"/>
          </w:tcPr>
          <w:p w14:paraId="1436CE89" w14:textId="12DF9A1D" w:rsidR="00EA3D01" w:rsidRPr="00EA3D01" w:rsidRDefault="00A405C4" w:rsidP="00EA3D01">
            <w:pPr>
              <w:adjustRightInd w:val="0"/>
              <w:snapToGrid w:val="0"/>
              <w:rPr>
                <w:rFonts w:ascii="华文楷体" w:eastAsia="华文楷体" w:hAnsi="华文楷体"/>
                <w:sz w:val="21"/>
                <w:szCs w:val="21"/>
              </w:rPr>
            </w:pPr>
            <w:r w:rsidRPr="00A405C4">
              <w:rPr>
                <w:rFonts w:ascii="华文楷体" w:eastAsia="华文楷体" w:hAnsi="华文楷体" w:hint="eastAsia"/>
                <w:sz w:val="21"/>
                <w:szCs w:val="21"/>
              </w:rPr>
              <w:t>使投资者在不断变化的市场环境下，在规避风险的同时获取最大回报</w:t>
            </w:r>
          </w:p>
        </w:tc>
      </w:tr>
      <w:tr w:rsidR="00CA5C66" w:rsidRPr="00EA3D01" w14:paraId="3B5D49DD" w14:textId="77777777" w:rsidTr="00FA2E47">
        <w:trPr>
          <w:trHeight w:val="445"/>
        </w:trPr>
        <w:tc>
          <w:tcPr>
            <w:tcW w:w="1413" w:type="dxa"/>
            <w:tcBorders>
              <w:top w:val="single" w:sz="4" w:space="0" w:color="auto"/>
              <w:left w:val="single" w:sz="4" w:space="0" w:color="auto"/>
              <w:bottom w:val="single" w:sz="4" w:space="0" w:color="auto"/>
              <w:right w:val="single" w:sz="4" w:space="0" w:color="auto"/>
            </w:tcBorders>
            <w:vAlign w:val="center"/>
          </w:tcPr>
          <w:p w14:paraId="0EB6A16B" w14:textId="79ACF2FD" w:rsidR="00CA5C66" w:rsidRPr="00EA3D01" w:rsidRDefault="00F60A49" w:rsidP="00EA3D01">
            <w:pPr>
              <w:spacing w:line="0" w:lineRule="atLeast"/>
              <w:jc w:val="center"/>
              <w:rPr>
                <w:rFonts w:ascii="华文楷体" w:eastAsia="华文楷体" w:hAnsi="华文楷体"/>
                <w:color w:val="000000"/>
                <w:sz w:val="21"/>
                <w:szCs w:val="21"/>
              </w:rPr>
            </w:pPr>
            <w:r>
              <w:rPr>
                <w:rFonts w:ascii="华文楷体" w:eastAsia="华文楷体" w:hAnsi="华文楷体" w:hint="eastAsia"/>
                <w:color w:val="000000"/>
                <w:sz w:val="21"/>
                <w:szCs w:val="21"/>
              </w:rPr>
              <w:t>挂钩</w:t>
            </w:r>
            <w:r w:rsidR="00CA5C66">
              <w:rPr>
                <w:rFonts w:ascii="华文楷体" w:eastAsia="华文楷体" w:hAnsi="华文楷体" w:hint="eastAsia"/>
                <w:color w:val="000000"/>
                <w:sz w:val="21"/>
                <w:szCs w:val="21"/>
              </w:rPr>
              <w:t>标的</w:t>
            </w:r>
          </w:p>
        </w:tc>
        <w:tc>
          <w:tcPr>
            <w:tcW w:w="8080" w:type="dxa"/>
            <w:gridSpan w:val="2"/>
            <w:tcBorders>
              <w:top w:val="single" w:sz="4" w:space="0" w:color="auto"/>
              <w:left w:val="single" w:sz="4" w:space="0" w:color="auto"/>
              <w:bottom w:val="single" w:sz="4" w:space="0" w:color="auto"/>
              <w:right w:val="single" w:sz="4" w:space="0" w:color="auto"/>
            </w:tcBorders>
            <w:vAlign w:val="center"/>
          </w:tcPr>
          <w:p w14:paraId="0F5B4471" w14:textId="19033185" w:rsidR="00CA5C66" w:rsidRPr="00F60A49" w:rsidRDefault="00F60A49" w:rsidP="00F60A49">
            <w:pPr>
              <w:adjustRightInd w:val="0"/>
              <w:snapToGrid w:val="0"/>
              <w:rPr>
                <w:rFonts w:ascii="KaiTi" w:eastAsia="KaiTi" w:hAnsiTheme="minorHAnsi"/>
                <w:sz w:val="23"/>
                <w:szCs w:val="23"/>
              </w:rPr>
            </w:pPr>
            <w:r w:rsidRPr="00F60A49">
              <w:rPr>
                <w:rFonts w:ascii="华文楷体" w:eastAsia="华文楷体" w:hAnsi="华文楷体" w:hint="eastAsia"/>
                <w:sz w:val="21"/>
                <w:szCs w:val="21"/>
              </w:rPr>
              <w:t>上海期货交易所交易的黄金</w:t>
            </w:r>
            <w:r w:rsidR="00FA2E47">
              <w:rPr>
                <w:rFonts w:ascii="华文楷体" w:eastAsia="华文楷体" w:hAnsi="华文楷体" w:hint="eastAsia"/>
                <w:sz w:val="21"/>
                <w:szCs w:val="21"/>
              </w:rPr>
              <w:t>1812</w:t>
            </w:r>
            <w:r w:rsidRPr="00F60A49">
              <w:rPr>
                <w:rFonts w:ascii="华文楷体" w:eastAsia="华文楷体" w:hAnsi="华文楷体" w:hint="eastAsia"/>
                <w:sz w:val="21"/>
                <w:szCs w:val="21"/>
              </w:rPr>
              <w:t>合约。上海期货交易所网页</w:t>
            </w:r>
            <w:r w:rsidRPr="00F60A49">
              <w:rPr>
                <w:rFonts w:ascii="华文楷体" w:eastAsia="华文楷体" w:hAnsi="华文楷体"/>
                <w:sz w:val="21"/>
                <w:szCs w:val="21"/>
              </w:rPr>
              <w:t>(http://www.shfe.com.cn/ )</w:t>
            </w:r>
            <w:r w:rsidRPr="00F60A49">
              <w:rPr>
                <w:rFonts w:ascii="华文楷体" w:eastAsia="华文楷体" w:hAnsi="华文楷体" w:hint="eastAsia"/>
                <w:sz w:val="21"/>
                <w:szCs w:val="21"/>
              </w:rPr>
              <w:t>交易数据栏目中公布黄金</w:t>
            </w:r>
            <w:r w:rsidR="00FA2E47">
              <w:rPr>
                <w:rFonts w:ascii="华文楷体" w:eastAsia="华文楷体" w:hAnsi="华文楷体" w:hint="eastAsia"/>
                <w:sz w:val="21"/>
                <w:szCs w:val="21"/>
              </w:rPr>
              <w:t>1812</w:t>
            </w:r>
            <w:r w:rsidRPr="00F60A49">
              <w:rPr>
                <w:rFonts w:ascii="华文楷体" w:eastAsia="华文楷体" w:hAnsi="华文楷体" w:hint="eastAsia"/>
                <w:sz w:val="21"/>
                <w:szCs w:val="21"/>
              </w:rPr>
              <w:t>合约收盘价（</w:t>
            </w:r>
            <w:r w:rsidRPr="00F60A49">
              <w:rPr>
                <w:rFonts w:ascii="华文楷体" w:eastAsia="华文楷体" w:hAnsi="华文楷体"/>
                <w:sz w:val="21"/>
                <w:szCs w:val="21"/>
              </w:rPr>
              <w:t>15:00</w:t>
            </w:r>
            <w:r w:rsidRPr="00F60A49">
              <w:rPr>
                <w:rFonts w:ascii="华文楷体" w:eastAsia="华文楷体" w:hAnsi="华文楷体" w:hint="eastAsia"/>
                <w:sz w:val="21"/>
                <w:szCs w:val="21"/>
              </w:rPr>
              <w:t>）。</w:t>
            </w:r>
          </w:p>
        </w:tc>
      </w:tr>
      <w:tr w:rsidR="00EA3D01" w:rsidRPr="00EA3D01" w14:paraId="358E5556" w14:textId="77777777" w:rsidTr="00FA2E47">
        <w:trPr>
          <w:trHeight w:val="371"/>
        </w:trPr>
        <w:tc>
          <w:tcPr>
            <w:tcW w:w="1413" w:type="dxa"/>
            <w:tcBorders>
              <w:top w:val="single" w:sz="4" w:space="0" w:color="auto"/>
              <w:left w:val="single" w:sz="4" w:space="0" w:color="auto"/>
              <w:bottom w:val="single" w:sz="4" w:space="0" w:color="auto"/>
              <w:right w:val="single" w:sz="4" w:space="0" w:color="auto"/>
            </w:tcBorders>
            <w:vAlign w:val="center"/>
          </w:tcPr>
          <w:p w14:paraId="7035BF72" w14:textId="77777777" w:rsidR="00EA3D01" w:rsidRPr="00EA3D01" w:rsidRDefault="00EA3D01" w:rsidP="00EA3D01">
            <w:pPr>
              <w:spacing w:line="0" w:lineRule="atLeast"/>
              <w:jc w:val="center"/>
              <w:rPr>
                <w:rFonts w:ascii="华文楷体" w:eastAsia="华文楷体" w:hAnsi="华文楷体"/>
                <w:color w:val="000000"/>
                <w:sz w:val="21"/>
                <w:szCs w:val="21"/>
              </w:rPr>
            </w:pPr>
            <w:r w:rsidRPr="00EA3D01">
              <w:rPr>
                <w:rFonts w:ascii="华文楷体" w:eastAsia="华文楷体" w:hAnsi="华文楷体" w:hint="eastAsia"/>
                <w:color w:val="000000"/>
                <w:sz w:val="21"/>
                <w:szCs w:val="21"/>
              </w:rPr>
              <w:t>合同类型</w:t>
            </w:r>
          </w:p>
        </w:tc>
        <w:tc>
          <w:tcPr>
            <w:tcW w:w="8080" w:type="dxa"/>
            <w:gridSpan w:val="2"/>
            <w:tcBorders>
              <w:top w:val="single" w:sz="4" w:space="0" w:color="auto"/>
              <w:left w:val="single" w:sz="4" w:space="0" w:color="auto"/>
              <w:bottom w:val="single" w:sz="4" w:space="0" w:color="auto"/>
              <w:right w:val="single" w:sz="4" w:space="0" w:color="auto"/>
            </w:tcBorders>
            <w:vAlign w:val="center"/>
          </w:tcPr>
          <w:p w14:paraId="58FE79AA" w14:textId="77777777" w:rsidR="00EA3D01" w:rsidRPr="00EA3D01" w:rsidRDefault="00EA3D01" w:rsidP="00EA3D01">
            <w:pPr>
              <w:spacing w:line="0" w:lineRule="atLeast"/>
              <w:rPr>
                <w:rFonts w:ascii="华文楷体" w:eastAsia="华文楷体" w:hAnsi="华文楷体"/>
                <w:color w:val="000000"/>
                <w:sz w:val="21"/>
                <w:szCs w:val="21"/>
              </w:rPr>
            </w:pPr>
            <w:r w:rsidRPr="00EA3D01">
              <w:rPr>
                <w:rFonts w:ascii="华文楷体" w:eastAsia="华文楷体" w:hAnsi="华文楷体" w:hint="eastAsia"/>
                <w:color w:val="000000"/>
                <w:sz w:val="21"/>
                <w:szCs w:val="21"/>
              </w:rPr>
              <w:t>一对多</w:t>
            </w:r>
          </w:p>
        </w:tc>
      </w:tr>
      <w:tr w:rsidR="00EA3D01" w:rsidRPr="00EA3D01" w14:paraId="3D74710F" w14:textId="77777777" w:rsidTr="00FA2E47">
        <w:trPr>
          <w:trHeight w:val="277"/>
        </w:trPr>
        <w:tc>
          <w:tcPr>
            <w:tcW w:w="1413" w:type="dxa"/>
            <w:tcBorders>
              <w:top w:val="single" w:sz="4" w:space="0" w:color="auto"/>
              <w:left w:val="single" w:sz="4" w:space="0" w:color="auto"/>
              <w:bottom w:val="single" w:sz="4" w:space="0" w:color="auto"/>
              <w:right w:val="single" w:sz="4" w:space="0" w:color="auto"/>
            </w:tcBorders>
            <w:vAlign w:val="center"/>
          </w:tcPr>
          <w:p w14:paraId="306C9145" w14:textId="77777777" w:rsidR="00EA3D01" w:rsidRPr="00EA3D01" w:rsidRDefault="00EA3D01" w:rsidP="00EA3D01">
            <w:pPr>
              <w:spacing w:line="0" w:lineRule="atLeast"/>
              <w:jc w:val="center"/>
              <w:rPr>
                <w:rFonts w:ascii="华文楷体" w:eastAsia="华文楷体" w:hAnsi="华文楷体"/>
                <w:color w:val="000000"/>
                <w:sz w:val="21"/>
                <w:szCs w:val="21"/>
              </w:rPr>
            </w:pPr>
            <w:r w:rsidRPr="00EA3D01">
              <w:rPr>
                <w:rFonts w:ascii="华文楷体" w:eastAsia="华文楷体" w:hAnsi="华文楷体" w:hint="eastAsia"/>
                <w:color w:val="000000"/>
                <w:sz w:val="21"/>
                <w:szCs w:val="21"/>
              </w:rPr>
              <w:t>计划规模</w:t>
            </w:r>
          </w:p>
        </w:tc>
        <w:tc>
          <w:tcPr>
            <w:tcW w:w="8080" w:type="dxa"/>
            <w:gridSpan w:val="2"/>
            <w:tcBorders>
              <w:top w:val="single" w:sz="4" w:space="0" w:color="auto"/>
              <w:left w:val="single" w:sz="4" w:space="0" w:color="auto"/>
              <w:bottom w:val="single" w:sz="4" w:space="0" w:color="auto"/>
              <w:right w:val="single" w:sz="4" w:space="0" w:color="auto"/>
            </w:tcBorders>
            <w:vAlign w:val="center"/>
          </w:tcPr>
          <w:p w14:paraId="500DD36A" w14:textId="77777777" w:rsidR="00EA3D01" w:rsidRPr="00EA3D01" w:rsidRDefault="00EA3D01" w:rsidP="00EA3D01">
            <w:pPr>
              <w:pStyle w:val="21"/>
              <w:spacing w:after="0" w:line="0" w:lineRule="atLeast"/>
              <w:ind w:leftChars="0" w:left="0"/>
              <w:rPr>
                <w:rFonts w:ascii="华文楷体" w:eastAsia="华文楷体" w:hAnsi="华文楷体"/>
                <w:color w:val="000000"/>
                <w:sz w:val="21"/>
                <w:szCs w:val="21"/>
              </w:rPr>
            </w:pPr>
            <w:r w:rsidRPr="00EA3D01">
              <w:rPr>
                <w:rFonts w:ascii="华文楷体" w:eastAsia="华文楷体" w:hAnsi="华文楷体" w:hint="eastAsia"/>
                <w:color w:val="000000"/>
                <w:sz w:val="21"/>
                <w:szCs w:val="21"/>
              </w:rPr>
              <w:t>200万起，预期3000万。</w:t>
            </w:r>
          </w:p>
        </w:tc>
      </w:tr>
      <w:tr w:rsidR="001116B3" w:rsidRPr="00EA3D01" w14:paraId="165D29B1" w14:textId="77777777" w:rsidTr="00FA2E47">
        <w:trPr>
          <w:trHeight w:val="690"/>
        </w:trPr>
        <w:tc>
          <w:tcPr>
            <w:tcW w:w="1413" w:type="dxa"/>
            <w:tcBorders>
              <w:top w:val="single" w:sz="4" w:space="0" w:color="auto"/>
              <w:left w:val="single" w:sz="4" w:space="0" w:color="auto"/>
              <w:bottom w:val="single" w:sz="4" w:space="0" w:color="auto"/>
              <w:right w:val="single" w:sz="4" w:space="0" w:color="auto"/>
            </w:tcBorders>
            <w:vAlign w:val="center"/>
          </w:tcPr>
          <w:p w14:paraId="5B15D213" w14:textId="77777777" w:rsidR="001116B3" w:rsidRPr="00EA3D01" w:rsidRDefault="001116B3" w:rsidP="00F8654B">
            <w:pPr>
              <w:spacing w:line="0" w:lineRule="atLeast"/>
              <w:jc w:val="center"/>
              <w:rPr>
                <w:rFonts w:ascii="华文楷体" w:eastAsia="华文楷体" w:hAnsi="华文楷体"/>
                <w:color w:val="000000"/>
                <w:sz w:val="21"/>
                <w:szCs w:val="21"/>
              </w:rPr>
            </w:pPr>
            <w:r>
              <w:rPr>
                <w:rFonts w:ascii="华文楷体" w:eastAsia="华文楷体" w:hAnsi="华文楷体" w:hint="eastAsia"/>
                <w:color w:val="000000"/>
                <w:sz w:val="21"/>
                <w:szCs w:val="21"/>
              </w:rPr>
              <w:t>最低认购金额</w:t>
            </w:r>
          </w:p>
        </w:tc>
        <w:tc>
          <w:tcPr>
            <w:tcW w:w="8080" w:type="dxa"/>
            <w:gridSpan w:val="2"/>
            <w:tcBorders>
              <w:top w:val="single" w:sz="4" w:space="0" w:color="auto"/>
              <w:left w:val="single" w:sz="4" w:space="0" w:color="auto"/>
              <w:bottom w:val="single" w:sz="4" w:space="0" w:color="auto"/>
              <w:right w:val="single" w:sz="4" w:space="0" w:color="auto"/>
            </w:tcBorders>
            <w:vAlign w:val="center"/>
          </w:tcPr>
          <w:p w14:paraId="6F2916D0" w14:textId="77777777" w:rsidR="001116B3" w:rsidRPr="00EA3D01" w:rsidRDefault="001116B3" w:rsidP="00F8654B">
            <w:pPr>
              <w:pStyle w:val="0"/>
              <w:spacing w:line="0" w:lineRule="atLeast"/>
              <w:rPr>
                <w:rFonts w:ascii="华文楷体" w:eastAsia="华文楷体" w:hAnsi="华文楷体"/>
                <w:color w:val="000000"/>
                <w:szCs w:val="21"/>
              </w:rPr>
            </w:pPr>
            <w:r w:rsidRPr="00EA3D01">
              <w:rPr>
                <w:rFonts w:ascii="华文楷体" w:eastAsia="华文楷体" w:hAnsi="华文楷体" w:hint="eastAsia"/>
                <w:color w:val="000000"/>
                <w:szCs w:val="21"/>
              </w:rPr>
              <w:t>初始参与起点金额1</w:t>
            </w:r>
            <w:r>
              <w:rPr>
                <w:rFonts w:ascii="华文楷体" w:eastAsia="华文楷体" w:hAnsi="华文楷体" w:hint="eastAsia"/>
                <w:color w:val="000000"/>
                <w:szCs w:val="21"/>
              </w:rPr>
              <w:t>00</w:t>
            </w:r>
            <w:r w:rsidRPr="00EA3D01">
              <w:rPr>
                <w:rFonts w:ascii="华文楷体" w:eastAsia="华文楷体" w:hAnsi="华文楷体" w:hint="eastAsia"/>
                <w:color w:val="000000"/>
                <w:szCs w:val="21"/>
              </w:rPr>
              <w:t>万元；追加参与的最低金额为人民币1</w:t>
            </w:r>
            <w:r>
              <w:rPr>
                <w:rFonts w:ascii="华文楷体" w:eastAsia="华文楷体" w:hAnsi="华文楷体" w:hint="eastAsia"/>
                <w:color w:val="000000"/>
                <w:szCs w:val="21"/>
              </w:rPr>
              <w:t>0</w:t>
            </w:r>
            <w:r w:rsidRPr="00EA3D01">
              <w:rPr>
                <w:rFonts w:ascii="华文楷体" w:eastAsia="华文楷体" w:hAnsi="华文楷体" w:hint="eastAsia"/>
                <w:color w:val="000000"/>
                <w:szCs w:val="21"/>
              </w:rPr>
              <w:t>0万元，追加金额级差1</w:t>
            </w:r>
            <w:r>
              <w:rPr>
                <w:rFonts w:ascii="华文楷体" w:eastAsia="华文楷体" w:hAnsi="华文楷体" w:hint="eastAsia"/>
                <w:color w:val="000000"/>
                <w:szCs w:val="21"/>
              </w:rPr>
              <w:t>0</w:t>
            </w:r>
            <w:r w:rsidRPr="00EA3D01">
              <w:rPr>
                <w:rFonts w:ascii="华文楷体" w:eastAsia="华文楷体" w:hAnsi="华文楷体" w:hint="eastAsia"/>
                <w:color w:val="000000"/>
                <w:szCs w:val="21"/>
              </w:rPr>
              <w:t>0万。产品规模不超过10000万元。</w:t>
            </w:r>
          </w:p>
        </w:tc>
      </w:tr>
      <w:tr w:rsidR="001116B3" w:rsidRPr="00EA3D01" w14:paraId="046CB003" w14:textId="77777777" w:rsidTr="00FA2E47">
        <w:trPr>
          <w:trHeight w:val="274"/>
        </w:trPr>
        <w:tc>
          <w:tcPr>
            <w:tcW w:w="1413" w:type="dxa"/>
            <w:tcBorders>
              <w:top w:val="single" w:sz="4" w:space="0" w:color="auto"/>
              <w:left w:val="single" w:sz="4" w:space="0" w:color="auto"/>
              <w:bottom w:val="single" w:sz="4" w:space="0" w:color="auto"/>
              <w:right w:val="single" w:sz="4" w:space="0" w:color="auto"/>
            </w:tcBorders>
            <w:vAlign w:val="center"/>
          </w:tcPr>
          <w:p w14:paraId="0F153628" w14:textId="77777777" w:rsidR="001116B3" w:rsidRPr="00EA3D01" w:rsidRDefault="001116B3" w:rsidP="00F8654B">
            <w:pPr>
              <w:spacing w:line="0" w:lineRule="atLeast"/>
              <w:jc w:val="center"/>
              <w:rPr>
                <w:rFonts w:ascii="华文楷体" w:eastAsia="华文楷体" w:hAnsi="华文楷体"/>
                <w:color w:val="000000"/>
                <w:sz w:val="21"/>
                <w:szCs w:val="21"/>
              </w:rPr>
            </w:pPr>
            <w:r>
              <w:rPr>
                <w:rFonts w:ascii="华文楷体" w:eastAsia="华文楷体" w:hAnsi="华文楷体" w:hint="eastAsia"/>
                <w:color w:val="000000"/>
                <w:sz w:val="21"/>
                <w:szCs w:val="21"/>
              </w:rPr>
              <w:t>人数上限</w:t>
            </w:r>
          </w:p>
        </w:tc>
        <w:tc>
          <w:tcPr>
            <w:tcW w:w="8080" w:type="dxa"/>
            <w:gridSpan w:val="2"/>
            <w:tcBorders>
              <w:top w:val="single" w:sz="4" w:space="0" w:color="auto"/>
              <w:left w:val="single" w:sz="4" w:space="0" w:color="auto"/>
              <w:bottom w:val="single" w:sz="4" w:space="0" w:color="auto"/>
              <w:right w:val="single" w:sz="4" w:space="0" w:color="auto"/>
            </w:tcBorders>
            <w:vAlign w:val="center"/>
          </w:tcPr>
          <w:p w14:paraId="3BCB619E" w14:textId="44B53282" w:rsidR="001116B3" w:rsidRPr="00EA3D01" w:rsidRDefault="001116B3" w:rsidP="00F8654B">
            <w:pPr>
              <w:pStyle w:val="0"/>
              <w:spacing w:line="0" w:lineRule="atLeast"/>
              <w:rPr>
                <w:rFonts w:ascii="华文楷体" w:eastAsia="华文楷体" w:hAnsi="华文楷体"/>
                <w:color w:val="000000"/>
                <w:szCs w:val="21"/>
              </w:rPr>
            </w:pPr>
          </w:p>
        </w:tc>
      </w:tr>
      <w:tr w:rsidR="00DB77E9" w:rsidRPr="00EA3D01" w14:paraId="60CF80AD" w14:textId="77777777" w:rsidTr="00FA2E47">
        <w:trPr>
          <w:trHeight w:val="379"/>
        </w:trPr>
        <w:tc>
          <w:tcPr>
            <w:tcW w:w="1413" w:type="dxa"/>
            <w:tcBorders>
              <w:top w:val="single" w:sz="4" w:space="0" w:color="auto"/>
              <w:left w:val="single" w:sz="4" w:space="0" w:color="auto"/>
              <w:bottom w:val="single" w:sz="4" w:space="0" w:color="auto"/>
              <w:right w:val="single" w:sz="4" w:space="0" w:color="auto"/>
            </w:tcBorders>
            <w:vAlign w:val="center"/>
          </w:tcPr>
          <w:p w14:paraId="124B5B1E" w14:textId="5EF8A63E" w:rsidR="00DB77E9" w:rsidRPr="00EA3D01" w:rsidRDefault="00DB77E9" w:rsidP="00EA3D01">
            <w:pPr>
              <w:spacing w:line="0" w:lineRule="atLeast"/>
              <w:jc w:val="center"/>
              <w:rPr>
                <w:rFonts w:ascii="华文楷体" w:eastAsia="华文楷体" w:hAnsi="华文楷体"/>
                <w:color w:val="000000"/>
                <w:sz w:val="21"/>
                <w:szCs w:val="21"/>
              </w:rPr>
            </w:pPr>
            <w:r>
              <w:rPr>
                <w:rFonts w:ascii="华文楷体" w:eastAsia="华文楷体" w:hAnsi="华文楷体" w:hint="eastAsia"/>
                <w:color w:val="000000"/>
                <w:sz w:val="21"/>
                <w:szCs w:val="21"/>
              </w:rPr>
              <w:t>认购期</w:t>
            </w:r>
          </w:p>
        </w:tc>
        <w:tc>
          <w:tcPr>
            <w:tcW w:w="8080" w:type="dxa"/>
            <w:gridSpan w:val="2"/>
            <w:tcBorders>
              <w:top w:val="single" w:sz="4" w:space="0" w:color="auto"/>
              <w:left w:val="single" w:sz="4" w:space="0" w:color="auto"/>
              <w:bottom w:val="single" w:sz="4" w:space="0" w:color="auto"/>
              <w:right w:val="single" w:sz="4" w:space="0" w:color="auto"/>
            </w:tcBorders>
            <w:vAlign w:val="center"/>
          </w:tcPr>
          <w:p w14:paraId="6FF3389B" w14:textId="7FEF8CB8" w:rsidR="00DB77E9" w:rsidRDefault="00564D0D" w:rsidP="00EA3D01">
            <w:pPr>
              <w:spacing w:line="0" w:lineRule="atLeast"/>
              <w:rPr>
                <w:rFonts w:ascii="华文楷体" w:eastAsia="华文楷体" w:hAnsi="华文楷体"/>
                <w:sz w:val="21"/>
                <w:szCs w:val="21"/>
              </w:rPr>
            </w:pPr>
            <w:r w:rsidRPr="00E7069F">
              <w:rPr>
                <w:rFonts w:ascii="华文楷体" w:eastAsia="华文楷体" w:hAnsi="华文楷体" w:hint="eastAsia"/>
                <w:color w:val="FF0000"/>
                <w:sz w:val="21"/>
                <w:szCs w:val="21"/>
              </w:rPr>
              <w:t>6</w:t>
            </w:r>
            <w:r w:rsidR="0072042E" w:rsidRPr="00E7069F">
              <w:rPr>
                <w:rFonts w:ascii="华文楷体" w:eastAsia="华文楷体" w:hAnsi="华文楷体" w:hint="eastAsia"/>
                <w:color w:val="FF0000"/>
                <w:sz w:val="21"/>
                <w:szCs w:val="21"/>
              </w:rPr>
              <w:t>月X日~</w:t>
            </w:r>
            <w:r w:rsidRPr="00E7069F">
              <w:rPr>
                <w:rFonts w:ascii="华文楷体" w:eastAsia="华文楷体" w:hAnsi="华文楷体" w:hint="eastAsia"/>
                <w:color w:val="FF0000"/>
                <w:sz w:val="21"/>
                <w:szCs w:val="21"/>
              </w:rPr>
              <w:t>6</w:t>
            </w:r>
            <w:r w:rsidR="0072042E" w:rsidRPr="00E7069F">
              <w:rPr>
                <w:rFonts w:ascii="华文楷体" w:eastAsia="华文楷体" w:hAnsi="华文楷体" w:hint="eastAsia"/>
                <w:color w:val="FF0000"/>
                <w:sz w:val="21"/>
                <w:szCs w:val="21"/>
              </w:rPr>
              <w:t>月X日</w:t>
            </w:r>
            <w:r w:rsidR="00E7069F">
              <w:rPr>
                <w:rFonts w:ascii="华文楷体" w:eastAsia="华文楷体" w:hAnsi="华文楷体" w:hint="eastAsia"/>
                <w:color w:val="FF0000"/>
                <w:sz w:val="21"/>
                <w:szCs w:val="21"/>
              </w:rPr>
              <w:t>（暂定）</w:t>
            </w:r>
          </w:p>
        </w:tc>
      </w:tr>
      <w:tr w:rsidR="00DB77E9" w:rsidRPr="00EA3D01" w14:paraId="6D20D903" w14:textId="77777777" w:rsidTr="00FA2E47">
        <w:trPr>
          <w:trHeight w:val="379"/>
        </w:trPr>
        <w:tc>
          <w:tcPr>
            <w:tcW w:w="1413" w:type="dxa"/>
            <w:tcBorders>
              <w:top w:val="single" w:sz="4" w:space="0" w:color="auto"/>
              <w:left w:val="single" w:sz="4" w:space="0" w:color="auto"/>
              <w:bottom w:val="single" w:sz="4" w:space="0" w:color="auto"/>
              <w:right w:val="single" w:sz="4" w:space="0" w:color="auto"/>
            </w:tcBorders>
            <w:vAlign w:val="center"/>
          </w:tcPr>
          <w:p w14:paraId="6C153117" w14:textId="348F6BF4" w:rsidR="00DB77E9" w:rsidRPr="00EA3D01" w:rsidRDefault="006B3A8C" w:rsidP="00EA3D01">
            <w:pPr>
              <w:spacing w:line="0" w:lineRule="atLeast"/>
              <w:jc w:val="center"/>
              <w:rPr>
                <w:rFonts w:ascii="华文楷体" w:eastAsia="华文楷体" w:hAnsi="华文楷体"/>
                <w:color w:val="000000"/>
                <w:sz w:val="21"/>
                <w:szCs w:val="21"/>
              </w:rPr>
            </w:pPr>
            <w:r>
              <w:rPr>
                <w:rFonts w:ascii="华文楷体" w:eastAsia="华文楷体" w:hAnsi="华文楷体" w:hint="eastAsia"/>
                <w:color w:val="000000"/>
                <w:sz w:val="21"/>
                <w:szCs w:val="21"/>
              </w:rPr>
              <w:t>投资起始日</w:t>
            </w:r>
          </w:p>
        </w:tc>
        <w:tc>
          <w:tcPr>
            <w:tcW w:w="8080" w:type="dxa"/>
            <w:gridSpan w:val="2"/>
            <w:tcBorders>
              <w:top w:val="single" w:sz="4" w:space="0" w:color="auto"/>
              <w:left w:val="single" w:sz="4" w:space="0" w:color="auto"/>
              <w:bottom w:val="single" w:sz="4" w:space="0" w:color="auto"/>
              <w:right w:val="single" w:sz="4" w:space="0" w:color="auto"/>
            </w:tcBorders>
            <w:vAlign w:val="center"/>
          </w:tcPr>
          <w:p w14:paraId="04092018" w14:textId="31D3AF59" w:rsidR="00DB77E9" w:rsidRDefault="006B3A8C" w:rsidP="006B3A8C">
            <w:pPr>
              <w:spacing w:line="0" w:lineRule="atLeast"/>
              <w:rPr>
                <w:rFonts w:ascii="华文楷体" w:eastAsia="华文楷体" w:hAnsi="华文楷体"/>
                <w:sz w:val="21"/>
                <w:szCs w:val="21"/>
              </w:rPr>
            </w:pPr>
            <w:r w:rsidRPr="006B3A8C">
              <w:rPr>
                <w:rFonts w:ascii="华文楷体" w:eastAsia="华文楷体" w:hAnsi="华文楷体" w:hint="eastAsia"/>
                <w:sz w:val="21"/>
                <w:szCs w:val="21"/>
              </w:rPr>
              <w:t>单期产品</w:t>
            </w:r>
            <w:r>
              <w:rPr>
                <w:rFonts w:ascii="华文楷体" w:eastAsia="华文楷体" w:hAnsi="华文楷体" w:hint="eastAsia"/>
                <w:sz w:val="21"/>
                <w:szCs w:val="21"/>
              </w:rPr>
              <w:t>认购期</w:t>
            </w:r>
            <w:r w:rsidRPr="006B3A8C">
              <w:rPr>
                <w:rFonts w:ascii="华文楷体" w:eastAsia="华文楷体" w:hAnsi="华文楷体" w:hint="eastAsia"/>
                <w:sz w:val="21"/>
                <w:szCs w:val="21"/>
              </w:rPr>
              <w:t>届满后下一个工作日。</w:t>
            </w:r>
          </w:p>
        </w:tc>
      </w:tr>
      <w:tr w:rsidR="00DB77E9" w:rsidRPr="00EA3D01" w14:paraId="6E9D0FA6" w14:textId="77777777" w:rsidTr="00FA2E47">
        <w:trPr>
          <w:trHeight w:val="379"/>
        </w:trPr>
        <w:tc>
          <w:tcPr>
            <w:tcW w:w="1413" w:type="dxa"/>
            <w:tcBorders>
              <w:top w:val="single" w:sz="4" w:space="0" w:color="auto"/>
              <w:left w:val="single" w:sz="4" w:space="0" w:color="auto"/>
              <w:bottom w:val="single" w:sz="4" w:space="0" w:color="auto"/>
              <w:right w:val="single" w:sz="4" w:space="0" w:color="auto"/>
            </w:tcBorders>
            <w:vAlign w:val="center"/>
          </w:tcPr>
          <w:p w14:paraId="69447468" w14:textId="56B0E9C7" w:rsidR="00DB77E9" w:rsidRPr="00EA3D01" w:rsidRDefault="006B3A8C" w:rsidP="00EA3D01">
            <w:pPr>
              <w:spacing w:line="0" w:lineRule="atLeast"/>
              <w:jc w:val="center"/>
              <w:rPr>
                <w:rFonts w:ascii="华文楷体" w:eastAsia="华文楷体" w:hAnsi="华文楷体"/>
                <w:color w:val="000000"/>
                <w:sz w:val="21"/>
                <w:szCs w:val="21"/>
              </w:rPr>
            </w:pPr>
            <w:r>
              <w:rPr>
                <w:rFonts w:ascii="华文楷体" w:eastAsia="华文楷体" w:hAnsi="华文楷体" w:hint="eastAsia"/>
                <w:color w:val="000000"/>
                <w:sz w:val="21"/>
                <w:szCs w:val="21"/>
              </w:rPr>
              <w:t>投资期限</w:t>
            </w:r>
          </w:p>
        </w:tc>
        <w:tc>
          <w:tcPr>
            <w:tcW w:w="8080" w:type="dxa"/>
            <w:gridSpan w:val="2"/>
            <w:tcBorders>
              <w:top w:val="single" w:sz="4" w:space="0" w:color="auto"/>
              <w:left w:val="single" w:sz="4" w:space="0" w:color="auto"/>
              <w:bottom w:val="single" w:sz="4" w:space="0" w:color="auto"/>
              <w:right w:val="single" w:sz="4" w:space="0" w:color="auto"/>
            </w:tcBorders>
            <w:vAlign w:val="center"/>
          </w:tcPr>
          <w:p w14:paraId="0232B6D7" w14:textId="0FD6DD47" w:rsidR="00DB77E9" w:rsidRPr="006B3A8C" w:rsidRDefault="00BA0B5A" w:rsidP="00EA3D01">
            <w:pPr>
              <w:spacing w:line="0" w:lineRule="atLeast"/>
              <w:rPr>
                <w:rFonts w:ascii="华文楷体" w:eastAsia="华文楷体" w:hAnsi="华文楷体"/>
                <w:sz w:val="21"/>
                <w:szCs w:val="21"/>
              </w:rPr>
            </w:pPr>
            <w:r>
              <w:rPr>
                <w:rFonts w:ascii="华文楷体" w:eastAsia="华文楷体" w:hAnsi="华文楷体" w:hint="eastAsia"/>
                <w:sz w:val="21"/>
                <w:szCs w:val="21"/>
              </w:rPr>
              <w:t>30</w:t>
            </w:r>
            <w:r w:rsidR="006B3A8C" w:rsidRPr="006B3A8C">
              <w:rPr>
                <w:rFonts w:ascii="华文楷体" w:eastAsia="华文楷体" w:hAnsi="华文楷体" w:hint="eastAsia"/>
                <w:sz w:val="21"/>
                <w:szCs w:val="21"/>
              </w:rPr>
              <w:t>天</w:t>
            </w:r>
            <w:r w:rsidR="006B3A8C" w:rsidRPr="006B3A8C">
              <w:rPr>
                <w:rFonts w:ascii="华文楷体" w:eastAsia="华文楷体" w:hAnsi="华文楷体"/>
                <w:sz w:val="21"/>
                <w:szCs w:val="21"/>
              </w:rPr>
              <w:t>(</w:t>
            </w:r>
            <w:r w:rsidR="006B3A8C" w:rsidRPr="006B3A8C">
              <w:rPr>
                <w:rFonts w:ascii="华文楷体" w:eastAsia="华文楷体" w:hAnsi="华文楷体" w:hint="eastAsia"/>
                <w:sz w:val="21"/>
                <w:szCs w:val="21"/>
              </w:rPr>
              <w:t>不含单期产品到期日或单期产品提前终止日</w:t>
            </w:r>
            <w:r w:rsidR="006B3A8C" w:rsidRPr="006B3A8C">
              <w:rPr>
                <w:rFonts w:ascii="华文楷体" w:eastAsia="华文楷体" w:hAnsi="华文楷体"/>
                <w:sz w:val="21"/>
                <w:szCs w:val="21"/>
              </w:rPr>
              <w:t>,</w:t>
            </w:r>
            <w:r w:rsidR="006B3A8C" w:rsidRPr="006B3A8C">
              <w:rPr>
                <w:rFonts w:ascii="华文楷体" w:eastAsia="华文楷体" w:hAnsi="华文楷体" w:hint="eastAsia"/>
                <w:sz w:val="21"/>
                <w:szCs w:val="21"/>
              </w:rPr>
              <w:t>如遇产品提前终止，或单期产品投资起始日及</w:t>
            </w:r>
            <w:r w:rsidR="006B3A8C" w:rsidRPr="006B3A8C">
              <w:rPr>
                <w:rFonts w:ascii="华文楷体" w:eastAsia="华文楷体" w:hAnsi="华文楷体"/>
                <w:sz w:val="21"/>
                <w:szCs w:val="21"/>
              </w:rPr>
              <w:t>/</w:t>
            </w:r>
            <w:r w:rsidR="006B3A8C" w:rsidRPr="006B3A8C">
              <w:rPr>
                <w:rFonts w:ascii="华文楷体" w:eastAsia="华文楷体" w:hAnsi="华文楷体" w:hint="eastAsia"/>
                <w:sz w:val="21"/>
                <w:szCs w:val="21"/>
              </w:rPr>
              <w:t>或单期产品到期日调整，则产品投资期限由实际投资期限决定</w:t>
            </w:r>
            <w:r w:rsidR="006B3A8C" w:rsidRPr="006B3A8C">
              <w:rPr>
                <w:rFonts w:ascii="华文楷体" w:eastAsia="华文楷体" w:hAnsi="华文楷体"/>
                <w:sz w:val="21"/>
                <w:szCs w:val="21"/>
              </w:rPr>
              <w:t>)</w:t>
            </w:r>
            <w:r w:rsidR="006B3A8C" w:rsidRPr="006B3A8C">
              <w:rPr>
                <w:rFonts w:ascii="华文楷体" w:eastAsia="华文楷体" w:hAnsi="华文楷体" w:hint="eastAsia"/>
                <w:sz w:val="21"/>
                <w:szCs w:val="21"/>
              </w:rPr>
              <w:t>。</w:t>
            </w:r>
          </w:p>
        </w:tc>
      </w:tr>
      <w:tr w:rsidR="00DB77E9" w:rsidRPr="00EA3D01" w14:paraId="4CEC999E" w14:textId="77777777" w:rsidTr="00FA2E47">
        <w:trPr>
          <w:trHeight w:val="379"/>
        </w:trPr>
        <w:tc>
          <w:tcPr>
            <w:tcW w:w="1413" w:type="dxa"/>
            <w:tcBorders>
              <w:top w:val="single" w:sz="4" w:space="0" w:color="auto"/>
              <w:left w:val="single" w:sz="4" w:space="0" w:color="auto"/>
              <w:bottom w:val="single" w:sz="4" w:space="0" w:color="auto"/>
              <w:right w:val="single" w:sz="4" w:space="0" w:color="auto"/>
            </w:tcBorders>
            <w:vAlign w:val="center"/>
          </w:tcPr>
          <w:p w14:paraId="1F21AC3C" w14:textId="3254CC78" w:rsidR="00DB77E9" w:rsidRPr="00EA3D01" w:rsidRDefault="006B3A8C" w:rsidP="00EA3D01">
            <w:pPr>
              <w:spacing w:line="0" w:lineRule="atLeast"/>
              <w:jc w:val="center"/>
              <w:rPr>
                <w:rFonts w:ascii="华文楷体" w:eastAsia="华文楷体" w:hAnsi="华文楷体"/>
                <w:color w:val="000000"/>
                <w:sz w:val="21"/>
                <w:szCs w:val="21"/>
              </w:rPr>
            </w:pPr>
            <w:r>
              <w:rPr>
                <w:rFonts w:ascii="华文楷体" w:eastAsia="华文楷体" w:hAnsi="华文楷体" w:hint="eastAsia"/>
                <w:color w:val="000000"/>
                <w:sz w:val="21"/>
                <w:szCs w:val="21"/>
              </w:rPr>
              <w:t>到期日</w:t>
            </w:r>
          </w:p>
        </w:tc>
        <w:tc>
          <w:tcPr>
            <w:tcW w:w="8080" w:type="dxa"/>
            <w:gridSpan w:val="2"/>
            <w:tcBorders>
              <w:top w:val="single" w:sz="4" w:space="0" w:color="auto"/>
              <w:left w:val="single" w:sz="4" w:space="0" w:color="auto"/>
              <w:bottom w:val="single" w:sz="4" w:space="0" w:color="auto"/>
              <w:right w:val="single" w:sz="4" w:space="0" w:color="auto"/>
            </w:tcBorders>
            <w:vAlign w:val="center"/>
          </w:tcPr>
          <w:p w14:paraId="69D935AA" w14:textId="56970D1D" w:rsidR="00DB77E9" w:rsidRDefault="001116B3" w:rsidP="00EA3D01">
            <w:pPr>
              <w:spacing w:line="0" w:lineRule="atLeast"/>
              <w:rPr>
                <w:rFonts w:ascii="华文楷体" w:eastAsia="华文楷体" w:hAnsi="华文楷体"/>
                <w:sz w:val="21"/>
                <w:szCs w:val="21"/>
              </w:rPr>
            </w:pPr>
            <w:r w:rsidRPr="001116B3">
              <w:rPr>
                <w:rFonts w:ascii="华文楷体" w:eastAsia="华文楷体" w:hAnsi="华文楷体" w:hint="eastAsia"/>
                <w:sz w:val="21"/>
                <w:szCs w:val="21"/>
              </w:rPr>
              <w:t>自单期产品投资起始日（含）起的第</w:t>
            </w:r>
            <w:r w:rsidR="00BA0B5A">
              <w:rPr>
                <w:rFonts w:ascii="华文楷体" w:eastAsia="华文楷体" w:hAnsi="华文楷体" w:hint="eastAsia"/>
                <w:sz w:val="21"/>
                <w:szCs w:val="21"/>
              </w:rPr>
              <w:t>31</w:t>
            </w:r>
            <w:r w:rsidRPr="001116B3">
              <w:rPr>
                <w:rFonts w:ascii="华文楷体" w:eastAsia="华文楷体" w:hAnsi="华文楷体" w:hint="eastAsia"/>
                <w:sz w:val="21"/>
                <w:szCs w:val="21"/>
              </w:rPr>
              <w:t>天，遇特殊情况，单期产品到期日可能调整。(遇非工作日顺延至下一工作日)</w:t>
            </w:r>
          </w:p>
        </w:tc>
      </w:tr>
      <w:tr w:rsidR="006B3A8C" w:rsidRPr="00EA3D01" w14:paraId="27972C26" w14:textId="77777777" w:rsidTr="00FA2E47">
        <w:trPr>
          <w:trHeight w:val="379"/>
        </w:trPr>
        <w:tc>
          <w:tcPr>
            <w:tcW w:w="1413" w:type="dxa"/>
            <w:tcBorders>
              <w:top w:val="single" w:sz="4" w:space="0" w:color="auto"/>
              <w:left w:val="single" w:sz="4" w:space="0" w:color="auto"/>
              <w:bottom w:val="single" w:sz="4" w:space="0" w:color="auto"/>
              <w:right w:val="single" w:sz="4" w:space="0" w:color="auto"/>
            </w:tcBorders>
            <w:vAlign w:val="center"/>
          </w:tcPr>
          <w:p w14:paraId="3A42C10D" w14:textId="0B89AC82" w:rsidR="006B3A8C" w:rsidRDefault="006B3A8C" w:rsidP="00EA3D01">
            <w:pPr>
              <w:spacing w:line="0" w:lineRule="atLeast"/>
              <w:jc w:val="center"/>
              <w:rPr>
                <w:rFonts w:ascii="华文楷体" w:eastAsia="华文楷体" w:hAnsi="华文楷体"/>
                <w:color w:val="000000"/>
                <w:sz w:val="21"/>
                <w:szCs w:val="21"/>
              </w:rPr>
            </w:pPr>
            <w:r>
              <w:rPr>
                <w:rFonts w:ascii="华文楷体" w:eastAsia="华文楷体" w:hAnsi="华文楷体" w:hint="eastAsia"/>
                <w:color w:val="000000"/>
                <w:sz w:val="21"/>
                <w:szCs w:val="21"/>
              </w:rPr>
              <w:t>资金到账日</w:t>
            </w:r>
          </w:p>
        </w:tc>
        <w:tc>
          <w:tcPr>
            <w:tcW w:w="8080" w:type="dxa"/>
            <w:gridSpan w:val="2"/>
            <w:tcBorders>
              <w:top w:val="single" w:sz="4" w:space="0" w:color="auto"/>
              <w:left w:val="single" w:sz="4" w:space="0" w:color="auto"/>
              <w:bottom w:val="single" w:sz="4" w:space="0" w:color="auto"/>
              <w:right w:val="single" w:sz="4" w:space="0" w:color="auto"/>
            </w:tcBorders>
            <w:vAlign w:val="center"/>
          </w:tcPr>
          <w:p w14:paraId="2DF4E8E4" w14:textId="30B4A82F" w:rsidR="006B3A8C" w:rsidRPr="001116B3" w:rsidRDefault="001116B3" w:rsidP="001116B3">
            <w:pPr>
              <w:pStyle w:val="21"/>
              <w:spacing w:after="0" w:line="0" w:lineRule="atLeast"/>
              <w:ind w:leftChars="0" w:left="0"/>
              <w:rPr>
                <w:rFonts w:ascii="KaiTi" w:eastAsia="KaiTi" w:hAnsiTheme="minorHAnsi"/>
                <w:sz w:val="23"/>
                <w:szCs w:val="23"/>
              </w:rPr>
            </w:pPr>
            <w:r w:rsidRPr="001116B3">
              <w:rPr>
                <w:rFonts w:ascii="华文楷体" w:eastAsia="华文楷体" w:hAnsi="华文楷体" w:hint="eastAsia"/>
                <w:color w:val="000000"/>
                <w:sz w:val="21"/>
                <w:szCs w:val="21"/>
              </w:rPr>
              <w:t>到期日或提前终止日后的5个银行工作日内。</w:t>
            </w:r>
          </w:p>
        </w:tc>
      </w:tr>
      <w:tr w:rsidR="00CA5C66" w:rsidRPr="00EA3D01" w14:paraId="0CFD3B93" w14:textId="77777777" w:rsidTr="00FA2E47">
        <w:trPr>
          <w:trHeight w:val="379"/>
        </w:trPr>
        <w:tc>
          <w:tcPr>
            <w:tcW w:w="1413" w:type="dxa"/>
            <w:tcBorders>
              <w:top w:val="single" w:sz="4" w:space="0" w:color="auto"/>
              <w:left w:val="single" w:sz="4" w:space="0" w:color="auto"/>
              <w:bottom w:val="single" w:sz="4" w:space="0" w:color="auto"/>
              <w:right w:val="single" w:sz="4" w:space="0" w:color="auto"/>
            </w:tcBorders>
            <w:vAlign w:val="center"/>
          </w:tcPr>
          <w:p w14:paraId="03225B9D" w14:textId="5480059E" w:rsidR="00CA5C66" w:rsidRDefault="00CA5C66" w:rsidP="00EA3D01">
            <w:pPr>
              <w:spacing w:line="0" w:lineRule="atLeast"/>
              <w:jc w:val="center"/>
              <w:rPr>
                <w:rFonts w:ascii="华文楷体" w:eastAsia="华文楷体" w:hAnsi="华文楷体"/>
                <w:color w:val="000000"/>
                <w:sz w:val="21"/>
                <w:szCs w:val="21"/>
              </w:rPr>
            </w:pPr>
            <w:r>
              <w:rPr>
                <w:rFonts w:ascii="华文楷体" w:eastAsia="华文楷体" w:hAnsi="华文楷体" w:hint="eastAsia"/>
                <w:color w:val="000000"/>
                <w:sz w:val="21"/>
                <w:szCs w:val="21"/>
              </w:rPr>
              <w:t>产品观察日</w:t>
            </w:r>
          </w:p>
        </w:tc>
        <w:tc>
          <w:tcPr>
            <w:tcW w:w="8080" w:type="dxa"/>
            <w:gridSpan w:val="2"/>
            <w:tcBorders>
              <w:top w:val="single" w:sz="4" w:space="0" w:color="auto"/>
              <w:left w:val="single" w:sz="4" w:space="0" w:color="auto"/>
              <w:bottom w:val="single" w:sz="4" w:space="0" w:color="auto"/>
              <w:right w:val="single" w:sz="4" w:space="0" w:color="auto"/>
            </w:tcBorders>
            <w:vAlign w:val="center"/>
          </w:tcPr>
          <w:p w14:paraId="5821350E" w14:textId="4529C5F8" w:rsidR="00CA5C66" w:rsidRPr="001116B3" w:rsidRDefault="00CA5C66" w:rsidP="001116B3">
            <w:pPr>
              <w:pStyle w:val="21"/>
              <w:spacing w:after="0" w:line="0" w:lineRule="atLeast"/>
              <w:ind w:leftChars="0" w:left="0"/>
              <w:rPr>
                <w:rFonts w:ascii="华文楷体" w:eastAsia="华文楷体" w:hAnsi="华文楷体"/>
                <w:color w:val="000000"/>
                <w:sz w:val="21"/>
                <w:szCs w:val="21"/>
              </w:rPr>
            </w:pPr>
            <w:r w:rsidRPr="00CA5C66">
              <w:rPr>
                <w:rFonts w:ascii="华文楷体" w:eastAsia="华文楷体" w:hAnsi="华文楷体" w:hint="eastAsia"/>
                <w:color w:val="000000"/>
                <w:sz w:val="21"/>
                <w:szCs w:val="21"/>
              </w:rPr>
              <w:t>单期产品到日前第 3个工作日。</w:t>
            </w:r>
          </w:p>
        </w:tc>
      </w:tr>
      <w:tr w:rsidR="00CA5C66" w:rsidRPr="00EA3D01" w14:paraId="199E0228" w14:textId="77777777" w:rsidTr="00FA2E47">
        <w:trPr>
          <w:trHeight w:val="379"/>
        </w:trPr>
        <w:tc>
          <w:tcPr>
            <w:tcW w:w="1413" w:type="dxa"/>
            <w:tcBorders>
              <w:top w:val="single" w:sz="4" w:space="0" w:color="auto"/>
              <w:left w:val="single" w:sz="4" w:space="0" w:color="auto"/>
              <w:bottom w:val="single" w:sz="4" w:space="0" w:color="auto"/>
              <w:right w:val="single" w:sz="4" w:space="0" w:color="auto"/>
            </w:tcBorders>
            <w:vAlign w:val="center"/>
          </w:tcPr>
          <w:p w14:paraId="5EE05858" w14:textId="787C01C6" w:rsidR="00CA5C66" w:rsidRDefault="00CA5C66" w:rsidP="00EA3D01">
            <w:pPr>
              <w:spacing w:line="0" w:lineRule="atLeast"/>
              <w:jc w:val="center"/>
              <w:rPr>
                <w:rFonts w:ascii="华文楷体" w:eastAsia="华文楷体" w:hAnsi="华文楷体"/>
                <w:color w:val="000000"/>
                <w:sz w:val="21"/>
                <w:szCs w:val="21"/>
              </w:rPr>
            </w:pPr>
            <w:r>
              <w:rPr>
                <w:rFonts w:ascii="华文楷体" w:eastAsia="华文楷体" w:hAnsi="华文楷体" w:hint="eastAsia"/>
                <w:color w:val="000000"/>
                <w:sz w:val="21"/>
                <w:szCs w:val="21"/>
              </w:rPr>
              <w:t>产品观察期</w:t>
            </w:r>
          </w:p>
        </w:tc>
        <w:tc>
          <w:tcPr>
            <w:tcW w:w="8080" w:type="dxa"/>
            <w:gridSpan w:val="2"/>
            <w:tcBorders>
              <w:top w:val="single" w:sz="4" w:space="0" w:color="auto"/>
              <w:left w:val="single" w:sz="4" w:space="0" w:color="auto"/>
              <w:bottom w:val="single" w:sz="4" w:space="0" w:color="auto"/>
              <w:right w:val="single" w:sz="4" w:space="0" w:color="auto"/>
            </w:tcBorders>
            <w:vAlign w:val="center"/>
          </w:tcPr>
          <w:p w14:paraId="5FAA0C12" w14:textId="7DA67048" w:rsidR="00CA5C66" w:rsidRPr="00CA5C66" w:rsidRDefault="00CA5C66" w:rsidP="001116B3">
            <w:pPr>
              <w:pStyle w:val="21"/>
              <w:spacing w:after="0" w:line="0" w:lineRule="atLeast"/>
              <w:ind w:leftChars="0" w:left="0"/>
              <w:rPr>
                <w:rFonts w:ascii="华文楷体" w:eastAsia="华文楷体" w:hAnsi="华文楷体"/>
                <w:color w:val="000000"/>
                <w:sz w:val="21"/>
                <w:szCs w:val="21"/>
              </w:rPr>
            </w:pPr>
            <w:r w:rsidRPr="00CA5C66">
              <w:rPr>
                <w:rFonts w:ascii="华文楷体" w:eastAsia="华文楷体" w:hAnsi="华文楷体" w:hint="eastAsia"/>
                <w:color w:val="000000"/>
                <w:sz w:val="21"/>
                <w:szCs w:val="21"/>
              </w:rPr>
              <w:t>从单期产品投资起始日（含）起到单期产品观察日（含）为止的每一个工作日。</w:t>
            </w:r>
          </w:p>
        </w:tc>
      </w:tr>
      <w:tr w:rsidR="00EA3D01" w:rsidRPr="00EA3D01" w14:paraId="41FB6834" w14:textId="77777777" w:rsidTr="00FA2E47">
        <w:trPr>
          <w:trHeight w:val="416"/>
        </w:trPr>
        <w:tc>
          <w:tcPr>
            <w:tcW w:w="1413" w:type="dxa"/>
            <w:tcBorders>
              <w:top w:val="single" w:sz="4" w:space="0" w:color="auto"/>
              <w:left w:val="single" w:sz="4" w:space="0" w:color="auto"/>
              <w:bottom w:val="single" w:sz="4" w:space="0" w:color="auto"/>
              <w:right w:val="single" w:sz="4" w:space="0" w:color="auto"/>
            </w:tcBorders>
            <w:vAlign w:val="center"/>
          </w:tcPr>
          <w:p w14:paraId="4CEC2DE2" w14:textId="4269D597" w:rsidR="00EA3D01" w:rsidRPr="00EA3D01" w:rsidRDefault="001116B3" w:rsidP="00EA3D01">
            <w:pPr>
              <w:spacing w:line="0" w:lineRule="atLeast"/>
              <w:jc w:val="center"/>
              <w:rPr>
                <w:rFonts w:ascii="华文楷体" w:eastAsia="华文楷体" w:hAnsi="华文楷体"/>
                <w:color w:val="000000"/>
                <w:sz w:val="21"/>
                <w:szCs w:val="21"/>
              </w:rPr>
            </w:pPr>
            <w:r>
              <w:rPr>
                <w:rFonts w:ascii="华文楷体" w:eastAsia="华文楷体" w:hAnsi="华文楷体" w:hint="eastAsia"/>
                <w:color w:val="000000"/>
                <w:sz w:val="21"/>
                <w:szCs w:val="21"/>
              </w:rPr>
              <w:t>提前赎回</w:t>
            </w:r>
          </w:p>
        </w:tc>
        <w:tc>
          <w:tcPr>
            <w:tcW w:w="8080" w:type="dxa"/>
            <w:gridSpan w:val="2"/>
            <w:tcBorders>
              <w:top w:val="single" w:sz="4" w:space="0" w:color="auto"/>
              <w:left w:val="single" w:sz="4" w:space="0" w:color="auto"/>
              <w:bottom w:val="single" w:sz="4" w:space="0" w:color="auto"/>
              <w:right w:val="single" w:sz="4" w:space="0" w:color="auto"/>
            </w:tcBorders>
            <w:vAlign w:val="center"/>
          </w:tcPr>
          <w:p w14:paraId="1BA91E48" w14:textId="49B4E4A2" w:rsidR="00EA3D01" w:rsidRPr="00DB77E9" w:rsidRDefault="00DB77E9" w:rsidP="00DB77E9">
            <w:pPr>
              <w:pStyle w:val="21"/>
              <w:spacing w:after="0" w:line="0" w:lineRule="atLeast"/>
              <w:ind w:leftChars="0" w:left="0"/>
              <w:rPr>
                <w:rFonts w:ascii="华文楷体" w:eastAsia="华文楷体" w:hAnsi="华文楷体"/>
                <w:color w:val="000000"/>
                <w:sz w:val="21"/>
                <w:szCs w:val="21"/>
              </w:rPr>
            </w:pPr>
            <w:r w:rsidRPr="00DB77E9">
              <w:rPr>
                <w:rFonts w:ascii="华文楷体" w:eastAsia="华文楷体" w:hAnsi="华文楷体" w:hint="eastAsia"/>
                <w:color w:val="000000"/>
                <w:sz w:val="21"/>
                <w:szCs w:val="21"/>
              </w:rPr>
              <w:t>产品存续期内不接受投资者提前赎回。</w:t>
            </w:r>
          </w:p>
        </w:tc>
      </w:tr>
      <w:tr w:rsidR="00DB77E9" w:rsidRPr="00EA3D01" w14:paraId="3BDB9703" w14:textId="77777777" w:rsidTr="00FA2E47">
        <w:trPr>
          <w:trHeight w:val="416"/>
        </w:trPr>
        <w:tc>
          <w:tcPr>
            <w:tcW w:w="1413" w:type="dxa"/>
            <w:tcBorders>
              <w:top w:val="single" w:sz="4" w:space="0" w:color="auto"/>
              <w:left w:val="single" w:sz="4" w:space="0" w:color="auto"/>
              <w:bottom w:val="single" w:sz="4" w:space="0" w:color="auto"/>
              <w:right w:val="single" w:sz="4" w:space="0" w:color="auto"/>
            </w:tcBorders>
            <w:vAlign w:val="center"/>
          </w:tcPr>
          <w:p w14:paraId="10AC3881" w14:textId="2E108A30" w:rsidR="00DB77E9" w:rsidRPr="00EA3D01" w:rsidRDefault="001976B6" w:rsidP="00EA3D01">
            <w:pPr>
              <w:spacing w:line="0" w:lineRule="atLeast"/>
              <w:jc w:val="center"/>
              <w:rPr>
                <w:rFonts w:ascii="华文楷体" w:eastAsia="华文楷体" w:hAnsi="华文楷体"/>
                <w:color w:val="000000"/>
                <w:sz w:val="21"/>
                <w:szCs w:val="21"/>
              </w:rPr>
            </w:pPr>
            <w:r>
              <w:rPr>
                <w:rFonts w:ascii="华文楷体" w:eastAsia="华文楷体" w:hAnsi="华文楷体" w:hint="eastAsia"/>
                <w:color w:val="000000"/>
                <w:sz w:val="21"/>
                <w:szCs w:val="21"/>
              </w:rPr>
              <w:t>产品结构参数</w:t>
            </w:r>
          </w:p>
        </w:tc>
        <w:tc>
          <w:tcPr>
            <w:tcW w:w="8080" w:type="dxa"/>
            <w:gridSpan w:val="2"/>
            <w:tcBorders>
              <w:top w:val="single" w:sz="4" w:space="0" w:color="auto"/>
              <w:left w:val="single" w:sz="4" w:space="0" w:color="auto"/>
              <w:bottom w:val="single" w:sz="4" w:space="0" w:color="auto"/>
              <w:right w:val="single" w:sz="4" w:space="0" w:color="auto"/>
            </w:tcBorders>
            <w:vAlign w:val="center"/>
          </w:tcPr>
          <w:p w14:paraId="32DA9865" w14:textId="62358F59" w:rsidR="00711F5A" w:rsidRPr="00711F5A" w:rsidRDefault="00711F5A" w:rsidP="00DB77E9">
            <w:pPr>
              <w:pStyle w:val="21"/>
              <w:spacing w:after="0" w:line="0" w:lineRule="atLeast"/>
              <w:ind w:leftChars="0" w:left="0"/>
              <w:rPr>
                <w:rFonts w:ascii="华文楷体" w:eastAsia="华文楷体" w:hAnsi="华文楷体"/>
                <w:i/>
                <w:color w:val="FF0000"/>
                <w:sz w:val="21"/>
                <w:szCs w:val="21"/>
              </w:rPr>
            </w:pPr>
            <w:r w:rsidRPr="00711F5A">
              <w:rPr>
                <w:rFonts w:ascii="华文楷体" w:eastAsia="华文楷体" w:hAnsi="华文楷体" w:hint="eastAsia"/>
                <w:i/>
                <w:color w:val="FF0000"/>
                <w:sz w:val="21"/>
                <w:szCs w:val="21"/>
              </w:rPr>
              <w:t>参数均为暂定</w:t>
            </w:r>
          </w:p>
          <w:p w14:paraId="49D9F7EB" w14:textId="1F578E95" w:rsidR="00DB77E9" w:rsidRDefault="001976B6" w:rsidP="00DB77E9">
            <w:pPr>
              <w:pStyle w:val="21"/>
              <w:spacing w:after="0" w:line="0" w:lineRule="atLeast"/>
              <w:ind w:leftChars="0" w:left="0"/>
              <w:rPr>
                <w:rFonts w:ascii="华文楷体" w:eastAsia="华文楷体" w:hAnsi="华文楷体"/>
                <w:color w:val="000000"/>
                <w:sz w:val="21"/>
                <w:szCs w:val="21"/>
              </w:rPr>
            </w:pPr>
            <w:r>
              <w:rPr>
                <w:rFonts w:ascii="华文楷体" w:eastAsia="华文楷体" w:hAnsi="华文楷体" w:hint="eastAsia"/>
                <w:color w:val="000000"/>
                <w:sz w:val="21"/>
                <w:szCs w:val="21"/>
              </w:rPr>
              <w:t>保本率：10</w:t>
            </w:r>
            <w:r w:rsidR="00564D0D">
              <w:rPr>
                <w:rFonts w:ascii="华文楷体" w:eastAsia="华文楷体" w:hAnsi="华文楷体" w:hint="eastAsia"/>
                <w:color w:val="000000"/>
                <w:sz w:val="21"/>
                <w:szCs w:val="21"/>
              </w:rPr>
              <w:t>2</w:t>
            </w:r>
            <w:r>
              <w:rPr>
                <w:rFonts w:ascii="华文楷体" w:eastAsia="华文楷体" w:hAnsi="华文楷体"/>
                <w:color w:val="000000"/>
                <w:sz w:val="21"/>
                <w:szCs w:val="21"/>
              </w:rPr>
              <w:t>.</w:t>
            </w:r>
            <w:r w:rsidR="00FA2E47">
              <w:rPr>
                <w:rFonts w:ascii="华文楷体" w:eastAsia="华文楷体" w:hAnsi="华文楷体" w:hint="eastAsia"/>
                <w:color w:val="000000"/>
                <w:sz w:val="21"/>
                <w:szCs w:val="21"/>
              </w:rPr>
              <w:t>70</w:t>
            </w:r>
            <w:r>
              <w:rPr>
                <w:rFonts w:ascii="华文楷体" w:eastAsia="华文楷体" w:hAnsi="华文楷体" w:hint="eastAsia"/>
                <w:color w:val="000000"/>
                <w:sz w:val="21"/>
                <w:szCs w:val="21"/>
              </w:rPr>
              <w:t>%</w:t>
            </w:r>
          </w:p>
          <w:p w14:paraId="1FB88FB9" w14:textId="7DFF99DF" w:rsidR="001976B6" w:rsidRDefault="001976B6" w:rsidP="00DB77E9">
            <w:pPr>
              <w:pStyle w:val="21"/>
              <w:spacing w:after="0" w:line="0" w:lineRule="atLeast"/>
              <w:ind w:leftChars="0" w:left="0"/>
              <w:rPr>
                <w:rFonts w:ascii="华文楷体" w:eastAsia="华文楷体" w:hAnsi="华文楷体"/>
                <w:color w:val="000000"/>
                <w:sz w:val="21"/>
                <w:szCs w:val="21"/>
              </w:rPr>
            </w:pPr>
            <w:r>
              <w:rPr>
                <w:rFonts w:ascii="华文楷体" w:eastAsia="华文楷体" w:hAnsi="华文楷体" w:hint="eastAsia"/>
                <w:color w:val="000000"/>
                <w:sz w:val="21"/>
                <w:szCs w:val="21"/>
              </w:rPr>
              <w:t>行权价：10</w:t>
            </w:r>
            <w:r w:rsidR="00FA2E47">
              <w:rPr>
                <w:rFonts w:ascii="华文楷体" w:eastAsia="华文楷体" w:hAnsi="华文楷体" w:hint="eastAsia"/>
                <w:color w:val="000000"/>
                <w:sz w:val="21"/>
                <w:szCs w:val="21"/>
              </w:rPr>
              <w:t>3</w:t>
            </w:r>
            <w:r>
              <w:rPr>
                <w:rFonts w:ascii="华文楷体" w:eastAsia="华文楷体" w:hAnsi="华文楷体"/>
                <w:color w:val="000000"/>
                <w:sz w:val="21"/>
                <w:szCs w:val="21"/>
              </w:rPr>
              <w:t>.</w:t>
            </w:r>
            <w:r w:rsidR="00FA2E47">
              <w:rPr>
                <w:rFonts w:ascii="华文楷体" w:eastAsia="华文楷体" w:hAnsi="华文楷体" w:hint="eastAsia"/>
                <w:color w:val="000000"/>
                <w:sz w:val="21"/>
                <w:szCs w:val="21"/>
              </w:rPr>
              <w:t>5</w:t>
            </w:r>
            <w:r>
              <w:rPr>
                <w:rFonts w:ascii="华文楷体" w:eastAsia="华文楷体" w:hAnsi="华文楷体"/>
                <w:color w:val="000000"/>
                <w:sz w:val="21"/>
                <w:szCs w:val="21"/>
              </w:rPr>
              <w:t>0</w:t>
            </w:r>
            <w:r>
              <w:rPr>
                <w:rFonts w:ascii="华文楷体" w:eastAsia="华文楷体" w:hAnsi="华文楷体" w:hint="eastAsia"/>
                <w:color w:val="000000"/>
                <w:sz w:val="21"/>
                <w:szCs w:val="21"/>
              </w:rPr>
              <w:t>%</w:t>
            </w:r>
          </w:p>
          <w:p w14:paraId="3A0062D0" w14:textId="6F65C4E9" w:rsidR="001976B6" w:rsidRPr="00DB77E9" w:rsidRDefault="001976B6" w:rsidP="00711F5A">
            <w:pPr>
              <w:pStyle w:val="21"/>
              <w:spacing w:after="0" w:line="0" w:lineRule="atLeast"/>
              <w:ind w:leftChars="0" w:left="0"/>
              <w:rPr>
                <w:rFonts w:ascii="华文楷体" w:eastAsia="华文楷体" w:hAnsi="华文楷体"/>
                <w:color w:val="000000"/>
                <w:sz w:val="21"/>
                <w:szCs w:val="21"/>
              </w:rPr>
            </w:pPr>
            <w:r w:rsidRPr="001976B6">
              <w:rPr>
                <w:rFonts w:ascii="华文楷体" w:eastAsia="华文楷体" w:hAnsi="华文楷体" w:hint="eastAsia"/>
                <w:color w:val="000000"/>
                <w:sz w:val="21"/>
                <w:szCs w:val="21"/>
              </w:rPr>
              <w:t>参与率</w:t>
            </w:r>
            <w:r>
              <w:rPr>
                <w:rFonts w:ascii="华文楷体" w:eastAsia="华文楷体" w:hAnsi="华文楷体" w:hint="eastAsia"/>
                <w:color w:val="000000"/>
                <w:sz w:val="21"/>
                <w:szCs w:val="21"/>
              </w:rPr>
              <w:t>：</w:t>
            </w:r>
            <w:r w:rsidR="00FA2E47">
              <w:rPr>
                <w:rFonts w:ascii="华文楷体" w:eastAsia="华文楷体" w:hAnsi="华文楷体" w:hint="eastAsia"/>
                <w:color w:val="000000"/>
                <w:sz w:val="21"/>
                <w:szCs w:val="21"/>
              </w:rPr>
              <w:t>100</w:t>
            </w:r>
            <w:r w:rsidRPr="001976B6">
              <w:rPr>
                <w:rFonts w:ascii="华文楷体" w:eastAsia="华文楷体" w:hAnsi="华文楷体" w:hint="eastAsia"/>
                <w:color w:val="000000"/>
                <w:sz w:val="21"/>
                <w:szCs w:val="21"/>
              </w:rPr>
              <w:t>.00%</w:t>
            </w:r>
          </w:p>
        </w:tc>
      </w:tr>
      <w:tr w:rsidR="00EA3D01" w:rsidRPr="00EA3D01" w14:paraId="2D3A2577" w14:textId="77777777" w:rsidTr="00FA2E47">
        <w:trPr>
          <w:trHeight w:val="690"/>
        </w:trPr>
        <w:tc>
          <w:tcPr>
            <w:tcW w:w="1413" w:type="dxa"/>
            <w:tcBorders>
              <w:top w:val="single" w:sz="4" w:space="0" w:color="auto"/>
              <w:left w:val="single" w:sz="4" w:space="0" w:color="auto"/>
              <w:bottom w:val="single" w:sz="4" w:space="0" w:color="auto"/>
              <w:right w:val="single" w:sz="4" w:space="0" w:color="auto"/>
            </w:tcBorders>
            <w:vAlign w:val="center"/>
          </w:tcPr>
          <w:p w14:paraId="64D967A2" w14:textId="56148046" w:rsidR="00EA3D01" w:rsidRPr="00EA3D01" w:rsidRDefault="001976B6" w:rsidP="00EA3D01">
            <w:pPr>
              <w:spacing w:line="0" w:lineRule="atLeast"/>
              <w:jc w:val="center"/>
              <w:rPr>
                <w:rFonts w:ascii="华文楷体" w:eastAsia="华文楷体" w:hAnsi="华文楷体"/>
                <w:color w:val="000000"/>
                <w:sz w:val="21"/>
                <w:szCs w:val="21"/>
              </w:rPr>
            </w:pPr>
            <w:r>
              <w:rPr>
                <w:rFonts w:ascii="华文楷体" w:eastAsia="华文楷体" w:hAnsi="华文楷体" w:hint="eastAsia"/>
                <w:color w:val="000000"/>
                <w:sz w:val="21"/>
                <w:szCs w:val="21"/>
              </w:rPr>
              <w:lastRenderedPageBreak/>
              <w:t>收益</w:t>
            </w:r>
            <w:r w:rsidR="00FA2E47">
              <w:rPr>
                <w:rFonts w:ascii="华文楷体" w:eastAsia="华文楷体" w:hAnsi="华文楷体" w:hint="eastAsia"/>
                <w:color w:val="000000"/>
                <w:sz w:val="21"/>
                <w:szCs w:val="21"/>
              </w:rPr>
              <w:t>计算方法</w:t>
            </w:r>
          </w:p>
        </w:tc>
        <w:tc>
          <w:tcPr>
            <w:tcW w:w="8080" w:type="dxa"/>
            <w:gridSpan w:val="2"/>
            <w:tcBorders>
              <w:top w:val="single" w:sz="4" w:space="0" w:color="auto"/>
              <w:left w:val="single" w:sz="4" w:space="0" w:color="auto"/>
              <w:bottom w:val="single" w:sz="4" w:space="0" w:color="auto"/>
              <w:right w:val="single" w:sz="4" w:space="0" w:color="auto"/>
            </w:tcBorders>
            <w:vAlign w:val="center"/>
          </w:tcPr>
          <w:p w14:paraId="4F1CEA2F" w14:textId="77777777" w:rsidR="001976B6" w:rsidRPr="001976B6" w:rsidRDefault="001976B6" w:rsidP="001976B6">
            <w:pPr>
              <w:pStyle w:val="0"/>
              <w:spacing w:line="0" w:lineRule="atLeast"/>
              <w:rPr>
                <w:rFonts w:ascii="华文楷体" w:eastAsia="华文楷体" w:hAnsi="华文楷体"/>
                <w:color w:val="000000"/>
                <w:szCs w:val="21"/>
              </w:rPr>
            </w:pPr>
            <w:r w:rsidRPr="001976B6">
              <w:rPr>
                <w:rFonts w:ascii="华文楷体" w:eastAsia="华文楷体" w:hAnsi="华文楷体" w:hint="eastAsia"/>
                <w:color w:val="000000"/>
                <w:szCs w:val="21"/>
              </w:rPr>
              <w:t>若所投资的资产按时收回全部资金：</w:t>
            </w:r>
          </w:p>
          <w:p w14:paraId="2F4A683E" w14:textId="1CA53D72" w:rsidR="001976B6" w:rsidRPr="001976B6" w:rsidRDefault="00564D0D" w:rsidP="001976B6">
            <w:pPr>
              <w:pStyle w:val="0"/>
              <w:spacing w:line="0" w:lineRule="atLeast"/>
              <w:rPr>
                <w:rFonts w:ascii="华文楷体" w:eastAsia="华文楷体" w:hAnsi="华文楷体"/>
                <w:color w:val="000000"/>
                <w:szCs w:val="21"/>
              </w:rPr>
            </w:pPr>
            <w:r>
              <w:rPr>
                <w:rFonts w:ascii="华文楷体" w:eastAsia="华文楷体" w:hAnsi="华文楷体" w:hint="eastAsia"/>
                <w:color w:val="000000"/>
                <w:szCs w:val="21"/>
              </w:rPr>
              <w:t>1.</w:t>
            </w:r>
            <w:r>
              <w:rPr>
                <w:rFonts w:ascii="华文楷体" w:eastAsia="华文楷体" w:hAnsi="华文楷体"/>
                <w:color w:val="000000"/>
                <w:szCs w:val="21"/>
              </w:rPr>
              <w:t xml:space="preserve"> </w:t>
            </w:r>
            <w:r w:rsidR="001976B6" w:rsidRPr="001976B6">
              <w:rPr>
                <w:rFonts w:ascii="华文楷体" w:eastAsia="华文楷体" w:hAnsi="华文楷体" w:hint="eastAsia"/>
                <w:color w:val="000000"/>
                <w:szCs w:val="21"/>
              </w:rPr>
              <w:t>若单期产品观察日挂钩标的收盘价与当期产品投资起始日挂钩标的收盘价的比值小于行权价，单期产品预期年化收益率等于产品保本率-1（前述计算所得预期年化收益率保留两位小数，舍去第三位及之后小数）；</w:t>
            </w:r>
          </w:p>
          <w:p w14:paraId="05A1DA23" w14:textId="7558742D" w:rsidR="00EA3D01" w:rsidRPr="00EA3D01" w:rsidRDefault="00564D0D" w:rsidP="001976B6">
            <w:pPr>
              <w:pStyle w:val="0"/>
              <w:spacing w:line="0" w:lineRule="atLeast"/>
              <w:rPr>
                <w:rFonts w:ascii="华文楷体" w:eastAsia="华文楷体" w:hAnsi="华文楷体"/>
                <w:color w:val="000000"/>
                <w:szCs w:val="21"/>
              </w:rPr>
            </w:pPr>
            <w:r>
              <w:rPr>
                <w:rFonts w:ascii="华文楷体" w:eastAsia="华文楷体" w:hAnsi="华文楷体" w:hint="eastAsia"/>
                <w:color w:val="000000"/>
                <w:szCs w:val="21"/>
              </w:rPr>
              <w:t>2.</w:t>
            </w:r>
            <w:r>
              <w:rPr>
                <w:rFonts w:ascii="华文楷体" w:eastAsia="华文楷体" w:hAnsi="华文楷体"/>
                <w:color w:val="000000"/>
                <w:szCs w:val="21"/>
              </w:rPr>
              <w:t xml:space="preserve"> </w:t>
            </w:r>
            <w:r w:rsidR="001976B6" w:rsidRPr="001976B6">
              <w:rPr>
                <w:rFonts w:ascii="华文楷体" w:eastAsia="华文楷体" w:hAnsi="华文楷体" w:hint="eastAsia"/>
                <w:color w:val="000000"/>
                <w:szCs w:val="21"/>
              </w:rPr>
              <w:t>若单期产品观察日挂钩标的收盘价与当期产品投资起始日挂钩标的收盘价的比值大于或等于行权价，单期产品预期年化收益率等于保本率+参与率*（当期产品观察日挂钩标的收盘价/当期产品投资起始日挂钩标的收盘价-行权价）（前述计算所得预期年化收益率保留两位小数，舍去第三位及之后小数）。</w:t>
            </w:r>
          </w:p>
        </w:tc>
      </w:tr>
      <w:tr w:rsidR="00FA2E47" w:rsidRPr="00EA3D01" w14:paraId="1267E2EA" w14:textId="77777777" w:rsidTr="00FA2E47">
        <w:trPr>
          <w:trHeight w:val="690"/>
        </w:trPr>
        <w:tc>
          <w:tcPr>
            <w:tcW w:w="1413" w:type="dxa"/>
            <w:tcBorders>
              <w:top w:val="single" w:sz="4" w:space="0" w:color="auto"/>
              <w:left w:val="single" w:sz="4" w:space="0" w:color="auto"/>
              <w:bottom w:val="single" w:sz="4" w:space="0" w:color="auto"/>
              <w:right w:val="single" w:sz="4" w:space="0" w:color="auto"/>
            </w:tcBorders>
            <w:vAlign w:val="center"/>
          </w:tcPr>
          <w:p w14:paraId="00EBE0D4" w14:textId="3902C5BE" w:rsidR="00FA2E47" w:rsidRDefault="00FA2E47" w:rsidP="00EA3D01">
            <w:pPr>
              <w:spacing w:line="0" w:lineRule="atLeast"/>
              <w:jc w:val="center"/>
              <w:rPr>
                <w:rFonts w:ascii="华文楷体" w:eastAsia="华文楷体" w:hAnsi="华文楷体"/>
                <w:color w:val="000000"/>
                <w:sz w:val="21"/>
                <w:szCs w:val="21"/>
              </w:rPr>
            </w:pPr>
            <w:r>
              <w:rPr>
                <w:rFonts w:ascii="华文楷体" w:eastAsia="华文楷体" w:hAnsi="华文楷体" w:hint="eastAsia"/>
                <w:color w:val="000000"/>
                <w:sz w:val="21"/>
                <w:szCs w:val="21"/>
              </w:rPr>
              <w:t>预期年化收益率</w:t>
            </w:r>
          </w:p>
        </w:tc>
        <w:tc>
          <w:tcPr>
            <w:tcW w:w="8080" w:type="dxa"/>
            <w:gridSpan w:val="2"/>
            <w:tcBorders>
              <w:top w:val="single" w:sz="4" w:space="0" w:color="auto"/>
              <w:left w:val="single" w:sz="4" w:space="0" w:color="auto"/>
              <w:bottom w:val="single" w:sz="4" w:space="0" w:color="auto"/>
              <w:right w:val="single" w:sz="4" w:space="0" w:color="auto"/>
            </w:tcBorders>
            <w:vAlign w:val="center"/>
          </w:tcPr>
          <w:p w14:paraId="741CDD6F" w14:textId="2FABBE79" w:rsidR="00FA2E47" w:rsidRPr="001976B6" w:rsidRDefault="00FA2E47" w:rsidP="001976B6">
            <w:pPr>
              <w:pStyle w:val="0"/>
              <w:spacing w:line="0" w:lineRule="atLeast"/>
              <w:rPr>
                <w:rFonts w:ascii="华文楷体" w:eastAsia="华文楷体" w:hAnsi="华文楷体"/>
                <w:color w:val="000000"/>
                <w:szCs w:val="21"/>
              </w:rPr>
            </w:pPr>
            <w:r>
              <w:rPr>
                <w:rFonts w:ascii="华文楷体" w:eastAsia="华文楷体" w:hAnsi="华文楷体" w:hint="eastAsia"/>
                <w:color w:val="000000"/>
                <w:szCs w:val="21"/>
              </w:rPr>
              <w:t>2.70%~9.20%（标的期货合约月涨幅达10%时取到上限）</w:t>
            </w:r>
          </w:p>
        </w:tc>
      </w:tr>
      <w:tr w:rsidR="00EA3D01" w:rsidRPr="00EA3D01" w14:paraId="560AA087" w14:textId="77777777" w:rsidTr="00FA2E47">
        <w:trPr>
          <w:trHeight w:val="309"/>
        </w:trPr>
        <w:tc>
          <w:tcPr>
            <w:tcW w:w="1413" w:type="dxa"/>
            <w:vMerge w:val="restart"/>
            <w:tcBorders>
              <w:left w:val="single" w:sz="4" w:space="0" w:color="auto"/>
              <w:right w:val="single" w:sz="4" w:space="0" w:color="auto"/>
            </w:tcBorders>
            <w:vAlign w:val="center"/>
          </w:tcPr>
          <w:p w14:paraId="4572E16F" w14:textId="062054EB" w:rsidR="00EA3D01" w:rsidRPr="00EA3D01" w:rsidRDefault="00F200B1" w:rsidP="00EA3D01">
            <w:pPr>
              <w:spacing w:line="0" w:lineRule="atLeast"/>
              <w:jc w:val="center"/>
              <w:rPr>
                <w:rFonts w:ascii="华文楷体" w:eastAsia="华文楷体" w:hAnsi="华文楷体"/>
                <w:color w:val="000000"/>
                <w:sz w:val="21"/>
                <w:szCs w:val="21"/>
              </w:rPr>
            </w:pPr>
            <w:r>
              <w:rPr>
                <w:rFonts w:ascii="华文楷体" w:eastAsia="华文楷体" w:hAnsi="华文楷体" w:hint="eastAsia"/>
                <w:color w:val="000000"/>
                <w:sz w:val="21"/>
                <w:szCs w:val="21"/>
              </w:rPr>
              <w:t>各项费用</w:t>
            </w:r>
          </w:p>
        </w:tc>
        <w:tc>
          <w:tcPr>
            <w:tcW w:w="1600" w:type="dxa"/>
            <w:tcBorders>
              <w:top w:val="single" w:sz="4" w:space="0" w:color="auto"/>
              <w:left w:val="single" w:sz="4" w:space="0" w:color="auto"/>
              <w:bottom w:val="single" w:sz="4" w:space="0" w:color="auto"/>
              <w:right w:val="single" w:sz="4" w:space="0" w:color="auto"/>
            </w:tcBorders>
            <w:vAlign w:val="center"/>
          </w:tcPr>
          <w:p w14:paraId="633F42FA" w14:textId="77777777" w:rsidR="00EA3D01" w:rsidRPr="00EA3D01" w:rsidRDefault="00EA3D01" w:rsidP="00EA3D01">
            <w:pPr>
              <w:pStyle w:val="0"/>
              <w:spacing w:line="0" w:lineRule="atLeast"/>
              <w:jc w:val="center"/>
              <w:rPr>
                <w:rFonts w:ascii="华文楷体" w:eastAsia="华文楷体" w:hAnsi="华文楷体"/>
                <w:color w:val="000000"/>
                <w:szCs w:val="21"/>
              </w:rPr>
            </w:pPr>
            <w:r w:rsidRPr="00EA3D01">
              <w:rPr>
                <w:rFonts w:ascii="华文楷体" w:eastAsia="华文楷体" w:hAnsi="华文楷体" w:hint="eastAsia"/>
                <w:color w:val="000000"/>
                <w:szCs w:val="21"/>
              </w:rPr>
              <w:t>销售费用</w:t>
            </w:r>
          </w:p>
        </w:tc>
        <w:tc>
          <w:tcPr>
            <w:tcW w:w="6480" w:type="dxa"/>
            <w:tcBorders>
              <w:top w:val="single" w:sz="4" w:space="0" w:color="auto"/>
              <w:left w:val="single" w:sz="4" w:space="0" w:color="auto"/>
              <w:bottom w:val="single" w:sz="4" w:space="0" w:color="auto"/>
              <w:right w:val="single" w:sz="4" w:space="0" w:color="auto"/>
            </w:tcBorders>
            <w:vAlign w:val="center"/>
          </w:tcPr>
          <w:p w14:paraId="0CF960FE" w14:textId="77777777" w:rsidR="00EA3D01" w:rsidRPr="00EA3D01" w:rsidRDefault="00EA3D01" w:rsidP="00EA3D01">
            <w:pPr>
              <w:pStyle w:val="0"/>
              <w:spacing w:line="0" w:lineRule="atLeast"/>
              <w:rPr>
                <w:rFonts w:ascii="华文楷体" w:eastAsia="华文楷体" w:hAnsi="华文楷体"/>
                <w:color w:val="000000"/>
                <w:szCs w:val="21"/>
              </w:rPr>
            </w:pPr>
            <w:r w:rsidRPr="00EA3D01">
              <w:rPr>
                <w:rFonts w:ascii="华文楷体" w:eastAsia="华文楷体" w:hAnsi="华文楷体" w:hint="eastAsia"/>
                <w:color w:val="000000"/>
                <w:szCs w:val="21"/>
              </w:rPr>
              <w:t>0.5%</w:t>
            </w:r>
          </w:p>
        </w:tc>
      </w:tr>
      <w:tr w:rsidR="00EA3D01" w:rsidRPr="00EA3D01" w14:paraId="61E7D152" w14:textId="77777777" w:rsidTr="00FA2E47">
        <w:trPr>
          <w:trHeight w:val="315"/>
        </w:trPr>
        <w:tc>
          <w:tcPr>
            <w:tcW w:w="1413" w:type="dxa"/>
            <w:vMerge/>
            <w:tcBorders>
              <w:left w:val="single" w:sz="4" w:space="0" w:color="auto"/>
              <w:right w:val="single" w:sz="4" w:space="0" w:color="auto"/>
            </w:tcBorders>
            <w:vAlign w:val="center"/>
          </w:tcPr>
          <w:p w14:paraId="70BD33FB" w14:textId="77777777" w:rsidR="00EA3D01" w:rsidRPr="00EA3D01" w:rsidRDefault="00EA3D01" w:rsidP="00EA3D01">
            <w:pPr>
              <w:spacing w:line="0" w:lineRule="atLeast"/>
              <w:jc w:val="center"/>
              <w:rPr>
                <w:rFonts w:ascii="华文楷体" w:eastAsia="华文楷体" w:hAnsi="华文楷体"/>
                <w:color w:val="000000"/>
                <w:sz w:val="21"/>
                <w:szCs w:val="21"/>
              </w:rPr>
            </w:pPr>
          </w:p>
        </w:tc>
        <w:tc>
          <w:tcPr>
            <w:tcW w:w="1600" w:type="dxa"/>
            <w:tcBorders>
              <w:top w:val="single" w:sz="4" w:space="0" w:color="auto"/>
              <w:left w:val="single" w:sz="4" w:space="0" w:color="auto"/>
              <w:bottom w:val="single" w:sz="4" w:space="0" w:color="auto"/>
              <w:right w:val="single" w:sz="4" w:space="0" w:color="auto"/>
            </w:tcBorders>
            <w:vAlign w:val="center"/>
          </w:tcPr>
          <w:p w14:paraId="25801554" w14:textId="77777777" w:rsidR="00EA3D01" w:rsidRPr="00EA3D01" w:rsidRDefault="00EA3D01" w:rsidP="00EA3D01">
            <w:pPr>
              <w:pStyle w:val="0"/>
              <w:spacing w:line="0" w:lineRule="atLeast"/>
              <w:jc w:val="center"/>
              <w:rPr>
                <w:rFonts w:ascii="华文楷体" w:eastAsia="华文楷体" w:hAnsi="华文楷体"/>
                <w:color w:val="000000"/>
                <w:szCs w:val="21"/>
              </w:rPr>
            </w:pPr>
            <w:r w:rsidRPr="00EA3D01">
              <w:rPr>
                <w:rFonts w:ascii="华文楷体" w:eastAsia="华文楷体" w:hAnsi="华文楷体" w:hint="eastAsia"/>
                <w:color w:val="000000"/>
                <w:szCs w:val="21"/>
              </w:rPr>
              <w:t>管理费</w:t>
            </w:r>
          </w:p>
        </w:tc>
        <w:tc>
          <w:tcPr>
            <w:tcW w:w="6480" w:type="dxa"/>
            <w:tcBorders>
              <w:top w:val="single" w:sz="4" w:space="0" w:color="auto"/>
              <w:left w:val="single" w:sz="4" w:space="0" w:color="auto"/>
              <w:bottom w:val="single" w:sz="4" w:space="0" w:color="auto"/>
              <w:right w:val="single" w:sz="4" w:space="0" w:color="auto"/>
            </w:tcBorders>
            <w:vAlign w:val="center"/>
          </w:tcPr>
          <w:p w14:paraId="3DBEF5C8" w14:textId="77777777" w:rsidR="00EA3D01" w:rsidRPr="00EA3D01" w:rsidRDefault="00EA3D01" w:rsidP="00EA3D01">
            <w:pPr>
              <w:pStyle w:val="0"/>
              <w:spacing w:line="0" w:lineRule="atLeast"/>
              <w:rPr>
                <w:rFonts w:ascii="华文楷体" w:eastAsia="华文楷体" w:hAnsi="华文楷体"/>
                <w:color w:val="000000"/>
                <w:szCs w:val="21"/>
              </w:rPr>
            </w:pPr>
            <w:r w:rsidRPr="00EA3D01">
              <w:rPr>
                <w:rFonts w:ascii="华文楷体" w:eastAsia="华文楷体" w:hAnsi="华文楷体" w:hint="eastAsia"/>
                <w:color w:val="000000"/>
                <w:szCs w:val="21"/>
              </w:rPr>
              <w:t>1.5%</w:t>
            </w:r>
          </w:p>
        </w:tc>
      </w:tr>
      <w:tr w:rsidR="00EA3D01" w:rsidRPr="00EA3D01" w14:paraId="2BD7ACAF" w14:textId="77777777" w:rsidTr="00FA2E47">
        <w:trPr>
          <w:trHeight w:val="411"/>
        </w:trPr>
        <w:tc>
          <w:tcPr>
            <w:tcW w:w="1413" w:type="dxa"/>
            <w:vMerge/>
            <w:tcBorders>
              <w:left w:val="single" w:sz="4" w:space="0" w:color="auto"/>
              <w:right w:val="single" w:sz="4" w:space="0" w:color="auto"/>
            </w:tcBorders>
            <w:vAlign w:val="center"/>
          </w:tcPr>
          <w:p w14:paraId="15562490" w14:textId="77777777" w:rsidR="00EA3D01" w:rsidRPr="00EA3D01" w:rsidRDefault="00EA3D01" w:rsidP="00EA3D01">
            <w:pPr>
              <w:spacing w:line="0" w:lineRule="atLeast"/>
              <w:jc w:val="center"/>
              <w:rPr>
                <w:rFonts w:ascii="华文楷体" w:eastAsia="华文楷体" w:hAnsi="华文楷体"/>
                <w:color w:val="000000"/>
                <w:sz w:val="21"/>
                <w:szCs w:val="21"/>
              </w:rPr>
            </w:pPr>
          </w:p>
        </w:tc>
        <w:tc>
          <w:tcPr>
            <w:tcW w:w="1600" w:type="dxa"/>
            <w:tcBorders>
              <w:top w:val="single" w:sz="4" w:space="0" w:color="auto"/>
              <w:left w:val="single" w:sz="4" w:space="0" w:color="auto"/>
              <w:bottom w:val="single" w:sz="4" w:space="0" w:color="auto"/>
              <w:right w:val="single" w:sz="4" w:space="0" w:color="auto"/>
            </w:tcBorders>
            <w:vAlign w:val="center"/>
          </w:tcPr>
          <w:p w14:paraId="24C55FC3" w14:textId="77777777" w:rsidR="00EA3D01" w:rsidRPr="00EA3D01" w:rsidRDefault="00EA3D01" w:rsidP="00EA3D01">
            <w:pPr>
              <w:pStyle w:val="0"/>
              <w:spacing w:line="0" w:lineRule="atLeast"/>
              <w:jc w:val="center"/>
              <w:rPr>
                <w:rFonts w:ascii="华文楷体" w:eastAsia="华文楷体" w:hAnsi="华文楷体"/>
                <w:color w:val="000000"/>
                <w:szCs w:val="21"/>
              </w:rPr>
            </w:pPr>
            <w:r w:rsidRPr="00EA3D01">
              <w:rPr>
                <w:rFonts w:ascii="华文楷体" w:eastAsia="华文楷体" w:hAnsi="华文楷体" w:hint="eastAsia"/>
                <w:color w:val="000000"/>
                <w:szCs w:val="21"/>
              </w:rPr>
              <w:t>托管费</w:t>
            </w:r>
          </w:p>
        </w:tc>
        <w:tc>
          <w:tcPr>
            <w:tcW w:w="6480" w:type="dxa"/>
            <w:tcBorders>
              <w:top w:val="single" w:sz="4" w:space="0" w:color="auto"/>
              <w:left w:val="single" w:sz="4" w:space="0" w:color="auto"/>
              <w:bottom w:val="single" w:sz="4" w:space="0" w:color="auto"/>
              <w:right w:val="single" w:sz="4" w:space="0" w:color="auto"/>
            </w:tcBorders>
            <w:vAlign w:val="center"/>
          </w:tcPr>
          <w:p w14:paraId="42F77F33" w14:textId="77777777" w:rsidR="00EA3D01" w:rsidRPr="00EA3D01" w:rsidRDefault="00EA3D01" w:rsidP="00EA3D01">
            <w:pPr>
              <w:pStyle w:val="0"/>
              <w:spacing w:line="0" w:lineRule="atLeast"/>
              <w:rPr>
                <w:rFonts w:ascii="华文楷体" w:eastAsia="华文楷体" w:hAnsi="华文楷体"/>
                <w:color w:val="000000"/>
                <w:szCs w:val="21"/>
              </w:rPr>
            </w:pPr>
            <w:r w:rsidRPr="00EA3D01">
              <w:rPr>
                <w:rFonts w:ascii="华文楷体" w:eastAsia="华文楷体" w:hAnsi="华文楷体" w:hint="eastAsia"/>
                <w:color w:val="000000"/>
                <w:szCs w:val="21"/>
              </w:rPr>
              <w:t>0.1%</w:t>
            </w:r>
          </w:p>
        </w:tc>
      </w:tr>
      <w:tr w:rsidR="00EA3D01" w:rsidRPr="00EA3D01" w14:paraId="40EAE729" w14:textId="77777777" w:rsidTr="00FA2E47">
        <w:trPr>
          <w:trHeight w:val="277"/>
        </w:trPr>
        <w:tc>
          <w:tcPr>
            <w:tcW w:w="1413" w:type="dxa"/>
            <w:vMerge/>
            <w:tcBorders>
              <w:left w:val="single" w:sz="4" w:space="0" w:color="auto"/>
              <w:right w:val="single" w:sz="4" w:space="0" w:color="auto"/>
            </w:tcBorders>
            <w:vAlign w:val="center"/>
          </w:tcPr>
          <w:p w14:paraId="0C08714C" w14:textId="77777777" w:rsidR="00EA3D01" w:rsidRPr="00EA3D01" w:rsidRDefault="00EA3D01" w:rsidP="00EA3D01">
            <w:pPr>
              <w:spacing w:line="0" w:lineRule="atLeast"/>
              <w:jc w:val="center"/>
              <w:rPr>
                <w:rFonts w:ascii="华文楷体" w:eastAsia="华文楷体" w:hAnsi="华文楷体"/>
                <w:color w:val="000000"/>
                <w:sz w:val="21"/>
                <w:szCs w:val="21"/>
              </w:rPr>
            </w:pPr>
          </w:p>
        </w:tc>
        <w:tc>
          <w:tcPr>
            <w:tcW w:w="1600" w:type="dxa"/>
            <w:tcBorders>
              <w:top w:val="single" w:sz="4" w:space="0" w:color="auto"/>
              <w:left w:val="single" w:sz="4" w:space="0" w:color="auto"/>
              <w:bottom w:val="single" w:sz="4" w:space="0" w:color="auto"/>
              <w:right w:val="single" w:sz="4" w:space="0" w:color="auto"/>
            </w:tcBorders>
            <w:vAlign w:val="center"/>
          </w:tcPr>
          <w:p w14:paraId="3AEF1B2B" w14:textId="77777777" w:rsidR="00EA3D01" w:rsidRPr="00EA3D01" w:rsidRDefault="00EA3D01" w:rsidP="00EA3D01">
            <w:pPr>
              <w:pStyle w:val="0"/>
              <w:spacing w:line="0" w:lineRule="atLeast"/>
              <w:jc w:val="center"/>
              <w:rPr>
                <w:rFonts w:ascii="华文楷体" w:eastAsia="华文楷体" w:hAnsi="华文楷体"/>
                <w:color w:val="000000"/>
                <w:szCs w:val="21"/>
              </w:rPr>
            </w:pPr>
            <w:r w:rsidRPr="00EA3D01">
              <w:rPr>
                <w:rFonts w:ascii="华文楷体" w:eastAsia="华文楷体" w:hAnsi="华文楷体" w:hint="eastAsia"/>
                <w:color w:val="000000"/>
                <w:szCs w:val="21"/>
              </w:rPr>
              <w:t>外包费</w:t>
            </w:r>
          </w:p>
        </w:tc>
        <w:tc>
          <w:tcPr>
            <w:tcW w:w="6480" w:type="dxa"/>
            <w:tcBorders>
              <w:top w:val="single" w:sz="4" w:space="0" w:color="auto"/>
              <w:left w:val="single" w:sz="4" w:space="0" w:color="auto"/>
              <w:bottom w:val="single" w:sz="4" w:space="0" w:color="auto"/>
              <w:right w:val="single" w:sz="4" w:space="0" w:color="auto"/>
            </w:tcBorders>
            <w:vAlign w:val="center"/>
          </w:tcPr>
          <w:p w14:paraId="01F2210F" w14:textId="77777777" w:rsidR="00EA3D01" w:rsidRPr="00EA3D01" w:rsidRDefault="00EA3D01" w:rsidP="00EA3D01">
            <w:pPr>
              <w:pStyle w:val="0"/>
              <w:spacing w:line="0" w:lineRule="atLeast"/>
              <w:rPr>
                <w:rFonts w:ascii="华文楷体" w:eastAsia="华文楷体" w:hAnsi="华文楷体"/>
                <w:color w:val="000000"/>
                <w:szCs w:val="21"/>
              </w:rPr>
            </w:pPr>
            <w:r w:rsidRPr="00EA3D01">
              <w:rPr>
                <w:rFonts w:ascii="华文楷体" w:eastAsia="华文楷体" w:hAnsi="华文楷体" w:hint="eastAsia"/>
                <w:color w:val="000000"/>
                <w:szCs w:val="21"/>
              </w:rPr>
              <w:t>0.05%</w:t>
            </w:r>
          </w:p>
        </w:tc>
      </w:tr>
      <w:tr w:rsidR="00EC52EC" w:rsidRPr="00EA3D01" w14:paraId="453552CB" w14:textId="77777777" w:rsidTr="00FA2E47">
        <w:trPr>
          <w:trHeight w:val="277"/>
        </w:trPr>
        <w:tc>
          <w:tcPr>
            <w:tcW w:w="1413" w:type="dxa"/>
            <w:tcBorders>
              <w:left w:val="single" w:sz="4" w:space="0" w:color="auto"/>
              <w:right w:val="single" w:sz="4" w:space="0" w:color="auto"/>
            </w:tcBorders>
            <w:vAlign w:val="center"/>
          </w:tcPr>
          <w:p w14:paraId="315624BD" w14:textId="7325AE88" w:rsidR="00EC52EC" w:rsidRPr="00DB77E9" w:rsidRDefault="00EC52EC" w:rsidP="00EA3D01">
            <w:pPr>
              <w:spacing w:line="0" w:lineRule="atLeast"/>
              <w:jc w:val="center"/>
              <w:rPr>
                <w:rFonts w:ascii="华文楷体" w:eastAsia="华文楷体" w:hAnsi="华文楷体"/>
                <w:color w:val="000000"/>
                <w:sz w:val="21"/>
                <w:szCs w:val="21"/>
              </w:rPr>
            </w:pPr>
            <w:r>
              <w:rPr>
                <w:rFonts w:ascii="华文楷体" w:eastAsia="华文楷体" w:hAnsi="华文楷体" w:hint="eastAsia"/>
                <w:color w:val="000000"/>
                <w:sz w:val="21"/>
                <w:szCs w:val="21"/>
              </w:rPr>
              <w:t>止损</w:t>
            </w:r>
            <w:r w:rsidR="006126AF">
              <w:rPr>
                <w:rFonts w:ascii="华文楷体" w:eastAsia="华文楷体" w:hAnsi="华文楷体" w:hint="eastAsia"/>
                <w:color w:val="000000"/>
                <w:sz w:val="21"/>
                <w:szCs w:val="21"/>
              </w:rPr>
              <w:t>方式</w:t>
            </w:r>
          </w:p>
        </w:tc>
        <w:tc>
          <w:tcPr>
            <w:tcW w:w="8080" w:type="dxa"/>
            <w:gridSpan w:val="2"/>
            <w:tcBorders>
              <w:top w:val="single" w:sz="4" w:space="0" w:color="auto"/>
              <w:left w:val="single" w:sz="4" w:space="0" w:color="auto"/>
              <w:bottom w:val="single" w:sz="4" w:space="0" w:color="auto"/>
              <w:right w:val="single" w:sz="4" w:space="0" w:color="auto"/>
            </w:tcBorders>
            <w:vAlign w:val="center"/>
          </w:tcPr>
          <w:p w14:paraId="50CC35B5" w14:textId="3A8ACA5F" w:rsidR="00EC52EC" w:rsidRPr="00DB77E9" w:rsidRDefault="00EC52EC" w:rsidP="00EA3D01">
            <w:pPr>
              <w:pStyle w:val="0"/>
              <w:spacing w:line="0" w:lineRule="atLeast"/>
              <w:rPr>
                <w:rFonts w:ascii="华文楷体" w:eastAsia="华文楷体" w:hAnsi="华文楷体"/>
                <w:color w:val="000000"/>
                <w:szCs w:val="21"/>
              </w:rPr>
            </w:pPr>
            <w:r>
              <w:rPr>
                <w:rFonts w:ascii="华文楷体" w:eastAsia="华文楷体" w:hAnsi="华文楷体" w:hint="eastAsia"/>
                <w:color w:val="000000"/>
                <w:szCs w:val="21"/>
              </w:rPr>
              <w:t>该产品投入风险资产的百分比为</w:t>
            </w:r>
            <w:r>
              <w:rPr>
                <w:rFonts w:ascii="华文楷体" w:eastAsia="华文楷体" w:hAnsi="华文楷体"/>
                <w:color w:val="000000"/>
                <w:szCs w:val="21"/>
              </w:rPr>
              <w:t>[</w:t>
            </w:r>
            <w:r>
              <w:rPr>
                <w:rFonts w:ascii="华文楷体" w:eastAsia="华文楷体" w:hAnsi="华文楷体" w:hint="eastAsia"/>
                <w:color w:val="000000"/>
                <w:szCs w:val="21"/>
              </w:rPr>
              <w:t>1-(1+保本收益率/12)/(1+无风险资产收益率/12)]</w:t>
            </w:r>
            <w:r>
              <w:rPr>
                <w:rFonts w:ascii="华文楷体" w:eastAsia="华文楷体" w:hAnsi="华文楷体"/>
                <w:color w:val="000000"/>
                <w:szCs w:val="21"/>
              </w:rPr>
              <w:t>*100%</w:t>
            </w:r>
            <w:r>
              <w:rPr>
                <w:rFonts w:ascii="华文楷体" w:eastAsia="华文楷体" w:hAnsi="华文楷体" w:hint="eastAsia"/>
                <w:color w:val="000000"/>
                <w:szCs w:val="21"/>
              </w:rPr>
              <w:t>，该部分资金存在亏损的可能性。由于该部分资金占比较小</w:t>
            </w:r>
            <w:r w:rsidR="006126AF">
              <w:rPr>
                <w:rFonts w:ascii="华文楷体" w:eastAsia="华文楷体" w:hAnsi="华文楷体" w:hint="eastAsia"/>
                <w:color w:val="000000"/>
                <w:szCs w:val="21"/>
              </w:rPr>
              <w:t>，不需要另行规定止损线。</w:t>
            </w:r>
          </w:p>
        </w:tc>
      </w:tr>
      <w:tr w:rsidR="00DB77E9" w:rsidRPr="00EA3D01" w14:paraId="26C5DA4D" w14:textId="77777777" w:rsidTr="00FA2E47">
        <w:trPr>
          <w:trHeight w:val="277"/>
        </w:trPr>
        <w:tc>
          <w:tcPr>
            <w:tcW w:w="1413" w:type="dxa"/>
            <w:tcBorders>
              <w:left w:val="single" w:sz="4" w:space="0" w:color="auto"/>
              <w:right w:val="single" w:sz="4" w:space="0" w:color="auto"/>
            </w:tcBorders>
            <w:vAlign w:val="center"/>
          </w:tcPr>
          <w:p w14:paraId="7CA75ADA" w14:textId="027AC929" w:rsidR="00DB77E9" w:rsidRPr="00EA3D01" w:rsidRDefault="00DB77E9" w:rsidP="00EA3D01">
            <w:pPr>
              <w:spacing w:line="0" w:lineRule="atLeast"/>
              <w:jc w:val="center"/>
              <w:rPr>
                <w:rFonts w:ascii="华文楷体" w:eastAsia="华文楷体" w:hAnsi="华文楷体"/>
                <w:color w:val="000000"/>
                <w:sz w:val="21"/>
                <w:szCs w:val="21"/>
              </w:rPr>
            </w:pPr>
            <w:r w:rsidRPr="00DB77E9">
              <w:rPr>
                <w:rFonts w:ascii="华文楷体" w:eastAsia="华文楷体" w:hAnsi="华文楷体" w:hint="eastAsia"/>
                <w:color w:val="000000"/>
                <w:sz w:val="21"/>
                <w:szCs w:val="21"/>
              </w:rPr>
              <w:t>兑付方式</w:t>
            </w:r>
          </w:p>
        </w:tc>
        <w:tc>
          <w:tcPr>
            <w:tcW w:w="8080" w:type="dxa"/>
            <w:gridSpan w:val="2"/>
            <w:tcBorders>
              <w:top w:val="single" w:sz="4" w:space="0" w:color="auto"/>
              <w:left w:val="single" w:sz="4" w:space="0" w:color="auto"/>
              <w:bottom w:val="single" w:sz="4" w:space="0" w:color="auto"/>
              <w:right w:val="single" w:sz="4" w:space="0" w:color="auto"/>
            </w:tcBorders>
            <w:vAlign w:val="center"/>
          </w:tcPr>
          <w:p w14:paraId="551521FD" w14:textId="5237A6CB" w:rsidR="00DB77E9" w:rsidRPr="00EA3D01" w:rsidRDefault="00DB77E9" w:rsidP="00EA3D01">
            <w:pPr>
              <w:pStyle w:val="0"/>
              <w:spacing w:line="0" w:lineRule="atLeast"/>
              <w:rPr>
                <w:rFonts w:ascii="华文楷体" w:eastAsia="华文楷体" w:hAnsi="华文楷体"/>
                <w:color w:val="000000"/>
                <w:szCs w:val="21"/>
              </w:rPr>
            </w:pPr>
            <w:r w:rsidRPr="00DB77E9">
              <w:rPr>
                <w:rFonts w:ascii="华文楷体" w:eastAsia="华文楷体" w:hAnsi="华文楷体" w:hint="eastAsia"/>
                <w:color w:val="000000"/>
                <w:szCs w:val="21"/>
              </w:rPr>
              <w:t>到期一次性兑付本金和收益</w:t>
            </w:r>
          </w:p>
        </w:tc>
      </w:tr>
      <w:tr w:rsidR="00DB77E9" w:rsidRPr="00EA3D01" w14:paraId="23F4804B" w14:textId="77777777" w:rsidTr="00FA2E47">
        <w:trPr>
          <w:trHeight w:val="277"/>
        </w:trPr>
        <w:tc>
          <w:tcPr>
            <w:tcW w:w="1413" w:type="dxa"/>
            <w:tcBorders>
              <w:left w:val="single" w:sz="4" w:space="0" w:color="auto"/>
              <w:right w:val="single" w:sz="4" w:space="0" w:color="auto"/>
            </w:tcBorders>
            <w:vAlign w:val="center"/>
          </w:tcPr>
          <w:p w14:paraId="6326D08A" w14:textId="330F74E9" w:rsidR="00DB77E9" w:rsidRPr="00EA3D01" w:rsidRDefault="00DB77E9" w:rsidP="00EA3D01">
            <w:pPr>
              <w:spacing w:line="0" w:lineRule="atLeast"/>
              <w:jc w:val="center"/>
              <w:rPr>
                <w:rFonts w:ascii="华文楷体" w:eastAsia="华文楷体" w:hAnsi="华文楷体"/>
                <w:color w:val="000000"/>
                <w:sz w:val="21"/>
                <w:szCs w:val="21"/>
              </w:rPr>
            </w:pPr>
            <w:r>
              <w:rPr>
                <w:rFonts w:ascii="华文楷体" w:eastAsia="华文楷体" w:hAnsi="华文楷体" w:hint="eastAsia"/>
                <w:color w:val="000000"/>
                <w:sz w:val="21"/>
                <w:szCs w:val="21"/>
              </w:rPr>
              <w:t>产品类型</w:t>
            </w:r>
          </w:p>
        </w:tc>
        <w:tc>
          <w:tcPr>
            <w:tcW w:w="8080" w:type="dxa"/>
            <w:gridSpan w:val="2"/>
            <w:tcBorders>
              <w:top w:val="single" w:sz="4" w:space="0" w:color="auto"/>
              <w:left w:val="single" w:sz="4" w:space="0" w:color="auto"/>
              <w:bottom w:val="single" w:sz="4" w:space="0" w:color="auto"/>
              <w:right w:val="single" w:sz="4" w:space="0" w:color="auto"/>
            </w:tcBorders>
            <w:vAlign w:val="center"/>
          </w:tcPr>
          <w:p w14:paraId="631B28AE" w14:textId="399CCB0F" w:rsidR="00DB77E9" w:rsidRPr="00EA3D01" w:rsidRDefault="00DB77E9" w:rsidP="00EA3D01">
            <w:pPr>
              <w:pStyle w:val="0"/>
              <w:spacing w:line="0" w:lineRule="atLeast"/>
              <w:rPr>
                <w:rFonts w:ascii="华文楷体" w:eastAsia="华文楷体" w:hAnsi="华文楷体"/>
                <w:color w:val="000000"/>
                <w:szCs w:val="21"/>
              </w:rPr>
            </w:pPr>
            <w:r>
              <w:rPr>
                <w:rFonts w:ascii="华文楷体" w:eastAsia="华文楷体" w:hAnsi="华文楷体" w:hint="eastAsia"/>
                <w:color w:val="000000"/>
                <w:szCs w:val="21"/>
              </w:rPr>
              <w:t>保本浮动收益型</w:t>
            </w:r>
          </w:p>
        </w:tc>
      </w:tr>
    </w:tbl>
    <w:p w14:paraId="3A3DE26D" w14:textId="77777777" w:rsidR="00A405C4" w:rsidRDefault="00A405C4" w:rsidP="006712E7">
      <w:pPr>
        <w:autoSpaceDE w:val="0"/>
        <w:autoSpaceDN w:val="0"/>
        <w:adjustRightInd w:val="0"/>
        <w:jc w:val="left"/>
        <w:rPr>
          <w:rFonts w:ascii="FangSong" w:eastAsia="FangSong" w:hAnsiTheme="minorHAnsi" w:cs="FangSong"/>
          <w:b/>
          <w:color w:val="000000"/>
          <w:kern w:val="0"/>
          <w:sz w:val="23"/>
          <w:szCs w:val="23"/>
        </w:rPr>
      </w:pPr>
    </w:p>
    <w:p w14:paraId="20DD5410" w14:textId="5D705A1D" w:rsidR="006712E7" w:rsidRPr="00A405C4" w:rsidRDefault="00A405C4" w:rsidP="006712E7">
      <w:pPr>
        <w:autoSpaceDE w:val="0"/>
        <w:autoSpaceDN w:val="0"/>
        <w:adjustRightInd w:val="0"/>
        <w:jc w:val="left"/>
        <w:rPr>
          <w:rFonts w:ascii="FangSong" w:eastAsia="FangSong" w:hAnsiTheme="minorHAnsi" w:cs="FangSong"/>
          <w:b/>
          <w:color w:val="000000"/>
          <w:kern w:val="0"/>
          <w:sz w:val="23"/>
          <w:szCs w:val="23"/>
        </w:rPr>
      </w:pPr>
      <w:r w:rsidRPr="00A405C4">
        <w:rPr>
          <w:rFonts w:ascii="FangSong" w:eastAsia="FangSong" w:hAnsiTheme="minorHAnsi" w:cs="FangSong" w:hint="eastAsia"/>
          <w:b/>
          <w:color w:val="000000"/>
          <w:kern w:val="0"/>
          <w:sz w:val="23"/>
          <w:szCs w:val="23"/>
        </w:rPr>
        <w:t>（二）</w:t>
      </w:r>
      <w:r w:rsidR="006712E7" w:rsidRPr="00A405C4">
        <w:rPr>
          <w:rFonts w:ascii="FangSong" w:eastAsia="FangSong" w:hAnsiTheme="minorHAnsi" w:cs="FangSong" w:hint="eastAsia"/>
          <w:b/>
          <w:color w:val="000000"/>
          <w:kern w:val="0"/>
          <w:sz w:val="23"/>
          <w:szCs w:val="23"/>
        </w:rPr>
        <w:t>投资范围</w:t>
      </w:r>
      <w:r w:rsidR="006712E7" w:rsidRPr="00A405C4">
        <w:rPr>
          <w:rFonts w:ascii="FangSong" w:eastAsia="FangSong" w:hAnsiTheme="minorHAnsi" w:cs="FangSong"/>
          <w:b/>
          <w:color w:val="000000"/>
          <w:kern w:val="0"/>
          <w:sz w:val="23"/>
          <w:szCs w:val="23"/>
        </w:rPr>
        <w:t xml:space="preserve"> </w:t>
      </w:r>
    </w:p>
    <w:p w14:paraId="65EEB21E" w14:textId="77777777" w:rsidR="006712E7" w:rsidRPr="006712E7" w:rsidRDefault="006712E7" w:rsidP="006712E7">
      <w:pPr>
        <w:autoSpaceDE w:val="0"/>
        <w:autoSpaceDN w:val="0"/>
        <w:adjustRightInd w:val="0"/>
        <w:jc w:val="left"/>
        <w:rPr>
          <w:rFonts w:ascii="FangSong" w:eastAsia="FangSong" w:hAnsiTheme="minorHAnsi" w:cs="FangSong"/>
          <w:color w:val="000000"/>
          <w:kern w:val="0"/>
          <w:sz w:val="23"/>
          <w:szCs w:val="23"/>
        </w:rPr>
      </w:pPr>
      <w:r w:rsidRPr="006712E7">
        <w:rPr>
          <w:rFonts w:ascii="FangSong" w:eastAsia="FangSong" w:hAnsiTheme="minorHAnsi" w:cs="FangSong"/>
          <w:color w:val="000000"/>
          <w:kern w:val="0"/>
          <w:sz w:val="23"/>
          <w:szCs w:val="23"/>
        </w:rPr>
        <w:t>1.</w:t>
      </w:r>
      <w:r w:rsidRPr="006712E7">
        <w:rPr>
          <w:rFonts w:ascii="FangSong" w:eastAsia="FangSong" w:hAnsiTheme="minorHAnsi" w:cs="FangSong" w:hint="eastAsia"/>
          <w:color w:val="000000"/>
          <w:kern w:val="0"/>
          <w:sz w:val="23"/>
          <w:szCs w:val="23"/>
        </w:rPr>
        <w:t>固定收益类：国债、金融债、央票、高等级信用债、债券基金、资产支持证券和其他固定收益类资产；</w:t>
      </w:r>
    </w:p>
    <w:p w14:paraId="14FAAB95" w14:textId="7179C131" w:rsidR="006712E7" w:rsidRPr="006712E7" w:rsidRDefault="006712E7" w:rsidP="006712E7">
      <w:pPr>
        <w:autoSpaceDE w:val="0"/>
        <w:autoSpaceDN w:val="0"/>
        <w:adjustRightInd w:val="0"/>
        <w:jc w:val="left"/>
        <w:rPr>
          <w:rFonts w:ascii="FangSong" w:eastAsia="FangSong" w:hAnsiTheme="minorHAnsi" w:cs="FangSong"/>
          <w:color w:val="000000"/>
          <w:kern w:val="0"/>
          <w:sz w:val="23"/>
          <w:szCs w:val="23"/>
        </w:rPr>
      </w:pPr>
      <w:r w:rsidRPr="006712E7">
        <w:rPr>
          <w:rFonts w:ascii="FangSong" w:eastAsia="FangSong" w:hAnsiTheme="minorHAnsi" w:cs="FangSong"/>
          <w:color w:val="000000"/>
          <w:kern w:val="0"/>
          <w:sz w:val="23"/>
          <w:szCs w:val="23"/>
        </w:rPr>
        <w:t>2.</w:t>
      </w:r>
      <w:r w:rsidRPr="006712E7">
        <w:rPr>
          <w:rFonts w:ascii="FangSong" w:eastAsia="FangSong" w:hAnsiTheme="minorHAnsi" w:cs="FangSong" w:hint="eastAsia"/>
          <w:color w:val="000000"/>
          <w:kern w:val="0"/>
          <w:sz w:val="23"/>
          <w:szCs w:val="23"/>
        </w:rPr>
        <w:t>货币市场类：同业存款、同业借款、债券回购、货币基金和其他货币市场类资产；</w:t>
      </w:r>
    </w:p>
    <w:p w14:paraId="6F953669" w14:textId="288B780E" w:rsidR="006712E7" w:rsidRPr="006712E7" w:rsidRDefault="00C817FE" w:rsidP="006712E7">
      <w:pPr>
        <w:autoSpaceDE w:val="0"/>
        <w:autoSpaceDN w:val="0"/>
        <w:adjustRightInd w:val="0"/>
        <w:jc w:val="left"/>
        <w:rPr>
          <w:rFonts w:ascii="FangSong" w:eastAsia="FangSong" w:hAnsiTheme="minorHAnsi" w:cs="FangSong"/>
          <w:color w:val="000000"/>
          <w:kern w:val="0"/>
          <w:sz w:val="23"/>
          <w:szCs w:val="23"/>
        </w:rPr>
      </w:pPr>
      <w:r>
        <w:rPr>
          <w:rFonts w:ascii="FangSong" w:eastAsia="FangSong" w:hAnsiTheme="minorHAnsi" w:cs="FangSong" w:hint="eastAsia"/>
          <w:color w:val="000000"/>
          <w:kern w:val="0"/>
          <w:sz w:val="23"/>
          <w:szCs w:val="23"/>
        </w:rPr>
        <w:t>3</w:t>
      </w:r>
      <w:r w:rsidR="006712E7" w:rsidRPr="006712E7">
        <w:rPr>
          <w:rFonts w:ascii="FangSong" w:eastAsia="FangSong" w:hAnsiTheme="minorHAnsi" w:cs="FangSong"/>
          <w:color w:val="000000"/>
          <w:kern w:val="0"/>
          <w:sz w:val="23"/>
          <w:szCs w:val="23"/>
        </w:rPr>
        <w:t>.</w:t>
      </w:r>
      <w:r w:rsidR="006712E7" w:rsidRPr="006712E7">
        <w:rPr>
          <w:rFonts w:ascii="FangSong" w:eastAsia="FangSong" w:hAnsiTheme="minorHAnsi" w:cs="FangSong" w:hint="eastAsia"/>
          <w:color w:val="000000"/>
          <w:kern w:val="0"/>
          <w:sz w:val="23"/>
          <w:szCs w:val="23"/>
        </w:rPr>
        <w:t>金融衍生工具</w:t>
      </w:r>
      <w:r>
        <w:rPr>
          <w:rFonts w:ascii="FangSong" w:eastAsia="FangSong" w:hAnsiTheme="minorHAnsi" w:cs="FangSong" w:hint="eastAsia"/>
          <w:color w:val="000000"/>
          <w:kern w:val="0"/>
          <w:sz w:val="23"/>
          <w:szCs w:val="23"/>
        </w:rPr>
        <w:t>：</w:t>
      </w:r>
      <w:r w:rsidRPr="00C817FE">
        <w:rPr>
          <w:rFonts w:ascii="FangSong" w:eastAsia="FangSong" w:hAnsiTheme="minorHAnsi" w:cs="FangSong" w:hint="eastAsia"/>
          <w:color w:val="000000"/>
          <w:kern w:val="0"/>
          <w:sz w:val="23"/>
          <w:szCs w:val="23"/>
        </w:rPr>
        <w:t>交易所挂牌交易的商品期货合约及法律法规或中国证监会允许基金投资的其它金融</w:t>
      </w:r>
      <w:r>
        <w:rPr>
          <w:rFonts w:ascii="FangSong" w:eastAsia="FangSong" w:hAnsiTheme="minorHAnsi" w:cs="FangSong" w:hint="eastAsia"/>
          <w:color w:val="000000"/>
          <w:kern w:val="0"/>
          <w:sz w:val="23"/>
          <w:szCs w:val="23"/>
        </w:rPr>
        <w:t>衍生</w:t>
      </w:r>
      <w:r w:rsidRPr="00C817FE">
        <w:rPr>
          <w:rFonts w:ascii="FangSong" w:eastAsia="FangSong" w:hAnsiTheme="minorHAnsi" w:cs="FangSong" w:hint="eastAsia"/>
          <w:color w:val="000000"/>
          <w:kern w:val="0"/>
          <w:sz w:val="23"/>
          <w:szCs w:val="23"/>
        </w:rPr>
        <w:t>工具</w:t>
      </w:r>
      <w:r>
        <w:rPr>
          <w:rFonts w:ascii="FangSong" w:eastAsia="FangSong" w:hAnsiTheme="minorHAnsi" w:cs="FangSong" w:hint="eastAsia"/>
          <w:color w:val="000000"/>
          <w:kern w:val="0"/>
          <w:sz w:val="23"/>
          <w:szCs w:val="23"/>
        </w:rPr>
        <w:t>。</w:t>
      </w:r>
    </w:p>
    <w:p w14:paraId="69828033" w14:textId="77777777" w:rsidR="00A405C4" w:rsidRDefault="00A405C4" w:rsidP="006712E7">
      <w:pPr>
        <w:autoSpaceDE w:val="0"/>
        <w:autoSpaceDN w:val="0"/>
        <w:adjustRightInd w:val="0"/>
        <w:jc w:val="left"/>
        <w:rPr>
          <w:rFonts w:ascii="FangSong" w:eastAsia="FangSong" w:hAnsiTheme="minorHAnsi" w:cs="FangSong"/>
          <w:b/>
          <w:color w:val="000000"/>
          <w:kern w:val="0"/>
          <w:sz w:val="23"/>
          <w:szCs w:val="23"/>
        </w:rPr>
      </w:pPr>
    </w:p>
    <w:p w14:paraId="4A555EB1" w14:textId="236B615A" w:rsidR="006712E7" w:rsidRPr="00A405C4" w:rsidRDefault="00A405C4" w:rsidP="006712E7">
      <w:pPr>
        <w:autoSpaceDE w:val="0"/>
        <w:autoSpaceDN w:val="0"/>
        <w:adjustRightInd w:val="0"/>
        <w:jc w:val="left"/>
        <w:rPr>
          <w:rFonts w:ascii="FangSong" w:eastAsia="FangSong" w:hAnsiTheme="minorHAnsi" w:cs="FangSong"/>
          <w:b/>
          <w:color w:val="000000"/>
          <w:kern w:val="0"/>
          <w:sz w:val="23"/>
          <w:szCs w:val="23"/>
        </w:rPr>
      </w:pPr>
      <w:r w:rsidRPr="00A405C4">
        <w:rPr>
          <w:rFonts w:ascii="FangSong" w:eastAsia="FangSong" w:hAnsiTheme="minorHAnsi" w:cs="FangSong" w:hint="eastAsia"/>
          <w:b/>
          <w:color w:val="000000"/>
          <w:kern w:val="0"/>
          <w:sz w:val="23"/>
          <w:szCs w:val="23"/>
        </w:rPr>
        <w:t>（三）</w:t>
      </w:r>
      <w:r w:rsidR="006712E7" w:rsidRPr="00A405C4">
        <w:rPr>
          <w:rFonts w:ascii="FangSong" w:eastAsia="FangSong" w:hAnsiTheme="minorHAnsi" w:cs="FangSong" w:hint="eastAsia"/>
          <w:b/>
          <w:color w:val="000000"/>
          <w:kern w:val="0"/>
          <w:sz w:val="23"/>
          <w:szCs w:val="23"/>
        </w:rPr>
        <w:t>投资比例</w:t>
      </w:r>
    </w:p>
    <w:p w14:paraId="73E10506" w14:textId="77777777" w:rsidR="00C817FE" w:rsidRDefault="006712E7" w:rsidP="00A405C4">
      <w:pPr>
        <w:autoSpaceDE w:val="0"/>
        <w:autoSpaceDN w:val="0"/>
        <w:adjustRightInd w:val="0"/>
        <w:ind w:firstLineChars="200" w:firstLine="460"/>
        <w:jc w:val="left"/>
        <w:rPr>
          <w:rFonts w:ascii="FangSong" w:eastAsia="FangSong" w:hAnsiTheme="minorHAnsi" w:cs="FangSong"/>
          <w:color w:val="000000"/>
          <w:kern w:val="0"/>
          <w:sz w:val="23"/>
          <w:szCs w:val="23"/>
        </w:rPr>
      </w:pPr>
      <w:r w:rsidRPr="006712E7">
        <w:rPr>
          <w:rFonts w:ascii="FangSong" w:eastAsia="FangSong" w:hAnsiTheme="minorHAnsi" w:cs="FangSong" w:hint="eastAsia"/>
          <w:color w:val="000000"/>
          <w:kern w:val="0"/>
          <w:sz w:val="23"/>
          <w:szCs w:val="23"/>
        </w:rPr>
        <w:t>固定收益类和货币市场类资产投资比例为</w:t>
      </w:r>
      <w:r w:rsidRPr="006712E7">
        <w:rPr>
          <w:rFonts w:ascii="FangSong" w:eastAsia="FangSong" w:hAnsiTheme="minorHAnsi" w:cs="FangSong"/>
          <w:color w:val="000000"/>
          <w:kern w:val="0"/>
          <w:sz w:val="23"/>
          <w:szCs w:val="23"/>
        </w:rPr>
        <w:t>10%-100%</w:t>
      </w:r>
      <w:r w:rsidRPr="006712E7">
        <w:rPr>
          <w:rFonts w:ascii="FangSong" w:eastAsia="FangSong" w:hAnsiTheme="minorHAnsi" w:cs="FangSong" w:hint="eastAsia"/>
          <w:color w:val="000000"/>
          <w:kern w:val="0"/>
          <w:sz w:val="23"/>
          <w:szCs w:val="23"/>
        </w:rPr>
        <w:t>。信托计划及其他资产或者资产组合和金融衍生工具投资比例不超过</w:t>
      </w:r>
      <w:r w:rsidRPr="006712E7">
        <w:rPr>
          <w:rFonts w:ascii="FangSong" w:eastAsia="FangSong" w:hAnsiTheme="minorHAnsi" w:cs="FangSong"/>
          <w:color w:val="000000"/>
          <w:kern w:val="0"/>
          <w:sz w:val="23"/>
          <w:szCs w:val="23"/>
        </w:rPr>
        <w:t>90%</w:t>
      </w:r>
      <w:r w:rsidRPr="006712E7">
        <w:rPr>
          <w:rFonts w:ascii="FangSong" w:eastAsia="FangSong" w:hAnsiTheme="minorHAnsi" w:cs="FangSong" w:hint="eastAsia"/>
          <w:color w:val="000000"/>
          <w:kern w:val="0"/>
          <w:sz w:val="23"/>
          <w:szCs w:val="23"/>
        </w:rPr>
        <w:t>。</w:t>
      </w:r>
    </w:p>
    <w:p w14:paraId="3186D0A6" w14:textId="77777777" w:rsidR="00A405C4" w:rsidRDefault="00A405C4" w:rsidP="006712E7">
      <w:pPr>
        <w:autoSpaceDE w:val="0"/>
        <w:autoSpaceDN w:val="0"/>
        <w:adjustRightInd w:val="0"/>
        <w:jc w:val="left"/>
        <w:rPr>
          <w:rFonts w:ascii="FangSong" w:eastAsia="FangSong" w:hAnsiTheme="minorHAnsi" w:cs="FangSong"/>
          <w:b/>
          <w:color w:val="000000"/>
          <w:kern w:val="0"/>
          <w:sz w:val="23"/>
          <w:szCs w:val="23"/>
        </w:rPr>
      </w:pPr>
    </w:p>
    <w:p w14:paraId="678C046D" w14:textId="4E7D21CF" w:rsidR="00C817FE" w:rsidRDefault="00A405C4" w:rsidP="006712E7">
      <w:pPr>
        <w:autoSpaceDE w:val="0"/>
        <w:autoSpaceDN w:val="0"/>
        <w:adjustRightInd w:val="0"/>
        <w:jc w:val="left"/>
        <w:rPr>
          <w:rFonts w:ascii="FangSong" w:eastAsia="FangSong" w:hAnsiTheme="minorHAnsi" w:cs="FangSong"/>
          <w:b/>
          <w:color w:val="000000"/>
          <w:kern w:val="0"/>
          <w:sz w:val="23"/>
          <w:szCs w:val="23"/>
        </w:rPr>
      </w:pPr>
      <w:r>
        <w:rPr>
          <w:rFonts w:ascii="FangSong" w:eastAsia="FangSong" w:hAnsiTheme="minorHAnsi" w:cs="FangSong" w:hint="eastAsia"/>
          <w:b/>
          <w:color w:val="000000"/>
          <w:kern w:val="0"/>
          <w:sz w:val="23"/>
          <w:szCs w:val="23"/>
        </w:rPr>
        <w:t>（四）</w:t>
      </w:r>
      <w:r w:rsidR="00C817FE" w:rsidRPr="00C817FE">
        <w:rPr>
          <w:rFonts w:ascii="FangSong" w:eastAsia="FangSong" w:hAnsiTheme="minorHAnsi" w:cs="FangSong" w:hint="eastAsia"/>
          <w:b/>
          <w:color w:val="000000"/>
          <w:kern w:val="0"/>
          <w:sz w:val="23"/>
          <w:szCs w:val="23"/>
        </w:rPr>
        <w:t>收益结构</w:t>
      </w:r>
      <w:r>
        <w:rPr>
          <w:rFonts w:ascii="FangSong" w:eastAsia="FangSong" w:hAnsiTheme="minorHAnsi" w:cs="FangSong" w:hint="eastAsia"/>
          <w:b/>
          <w:color w:val="000000"/>
          <w:kern w:val="0"/>
          <w:sz w:val="23"/>
          <w:szCs w:val="23"/>
        </w:rPr>
        <w:t>说明</w:t>
      </w:r>
    </w:p>
    <w:p w14:paraId="667E5341" w14:textId="0A5131E0" w:rsidR="00361855" w:rsidRPr="00A405C4" w:rsidRDefault="00B64A1A" w:rsidP="00361855">
      <w:pPr>
        <w:autoSpaceDE w:val="0"/>
        <w:autoSpaceDN w:val="0"/>
        <w:adjustRightInd w:val="0"/>
        <w:jc w:val="left"/>
        <w:rPr>
          <w:rFonts w:ascii="FangSong" w:eastAsia="FangSong" w:hAnsiTheme="minorHAnsi" w:cs="FangSong"/>
          <w:color w:val="000000"/>
          <w:kern w:val="0"/>
          <w:sz w:val="23"/>
          <w:szCs w:val="23"/>
        </w:rPr>
      </w:pPr>
      <w:r>
        <w:rPr>
          <w:rFonts w:ascii="FangSong" w:eastAsia="FangSong" w:hAnsiTheme="minorHAnsi" w:cs="FangSong" w:hint="eastAsia"/>
          <w:color w:val="000000"/>
          <w:kern w:val="0"/>
          <w:sz w:val="23"/>
          <w:szCs w:val="23"/>
        </w:rPr>
        <w:t>1.</w:t>
      </w:r>
      <w:r>
        <w:rPr>
          <w:rFonts w:ascii="FangSong" w:eastAsia="FangSong" w:hAnsiTheme="minorHAnsi" w:cs="FangSong"/>
          <w:color w:val="000000"/>
          <w:kern w:val="0"/>
          <w:sz w:val="23"/>
          <w:szCs w:val="23"/>
        </w:rPr>
        <w:t xml:space="preserve"> </w:t>
      </w:r>
      <w:r w:rsidR="00361855" w:rsidRPr="00A405C4">
        <w:rPr>
          <w:rFonts w:ascii="FangSong" w:eastAsia="FangSong" w:hAnsiTheme="minorHAnsi" w:cs="FangSong" w:hint="eastAsia"/>
          <w:color w:val="000000"/>
          <w:kern w:val="0"/>
          <w:sz w:val="23"/>
          <w:szCs w:val="23"/>
        </w:rPr>
        <w:t>若单期产品观察日挂钩标的收盘价与当期产品投资起始日挂钩标的收盘价的比值小于行权价，单期产品预期年化收益率等于</w:t>
      </w:r>
      <w:r w:rsidR="009D4F45" w:rsidRPr="00A405C4">
        <w:rPr>
          <w:rFonts w:ascii="FangSong" w:eastAsia="FangSong" w:hAnsiTheme="minorHAnsi" w:cs="FangSong" w:hint="eastAsia"/>
          <w:color w:val="000000"/>
          <w:kern w:val="0"/>
          <w:sz w:val="23"/>
          <w:szCs w:val="23"/>
        </w:rPr>
        <w:t>产品保本率-1</w:t>
      </w:r>
      <w:r w:rsidR="00361855" w:rsidRPr="00A405C4">
        <w:rPr>
          <w:rFonts w:ascii="FangSong" w:eastAsia="FangSong" w:hAnsiTheme="minorHAnsi" w:cs="FangSong" w:hint="eastAsia"/>
          <w:color w:val="000000"/>
          <w:kern w:val="0"/>
          <w:sz w:val="23"/>
          <w:szCs w:val="23"/>
        </w:rPr>
        <w:t>（前述计算所得预期年化收益率保留两位小数，舍去第三位及之后小数）；</w:t>
      </w:r>
    </w:p>
    <w:p w14:paraId="0D05265B" w14:textId="75C99B03" w:rsidR="00361855" w:rsidRPr="00A405C4" w:rsidRDefault="00B64A1A" w:rsidP="00361855">
      <w:pPr>
        <w:autoSpaceDE w:val="0"/>
        <w:autoSpaceDN w:val="0"/>
        <w:adjustRightInd w:val="0"/>
        <w:jc w:val="left"/>
        <w:rPr>
          <w:rFonts w:ascii="FangSong" w:eastAsia="FangSong" w:hAnsiTheme="minorHAnsi" w:cs="FangSong"/>
          <w:color w:val="000000"/>
          <w:kern w:val="0"/>
          <w:sz w:val="23"/>
          <w:szCs w:val="23"/>
        </w:rPr>
      </w:pPr>
      <w:r>
        <w:rPr>
          <w:rFonts w:ascii="FangSong" w:eastAsia="FangSong" w:hAnsiTheme="minorHAnsi" w:cs="FangSong" w:hint="eastAsia"/>
          <w:color w:val="000000"/>
          <w:kern w:val="0"/>
          <w:sz w:val="23"/>
          <w:szCs w:val="23"/>
        </w:rPr>
        <w:t>2.</w:t>
      </w:r>
      <w:r>
        <w:rPr>
          <w:rFonts w:ascii="FangSong" w:eastAsia="FangSong" w:hAnsiTheme="minorHAnsi" w:cs="FangSong"/>
          <w:color w:val="000000"/>
          <w:kern w:val="0"/>
          <w:sz w:val="23"/>
          <w:szCs w:val="23"/>
        </w:rPr>
        <w:t xml:space="preserve"> </w:t>
      </w:r>
      <w:r w:rsidR="00361855" w:rsidRPr="00A405C4">
        <w:rPr>
          <w:rFonts w:ascii="FangSong" w:eastAsia="FangSong" w:hAnsiTheme="minorHAnsi" w:cs="FangSong" w:hint="eastAsia"/>
          <w:color w:val="000000"/>
          <w:kern w:val="0"/>
          <w:sz w:val="23"/>
          <w:szCs w:val="23"/>
        </w:rPr>
        <w:t>若单期产品观察日挂钩标的收盘价与当期产品投资起始日挂钩标的收盘价的比值大于或等于行权价，单期产品预期年化收益率等于</w:t>
      </w:r>
      <w:r w:rsidR="009D4F45" w:rsidRPr="00A405C4">
        <w:rPr>
          <w:rFonts w:ascii="FangSong" w:eastAsia="FangSong" w:hAnsiTheme="minorHAnsi" w:cs="FangSong" w:hint="eastAsia"/>
          <w:color w:val="000000"/>
          <w:kern w:val="0"/>
          <w:sz w:val="23"/>
          <w:szCs w:val="23"/>
        </w:rPr>
        <w:t>保本率</w:t>
      </w:r>
      <w:r w:rsidR="00361855" w:rsidRPr="00A405C4">
        <w:rPr>
          <w:rFonts w:ascii="FangSong" w:eastAsia="FangSong" w:hAnsiTheme="minorHAnsi" w:cs="FangSong" w:hint="eastAsia"/>
          <w:color w:val="000000"/>
          <w:kern w:val="0"/>
          <w:sz w:val="23"/>
          <w:szCs w:val="23"/>
        </w:rPr>
        <w:t>+参与率*（当期产品观察日挂钩标的收盘价/</w:t>
      </w:r>
      <w:r w:rsidR="00361855" w:rsidRPr="00A405C4">
        <w:rPr>
          <w:rFonts w:ascii="FangSong" w:eastAsia="FangSong" w:hAnsiTheme="minorHAnsi" w:cs="FangSong" w:hint="eastAsia"/>
          <w:color w:val="000000"/>
          <w:kern w:val="0"/>
          <w:sz w:val="23"/>
          <w:szCs w:val="23"/>
        </w:rPr>
        <w:lastRenderedPageBreak/>
        <w:t>当期产品投资起始日挂钩标的收盘价-行权价）（前述计算所得预期年化收益率保留两位小数，舍去第三位及之后小数）。</w:t>
      </w:r>
    </w:p>
    <w:p w14:paraId="2CD1D359" w14:textId="77777777" w:rsidR="00A405C4" w:rsidRDefault="00A405C4" w:rsidP="00361855">
      <w:pPr>
        <w:autoSpaceDE w:val="0"/>
        <w:autoSpaceDN w:val="0"/>
        <w:adjustRightInd w:val="0"/>
        <w:jc w:val="left"/>
        <w:rPr>
          <w:rFonts w:ascii="FangSong" w:eastAsia="FangSong" w:hAnsiTheme="minorHAnsi" w:cs="FangSong"/>
          <w:b/>
          <w:color w:val="000000"/>
          <w:kern w:val="0"/>
          <w:sz w:val="23"/>
          <w:szCs w:val="23"/>
        </w:rPr>
      </w:pPr>
    </w:p>
    <w:p w14:paraId="2E1E622F" w14:textId="1BFF50F7" w:rsidR="00B17BAB" w:rsidRDefault="00A405C4" w:rsidP="00361855">
      <w:pPr>
        <w:autoSpaceDE w:val="0"/>
        <w:autoSpaceDN w:val="0"/>
        <w:adjustRightInd w:val="0"/>
        <w:jc w:val="left"/>
        <w:rPr>
          <w:rFonts w:ascii="FangSong" w:eastAsia="FangSong" w:hAnsiTheme="minorHAnsi" w:cs="FangSong"/>
          <w:b/>
          <w:color w:val="000000"/>
          <w:kern w:val="0"/>
          <w:sz w:val="23"/>
          <w:szCs w:val="23"/>
        </w:rPr>
      </w:pPr>
      <w:r>
        <w:rPr>
          <w:rFonts w:ascii="FangSong" w:eastAsia="FangSong" w:hAnsiTheme="minorHAnsi" w:cs="FangSong" w:hint="eastAsia"/>
          <w:b/>
          <w:color w:val="000000"/>
          <w:kern w:val="0"/>
          <w:sz w:val="23"/>
          <w:szCs w:val="23"/>
        </w:rPr>
        <w:t>（五）收益结构示意图</w:t>
      </w:r>
    </w:p>
    <w:p w14:paraId="69AE6ACB" w14:textId="7AE2004D" w:rsidR="009D4F45" w:rsidRPr="00A405C4" w:rsidRDefault="009D4F45" w:rsidP="00A405C4">
      <w:pPr>
        <w:autoSpaceDE w:val="0"/>
        <w:autoSpaceDN w:val="0"/>
        <w:adjustRightInd w:val="0"/>
        <w:ind w:firstLineChars="200" w:firstLine="460"/>
        <w:jc w:val="left"/>
        <w:rPr>
          <w:rFonts w:ascii="FangSong" w:eastAsia="FangSong" w:hAnsiTheme="minorHAnsi" w:cs="FangSong"/>
          <w:color w:val="000000"/>
          <w:kern w:val="0"/>
          <w:sz w:val="23"/>
          <w:szCs w:val="23"/>
        </w:rPr>
      </w:pPr>
      <w:r w:rsidRPr="00A405C4">
        <w:rPr>
          <w:rFonts w:ascii="FangSong" w:eastAsia="FangSong" w:hAnsiTheme="minorHAnsi" w:cs="FangSong" w:hint="eastAsia"/>
          <w:color w:val="000000"/>
          <w:kern w:val="0"/>
          <w:sz w:val="23"/>
          <w:szCs w:val="23"/>
        </w:rPr>
        <w:t>以下以保本率为</w:t>
      </w:r>
      <w:r w:rsidRPr="00A405C4">
        <w:rPr>
          <w:rFonts w:ascii="FangSong" w:eastAsia="FangSong" w:hAnsiTheme="minorHAnsi" w:cs="FangSong"/>
          <w:color w:val="000000"/>
          <w:kern w:val="0"/>
          <w:sz w:val="23"/>
          <w:szCs w:val="23"/>
        </w:rPr>
        <w:t>10</w:t>
      </w:r>
      <w:r w:rsidR="007A647E">
        <w:rPr>
          <w:rFonts w:ascii="FangSong" w:eastAsia="FangSong" w:hAnsiTheme="minorHAnsi" w:cs="FangSong" w:hint="eastAsia"/>
          <w:color w:val="000000"/>
          <w:kern w:val="0"/>
          <w:sz w:val="23"/>
          <w:szCs w:val="23"/>
        </w:rPr>
        <w:t>2.</w:t>
      </w:r>
      <w:r w:rsidR="00EC52EC">
        <w:rPr>
          <w:rFonts w:ascii="FangSong" w:eastAsia="FangSong" w:hAnsiTheme="minorHAnsi" w:cs="FangSong" w:hint="eastAsia"/>
          <w:color w:val="000000"/>
          <w:kern w:val="0"/>
          <w:sz w:val="23"/>
          <w:szCs w:val="23"/>
        </w:rPr>
        <w:t>70</w:t>
      </w:r>
      <w:r w:rsidRPr="00A405C4">
        <w:rPr>
          <w:rFonts w:ascii="FangSong" w:eastAsia="FangSong" w:hAnsiTheme="minorHAnsi" w:cs="FangSong"/>
          <w:color w:val="000000"/>
          <w:kern w:val="0"/>
          <w:sz w:val="23"/>
          <w:szCs w:val="23"/>
        </w:rPr>
        <w:t>%</w:t>
      </w:r>
      <w:r w:rsidRPr="00A405C4">
        <w:rPr>
          <w:rFonts w:ascii="FangSong" w:eastAsia="FangSong" w:hAnsiTheme="minorHAnsi" w:cs="FangSong" w:hint="eastAsia"/>
          <w:color w:val="000000"/>
          <w:kern w:val="0"/>
          <w:sz w:val="23"/>
          <w:szCs w:val="23"/>
        </w:rPr>
        <w:t>，</w:t>
      </w:r>
      <w:r w:rsidR="007A647E">
        <w:rPr>
          <w:rFonts w:ascii="FangSong" w:eastAsia="FangSong" w:hAnsiTheme="minorHAnsi" w:cs="FangSong" w:hint="eastAsia"/>
          <w:color w:val="000000"/>
          <w:kern w:val="0"/>
          <w:sz w:val="23"/>
          <w:szCs w:val="23"/>
        </w:rPr>
        <w:t>行权价为10</w:t>
      </w:r>
      <w:r w:rsidR="00EC52EC">
        <w:rPr>
          <w:rFonts w:ascii="FangSong" w:eastAsia="FangSong" w:hAnsiTheme="minorHAnsi" w:cs="FangSong" w:hint="eastAsia"/>
          <w:color w:val="000000"/>
          <w:kern w:val="0"/>
          <w:sz w:val="23"/>
          <w:szCs w:val="23"/>
        </w:rPr>
        <w:t>3.5</w:t>
      </w:r>
      <w:r w:rsidR="007A647E">
        <w:rPr>
          <w:rFonts w:ascii="FangSong" w:eastAsia="FangSong" w:hAnsiTheme="minorHAnsi" w:cs="FangSong" w:hint="eastAsia"/>
          <w:color w:val="000000"/>
          <w:kern w:val="0"/>
          <w:sz w:val="23"/>
          <w:szCs w:val="23"/>
        </w:rPr>
        <w:t>%，</w:t>
      </w:r>
      <w:r w:rsidRPr="00A405C4">
        <w:rPr>
          <w:rFonts w:ascii="FangSong" w:eastAsia="FangSong" w:hAnsiTheme="minorHAnsi" w:cs="FangSong" w:hint="eastAsia"/>
          <w:color w:val="000000"/>
          <w:kern w:val="0"/>
          <w:sz w:val="23"/>
          <w:szCs w:val="23"/>
        </w:rPr>
        <w:t>参与率为</w:t>
      </w:r>
      <w:r w:rsidR="00EC52EC">
        <w:rPr>
          <w:rFonts w:ascii="FangSong" w:eastAsia="FangSong" w:hAnsiTheme="minorHAnsi" w:cs="FangSong" w:hint="eastAsia"/>
          <w:color w:val="000000"/>
          <w:kern w:val="0"/>
          <w:sz w:val="23"/>
          <w:szCs w:val="23"/>
        </w:rPr>
        <w:t>100</w:t>
      </w:r>
      <w:r w:rsidRPr="00A405C4">
        <w:rPr>
          <w:rFonts w:ascii="FangSong" w:eastAsia="FangSong" w:hAnsiTheme="minorHAnsi" w:cs="FangSong" w:hint="eastAsia"/>
          <w:color w:val="000000"/>
          <w:kern w:val="0"/>
          <w:sz w:val="23"/>
          <w:szCs w:val="23"/>
        </w:rPr>
        <w:t>.</w:t>
      </w:r>
      <w:r w:rsidRPr="00A405C4">
        <w:rPr>
          <w:rFonts w:ascii="FangSong" w:eastAsia="FangSong" w:hAnsiTheme="minorHAnsi" w:cs="FangSong"/>
          <w:color w:val="000000"/>
          <w:kern w:val="0"/>
          <w:sz w:val="23"/>
          <w:szCs w:val="23"/>
        </w:rPr>
        <w:t>00</w:t>
      </w:r>
      <w:r w:rsidRPr="00A405C4">
        <w:rPr>
          <w:rFonts w:ascii="FangSong" w:eastAsia="FangSong" w:hAnsiTheme="minorHAnsi" w:cs="FangSong" w:hint="eastAsia"/>
          <w:color w:val="000000"/>
          <w:kern w:val="0"/>
          <w:sz w:val="23"/>
          <w:szCs w:val="23"/>
        </w:rPr>
        <w:t>%，作出产品收益示意图：</w:t>
      </w:r>
    </w:p>
    <w:p w14:paraId="374BCA52" w14:textId="1275814C" w:rsidR="009D4F45" w:rsidRDefault="00EC52EC" w:rsidP="00B17BAB">
      <w:pPr>
        <w:autoSpaceDE w:val="0"/>
        <w:autoSpaceDN w:val="0"/>
        <w:adjustRightInd w:val="0"/>
        <w:jc w:val="center"/>
        <w:rPr>
          <w:rFonts w:ascii="FangSong" w:eastAsia="FangSong" w:hAnsiTheme="minorHAnsi" w:cs="FangSong"/>
          <w:b/>
          <w:color w:val="000000"/>
          <w:kern w:val="0"/>
          <w:sz w:val="23"/>
          <w:szCs w:val="23"/>
        </w:rPr>
      </w:pPr>
      <w:r>
        <w:rPr>
          <w:noProof/>
        </w:rPr>
        <w:drawing>
          <wp:inline distT="0" distB="0" distL="0" distR="0" wp14:anchorId="40EDF44F" wp14:editId="03C26148">
            <wp:extent cx="5276850" cy="2882900"/>
            <wp:effectExtent l="0" t="0" r="0" b="0"/>
            <wp:docPr id="3" name="图表 3">
              <a:extLst xmlns:a="http://schemas.openxmlformats.org/drawingml/2006/main">
                <a:ext uri="{FF2B5EF4-FFF2-40B4-BE49-F238E27FC236}">
                  <a16:creationId xmlns:a16="http://schemas.microsoft.com/office/drawing/2014/main" id="{5BB55703-4A96-43D8-9938-D26A1B1FB11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03714872" w14:textId="45154E79" w:rsidR="00B17BAB" w:rsidRPr="00A405C4" w:rsidRDefault="00A405C4" w:rsidP="00B17BAB">
      <w:pPr>
        <w:autoSpaceDE w:val="0"/>
        <w:autoSpaceDN w:val="0"/>
        <w:adjustRightInd w:val="0"/>
        <w:jc w:val="left"/>
        <w:rPr>
          <w:rFonts w:ascii="仿宋" w:eastAsia="仿宋" w:hAnsi="仿宋" w:cs="KaiTi"/>
          <w:b/>
          <w:kern w:val="0"/>
          <w:sz w:val="23"/>
          <w:szCs w:val="23"/>
        </w:rPr>
      </w:pPr>
      <w:r w:rsidRPr="00A405C4">
        <w:rPr>
          <w:rFonts w:ascii="仿宋" w:eastAsia="仿宋" w:hAnsi="仿宋" w:cs="KaiTi" w:hint="eastAsia"/>
          <w:b/>
          <w:kern w:val="0"/>
          <w:sz w:val="23"/>
          <w:szCs w:val="23"/>
        </w:rPr>
        <w:t>（六）特殊情况</w:t>
      </w:r>
    </w:p>
    <w:p w14:paraId="2BF4E5BA" w14:textId="2D00139F" w:rsidR="00B17BAB" w:rsidRPr="006712E7" w:rsidRDefault="00B17BAB" w:rsidP="00711F5A">
      <w:pPr>
        <w:autoSpaceDE w:val="0"/>
        <w:autoSpaceDN w:val="0"/>
        <w:adjustRightInd w:val="0"/>
        <w:ind w:firstLineChars="200" w:firstLine="460"/>
        <w:jc w:val="left"/>
        <w:rPr>
          <w:rFonts w:ascii="FangSong" w:eastAsia="FangSong" w:hAnsiTheme="minorHAnsi" w:cs="FangSong"/>
          <w:kern w:val="0"/>
          <w:sz w:val="23"/>
          <w:szCs w:val="23"/>
        </w:rPr>
      </w:pPr>
      <w:r w:rsidRPr="006712E7">
        <w:rPr>
          <w:rFonts w:ascii="FangSong" w:eastAsia="FangSong" w:hAnsiTheme="minorHAnsi" w:cs="FangSong" w:hint="eastAsia"/>
          <w:kern w:val="0"/>
          <w:sz w:val="23"/>
          <w:szCs w:val="23"/>
        </w:rPr>
        <w:t>单期产品到期日遇非工作日的，顺延至下一个工作日。单期产品投资期限（实际投资天数）可能会大于</w:t>
      </w:r>
      <w:r w:rsidR="00DF6E59">
        <w:rPr>
          <w:rFonts w:ascii="FangSong" w:eastAsia="FangSong" w:hAnsiTheme="minorHAnsi" w:cs="FangSong" w:hint="eastAsia"/>
          <w:kern w:val="0"/>
          <w:sz w:val="23"/>
          <w:szCs w:val="23"/>
        </w:rPr>
        <w:t>30</w:t>
      </w:r>
      <w:r w:rsidRPr="006712E7">
        <w:rPr>
          <w:rFonts w:ascii="FangSong" w:eastAsia="FangSong" w:hAnsiTheme="minorHAnsi" w:cs="FangSong" w:hint="eastAsia"/>
          <w:kern w:val="0"/>
          <w:sz w:val="23"/>
          <w:szCs w:val="23"/>
        </w:rPr>
        <w:t>天，理财产品收益根据产品实际投资期限计算。</w:t>
      </w:r>
      <w:r w:rsidRPr="006712E7">
        <w:rPr>
          <w:rFonts w:ascii="FangSong" w:eastAsia="FangSong" w:hAnsiTheme="minorHAnsi" w:cs="FangSong"/>
          <w:kern w:val="0"/>
          <w:sz w:val="23"/>
          <w:szCs w:val="23"/>
        </w:rPr>
        <w:t xml:space="preserve"> </w:t>
      </w:r>
    </w:p>
    <w:bookmarkEnd w:id="0"/>
    <w:p w14:paraId="0F30E6A9" w14:textId="4065260B" w:rsidR="00B17BAB" w:rsidRPr="00B17BAB" w:rsidRDefault="00B17BAB" w:rsidP="00B17BAB">
      <w:pPr>
        <w:autoSpaceDE w:val="0"/>
        <w:autoSpaceDN w:val="0"/>
        <w:adjustRightInd w:val="0"/>
        <w:jc w:val="center"/>
        <w:rPr>
          <w:rFonts w:ascii="FangSong" w:eastAsia="FangSong" w:hAnsiTheme="minorHAnsi" w:cs="FangSong"/>
          <w:b/>
          <w:color w:val="000000"/>
          <w:kern w:val="0"/>
          <w:sz w:val="23"/>
          <w:szCs w:val="23"/>
        </w:rPr>
      </w:pPr>
    </w:p>
    <w:p w14:paraId="5E2D5EFC" w14:textId="066C4D4C" w:rsidR="00B17BAB" w:rsidRPr="00A405C4" w:rsidRDefault="00A405C4" w:rsidP="00B17BAB">
      <w:pPr>
        <w:autoSpaceDE w:val="0"/>
        <w:autoSpaceDN w:val="0"/>
        <w:adjustRightInd w:val="0"/>
        <w:rPr>
          <w:rFonts w:ascii="楷体" w:eastAsia="楷体" w:hAnsi="楷体" w:cs="FangSong"/>
          <w:b/>
          <w:color w:val="000000"/>
          <w:kern w:val="0"/>
          <w:sz w:val="23"/>
          <w:szCs w:val="23"/>
        </w:rPr>
      </w:pPr>
      <w:r w:rsidRPr="00A405C4">
        <w:rPr>
          <w:rFonts w:ascii="楷体" w:eastAsia="楷体" w:hAnsi="楷体" w:cs="FangSong" w:hint="eastAsia"/>
          <w:b/>
          <w:color w:val="000000"/>
          <w:kern w:val="0"/>
          <w:sz w:val="23"/>
          <w:szCs w:val="23"/>
        </w:rPr>
        <w:t>二、</w:t>
      </w:r>
      <w:r w:rsidR="00B17BAB" w:rsidRPr="00A405C4">
        <w:rPr>
          <w:rFonts w:ascii="楷体" w:eastAsia="楷体" w:hAnsi="楷体" w:cs="FangSong" w:hint="eastAsia"/>
          <w:b/>
          <w:color w:val="000000"/>
          <w:kern w:val="0"/>
          <w:sz w:val="23"/>
          <w:szCs w:val="23"/>
        </w:rPr>
        <w:t>产品设计</w:t>
      </w:r>
      <w:r>
        <w:rPr>
          <w:rFonts w:ascii="楷体" w:eastAsia="楷体" w:hAnsi="楷体" w:cs="FangSong" w:hint="eastAsia"/>
          <w:b/>
          <w:color w:val="000000"/>
          <w:kern w:val="0"/>
          <w:sz w:val="23"/>
          <w:szCs w:val="23"/>
        </w:rPr>
        <w:t>方式简述</w:t>
      </w:r>
    </w:p>
    <w:p w14:paraId="6B88E3F0" w14:textId="1CF47C96" w:rsidR="00B17BAB" w:rsidRDefault="00A405C4" w:rsidP="00B17BAB">
      <w:pPr>
        <w:autoSpaceDE w:val="0"/>
        <w:autoSpaceDN w:val="0"/>
        <w:adjustRightInd w:val="0"/>
        <w:rPr>
          <w:rFonts w:ascii="FangSong" w:eastAsia="FangSong" w:hAnsiTheme="minorHAnsi" w:cs="FangSong"/>
          <w:b/>
          <w:color w:val="000000"/>
          <w:kern w:val="0"/>
          <w:sz w:val="23"/>
          <w:szCs w:val="23"/>
        </w:rPr>
      </w:pPr>
      <w:r>
        <w:rPr>
          <w:rFonts w:ascii="FangSong" w:eastAsia="FangSong" w:hAnsiTheme="minorHAnsi" w:cs="FangSong" w:hint="eastAsia"/>
          <w:b/>
          <w:color w:val="000000"/>
          <w:kern w:val="0"/>
          <w:sz w:val="23"/>
          <w:szCs w:val="23"/>
        </w:rPr>
        <w:t>（一）</w:t>
      </w:r>
      <w:r w:rsidR="00B17BAB">
        <w:rPr>
          <w:rFonts w:ascii="FangSong" w:eastAsia="FangSong" w:hAnsiTheme="minorHAnsi" w:cs="FangSong" w:hint="eastAsia"/>
          <w:b/>
          <w:color w:val="000000"/>
          <w:kern w:val="0"/>
          <w:sz w:val="23"/>
          <w:szCs w:val="23"/>
        </w:rPr>
        <w:t>产品概况</w:t>
      </w:r>
    </w:p>
    <w:p w14:paraId="1D99413A" w14:textId="77777777" w:rsidR="00B17BAB" w:rsidRPr="00A405C4" w:rsidRDefault="00B17BAB" w:rsidP="00B17BAB">
      <w:pPr>
        <w:autoSpaceDE w:val="0"/>
        <w:autoSpaceDN w:val="0"/>
        <w:adjustRightInd w:val="0"/>
        <w:rPr>
          <w:rFonts w:ascii="FangSong" w:eastAsia="FangSong" w:hAnsiTheme="minorHAnsi" w:cs="FangSong"/>
          <w:color w:val="000000"/>
          <w:kern w:val="0"/>
          <w:sz w:val="23"/>
          <w:szCs w:val="23"/>
        </w:rPr>
      </w:pPr>
      <w:r w:rsidRPr="00A405C4">
        <w:rPr>
          <w:rFonts w:ascii="FangSong" w:eastAsia="FangSong" w:hAnsiTheme="minorHAnsi" w:cs="FangSong" w:hint="eastAsia"/>
          <w:color w:val="000000"/>
          <w:kern w:val="0"/>
          <w:sz w:val="23"/>
          <w:szCs w:val="23"/>
        </w:rPr>
        <w:t>结构化产品，提供了投资者一种新的并且便捷的投资方式去更好的获得某一类资产的风险暴露（权益、外汇、商品等），同时很好的控制风险，因此可以获得较为确定的收益。举例来讲，投资者试图获得股票市场上涨的收益，又害怕损失本金。结构化产品就可以在提供一定上涨收益的情况下同时保证本金的安全。</w:t>
      </w:r>
    </w:p>
    <w:p w14:paraId="4C667B2F" w14:textId="6A5C5251" w:rsidR="009118FE" w:rsidRDefault="00B17BAB" w:rsidP="00B17BAB">
      <w:pPr>
        <w:autoSpaceDE w:val="0"/>
        <w:autoSpaceDN w:val="0"/>
        <w:adjustRightInd w:val="0"/>
        <w:rPr>
          <w:rFonts w:ascii="FangSong" w:eastAsia="FangSong" w:hAnsiTheme="minorHAnsi" w:cs="FangSong"/>
          <w:color w:val="000000"/>
          <w:kern w:val="0"/>
          <w:sz w:val="23"/>
          <w:szCs w:val="23"/>
        </w:rPr>
      </w:pPr>
      <w:r w:rsidRPr="00A405C4">
        <w:rPr>
          <w:rFonts w:ascii="FangSong" w:eastAsia="FangSong" w:hAnsiTheme="minorHAnsi" w:cs="FangSong" w:hint="eastAsia"/>
          <w:color w:val="000000"/>
          <w:kern w:val="0"/>
          <w:sz w:val="23"/>
          <w:szCs w:val="23"/>
        </w:rPr>
        <w:t>结构化金融产品将固定收益证券与衍生产品的特征相结合，使投资者在不断变化的市场环境下，在规避风险的同时获取最大回报。因此，在现代金融市场上，结构化金融产品已逐渐成为投资者重要的投资工具。结构化金融产品在发达市场特别是市场经济较为完善的欧美市场已经发展得较为成熟，其发行主体和产品种类都呈现出多样化的特征。</w:t>
      </w:r>
    </w:p>
    <w:p w14:paraId="72CEE6BB" w14:textId="3C135D88" w:rsidR="00A405C4" w:rsidRPr="00A405C4" w:rsidRDefault="00A405C4" w:rsidP="00A405C4">
      <w:pPr>
        <w:autoSpaceDE w:val="0"/>
        <w:autoSpaceDN w:val="0"/>
        <w:adjustRightInd w:val="0"/>
        <w:jc w:val="center"/>
        <w:rPr>
          <w:rFonts w:ascii="楷体" w:eastAsia="楷体" w:hAnsi="楷体" w:cs="FangSong"/>
          <w:b/>
          <w:color w:val="000000"/>
          <w:kern w:val="0"/>
          <w:sz w:val="22"/>
          <w:szCs w:val="23"/>
        </w:rPr>
      </w:pPr>
      <w:r w:rsidRPr="00A405C4">
        <w:rPr>
          <w:rFonts w:ascii="楷体" w:eastAsia="楷体" w:hAnsi="楷体" w:cs="FangSong" w:hint="eastAsia"/>
          <w:b/>
          <w:color w:val="000000"/>
          <w:kern w:val="0"/>
          <w:sz w:val="22"/>
          <w:szCs w:val="23"/>
        </w:rPr>
        <w:t>图</w:t>
      </w:r>
      <w:r>
        <w:rPr>
          <w:rFonts w:ascii="楷体" w:eastAsia="楷体" w:hAnsi="楷体" w:cs="FangSong" w:hint="eastAsia"/>
          <w:b/>
          <w:color w:val="000000"/>
          <w:kern w:val="0"/>
          <w:sz w:val="22"/>
          <w:szCs w:val="23"/>
        </w:rPr>
        <w:t>1</w:t>
      </w:r>
      <w:r w:rsidRPr="00A405C4">
        <w:rPr>
          <w:rFonts w:ascii="楷体" w:eastAsia="楷体" w:hAnsi="楷体" w:cs="FangSong" w:hint="eastAsia"/>
          <w:b/>
          <w:color w:val="000000"/>
          <w:kern w:val="0"/>
          <w:sz w:val="22"/>
          <w:szCs w:val="23"/>
        </w:rPr>
        <w:t>：结构化产品资产池示意</w:t>
      </w:r>
    </w:p>
    <w:p w14:paraId="5C0BD460" w14:textId="77777777" w:rsidR="009118FE" w:rsidRPr="00B17BAB" w:rsidRDefault="009118FE" w:rsidP="00B17BAB">
      <w:pPr>
        <w:autoSpaceDE w:val="0"/>
        <w:autoSpaceDN w:val="0"/>
        <w:adjustRightInd w:val="0"/>
        <w:rPr>
          <w:rFonts w:ascii="FangSong" w:eastAsia="FangSong" w:hAnsiTheme="minorHAnsi" w:cs="FangSong"/>
          <w:b/>
          <w:color w:val="000000"/>
          <w:kern w:val="0"/>
          <w:sz w:val="23"/>
          <w:szCs w:val="23"/>
        </w:rPr>
      </w:pPr>
    </w:p>
    <w:p w14:paraId="165C1351" w14:textId="3BEE0A0C" w:rsidR="006712E7" w:rsidRDefault="006712E7" w:rsidP="00DB77E9">
      <w:pPr>
        <w:autoSpaceDE w:val="0"/>
        <w:autoSpaceDN w:val="0"/>
        <w:adjustRightInd w:val="0"/>
        <w:jc w:val="center"/>
        <w:rPr>
          <w:rFonts w:ascii="FangSong" w:eastAsia="FangSong" w:hAnsiTheme="minorHAnsi" w:cs="FangSong"/>
          <w:color w:val="000000"/>
          <w:kern w:val="0"/>
          <w:sz w:val="23"/>
          <w:szCs w:val="23"/>
        </w:rPr>
      </w:pPr>
      <w:r>
        <w:rPr>
          <w:noProof/>
        </w:rPr>
        <w:lastRenderedPageBreak/>
        <w:drawing>
          <wp:inline distT="0" distB="0" distL="0" distR="0" wp14:anchorId="39D49BCD" wp14:editId="11AA5686">
            <wp:extent cx="3155950" cy="1982122"/>
            <wp:effectExtent l="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62216" cy="1986058"/>
                    </a:xfrm>
                    <a:prstGeom prst="rect">
                      <a:avLst/>
                    </a:prstGeom>
                  </pic:spPr>
                </pic:pic>
              </a:graphicData>
            </a:graphic>
          </wp:inline>
        </w:drawing>
      </w:r>
    </w:p>
    <w:p w14:paraId="36044D72" w14:textId="74F296CE" w:rsidR="00B17BAB" w:rsidRPr="00A405C4" w:rsidRDefault="00A405C4" w:rsidP="00A405C4">
      <w:pPr>
        <w:autoSpaceDE w:val="0"/>
        <w:autoSpaceDN w:val="0"/>
        <w:adjustRightInd w:val="0"/>
        <w:rPr>
          <w:rFonts w:ascii="FangSong" w:eastAsia="FangSong" w:hAnsiTheme="minorHAnsi" w:cs="FangSong"/>
          <w:b/>
          <w:color w:val="000000"/>
          <w:kern w:val="0"/>
          <w:sz w:val="23"/>
          <w:szCs w:val="23"/>
        </w:rPr>
      </w:pPr>
      <w:r w:rsidRPr="00A405C4">
        <w:rPr>
          <w:rFonts w:ascii="FangSong" w:eastAsia="FangSong" w:hAnsiTheme="minorHAnsi" w:cs="FangSong" w:hint="eastAsia"/>
          <w:b/>
          <w:color w:val="000000"/>
          <w:kern w:val="0"/>
          <w:sz w:val="23"/>
          <w:szCs w:val="23"/>
        </w:rPr>
        <w:t>（二）</w:t>
      </w:r>
      <w:r w:rsidR="003511D5" w:rsidRPr="00A405C4">
        <w:rPr>
          <w:rFonts w:ascii="FangSong" w:eastAsia="FangSong" w:hAnsiTheme="minorHAnsi" w:cs="FangSong" w:hint="eastAsia"/>
          <w:b/>
          <w:color w:val="000000"/>
          <w:kern w:val="0"/>
          <w:sz w:val="23"/>
          <w:szCs w:val="23"/>
        </w:rPr>
        <w:t>产品设计流程</w:t>
      </w:r>
    </w:p>
    <w:p w14:paraId="129F76EC" w14:textId="2AD7083C" w:rsidR="003511D5" w:rsidRPr="00A405C4" w:rsidRDefault="00A405C4" w:rsidP="00A405C4">
      <w:pPr>
        <w:autoSpaceDE w:val="0"/>
        <w:autoSpaceDN w:val="0"/>
        <w:adjustRightInd w:val="0"/>
        <w:rPr>
          <w:rFonts w:ascii="FangSong" w:eastAsia="FangSong" w:hAnsiTheme="minorHAnsi" w:cs="FangSong"/>
          <w:b/>
          <w:color w:val="000000"/>
          <w:kern w:val="0"/>
          <w:sz w:val="23"/>
          <w:szCs w:val="23"/>
        </w:rPr>
      </w:pPr>
      <w:r w:rsidRPr="00A405C4">
        <w:rPr>
          <w:rFonts w:ascii="FangSong" w:eastAsia="FangSong" w:hAnsiTheme="minorHAnsi" w:cs="FangSong" w:hint="eastAsia"/>
          <w:b/>
          <w:color w:val="000000"/>
          <w:kern w:val="0"/>
          <w:sz w:val="23"/>
          <w:szCs w:val="23"/>
        </w:rPr>
        <w:t>1.</w:t>
      </w:r>
      <w:r w:rsidR="003511D5" w:rsidRPr="00A405C4">
        <w:rPr>
          <w:rFonts w:ascii="FangSong" w:eastAsia="FangSong" w:hAnsiTheme="minorHAnsi" w:cs="FangSong" w:hint="eastAsia"/>
          <w:b/>
          <w:color w:val="000000"/>
          <w:kern w:val="0"/>
          <w:sz w:val="23"/>
          <w:szCs w:val="23"/>
        </w:rPr>
        <w:t>设计目标</w:t>
      </w:r>
    </w:p>
    <w:p w14:paraId="0AA205EB" w14:textId="77777777" w:rsidR="003511D5" w:rsidRPr="003511D5" w:rsidRDefault="003511D5" w:rsidP="00A405C4">
      <w:pPr>
        <w:autoSpaceDE w:val="0"/>
        <w:autoSpaceDN w:val="0"/>
        <w:adjustRightInd w:val="0"/>
        <w:rPr>
          <w:rFonts w:ascii="FangSong" w:eastAsia="FangSong" w:hAnsiTheme="minorHAnsi" w:cs="FangSong"/>
          <w:color w:val="000000"/>
          <w:kern w:val="0"/>
          <w:sz w:val="23"/>
          <w:szCs w:val="23"/>
        </w:rPr>
      </w:pPr>
      <w:r w:rsidRPr="003511D5">
        <w:rPr>
          <w:rFonts w:ascii="FangSong" w:eastAsia="FangSong" w:hAnsiTheme="minorHAnsi" w:cs="FangSong" w:hint="eastAsia"/>
          <w:color w:val="000000"/>
          <w:kern w:val="0"/>
          <w:sz w:val="23"/>
          <w:szCs w:val="23"/>
        </w:rPr>
        <w:t>结构化产品设计的关键是结构的设计，即对客户不同风险收益的需求，设计匹配的结构。包括：</w:t>
      </w:r>
    </w:p>
    <w:p w14:paraId="04C9B51B" w14:textId="0A90AF57" w:rsidR="003511D5" w:rsidRPr="00A405C4" w:rsidRDefault="003511D5" w:rsidP="00A405C4">
      <w:pPr>
        <w:pStyle w:val="af"/>
        <w:numPr>
          <w:ilvl w:val="0"/>
          <w:numId w:val="28"/>
        </w:numPr>
        <w:autoSpaceDE w:val="0"/>
        <w:autoSpaceDN w:val="0"/>
        <w:adjustRightInd w:val="0"/>
        <w:ind w:firstLineChars="0"/>
        <w:rPr>
          <w:rFonts w:ascii="FangSong" w:eastAsia="FangSong" w:hAnsiTheme="minorHAnsi" w:cs="FangSong"/>
          <w:color w:val="000000"/>
          <w:kern w:val="0"/>
          <w:sz w:val="23"/>
          <w:szCs w:val="23"/>
        </w:rPr>
      </w:pPr>
      <w:r w:rsidRPr="00A405C4">
        <w:rPr>
          <w:rFonts w:ascii="FangSong" w:eastAsia="FangSong" w:hAnsiTheme="minorHAnsi" w:cs="FangSong" w:hint="eastAsia"/>
          <w:color w:val="000000"/>
          <w:kern w:val="0"/>
          <w:sz w:val="23"/>
          <w:szCs w:val="23"/>
        </w:rPr>
        <w:t>对资金池的基础资产给定期限的收益率进行测算。</w:t>
      </w:r>
    </w:p>
    <w:p w14:paraId="49359125" w14:textId="742FBCB1" w:rsidR="003511D5" w:rsidRPr="00A405C4" w:rsidRDefault="003511D5" w:rsidP="00A405C4">
      <w:pPr>
        <w:pStyle w:val="af"/>
        <w:numPr>
          <w:ilvl w:val="0"/>
          <w:numId w:val="28"/>
        </w:numPr>
        <w:autoSpaceDE w:val="0"/>
        <w:autoSpaceDN w:val="0"/>
        <w:adjustRightInd w:val="0"/>
        <w:ind w:firstLineChars="0"/>
        <w:rPr>
          <w:rFonts w:ascii="FangSong" w:eastAsia="FangSong" w:hAnsiTheme="minorHAnsi" w:cs="FangSong"/>
          <w:color w:val="000000"/>
          <w:kern w:val="0"/>
          <w:sz w:val="23"/>
          <w:szCs w:val="23"/>
        </w:rPr>
      </w:pPr>
      <w:r w:rsidRPr="00A405C4">
        <w:rPr>
          <w:rFonts w:ascii="FangSong" w:eastAsia="FangSong" w:hAnsiTheme="minorHAnsi" w:cs="FangSong" w:hint="eastAsia"/>
          <w:color w:val="000000"/>
          <w:kern w:val="0"/>
          <w:sz w:val="23"/>
          <w:szCs w:val="23"/>
        </w:rPr>
        <w:t>上述收益率构成购买期权的最大成本，需要对客户的风险偏好进行调研。</w:t>
      </w:r>
    </w:p>
    <w:p w14:paraId="270E0518" w14:textId="12AEE4B7" w:rsidR="003511D5" w:rsidRPr="00A405C4" w:rsidRDefault="003511D5" w:rsidP="00A405C4">
      <w:pPr>
        <w:pStyle w:val="af"/>
        <w:numPr>
          <w:ilvl w:val="0"/>
          <w:numId w:val="28"/>
        </w:numPr>
        <w:autoSpaceDE w:val="0"/>
        <w:autoSpaceDN w:val="0"/>
        <w:adjustRightInd w:val="0"/>
        <w:ind w:firstLineChars="0"/>
        <w:rPr>
          <w:rFonts w:ascii="FangSong" w:eastAsia="FangSong" w:hAnsiTheme="minorHAnsi" w:cs="FangSong"/>
          <w:color w:val="000000"/>
          <w:kern w:val="0"/>
          <w:sz w:val="23"/>
          <w:szCs w:val="23"/>
        </w:rPr>
      </w:pPr>
      <w:r w:rsidRPr="00A405C4">
        <w:rPr>
          <w:rFonts w:ascii="FangSong" w:eastAsia="FangSong" w:hAnsiTheme="minorHAnsi" w:cs="FangSong" w:hint="eastAsia"/>
          <w:color w:val="000000"/>
          <w:kern w:val="0"/>
          <w:sz w:val="23"/>
          <w:szCs w:val="23"/>
        </w:rPr>
        <w:t>针对客户的风险偏好，给定的期权成本，设计匹配的结构。</w:t>
      </w:r>
    </w:p>
    <w:p w14:paraId="5FE63C96" w14:textId="54AA5CAA" w:rsidR="003511D5" w:rsidRPr="00A405C4" w:rsidRDefault="003511D5" w:rsidP="00A405C4">
      <w:pPr>
        <w:pStyle w:val="af"/>
        <w:numPr>
          <w:ilvl w:val="0"/>
          <w:numId w:val="28"/>
        </w:numPr>
        <w:autoSpaceDE w:val="0"/>
        <w:autoSpaceDN w:val="0"/>
        <w:adjustRightInd w:val="0"/>
        <w:ind w:firstLineChars="0"/>
        <w:rPr>
          <w:rFonts w:ascii="FangSong" w:eastAsia="FangSong" w:hAnsiTheme="minorHAnsi" w:cs="FangSong"/>
          <w:color w:val="000000"/>
          <w:kern w:val="0"/>
          <w:sz w:val="23"/>
          <w:szCs w:val="23"/>
        </w:rPr>
      </w:pPr>
      <w:r w:rsidRPr="00A405C4">
        <w:rPr>
          <w:rFonts w:ascii="FangSong" w:eastAsia="FangSong" w:hAnsiTheme="minorHAnsi" w:cs="FangSong" w:hint="eastAsia"/>
          <w:color w:val="000000"/>
          <w:kern w:val="0"/>
          <w:sz w:val="23"/>
          <w:szCs w:val="23"/>
        </w:rPr>
        <w:t>通常期权购买成本是有限的，为了吸引客户，降低期权成本，结构设计上，可以通过调整保本率、参与率、期权类型进行包装设计。</w:t>
      </w:r>
    </w:p>
    <w:p w14:paraId="1EAF42A7" w14:textId="5C2A88F3" w:rsidR="003511D5" w:rsidRPr="00A405C4" w:rsidRDefault="00A405C4" w:rsidP="00A405C4">
      <w:pPr>
        <w:autoSpaceDE w:val="0"/>
        <w:autoSpaceDN w:val="0"/>
        <w:adjustRightInd w:val="0"/>
        <w:rPr>
          <w:rFonts w:ascii="FangSong" w:eastAsia="FangSong" w:hAnsiTheme="minorHAnsi" w:cs="FangSong"/>
          <w:b/>
          <w:color w:val="000000"/>
          <w:kern w:val="0"/>
          <w:sz w:val="23"/>
          <w:szCs w:val="23"/>
        </w:rPr>
      </w:pPr>
      <w:r w:rsidRPr="00A405C4">
        <w:rPr>
          <w:rFonts w:ascii="FangSong" w:eastAsia="FangSong" w:hAnsiTheme="minorHAnsi" w:cs="FangSong" w:hint="eastAsia"/>
          <w:b/>
          <w:color w:val="000000"/>
          <w:kern w:val="0"/>
          <w:sz w:val="23"/>
          <w:szCs w:val="23"/>
        </w:rPr>
        <w:t>2.</w:t>
      </w:r>
      <w:r w:rsidR="003511D5" w:rsidRPr="00A405C4">
        <w:rPr>
          <w:rFonts w:ascii="FangSong" w:eastAsia="FangSong" w:hAnsiTheme="minorHAnsi" w:cs="FangSong" w:hint="eastAsia"/>
          <w:b/>
          <w:color w:val="000000"/>
          <w:kern w:val="0"/>
          <w:sz w:val="23"/>
          <w:szCs w:val="23"/>
        </w:rPr>
        <w:t>设计条款</w:t>
      </w:r>
    </w:p>
    <w:p w14:paraId="449CB352" w14:textId="77777777" w:rsidR="003511D5" w:rsidRPr="003511D5" w:rsidRDefault="003511D5" w:rsidP="00A405C4">
      <w:pPr>
        <w:autoSpaceDE w:val="0"/>
        <w:autoSpaceDN w:val="0"/>
        <w:adjustRightInd w:val="0"/>
        <w:rPr>
          <w:rFonts w:ascii="FangSong" w:eastAsia="FangSong" w:hAnsiTheme="minorHAnsi" w:cs="FangSong"/>
          <w:color w:val="000000"/>
          <w:kern w:val="0"/>
          <w:sz w:val="23"/>
          <w:szCs w:val="23"/>
        </w:rPr>
      </w:pPr>
      <w:r w:rsidRPr="003511D5">
        <w:rPr>
          <w:rFonts w:ascii="FangSong" w:eastAsia="FangSong" w:hAnsiTheme="minorHAnsi" w:cs="FangSong" w:hint="eastAsia"/>
          <w:color w:val="000000"/>
          <w:kern w:val="0"/>
          <w:sz w:val="23"/>
          <w:szCs w:val="23"/>
        </w:rPr>
        <w:t>结构化产品应该包含以下基本条款：</w:t>
      </w:r>
    </w:p>
    <w:p w14:paraId="4A982289" w14:textId="66D4B136" w:rsidR="003511D5" w:rsidRPr="00A405C4" w:rsidRDefault="003511D5" w:rsidP="00A405C4">
      <w:pPr>
        <w:pStyle w:val="af"/>
        <w:numPr>
          <w:ilvl w:val="0"/>
          <w:numId w:val="30"/>
        </w:numPr>
        <w:autoSpaceDE w:val="0"/>
        <w:autoSpaceDN w:val="0"/>
        <w:adjustRightInd w:val="0"/>
        <w:ind w:firstLineChars="0"/>
        <w:rPr>
          <w:rFonts w:ascii="FangSong" w:eastAsia="FangSong" w:hAnsiTheme="minorHAnsi" w:cs="FangSong"/>
          <w:color w:val="000000"/>
          <w:kern w:val="0"/>
          <w:sz w:val="23"/>
          <w:szCs w:val="23"/>
        </w:rPr>
      </w:pPr>
      <w:r w:rsidRPr="00A405C4">
        <w:rPr>
          <w:rFonts w:ascii="FangSong" w:eastAsia="FangSong" w:hAnsiTheme="minorHAnsi" w:cs="FangSong" w:hint="eastAsia"/>
          <w:color w:val="000000"/>
          <w:kern w:val="0"/>
          <w:sz w:val="23"/>
          <w:szCs w:val="23"/>
        </w:rPr>
        <w:t>债券信用评级</w:t>
      </w:r>
    </w:p>
    <w:p w14:paraId="4971C221" w14:textId="089F43C8" w:rsidR="003511D5" w:rsidRPr="00A405C4" w:rsidRDefault="003511D5" w:rsidP="00A405C4">
      <w:pPr>
        <w:pStyle w:val="af"/>
        <w:numPr>
          <w:ilvl w:val="0"/>
          <w:numId w:val="30"/>
        </w:numPr>
        <w:autoSpaceDE w:val="0"/>
        <w:autoSpaceDN w:val="0"/>
        <w:adjustRightInd w:val="0"/>
        <w:ind w:firstLineChars="0"/>
        <w:rPr>
          <w:rFonts w:ascii="FangSong" w:eastAsia="FangSong" w:hAnsiTheme="minorHAnsi" w:cs="FangSong"/>
          <w:color w:val="000000"/>
          <w:kern w:val="0"/>
          <w:sz w:val="23"/>
          <w:szCs w:val="23"/>
        </w:rPr>
      </w:pPr>
      <w:r w:rsidRPr="00A405C4">
        <w:rPr>
          <w:rFonts w:ascii="FangSong" w:eastAsia="FangSong" w:hAnsiTheme="minorHAnsi" w:cs="FangSong" w:hint="eastAsia"/>
          <w:color w:val="000000"/>
          <w:kern w:val="0"/>
          <w:sz w:val="23"/>
          <w:szCs w:val="23"/>
        </w:rPr>
        <w:t>挂钩标的</w:t>
      </w:r>
    </w:p>
    <w:p w14:paraId="7AD36E3B" w14:textId="60F7F6FE" w:rsidR="003511D5" w:rsidRPr="00A405C4" w:rsidRDefault="003511D5" w:rsidP="00A405C4">
      <w:pPr>
        <w:pStyle w:val="af"/>
        <w:numPr>
          <w:ilvl w:val="0"/>
          <w:numId w:val="30"/>
        </w:numPr>
        <w:autoSpaceDE w:val="0"/>
        <w:autoSpaceDN w:val="0"/>
        <w:adjustRightInd w:val="0"/>
        <w:ind w:firstLineChars="0"/>
        <w:rPr>
          <w:rFonts w:ascii="FangSong" w:eastAsia="FangSong" w:hAnsiTheme="minorHAnsi" w:cs="FangSong"/>
          <w:color w:val="000000"/>
          <w:kern w:val="0"/>
          <w:sz w:val="23"/>
          <w:szCs w:val="23"/>
        </w:rPr>
      </w:pPr>
      <w:r w:rsidRPr="00A405C4">
        <w:rPr>
          <w:rFonts w:ascii="FangSong" w:eastAsia="FangSong" w:hAnsiTheme="minorHAnsi" w:cs="FangSong" w:hint="eastAsia"/>
          <w:color w:val="000000"/>
          <w:kern w:val="0"/>
          <w:sz w:val="23"/>
          <w:szCs w:val="23"/>
        </w:rPr>
        <w:t>期限</w:t>
      </w:r>
    </w:p>
    <w:p w14:paraId="1C38D129" w14:textId="23CB55FA" w:rsidR="003511D5" w:rsidRPr="00A405C4" w:rsidRDefault="003511D5" w:rsidP="00A405C4">
      <w:pPr>
        <w:pStyle w:val="af"/>
        <w:numPr>
          <w:ilvl w:val="0"/>
          <w:numId w:val="30"/>
        </w:numPr>
        <w:autoSpaceDE w:val="0"/>
        <w:autoSpaceDN w:val="0"/>
        <w:adjustRightInd w:val="0"/>
        <w:ind w:firstLineChars="0"/>
        <w:rPr>
          <w:rFonts w:ascii="FangSong" w:eastAsia="FangSong" w:hAnsiTheme="minorHAnsi" w:cs="FangSong"/>
          <w:color w:val="000000"/>
          <w:kern w:val="0"/>
          <w:sz w:val="23"/>
          <w:szCs w:val="23"/>
        </w:rPr>
      </w:pPr>
      <w:r w:rsidRPr="00A405C4">
        <w:rPr>
          <w:rFonts w:ascii="FangSong" w:eastAsia="FangSong" w:hAnsiTheme="minorHAnsi" w:cs="FangSong" w:hint="eastAsia"/>
          <w:color w:val="000000"/>
          <w:kern w:val="0"/>
          <w:sz w:val="23"/>
          <w:szCs w:val="23"/>
        </w:rPr>
        <w:t>保本率</w:t>
      </w:r>
    </w:p>
    <w:p w14:paraId="4ABCD1F5" w14:textId="4AAE1A48" w:rsidR="003511D5" w:rsidRPr="00A405C4" w:rsidRDefault="003511D5" w:rsidP="00A405C4">
      <w:pPr>
        <w:pStyle w:val="af"/>
        <w:numPr>
          <w:ilvl w:val="0"/>
          <w:numId w:val="30"/>
        </w:numPr>
        <w:autoSpaceDE w:val="0"/>
        <w:autoSpaceDN w:val="0"/>
        <w:adjustRightInd w:val="0"/>
        <w:ind w:firstLineChars="0"/>
        <w:rPr>
          <w:rFonts w:ascii="FangSong" w:eastAsia="FangSong" w:hAnsiTheme="minorHAnsi" w:cs="FangSong"/>
          <w:color w:val="000000"/>
          <w:kern w:val="0"/>
          <w:sz w:val="23"/>
          <w:szCs w:val="23"/>
        </w:rPr>
      </w:pPr>
      <w:r w:rsidRPr="00A405C4">
        <w:rPr>
          <w:rFonts w:ascii="FangSong" w:eastAsia="FangSong" w:hAnsiTheme="minorHAnsi" w:cs="FangSong" w:hint="eastAsia"/>
          <w:color w:val="000000"/>
          <w:kern w:val="0"/>
          <w:sz w:val="23"/>
          <w:szCs w:val="23"/>
        </w:rPr>
        <w:t>参与率</w:t>
      </w:r>
    </w:p>
    <w:p w14:paraId="48CF8975" w14:textId="14331A6B" w:rsidR="003511D5" w:rsidRPr="00A405C4" w:rsidRDefault="003511D5" w:rsidP="00A405C4">
      <w:pPr>
        <w:pStyle w:val="af"/>
        <w:numPr>
          <w:ilvl w:val="0"/>
          <w:numId w:val="30"/>
        </w:numPr>
        <w:autoSpaceDE w:val="0"/>
        <w:autoSpaceDN w:val="0"/>
        <w:adjustRightInd w:val="0"/>
        <w:ind w:firstLineChars="0"/>
        <w:rPr>
          <w:rFonts w:ascii="FangSong" w:eastAsia="FangSong" w:hAnsiTheme="minorHAnsi" w:cs="FangSong"/>
          <w:color w:val="000000"/>
          <w:kern w:val="0"/>
          <w:sz w:val="23"/>
          <w:szCs w:val="23"/>
        </w:rPr>
      </w:pPr>
      <w:r w:rsidRPr="00A405C4">
        <w:rPr>
          <w:rFonts w:ascii="FangSong" w:eastAsia="FangSong" w:hAnsiTheme="minorHAnsi" w:cs="FangSong" w:hint="eastAsia"/>
          <w:color w:val="000000"/>
          <w:kern w:val="0"/>
          <w:sz w:val="23"/>
          <w:szCs w:val="23"/>
        </w:rPr>
        <w:t>结构设计</w:t>
      </w:r>
    </w:p>
    <w:p w14:paraId="5CD92518" w14:textId="078941AF" w:rsidR="003511D5" w:rsidRPr="00A405C4" w:rsidRDefault="003511D5" w:rsidP="00A405C4">
      <w:pPr>
        <w:pStyle w:val="af"/>
        <w:numPr>
          <w:ilvl w:val="0"/>
          <w:numId w:val="30"/>
        </w:numPr>
        <w:autoSpaceDE w:val="0"/>
        <w:autoSpaceDN w:val="0"/>
        <w:adjustRightInd w:val="0"/>
        <w:ind w:firstLineChars="0"/>
        <w:rPr>
          <w:rFonts w:ascii="FangSong" w:eastAsia="FangSong" w:hAnsiTheme="minorHAnsi" w:cs="FangSong"/>
          <w:color w:val="000000"/>
          <w:kern w:val="0"/>
          <w:sz w:val="23"/>
          <w:szCs w:val="23"/>
        </w:rPr>
      </w:pPr>
      <w:r w:rsidRPr="00A405C4">
        <w:rPr>
          <w:rFonts w:ascii="FangSong" w:eastAsia="FangSong" w:hAnsiTheme="minorHAnsi" w:cs="FangSong" w:hint="eastAsia"/>
          <w:color w:val="000000"/>
          <w:kern w:val="0"/>
          <w:sz w:val="23"/>
          <w:szCs w:val="23"/>
        </w:rPr>
        <w:t>自动提前到期条款</w:t>
      </w:r>
    </w:p>
    <w:p w14:paraId="1170F086" w14:textId="37A97CA3" w:rsidR="003511D5" w:rsidRPr="00A405C4" w:rsidRDefault="003511D5" w:rsidP="00A405C4">
      <w:pPr>
        <w:pStyle w:val="af"/>
        <w:numPr>
          <w:ilvl w:val="0"/>
          <w:numId w:val="30"/>
        </w:numPr>
        <w:autoSpaceDE w:val="0"/>
        <w:autoSpaceDN w:val="0"/>
        <w:adjustRightInd w:val="0"/>
        <w:ind w:firstLineChars="0"/>
        <w:rPr>
          <w:rFonts w:ascii="FangSong" w:eastAsia="FangSong" w:hAnsiTheme="minorHAnsi" w:cs="FangSong"/>
          <w:color w:val="000000"/>
          <w:kern w:val="0"/>
          <w:sz w:val="23"/>
          <w:szCs w:val="23"/>
        </w:rPr>
      </w:pPr>
      <w:r w:rsidRPr="00A405C4">
        <w:rPr>
          <w:rFonts w:ascii="FangSong" w:eastAsia="FangSong" w:hAnsiTheme="minorHAnsi" w:cs="FangSong" w:hint="eastAsia"/>
          <w:color w:val="000000"/>
          <w:kern w:val="0"/>
          <w:sz w:val="23"/>
          <w:szCs w:val="23"/>
        </w:rPr>
        <w:t>提前赎回限制</w:t>
      </w:r>
    </w:p>
    <w:p w14:paraId="34C80040" w14:textId="77777777" w:rsidR="003511D5" w:rsidRPr="003511D5" w:rsidRDefault="003511D5" w:rsidP="00A405C4">
      <w:pPr>
        <w:autoSpaceDE w:val="0"/>
        <w:autoSpaceDN w:val="0"/>
        <w:adjustRightInd w:val="0"/>
        <w:rPr>
          <w:rFonts w:ascii="FangSong" w:eastAsia="FangSong" w:hAnsiTheme="minorHAnsi" w:cs="FangSong"/>
          <w:color w:val="000000"/>
          <w:kern w:val="0"/>
          <w:sz w:val="23"/>
          <w:szCs w:val="23"/>
        </w:rPr>
      </w:pPr>
      <w:r w:rsidRPr="003511D5">
        <w:rPr>
          <w:rFonts w:ascii="FangSong" w:eastAsia="FangSong" w:hAnsiTheme="minorHAnsi" w:cs="FangSong" w:hint="eastAsia"/>
          <w:color w:val="000000"/>
          <w:kern w:val="0"/>
          <w:sz w:val="23"/>
          <w:szCs w:val="23"/>
        </w:rPr>
        <w:t>参与率=购买期权金额/期权实际成本。</w:t>
      </w:r>
    </w:p>
    <w:p w14:paraId="77BE5A3C" w14:textId="77777777" w:rsidR="003511D5" w:rsidRPr="003511D5" w:rsidRDefault="003511D5" w:rsidP="00A405C4">
      <w:pPr>
        <w:autoSpaceDE w:val="0"/>
        <w:autoSpaceDN w:val="0"/>
        <w:adjustRightInd w:val="0"/>
        <w:rPr>
          <w:rFonts w:ascii="FangSong" w:eastAsia="FangSong" w:hAnsiTheme="minorHAnsi" w:cs="FangSong"/>
          <w:color w:val="000000"/>
          <w:kern w:val="0"/>
          <w:sz w:val="23"/>
          <w:szCs w:val="23"/>
        </w:rPr>
      </w:pPr>
      <w:r w:rsidRPr="003511D5">
        <w:rPr>
          <w:rFonts w:ascii="FangSong" w:eastAsia="FangSong" w:hAnsiTheme="minorHAnsi" w:cs="FangSong" w:hint="eastAsia"/>
          <w:color w:val="000000"/>
          <w:kern w:val="0"/>
          <w:sz w:val="23"/>
          <w:szCs w:val="23"/>
        </w:rPr>
        <w:t>投资者最为关注的一般是保本率与参与率。保本率一般可分为保证收益（保证最低收益率）、保本、部分保本等三种类型。参与率则决定了投资者最终能够分享挂钩标的表现的比率。</w:t>
      </w:r>
    </w:p>
    <w:p w14:paraId="5C989878" w14:textId="20135C1C" w:rsidR="003511D5" w:rsidRPr="00A405C4" w:rsidRDefault="00A405C4" w:rsidP="00A405C4">
      <w:pPr>
        <w:autoSpaceDE w:val="0"/>
        <w:autoSpaceDN w:val="0"/>
        <w:adjustRightInd w:val="0"/>
        <w:rPr>
          <w:rFonts w:ascii="FangSong" w:eastAsia="FangSong" w:hAnsiTheme="minorHAnsi" w:cs="FangSong"/>
          <w:b/>
          <w:color w:val="000000"/>
          <w:kern w:val="0"/>
          <w:sz w:val="23"/>
          <w:szCs w:val="23"/>
        </w:rPr>
      </w:pPr>
      <w:r w:rsidRPr="00A405C4">
        <w:rPr>
          <w:rFonts w:ascii="FangSong" w:eastAsia="FangSong" w:hAnsiTheme="minorHAnsi" w:cs="FangSong" w:hint="eastAsia"/>
          <w:b/>
          <w:color w:val="000000"/>
          <w:kern w:val="0"/>
          <w:sz w:val="23"/>
          <w:szCs w:val="23"/>
        </w:rPr>
        <w:t>3.</w:t>
      </w:r>
      <w:r w:rsidR="003511D5" w:rsidRPr="00A405C4">
        <w:rPr>
          <w:rFonts w:ascii="FangSong" w:eastAsia="FangSong" w:hAnsiTheme="minorHAnsi" w:cs="FangSong" w:hint="eastAsia"/>
          <w:b/>
          <w:color w:val="000000"/>
          <w:kern w:val="0"/>
          <w:sz w:val="23"/>
          <w:szCs w:val="23"/>
        </w:rPr>
        <w:t>设计流程</w:t>
      </w:r>
    </w:p>
    <w:p w14:paraId="217C7B9A" w14:textId="6E0E57C7" w:rsidR="003511D5" w:rsidRDefault="003511D5" w:rsidP="00A405C4">
      <w:pPr>
        <w:autoSpaceDE w:val="0"/>
        <w:autoSpaceDN w:val="0"/>
        <w:adjustRightInd w:val="0"/>
        <w:ind w:firstLineChars="200" w:firstLine="460"/>
        <w:rPr>
          <w:rFonts w:ascii="FangSong" w:eastAsia="FangSong" w:hAnsiTheme="minorHAnsi" w:cs="FangSong"/>
          <w:color w:val="000000"/>
          <w:kern w:val="0"/>
          <w:sz w:val="23"/>
          <w:szCs w:val="23"/>
        </w:rPr>
      </w:pPr>
      <w:r w:rsidRPr="003511D5">
        <w:rPr>
          <w:rFonts w:ascii="FangSong" w:eastAsia="FangSong" w:hAnsiTheme="minorHAnsi" w:cs="FangSong" w:hint="eastAsia"/>
          <w:color w:val="000000"/>
          <w:kern w:val="0"/>
          <w:sz w:val="23"/>
          <w:szCs w:val="23"/>
        </w:rPr>
        <w:t>结构化产品的最大特色就是能够为投资者度身定做、设计符合其投资需求的产品。因此，在设计结构化产品时，首先要了解清楚投资者的需求，做好产品定位。其次，进一步确定基础</w:t>
      </w:r>
      <w:r w:rsidRPr="003511D5">
        <w:rPr>
          <w:rFonts w:ascii="FangSong" w:eastAsia="FangSong" w:hAnsiTheme="minorHAnsi" w:cs="FangSong" w:hint="eastAsia"/>
          <w:color w:val="000000"/>
          <w:kern w:val="0"/>
          <w:sz w:val="23"/>
          <w:szCs w:val="23"/>
        </w:rPr>
        <w:lastRenderedPageBreak/>
        <w:t>资产、挂钩资产和衍生品合约三大基本要素，根据投资者需求，设计相应的收益结构。最后，进行产品定价。其中核心工作就是期权定价，并结合基础资产收益，计算保本率、参与率等产品条款。</w:t>
      </w:r>
    </w:p>
    <w:p w14:paraId="374A4DBA" w14:textId="27106C31" w:rsidR="00A405C4" w:rsidRPr="00A405C4" w:rsidRDefault="00A405C4" w:rsidP="00A405C4">
      <w:pPr>
        <w:autoSpaceDE w:val="0"/>
        <w:autoSpaceDN w:val="0"/>
        <w:adjustRightInd w:val="0"/>
        <w:ind w:firstLineChars="200" w:firstLine="442"/>
        <w:jc w:val="center"/>
        <w:rPr>
          <w:rFonts w:ascii="楷体" w:eastAsia="楷体" w:hAnsi="楷体" w:cs="FangSong"/>
          <w:b/>
          <w:color w:val="000000"/>
          <w:kern w:val="0"/>
          <w:sz w:val="22"/>
          <w:szCs w:val="23"/>
        </w:rPr>
      </w:pPr>
      <w:r w:rsidRPr="00A405C4">
        <w:rPr>
          <w:rFonts w:ascii="楷体" w:eastAsia="楷体" w:hAnsi="楷体" w:cs="FangSong" w:hint="eastAsia"/>
          <w:b/>
          <w:color w:val="000000"/>
          <w:kern w:val="0"/>
          <w:sz w:val="22"/>
          <w:szCs w:val="23"/>
        </w:rPr>
        <w:t>图</w:t>
      </w:r>
      <w:r>
        <w:rPr>
          <w:rFonts w:ascii="楷体" w:eastAsia="楷体" w:hAnsi="楷体" w:cs="FangSong" w:hint="eastAsia"/>
          <w:b/>
          <w:color w:val="000000"/>
          <w:kern w:val="0"/>
          <w:sz w:val="22"/>
          <w:szCs w:val="23"/>
        </w:rPr>
        <w:t>2</w:t>
      </w:r>
      <w:r w:rsidRPr="00A405C4">
        <w:rPr>
          <w:rFonts w:ascii="楷体" w:eastAsia="楷体" w:hAnsi="楷体" w:cs="FangSong" w:hint="eastAsia"/>
          <w:b/>
          <w:color w:val="000000"/>
          <w:kern w:val="0"/>
          <w:sz w:val="22"/>
          <w:szCs w:val="23"/>
        </w:rPr>
        <w:t>：结构化产品设计流程</w:t>
      </w:r>
    </w:p>
    <w:p w14:paraId="5B5B9EA5" w14:textId="64E1FCED" w:rsidR="003511D5" w:rsidRDefault="003511D5" w:rsidP="00A405C4">
      <w:pPr>
        <w:autoSpaceDE w:val="0"/>
        <w:autoSpaceDN w:val="0"/>
        <w:adjustRightInd w:val="0"/>
        <w:jc w:val="center"/>
        <w:rPr>
          <w:rFonts w:ascii="FangSong" w:eastAsia="FangSong" w:hAnsiTheme="minorHAnsi" w:cs="FangSong"/>
          <w:color w:val="000000"/>
          <w:kern w:val="0"/>
          <w:sz w:val="23"/>
          <w:szCs w:val="23"/>
        </w:rPr>
      </w:pPr>
      <w:r>
        <w:rPr>
          <w:noProof/>
        </w:rPr>
        <w:drawing>
          <wp:inline distT="0" distB="0" distL="0" distR="0" wp14:anchorId="4CB0F9E5" wp14:editId="3C6FB250">
            <wp:extent cx="5015115" cy="19685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27889" cy="1973514"/>
                    </a:xfrm>
                    <a:prstGeom prst="rect">
                      <a:avLst/>
                    </a:prstGeom>
                  </pic:spPr>
                </pic:pic>
              </a:graphicData>
            </a:graphic>
          </wp:inline>
        </w:drawing>
      </w:r>
    </w:p>
    <w:p w14:paraId="0DDB407D" w14:textId="614FFF9F" w:rsidR="003511D5" w:rsidRPr="00A405C4" w:rsidRDefault="00A405C4" w:rsidP="00A405C4">
      <w:pPr>
        <w:autoSpaceDE w:val="0"/>
        <w:autoSpaceDN w:val="0"/>
        <w:adjustRightInd w:val="0"/>
        <w:rPr>
          <w:rFonts w:ascii="FangSong" w:eastAsia="FangSong" w:hAnsiTheme="minorHAnsi" w:cs="FangSong"/>
          <w:b/>
          <w:color w:val="000000"/>
          <w:kern w:val="0"/>
          <w:sz w:val="23"/>
          <w:szCs w:val="23"/>
        </w:rPr>
      </w:pPr>
      <w:r w:rsidRPr="00A405C4">
        <w:rPr>
          <w:rFonts w:ascii="FangSong" w:eastAsia="FangSong" w:hAnsiTheme="minorHAnsi" w:cs="FangSong" w:hint="eastAsia"/>
          <w:b/>
          <w:color w:val="000000"/>
          <w:kern w:val="0"/>
          <w:sz w:val="23"/>
          <w:szCs w:val="23"/>
        </w:rPr>
        <w:t>（三）</w:t>
      </w:r>
      <w:r w:rsidR="009118FE" w:rsidRPr="00A405C4">
        <w:rPr>
          <w:rFonts w:ascii="FangSong" w:eastAsia="FangSong" w:hAnsiTheme="minorHAnsi" w:cs="FangSong" w:hint="eastAsia"/>
          <w:b/>
          <w:color w:val="000000"/>
          <w:kern w:val="0"/>
          <w:sz w:val="23"/>
          <w:szCs w:val="23"/>
        </w:rPr>
        <w:t>期权构造策略——</w:t>
      </w:r>
      <w:r w:rsidR="009118FE" w:rsidRPr="00A405C4">
        <w:rPr>
          <w:rFonts w:ascii="FangSong" w:eastAsia="FangSong" w:hAnsiTheme="minorHAnsi" w:cs="FangSong"/>
          <w:b/>
          <w:color w:val="000000"/>
          <w:kern w:val="0"/>
          <w:sz w:val="23"/>
          <w:szCs w:val="23"/>
        </w:rPr>
        <w:t>D</w:t>
      </w:r>
      <w:r w:rsidR="009118FE" w:rsidRPr="00A405C4">
        <w:rPr>
          <w:rFonts w:ascii="FangSong" w:eastAsia="FangSong" w:hAnsiTheme="minorHAnsi" w:cs="FangSong" w:hint="eastAsia"/>
          <w:b/>
          <w:color w:val="000000"/>
          <w:kern w:val="0"/>
          <w:sz w:val="23"/>
          <w:szCs w:val="23"/>
        </w:rPr>
        <w:t>elta动态复制</w:t>
      </w:r>
    </w:p>
    <w:p w14:paraId="4C2B2B22" w14:textId="0561FEE2" w:rsidR="009A44AB" w:rsidRDefault="009118FE" w:rsidP="009A44AB">
      <w:pPr>
        <w:autoSpaceDE w:val="0"/>
        <w:autoSpaceDN w:val="0"/>
        <w:adjustRightInd w:val="0"/>
        <w:ind w:firstLineChars="200" w:firstLine="460"/>
        <w:rPr>
          <w:rFonts w:ascii="FangSong" w:eastAsia="FangSong" w:hAnsiTheme="minorHAnsi" w:cs="FangSong"/>
          <w:color w:val="000000"/>
          <w:kern w:val="0"/>
          <w:sz w:val="23"/>
          <w:szCs w:val="23"/>
        </w:rPr>
        <w:sectPr w:rsidR="009A44AB" w:rsidSect="00346C18">
          <w:footerReference w:type="default" r:id="rId11"/>
          <w:pgSz w:w="11906" w:h="16838"/>
          <w:pgMar w:top="1440" w:right="1247" w:bottom="1440" w:left="1247" w:header="851" w:footer="992" w:gutter="0"/>
          <w:cols w:space="425"/>
          <w:docGrid w:type="lines" w:linePitch="435"/>
        </w:sectPr>
      </w:pPr>
      <w:r w:rsidRPr="009118FE">
        <w:rPr>
          <w:rFonts w:ascii="FangSong" w:eastAsia="FangSong" w:hAnsiTheme="minorHAnsi" w:cs="FangSong" w:hint="eastAsia"/>
          <w:color w:val="000000"/>
          <w:kern w:val="0"/>
          <w:sz w:val="23"/>
          <w:szCs w:val="23"/>
        </w:rPr>
        <w:t>目前国内尽管已经推出了融资融券以及股指期货等做空工具，产品设计空间逐渐加大，但是由于缺乏期权市场，尤其是更加灵活性的OTC市场，使得采用</w:t>
      </w:r>
      <w:r>
        <w:rPr>
          <w:rFonts w:ascii="FangSong" w:eastAsia="FangSong" w:hAnsiTheme="minorHAnsi" w:cs="FangSong" w:hint="eastAsia"/>
          <w:color w:val="000000"/>
          <w:kern w:val="0"/>
          <w:sz w:val="23"/>
          <w:szCs w:val="23"/>
        </w:rPr>
        <w:t>构建结构化产品</w:t>
      </w:r>
      <w:r w:rsidRPr="009118FE">
        <w:rPr>
          <w:rFonts w:ascii="FangSong" w:eastAsia="FangSong" w:hAnsiTheme="minorHAnsi" w:cs="FangSong" w:hint="eastAsia"/>
          <w:color w:val="000000"/>
          <w:kern w:val="0"/>
          <w:sz w:val="23"/>
          <w:szCs w:val="23"/>
        </w:rPr>
        <w:t>进行保本实施成本较高，采用Delta动态策略复制期权是目前</w:t>
      </w:r>
      <w:r>
        <w:rPr>
          <w:rFonts w:ascii="FangSong" w:eastAsia="FangSong" w:hAnsiTheme="minorHAnsi" w:cs="FangSong" w:hint="eastAsia"/>
          <w:color w:val="000000"/>
          <w:kern w:val="0"/>
          <w:sz w:val="23"/>
          <w:szCs w:val="23"/>
        </w:rPr>
        <w:t>内地设计结构化产品时构造期权的较好</w:t>
      </w:r>
      <w:r w:rsidRPr="009118FE">
        <w:rPr>
          <w:rFonts w:ascii="FangSong" w:eastAsia="FangSong" w:hAnsiTheme="minorHAnsi" w:cs="FangSong" w:hint="eastAsia"/>
          <w:color w:val="000000"/>
          <w:kern w:val="0"/>
          <w:sz w:val="23"/>
          <w:szCs w:val="23"/>
        </w:rPr>
        <w:t>选择。</w:t>
      </w:r>
    </w:p>
    <w:p w14:paraId="26E8CB6E" w14:textId="64C56FE1" w:rsidR="001976B6" w:rsidRPr="009A44AB" w:rsidRDefault="001976B6" w:rsidP="009118FE">
      <w:pPr>
        <w:autoSpaceDE w:val="0"/>
        <w:autoSpaceDN w:val="0"/>
        <w:adjustRightInd w:val="0"/>
        <w:jc w:val="left"/>
        <w:rPr>
          <w:rFonts w:ascii="FangSong" w:eastAsia="FangSong" w:hAnsiTheme="minorHAnsi" w:cs="FangSong"/>
          <w:color w:val="000000"/>
          <w:kern w:val="0"/>
          <w:sz w:val="23"/>
          <w:szCs w:val="23"/>
        </w:rPr>
      </w:pPr>
    </w:p>
    <w:p w14:paraId="231B5ADC" w14:textId="77777777" w:rsidR="00B17BAB" w:rsidRDefault="00B17BAB" w:rsidP="00DB77E9">
      <w:pPr>
        <w:autoSpaceDE w:val="0"/>
        <w:autoSpaceDN w:val="0"/>
        <w:adjustRightInd w:val="0"/>
        <w:jc w:val="center"/>
        <w:rPr>
          <w:rFonts w:ascii="FangSong" w:eastAsia="FangSong" w:hAnsiTheme="minorHAnsi" w:cs="FangSong"/>
          <w:color w:val="000000"/>
          <w:kern w:val="0"/>
          <w:sz w:val="23"/>
          <w:szCs w:val="23"/>
        </w:rPr>
      </w:pPr>
    </w:p>
    <w:sectPr w:rsidR="00B17BAB" w:rsidSect="00346C18">
      <w:pgSz w:w="11906" w:h="16838"/>
      <w:pgMar w:top="1440" w:right="1247" w:bottom="1440" w:left="1247" w:header="851" w:footer="992" w:gutter="0"/>
      <w:cols w:space="425"/>
      <w:docGrid w:type="lines" w:linePitch="43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B94306" w14:textId="77777777" w:rsidR="00AA6F27" w:rsidRDefault="00AA6F27" w:rsidP="00122DD7">
      <w:r>
        <w:separator/>
      </w:r>
    </w:p>
  </w:endnote>
  <w:endnote w:type="continuationSeparator" w:id="0">
    <w:p w14:paraId="450C8AF4" w14:textId="77777777" w:rsidR="00AA6F27" w:rsidRDefault="00AA6F27" w:rsidP="00122D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仿宋_GB2312">
    <w:altName w:val="仿宋"/>
    <w:charset w:val="86"/>
    <w:family w:val="modern"/>
    <w:pitch w:val="fixed"/>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KaiTi">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FangSong">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20904061"/>
      <w:docPartObj>
        <w:docPartGallery w:val="Page Numbers (Bottom of Page)"/>
        <w:docPartUnique/>
      </w:docPartObj>
    </w:sdtPr>
    <w:sdtEndPr/>
    <w:sdtContent>
      <w:sdt>
        <w:sdtPr>
          <w:id w:val="1728636285"/>
          <w:docPartObj>
            <w:docPartGallery w:val="Page Numbers (Top of Page)"/>
            <w:docPartUnique/>
          </w:docPartObj>
        </w:sdtPr>
        <w:sdtEndPr/>
        <w:sdtContent>
          <w:p w14:paraId="09BE7954" w14:textId="31948953" w:rsidR="00924D46" w:rsidRDefault="00924D46">
            <w:pPr>
              <w:pStyle w:val="ad"/>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B541BC">
              <w:rPr>
                <w:b/>
                <w:bCs/>
                <w:noProof/>
              </w:rPr>
              <w:t>6</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B541BC">
              <w:rPr>
                <w:b/>
                <w:bCs/>
                <w:noProof/>
              </w:rPr>
              <w:t>6</w:t>
            </w:r>
            <w:r>
              <w:rPr>
                <w:b/>
                <w:bCs/>
                <w:sz w:val="24"/>
                <w:szCs w:val="24"/>
              </w:rPr>
              <w:fldChar w:fldCharType="end"/>
            </w:r>
          </w:p>
        </w:sdtContent>
      </w:sdt>
    </w:sdtContent>
  </w:sdt>
  <w:p w14:paraId="35C3B948" w14:textId="77777777" w:rsidR="00924D46" w:rsidRDefault="00924D46">
    <w:pPr>
      <w:pStyle w:val="a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D927B1" w14:textId="77777777" w:rsidR="00AA6F27" w:rsidRDefault="00AA6F27" w:rsidP="00122DD7">
      <w:r>
        <w:separator/>
      </w:r>
    </w:p>
  </w:footnote>
  <w:footnote w:type="continuationSeparator" w:id="0">
    <w:p w14:paraId="2453E079" w14:textId="77777777" w:rsidR="00AA6F27" w:rsidRDefault="00AA6F27" w:rsidP="00122DD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469F3"/>
    <w:multiLevelType w:val="hybridMultilevel"/>
    <w:tmpl w:val="317A77BC"/>
    <w:lvl w:ilvl="0" w:tplc="519AE44E">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4FF4EC9"/>
    <w:multiLevelType w:val="hybridMultilevel"/>
    <w:tmpl w:val="1CA8BC32"/>
    <w:lvl w:ilvl="0" w:tplc="519AE44E">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CFC4E60"/>
    <w:multiLevelType w:val="hybridMultilevel"/>
    <w:tmpl w:val="9CFAB3EC"/>
    <w:lvl w:ilvl="0" w:tplc="3A32F318">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EB2003C"/>
    <w:multiLevelType w:val="hybridMultilevel"/>
    <w:tmpl w:val="A6D6DA52"/>
    <w:lvl w:ilvl="0" w:tplc="519AE44E">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0E678C3"/>
    <w:multiLevelType w:val="multilevel"/>
    <w:tmpl w:val="10E678C3"/>
    <w:lvl w:ilvl="0">
      <w:start w:val="1"/>
      <w:numFmt w:val="japaneseCounting"/>
      <w:lvlText w:val="%1、"/>
      <w:lvlJc w:val="left"/>
      <w:pPr>
        <w:tabs>
          <w:tab w:val="num" w:pos="720"/>
        </w:tabs>
        <w:ind w:left="720" w:hanging="720"/>
      </w:pPr>
      <w:rPr>
        <w:rFonts w:cs="Times New Roman" w:hint="default"/>
      </w:rPr>
    </w:lvl>
    <w:lvl w:ilvl="1">
      <w:start w:val="1"/>
      <w:numFmt w:val="lowerLetter"/>
      <w:lvlText w:val="%2)"/>
      <w:lvlJc w:val="left"/>
      <w:pPr>
        <w:tabs>
          <w:tab w:val="num" w:pos="840"/>
        </w:tabs>
        <w:ind w:left="840" w:hanging="420"/>
      </w:pPr>
      <w:rPr>
        <w:rFonts w:cs="Times New Roman"/>
      </w:rPr>
    </w:lvl>
    <w:lvl w:ilvl="2">
      <w:start w:val="1"/>
      <w:numFmt w:val="lowerRoman"/>
      <w:lvlText w:val="%3."/>
      <w:lvlJc w:val="right"/>
      <w:pPr>
        <w:tabs>
          <w:tab w:val="num" w:pos="1260"/>
        </w:tabs>
        <w:ind w:left="1260" w:hanging="420"/>
      </w:pPr>
      <w:rPr>
        <w:rFonts w:cs="Times New Roman"/>
      </w:rPr>
    </w:lvl>
    <w:lvl w:ilvl="3">
      <w:start w:val="1"/>
      <w:numFmt w:val="decimal"/>
      <w:lvlText w:val="%4."/>
      <w:lvlJc w:val="left"/>
      <w:pPr>
        <w:tabs>
          <w:tab w:val="num" w:pos="1680"/>
        </w:tabs>
        <w:ind w:left="1680" w:hanging="420"/>
      </w:pPr>
      <w:rPr>
        <w:rFonts w:cs="Times New Roman"/>
      </w:rPr>
    </w:lvl>
    <w:lvl w:ilvl="4">
      <w:start w:val="1"/>
      <w:numFmt w:val="lowerLetter"/>
      <w:lvlText w:val="%5)"/>
      <w:lvlJc w:val="left"/>
      <w:pPr>
        <w:tabs>
          <w:tab w:val="num" w:pos="2100"/>
        </w:tabs>
        <w:ind w:left="2100" w:hanging="420"/>
      </w:pPr>
      <w:rPr>
        <w:rFonts w:cs="Times New Roman"/>
      </w:rPr>
    </w:lvl>
    <w:lvl w:ilvl="5">
      <w:start w:val="1"/>
      <w:numFmt w:val="lowerRoman"/>
      <w:lvlText w:val="%6."/>
      <w:lvlJc w:val="right"/>
      <w:pPr>
        <w:tabs>
          <w:tab w:val="num" w:pos="2520"/>
        </w:tabs>
        <w:ind w:left="2520" w:hanging="420"/>
      </w:pPr>
      <w:rPr>
        <w:rFonts w:cs="Times New Roman"/>
      </w:rPr>
    </w:lvl>
    <w:lvl w:ilvl="6">
      <w:start w:val="1"/>
      <w:numFmt w:val="decimal"/>
      <w:lvlText w:val="%7."/>
      <w:lvlJc w:val="left"/>
      <w:pPr>
        <w:tabs>
          <w:tab w:val="num" w:pos="2940"/>
        </w:tabs>
        <w:ind w:left="2940" w:hanging="420"/>
      </w:pPr>
      <w:rPr>
        <w:rFonts w:cs="Times New Roman"/>
      </w:rPr>
    </w:lvl>
    <w:lvl w:ilvl="7">
      <w:start w:val="1"/>
      <w:numFmt w:val="lowerLetter"/>
      <w:lvlText w:val="%8)"/>
      <w:lvlJc w:val="left"/>
      <w:pPr>
        <w:tabs>
          <w:tab w:val="num" w:pos="3360"/>
        </w:tabs>
        <w:ind w:left="3360" w:hanging="420"/>
      </w:pPr>
      <w:rPr>
        <w:rFonts w:cs="Times New Roman"/>
      </w:rPr>
    </w:lvl>
    <w:lvl w:ilvl="8">
      <w:start w:val="1"/>
      <w:numFmt w:val="lowerRoman"/>
      <w:lvlText w:val="%9."/>
      <w:lvlJc w:val="right"/>
      <w:pPr>
        <w:tabs>
          <w:tab w:val="num" w:pos="3780"/>
        </w:tabs>
        <w:ind w:left="3780" w:hanging="420"/>
      </w:pPr>
      <w:rPr>
        <w:rFonts w:cs="Times New Roman"/>
      </w:rPr>
    </w:lvl>
  </w:abstractNum>
  <w:abstractNum w:abstractNumId="5" w15:restartNumberingAfterBreak="0">
    <w:nsid w:val="168A6690"/>
    <w:multiLevelType w:val="hybridMultilevel"/>
    <w:tmpl w:val="F356F1BE"/>
    <w:lvl w:ilvl="0" w:tplc="0409000B">
      <w:start w:val="1"/>
      <w:numFmt w:val="bullet"/>
      <w:lvlText w:val=""/>
      <w:lvlJc w:val="left"/>
      <w:pPr>
        <w:ind w:left="902" w:hanging="420"/>
      </w:pPr>
      <w:rPr>
        <w:rFonts w:ascii="Wingdings" w:hAnsi="Wingdings" w:hint="default"/>
      </w:rPr>
    </w:lvl>
    <w:lvl w:ilvl="1" w:tplc="04090003" w:tentative="1">
      <w:start w:val="1"/>
      <w:numFmt w:val="bullet"/>
      <w:lvlText w:val=""/>
      <w:lvlJc w:val="left"/>
      <w:pPr>
        <w:ind w:left="1322" w:hanging="420"/>
      </w:pPr>
      <w:rPr>
        <w:rFonts w:ascii="Wingdings" w:hAnsi="Wingdings" w:hint="default"/>
      </w:rPr>
    </w:lvl>
    <w:lvl w:ilvl="2" w:tplc="04090005" w:tentative="1">
      <w:start w:val="1"/>
      <w:numFmt w:val="bullet"/>
      <w:lvlText w:val=""/>
      <w:lvlJc w:val="left"/>
      <w:pPr>
        <w:ind w:left="1742" w:hanging="420"/>
      </w:pPr>
      <w:rPr>
        <w:rFonts w:ascii="Wingdings" w:hAnsi="Wingdings" w:hint="default"/>
      </w:rPr>
    </w:lvl>
    <w:lvl w:ilvl="3" w:tplc="04090001" w:tentative="1">
      <w:start w:val="1"/>
      <w:numFmt w:val="bullet"/>
      <w:lvlText w:val=""/>
      <w:lvlJc w:val="left"/>
      <w:pPr>
        <w:ind w:left="2162" w:hanging="420"/>
      </w:pPr>
      <w:rPr>
        <w:rFonts w:ascii="Wingdings" w:hAnsi="Wingdings" w:hint="default"/>
      </w:rPr>
    </w:lvl>
    <w:lvl w:ilvl="4" w:tplc="04090003" w:tentative="1">
      <w:start w:val="1"/>
      <w:numFmt w:val="bullet"/>
      <w:lvlText w:val=""/>
      <w:lvlJc w:val="left"/>
      <w:pPr>
        <w:ind w:left="2582" w:hanging="420"/>
      </w:pPr>
      <w:rPr>
        <w:rFonts w:ascii="Wingdings" w:hAnsi="Wingdings" w:hint="default"/>
      </w:rPr>
    </w:lvl>
    <w:lvl w:ilvl="5" w:tplc="04090005" w:tentative="1">
      <w:start w:val="1"/>
      <w:numFmt w:val="bullet"/>
      <w:lvlText w:val=""/>
      <w:lvlJc w:val="left"/>
      <w:pPr>
        <w:ind w:left="3002" w:hanging="420"/>
      </w:pPr>
      <w:rPr>
        <w:rFonts w:ascii="Wingdings" w:hAnsi="Wingdings" w:hint="default"/>
      </w:rPr>
    </w:lvl>
    <w:lvl w:ilvl="6" w:tplc="04090001" w:tentative="1">
      <w:start w:val="1"/>
      <w:numFmt w:val="bullet"/>
      <w:lvlText w:val=""/>
      <w:lvlJc w:val="left"/>
      <w:pPr>
        <w:ind w:left="3422" w:hanging="420"/>
      </w:pPr>
      <w:rPr>
        <w:rFonts w:ascii="Wingdings" w:hAnsi="Wingdings" w:hint="default"/>
      </w:rPr>
    </w:lvl>
    <w:lvl w:ilvl="7" w:tplc="04090003" w:tentative="1">
      <w:start w:val="1"/>
      <w:numFmt w:val="bullet"/>
      <w:lvlText w:val=""/>
      <w:lvlJc w:val="left"/>
      <w:pPr>
        <w:ind w:left="3842" w:hanging="420"/>
      </w:pPr>
      <w:rPr>
        <w:rFonts w:ascii="Wingdings" w:hAnsi="Wingdings" w:hint="default"/>
      </w:rPr>
    </w:lvl>
    <w:lvl w:ilvl="8" w:tplc="04090005" w:tentative="1">
      <w:start w:val="1"/>
      <w:numFmt w:val="bullet"/>
      <w:lvlText w:val=""/>
      <w:lvlJc w:val="left"/>
      <w:pPr>
        <w:ind w:left="4262" w:hanging="420"/>
      </w:pPr>
      <w:rPr>
        <w:rFonts w:ascii="Wingdings" w:hAnsi="Wingdings" w:hint="default"/>
      </w:rPr>
    </w:lvl>
  </w:abstractNum>
  <w:abstractNum w:abstractNumId="6" w15:restartNumberingAfterBreak="0">
    <w:nsid w:val="18510DAF"/>
    <w:multiLevelType w:val="hybridMultilevel"/>
    <w:tmpl w:val="A260CC92"/>
    <w:lvl w:ilvl="0" w:tplc="D03C16B0">
      <w:start w:val="3"/>
      <w:numFmt w:val="japaneseCounting"/>
      <w:lvlText w:val="%1、"/>
      <w:lvlJc w:val="left"/>
      <w:pPr>
        <w:ind w:left="986" w:hanging="504"/>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7" w15:restartNumberingAfterBreak="0">
    <w:nsid w:val="1AD80666"/>
    <w:multiLevelType w:val="hybridMultilevel"/>
    <w:tmpl w:val="00506A6A"/>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8" w15:restartNumberingAfterBreak="0">
    <w:nsid w:val="24533148"/>
    <w:multiLevelType w:val="hybridMultilevel"/>
    <w:tmpl w:val="48BA691E"/>
    <w:lvl w:ilvl="0" w:tplc="05C0187A">
      <w:start w:val="1"/>
      <w:numFmt w:val="japaneseCounting"/>
      <w:lvlText w:val="（%1）"/>
      <w:lvlJc w:val="left"/>
      <w:pPr>
        <w:ind w:left="1238" w:hanging="756"/>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9" w15:restartNumberingAfterBreak="0">
    <w:nsid w:val="2A4139E1"/>
    <w:multiLevelType w:val="hybridMultilevel"/>
    <w:tmpl w:val="075A437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C9E53D3"/>
    <w:multiLevelType w:val="hybridMultilevel"/>
    <w:tmpl w:val="CCFC53AA"/>
    <w:lvl w:ilvl="0" w:tplc="519AE44E">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30AA364D"/>
    <w:multiLevelType w:val="hybridMultilevel"/>
    <w:tmpl w:val="777891DC"/>
    <w:lvl w:ilvl="0" w:tplc="04090013">
      <w:start w:val="1"/>
      <w:numFmt w:val="chineseCountingThousand"/>
      <w:lvlText w:val="%1、"/>
      <w:lvlJc w:val="left"/>
      <w:pPr>
        <w:ind w:left="960" w:hanging="480"/>
      </w:pPr>
      <w:rPr>
        <w:rFonts w:ascii="宋体" w:eastAsia="宋体" w:hAnsi="宋体"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2" w15:restartNumberingAfterBreak="0">
    <w:nsid w:val="38901965"/>
    <w:multiLevelType w:val="hybridMultilevel"/>
    <w:tmpl w:val="CC5C6B9A"/>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3" w15:restartNumberingAfterBreak="0">
    <w:nsid w:val="3D8844C6"/>
    <w:multiLevelType w:val="hybridMultilevel"/>
    <w:tmpl w:val="AA5AD450"/>
    <w:lvl w:ilvl="0" w:tplc="674E7CE4">
      <w:start w:val="1"/>
      <w:numFmt w:val="japaneseCounting"/>
      <w:lvlText w:val="%1、"/>
      <w:lvlJc w:val="left"/>
      <w:pPr>
        <w:ind w:left="950" w:hanging="480"/>
      </w:pPr>
      <w:rPr>
        <w:rFonts w:hint="default"/>
      </w:rPr>
    </w:lvl>
    <w:lvl w:ilvl="1" w:tplc="04090019" w:tentative="1">
      <w:start w:val="1"/>
      <w:numFmt w:val="lowerLetter"/>
      <w:lvlText w:val="%2)"/>
      <w:lvlJc w:val="left"/>
      <w:pPr>
        <w:ind w:left="1310" w:hanging="420"/>
      </w:pPr>
    </w:lvl>
    <w:lvl w:ilvl="2" w:tplc="0409001B" w:tentative="1">
      <w:start w:val="1"/>
      <w:numFmt w:val="lowerRoman"/>
      <w:lvlText w:val="%3."/>
      <w:lvlJc w:val="right"/>
      <w:pPr>
        <w:ind w:left="1730" w:hanging="420"/>
      </w:pPr>
    </w:lvl>
    <w:lvl w:ilvl="3" w:tplc="0409000F" w:tentative="1">
      <w:start w:val="1"/>
      <w:numFmt w:val="decimal"/>
      <w:lvlText w:val="%4."/>
      <w:lvlJc w:val="left"/>
      <w:pPr>
        <w:ind w:left="2150" w:hanging="420"/>
      </w:pPr>
    </w:lvl>
    <w:lvl w:ilvl="4" w:tplc="04090019" w:tentative="1">
      <w:start w:val="1"/>
      <w:numFmt w:val="lowerLetter"/>
      <w:lvlText w:val="%5)"/>
      <w:lvlJc w:val="left"/>
      <w:pPr>
        <w:ind w:left="2570" w:hanging="420"/>
      </w:pPr>
    </w:lvl>
    <w:lvl w:ilvl="5" w:tplc="0409001B" w:tentative="1">
      <w:start w:val="1"/>
      <w:numFmt w:val="lowerRoman"/>
      <w:lvlText w:val="%6."/>
      <w:lvlJc w:val="right"/>
      <w:pPr>
        <w:ind w:left="2990" w:hanging="420"/>
      </w:pPr>
    </w:lvl>
    <w:lvl w:ilvl="6" w:tplc="0409000F" w:tentative="1">
      <w:start w:val="1"/>
      <w:numFmt w:val="decimal"/>
      <w:lvlText w:val="%7."/>
      <w:lvlJc w:val="left"/>
      <w:pPr>
        <w:ind w:left="3410" w:hanging="420"/>
      </w:pPr>
    </w:lvl>
    <w:lvl w:ilvl="7" w:tplc="04090019" w:tentative="1">
      <w:start w:val="1"/>
      <w:numFmt w:val="lowerLetter"/>
      <w:lvlText w:val="%8)"/>
      <w:lvlJc w:val="left"/>
      <w:pPr>
        <w:ind w:left="3830" w:hanging="420"/>
      </w:pPr>
    </w:lvl>
    <w:lvl w:ilvl="8" w:tplc="0409001B" w:tentative="1">
      <w:start w:val="1"/>
      <w:numFmt w:val="lowerRoman"/>
      <w:lvlText w:val="%9."/>
      <w:lvlJc w:val="right"/>
      <w:pPr>
        <w:ind w:left="4250" w:hanging="420"/>
      </w:pPr>
    </w:lvl>
  </w:abstractNum>
  <w:abstractNum w:abstractNumId="14" w15:restartNumberingAfterBreak="0">
    <w:nsid w:val="3E2262F0"/>
    <w:multiLevelType w:val="hybridMultilevel"/>
    <w:tmpl w:val="DD5E1AC0"/>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5" w15:restartNumberingAfterBreak="0">
    <w:nsid w:val="3F9A2E3F"/>
    <w:multiLevelType w:val="hybridMultilevel"/>
    <w:tmpl w:val="81B6BD54"/>
    <w:lvl w:ilvl="0" w:tplc="2506E25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40E4248C"/>
    <w:multiLevelType w:val="hybridMultilevel"/>
    <w:tmpl w:val="DF8EC6D2"/>
    <w:lvl w:ilvl="0" w:tplc="519AE44E">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46475CEB"/>
    <w:multiLevelType w:val="hybridMultilevel"/>
    <w:tmpl w:val="A936038C"/>
    <w:lvl w:ilvl="0" w:tplc="8164383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15:restartNumberingAfterBreak="0">
    <w:nsid w:val="4E6C3C43"/>
    <w:multiLevelType w:val="hybridMultilevel"/>
    <w:tmpl w:val="7C6A7952"/>
    <w:lvl w:ilvl="0" w:tplc="0DA264E0">
      <w:start w:val="1"/>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15:restartNumberingAfterBreak="0">
    <w:nsid w:val="52A42905"/>
    <w:multiLevelType w:val="hybridMultilevel"/>
    <w:tmpl w:val="FC6659D8"/>
    <w:lvl w:ilvl="0" w:tplc="0C4E7A9C">
      <w:start w:val="1"/>
      <w:numFmt w:val="japaneseCounting"/>
      <w:lvlText w:val="%1、"/>
      <w:lvlJc w:val="left"/>
      <w:pPr>
        <w:ind w:left="720" w:hanging="7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53731A9D"/>
    <w:multiLevelType w:val="hybridMultilevel"/>
    <w:tmpl w:val="E5B27D98"/>
    <w:lvl w:ilvl="0" w:tplc="DC486C22">
      <w:start w:val="1"/>
      <w:numFmt w:val="decimal"/>
      <w:lvlText w:val="%1)"/>
      <w:lvlJc w:val="left"/>
      <w:pPr>
        <w:ind w:left="113" w:hanging="113"/>
      </w:pPr>
      <w:rPr>
        <w:rFonts w:hint="eastAsia"/>
      </w:rPr>
    </w:lvl>
    <w:lvl w:ilvl="1" w:tplc="04090019" w:tentative="1">
      <w:start w:val="1"/>
      <w:numFmt w:val="lowerLetter"/>
      <w:lvlText w:val="%2)"/>
      <w:lvlJc w:val="left"/>
      <w:pPr>
        <w:ind w:left="1102" w:hanging="480"/>
      </w:pPr>
    </w:lvl>
    <w:lvl w:ilvl="2" w:tplc="0409001B" w:tentative="1">
      <w:start w:val="1"/>
      <w:numFmt w:val="lowerRoman"/>
      <w:lvlText w:val="%3."/>
      <w:lvlJc w:val="right"/>
      <w:pPr>
        <w:ind w:left="1582" w:hanging="480"/>
      </w:pPr>
    </w:lvl>
    <w:lvl w:ilvl="3" w:tplc="0409000F" w:tentative="1">
      <w:start w:val="1"/>
      <w:numFmt w:val="decimal"/>
      <w:lvlText w:val="%4."/>
      <w:lvlJc w:val="left"/>
      <w:pPr>
        <w:ind w:left="2062" w:hanging="480"/>
      </w:pPr>
    </w:lvl>
    <w:lvl w:ilvl="4" w:tplc="04090019" w:tentative="1">
      <w:start w:val="1"/>
      <w:numFmt w:val="lowerLetter"/>
      <w:lvlText w:val="%5)"/>
      <w:lvlJc w:val="left"/>
      <w:pPr>
        <w:ind w:left="2542" w:hanging="480"/>
      </w:pPr>
    </w:lvl>
    <w:lvl w:ilvl="5" w:tplc="0409001B" w:tentative="1">
      <w:start w:val="1"/>
      <w:numFmt w:val="lowerRoman"/>
      <w:lvlText w:val="%6."/>
      <w:lvlJc w:val="right"/>
      <w:pPr>
        <w:ind w:left="3022" w:hanging="480"/>
      </w:pPr>
    </w:lvl>
    <w:lvl w:ilvl="6" w:tplc="0409000F" w:tentative="1">
      <w:start w:val="1"/>
      <w:numFmt w:val="decimal"/>
      <w:lvlText w:val="%7."/>
      <w:lvlJc w:val="left"/>
      <w:pPr>
        <w:ind w:left="3502" w:hanging="480"/>
      </w:pPr>
    </w:lvl>
    <w:lvl w:ilvl="7" w:tplc="04090019" w:tentative="1">
      <w:start w:val="1"/>
      <w:numFmt w:val="lowerLetter"/>
      <w:lvlText w:val="%8)"/>
      <w:lvlJc w:val="left"/>
      <w:pPr>
        <w:ind w:left="3982" w:hanging="480"/>
      </w:pPr>
    </w:lvl>
    <w:lvl w:ilvl="8" w:tplc="0409001B" w:tentative="1">
      <w:start w:val="1"/>
      <w:numFmt w:val="lowerRoman"/>
      <w:lvlText w:val="%9."/>
      <w:lvlJc w:val="right"/>
      <w:pPr>
        <w:ind w:left="4462" w:hanging="480"/>
      </w:pPr>
    </w:lvl>
  </w:abstractNum>
  <w:abstractNum w:abstractNumId="21" w15:restartNumberingAfterBreak="0">
    <w:nsid w:val="56832860"/>
    <w:multiLevelType w:val="hybridMultilevel"/>
    <w:tmpl w:val="4CA23212"/>
    <w:lvl w:ilvl="0" w:tplc="0409000B">
      <w:start w:val="1"/>
      <w:numFmt w:val="bullet"/>
      <w:lvlText w:val=""/>
      <w:lvlJc w:val="left"/>
      <w:pPr>
        <w:ind w:left="902" w:hanging="420"/>
      </w:pPr>
      <w:rPr>
        <w:rFonts w:ascii="Wingdings" w:hAnsi="Wingdings" w:hint="default"/>
      </w:rPr>
    </w:lvl>
    <w:lvl w:ilvl="1" w:tplc="04090003" w:tentative="1">
      <w:start w:val="1"/>
      <w:numFmt w:val="bullet"/>
      <w:lvlText w:val=""/>
      <w:lvlJc w:val="left"/>
      <w:pPr>
        <w:ind w:left="1322" w:hanging="420"/>
      </w:pPr>
      <w:rPr>
        <w:rFonts w:ascii="Wingdings" w:hAnsi="Wingdings" w:hint="default"/>
      </w:rPr>
    </w:lvl>
    <w:lvl w:ilvl="2" w:tplc="04090005" w:tentative="1">
      <w:start w:val="1"/>
      <w:numFmt w:val="bullet"/>
      <w:lvlText w:val=""/>
      <w:lvlJc w:val="left"/>
      <w:pPr>
        <w:ind w:left="1742" w:hanging="420"/>
      </w:pPr>
      <w:rPr>
        <w:rFonts w:ascii="Wingdings" w:hAnsi="Wingdings" w:hint="default"/>
      </w:rPr>
    </w:lvl>
    <w:lvl w:ilvl="3" w:tplc="04090001" w:tentative="1">
      <w:start w:val="1"/>
      <w:numFmt w:val="bullet"/>
      <w:lvlText w:val=""/>
      <w:lvlJc w:val="left"/>
      <w:pPr>
        <w:ind w:left="2162" w:hanging="420"/>
      </w:pPr>
      <w:rPr>
        <w:rFonts w:ascii="Wingdings" w:hAnsi="Wingdings" w:hint="default"/>
      </w:rPr>
    </w:lvl>
    <w:lvl w:ilvl="4" w:tplc="04090003" w:tentative="1">
      <w:start w:val="1"/>
      <w:numFmt w:val="bullet"/>
      <w:lvlText w:val=""/>
      <w:lvlJc w:val="left"/>
      <w:pPr>
        <w:ind w:left="2582" w:hanging="420"/>
      </w:pPr>
      <w:rPr>
        <w:rFonts w:ascii="Wingdings" w:hAnsi="Wingdings" w:hint="default"/>
      </w:rPr>
    </w:lvl>
    <w:lvl w:ilvl="5" w:tplc="04090005" w:tentative="1">
      <w:start w:val="1"/>
      <w:numFmt w:val="bullet"/>
      <w:lvlText w:val=""/>
      <w:lvlJc w:val="left"/>
      <w:pPr>
        <w:ind w:left="3002" w:hanging="420"/>
      </w:pPr>
      <w:rPr>
        <w:rFonts w:ascii="Wingdings" w:hAnsi="Wingdings" w:hint="default"/>
      </w:rPr>
    </w:lvl>
    <w:lvl w:ilvl="6" w:tplc="04090001" w:tentative="1">
      <w:start w:val="1"/>
      <w:numFmt w:val="bullet"/>
      <w:lvlText w:val=""/>
      <w:lvlJc w:val="left"/>
      <w:pPr>
        <w:ind w:left="3422" w:hanging="420"/>
      </w:pPr>
      <w:rPr>
        <w:rFonts w:ascii="Wingdings" w:hAnsi="Wingdings" w:hint="default"/>
      </w:rPr>
    </w:lvl>
    <w:lvl w:ilvl="7" w:tplc="04090003" w:tentative="1">
      <w:start w:val="1"/>
      <w:numFmt w:val="bullet"/>
      <w:lvlText w:val=""/>
      <w:lvlJc w:val="left"/>
      <w:pPr>
        <w:ind w:left="3842" w:hanging="420"/>
      </w:pPr>
      <w:rPr>
        <w:rFonts w:ascii="Wingdings" w:hAnsi="Wingdings" w:hint="default"/>
      </w:rPr>
    </w:lvl>
    <w:lvl w:ilvl="8" w:tplc="04090005" w:tentative="1">
      <w:start w:val="1"/>
      <w:numFmt w:val="bullet"/>
      <w:lvlText w:val=""/>
      <w:lvlJc w:val="left"/>
      <w:pPr>
        <w:ind w:left="4262" w:hanging="420"/>
      </w:pPr>
      <w:rPr>
        <w:rFonts w:ascii="Wingdings" w:hAnsi="Wingdings" w:hint="default"/>
      </w:rPr>
    </w:lvl>
  </w:abstractNum>
  <w:abstractNum w:abstractNumId="22" w15:restartNumberingAfterBreak="0">
    <w:nsid w:val="5984765F"/>
    <w:multiLevelType w:val="hybridMultilevel"/>
    <w:tmpl w:val="B514530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62330390"/>
    <w:multiLevelType w:val="hybridMultilevel"/>
    <w:tmpl w:val="ACFE1030"/>
    <w:lvl w:ilvl="0" w:tplc="0409000B">
      <w:start w:val="1"/>
      <w:numFmt w:val="bullet"/>
      <w:lvlText w:val=""/>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69E250A5"/>
    <w:multiLevelType w:val="hybridMultilevel"/>
    <w:tmpl w:val="D72C704A"/>
    <w:lvl w:ilvl="0" w:tplc="04090017">
      <w:start w:val="1"/>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5" w15:restartNumberingAfterBreak="0">
    <w:nsid w:val="6A8A781A"/>
    <w:multiLevelType w:val="hybridMultilevel"/>
    <w:tmpl w:val="5ADC0424"/>
    <w:lvl w:ilvl="0" w:tplc="81529CFE">
      <w:start w:val="3"/>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6DD00F3C"/>
    <w:multiLevelType w:val="hybridMultilevel"/>
    <w:tmpl w:val="23583942"/>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7" w15:restartNumberingAfterBreak="0">
    <w:nsid w:val="749F5328"/>
    <w:multiLevelType w:val="hybridMultilevel"/>
    <w:tmpl w:val="138085EE"/>
    <w:lvl w:ilvl="0" w:tplc="04090013">
      <w:start w:val="1"/>
      <w:numFmt w:val="chineseCountingThousand"/>
      <w:lvlText w:val="%1、"/>
      <w:lvlJc w:val="left"/>
      <w:pPr>
        <w:ind w:left="113" w:hanging="113"/>
      </w:pPr>
      <w:rPr>
        <w:rFonts w:hint="eastAsia"/>
      </w:rPr>
    </w:lvl>
    <w:lvl w:ilvl="1" w:tplc="04090019" w:tentative="1">
      <w:start w:val="1"/>
      <w:numFmt w:val="lowerLetter"/>
      <w:lvlText w:val="%2)"/>
      <w:lvlJc w:val="left"/>
      <w:pPr>
        <w:ind w:left="1102" w:hanging="480"/>
      </w:pPr>
    </w:lvl>
    <w:lvl w:ilvl="2" w:tplc="0409001B" w:tentative="1">
      <w:start w:val="1"/>
      <w:numFmt w:val="lowerRoman"/>
      <w:lvlText w:val="%3."/>
      <w:lvlJc w:val="right"/>
      <w:pPr>
        <w:ind w:left="1582" w:hanging="480"/>
      </w:pPr>
    </w:lvl>
    <w:lvl w:ilvl="3" w:tplc="0409000F" w:tentative="1">
      <w:start w:val="1"/>
      <w:numFmt w:val="decimal"/>
      <w:lvlText w:val="%4."/>
      <w:lvlJc w:val="left"/>
      <w:pPr>
        <w:ind w:left="2062" w:hanging="480"/>
      </w:pPr>
    </w:lvl>
    <w:lvl w:ilvl="4" w:tplc="04090019" w:tentative="1">
      <w:start w:val="1"/>
      <w:numFmt w:val="lowerLetter"/>
      <w:lvlText w:val="%5)"/>
      <w:lvlJc w:val="left"/>
      <w:pPr>
        <w:ind w:left="2542" w:hanging="480"/>
      </w:pPr>
    </w:lvl>
    <w:lvl w:ilvl="5" w:tplc="0409001B" w:tentative="1">
      <w:start w:val="1"/>
      <w:numFmt w:val="lowerRoman"/>
      <w:lvlText w:val="%6."/>
      <w:lvlJc w:val="right"/>
      <w:pPr>
        <w:ind w:left="3022" w:hanging="480"/>
      </w:pPr>
    </w:lvl>
    <w:lvl w:ilvl="6" w:tplc="0409000F" w:tentative="1">
      <w:start w:val="1"/>
      <w:numFmt w:val="decimal"/>
      <w:lvlText w:val="%7."/>
      <w:lvlJc w:val="left"/>
      <w:pPr>
        <w:ind w:left="3502" w:hanging="480"/>
      </w:pPr>
    </w:lvl>
    <w:lvl w:ilvl="7" w:tplc="04090019" w:tentative="1">
      <w:start w:val="1"/>
      <w:numFmt w:val="lowerLetter"/>
      <w:lvlText w:val="%8)"/>
      <w:lvlJc w:val="left"/>
      <w:pPr>
        <w:ind w:left="3982" w:hanging="480"/>
      </w:pPr>
    </w:lvl>
    <w:lvl w:ilvl="8" w:tplc="0409001B" w:tentative="1">
      <w:start w:val="1"/>
      <w:numFmt w:val="lowerRoman"/>
      <w:lvlText w:val="%9."/>
      <w:lvlJc w:val="right"/>
      <w:pPr>
        <w:ind w:left="4462" w:hanging="480"/>
      </w:pPr>
    </w:lvl>
  </w:abstractNum>
  <w:abstractNum w:abstractNumId="28" w15:restartNumberingAfterBreak="0">
    <w:nsid w:val="798D7005"/>
    <w:multiLevelType w:val="hybridMultilevel"/>
    <w:tmpl w:val="2C344296"/>
    <w:lvl w:ilvl="0" w:tplc="A23A0D36">
      <w:start w:val="1"/>
      <w:numFmt w:val="japaneseCounting"/>
      <w:lvlText w:val="（%1）"/>
      <w:lvlJc w:val="left"/>
      <w:pPr>
        <w:ind w:left="1200" w:hanging="720"/>
      </w:pPr>
      <w:rPr>
        <w:rFonts w:hint="default"/>
        <w:b w:val="0"/>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9" w15:restartNumberingAfterBreak="0">
    <w:nsid w:val="7FBA679B"/>
    <w:multiLevelType w:val="hybridMultilevel"/>
    <w:tmpl w:val="018EECF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4"/>
  </w:num>
  <w:num w:numId="2">
    <w:abstractNumId w:val="21"/>
  </w:num>
  <w:num w:numId="3">
    <w:abstractNumId w:val="5"/>
  </w:num>
  <w:num w:numId="4">
    <w:abstractNumId w:val="26"/>
  </w:num>
  <w:num w:numId="5">
    <w:abstractNumId w:val="24"/>
  </w:num>
  <w:num w:numId="6">
    <w:abstractNumId w:val="20"/>
  </w:num>
  <w:num w:numId="7">
    <w:abstractNumId w:val="11"/>
  </w:num>
  <w:num w:numId="8">
    <w:abstractNumId w:val="25"/>
  </w:num>
  <w:num w:numId="9">
    <w:abstractNumId w:val="27"/>
  </w:num>
  <w:num w:numId="10">
    <w:abstractNumId w:val="9"/>
  </w:num>
  <w:num w:numId="11">
    <w:abstractNumId w:val="1"/>
  </w:num>
  <w:num w:numId="12">
    <w:abstractNumId w:val="3"/>
  </w:num>
  <w:num w:numId="13">
    <w:abstractNumId w:val="16"/>
  </w:num>
  <w:num w:numId="14">
    <w:abstractNumId w:val="10"/>
  </w:num>
  <w:num w:numId="15">
    <w:abstractNumId w:val="0"/>
  </w:num>
  <w:num w:numId="16">
    <w:abstractNumId w:val="17"/>
  </w:num>
  <w:num w:numId="17">
    <w:abstractNumId w:val="28"/>
  </w:num>
  <w:num w:numId="18">
    <w:abstractNumId w:val="6"/>
  </w:num>
  <w:num w:numId="19">
    <w:abstractNumId w:val="8"/>
  </w:num>
  <w:num w:numId="20">
    <w:abstractNumId w:val="15"/>
  </w:num>
  <w:num w:numId="21">
    <w:abstractNumId w:val="7"/>
  </w:num>
  <w:num w:numId="22">
    <w:abstractNumId w:val="18"/>
  </w:num>
  <w:num w:numId="23">
    <w:abstractNumId w:val="12"/>
  </w:num>
  <w:num w:numId="24">
    <w:abstractNumId w:val="14"/>
  </w:num>
  <w:num w:numId="25">
    <w:abstractNumId w:val="13"/>
  </w:num>
  <w:num w:numId="26">
    <w:abstractNumId w:val="2"/>
  </w:num>
  <w:num w:numId="27">
    <w:abstractNumId w:val="19"/>
  </w:num>
  <w:num w:numId="28">
    <w:abstractNumId w:val="29"/>
  </w:num>
  <w:num w:numId="29">
    <w:abstractNumId w:val="22"/>
  </w:num>
  <w:num w:numId="3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HorizontalSpacing w:val="160"/>
  <w:drawingGridVerticalSpacing w:val="435"/>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66A9"/>
    <w:rsid w:val="00000872"/>
    <w:rsid w:val="00003116"/>
    <w:rsid w:val="00006A31"/>
    <w:rsid w:val="00010404"/>
    <w:rsid w:val="00014B48"/>
    <w:rsid w:val="000449A1"/>
    <w:rsid w:val="000452B9"/>
    <w:rsid w:val="00046430"/>
    <w:rsid w:val="00053E75"/>
    <w:rsid w:val="00084D76"/>
    <w:rsid w:val="00091F25"/>
    <w:rsid w:val="00093533"/>
    <w:rsid w:val="000B7C5B"/>
    <w:rsid w:val="000C446C"/>
    <w:rsid w:val="000C7684"/>
    <w:rsid w:val="000D6881"/>
    <w:rsid w:val="001116B3"/>
    <w:rsid w:val="00122DD7"/>
    <w:rsid w:val="0013028A"/>
    <w:rsid w:val="0013070C"/>
    <w:rsid w:val="0014186E"/>
    <w:rsid w:val="0014466F"/>
    <w:rsid w:val="001640A1"/>
    <w:rsid w:val="001676EF"/>
    <w:rsid w:val="00175149"/>
    <w:rsid w:val="001976B6"/>
    <w:rsid w:val="001A5FD7"/>
    <w:rsid w:val="001A66A9"/>
    <w:rsid w:val="001B10CF"/>
    <w:rsid w:val="001E6CA0"/>
    <w:rsid w:val="001F2A85"/>
    <w:rsid w:val="001F38C0"/>
    <w:rsid w:val="00207AB7"/>
    <w:rsid w:val="00212079"/>
    <w:rsid w:val="00213A00"/>
    <w:rsid w:val="002301D9"/>
    <w:rsid w:val="002310DD"/>
    <w:rsid w:val="002570C5"/>
    <w:rsid w:val="00257B1E"/>
    <w:rsid w:val="00273B55"/>
    <w:rsid w:val="0028491D"/>
    <w:rsid w:val="00293EAF"/>
    <w:rsid w:val="00296623"/>
    <w:rsid w:val="002B19B9"/>
    <w:rsid w:val="002B1D58"/>
    <w:rsid w:val="002D2F7F"/>
    <w:rsid w:val="002D401D"/>
    <w:rsid w:val="002F4C25"/>
    <w:rsid w:val="00306B41"/>
    <w:rsid w:val="00313275"/>
    <w:rsid w:val="0031333B"/>
    <w:rsid w:val="003205AC"/>
    <w:rsid w:val="00346685"/>
    <w:rsid w:val="00346C18"/>
    <w:rsid w:val="003511D5"/>
    <w:rsid w:val="00351F3C"/>
    <w:rsid w:val="003521C1"/>
    <w:rsid w:val="00361855"/>
    <w:rsid w:val="00391BFB"/>
    <w:rsid w:val="003D0688"/>
    <w:rsid w:val="003D40D8"/>
    <w:rsid w:val="003E5D7F"/>
    <w:rsid w:val="003E6101"/>
    <w:rsid w:val="00405760"/>
    <w:rsid w:val="00407AE5"/>
    <w:rsid w:val="00452464"/>
    <w:rsid w:val="004631C5"/>
    <w:rsid w:val="00476E29"/>
    <w:rsid w:val="00492002"/>
    <w:rsid w:val="004C6B8D"/>
    <w:rsid w:val="004F0879"/>
    <w:rsid w:val="00500629"/>
    <w:rsid w:val="005010B0"/>
    <w:rsid w:val="00502A1A"/>
    <w:rsid w:val="00503A10"/>
    <w:rsid w:val="00503A53"/>
    <w:rsid w:val="00506525"/>
    <w:rsid w:val="00523866"/>
    <w:rsid w:val="00525170"/>
    <w:rsid w:val="00537EC4"/>
    <w:rsid w:val="00543DD4"/>
    <w:rsid w:val="00564D0D"/>
    <w:rsid w:val="0057319A"/>
    <w:rsid w:val="00573A8F"/>
    <w:rsid w:val="005960C1"/>
    <w:rsid w:val="005A6431"/>
    <w:rsid w:val="005D18D6"/>
    <w:rsid w:val="005D3AC2"/>
    <w:rsid w:val="005E7E1F"/>
    <w:rsid w:val="005F0EEC"/>
    <w:rsid w:val="00606CEC"/>
    <w:rsid w:val="006126AF"/>
    <w:rsid w:val="006317EB"/>
    <w:rsid w:val="00633533"/>
    <w:rsid w:val="006434F9"/>
    <w:rsid w:val="00647F75"/>
    <w:rsid w:val="006669C4"/>
    <w:rsid w:val="006712E7"/>
    <w:rsid w:val="00680873"/>
    <w:rsid w:val="006B3A8C"/>
    <w:rsid w:val="006B3F13"/>
    <w:rsid w:val="006C0CAF"/>
    <w:rsid w:val="006E2FD2"/>
    <w:rsid w:val="006E4AC6"/>
    <w:rsid w:val="006F0F86"/>
    <w:rsid w:val="00700A82"/>
    <w:rsid w:val="00711F5A"/>
    <w:rsid w:val="0072042E"/>
    <w:rsid w:val="007306C7"/>
    <w:rsid w:val="00740629"/>
    <w:rsid w:val="0074118C"/>
    <w:rsid w:val="007444E9"/>
    <w:rsid w:val="0076570F"/>
    <w:rsid w:val="00775D4D"/>
    <w:rsid w:val="007767C5"/>
    <w:rsid w:val="00795917"/>
    <w:rsid w:val="007A647E"/>
    <w:rsid w:val="007C1E6A"/>
    <w:rsid w:val="007C57EE"/>
    <w:rsid w:val="007D0FFB"/>
    <w:rsid w:val="007D1005"/>
    <w:rsid w:val="0082133F"/>
    <w:rsid w:val="008228A6"/>
    <w:rsid w:val="00826392"/>
    <w:rsid w:val="00843728"/>
    <w:rsid w:val="00844D0B"/>
    <w:rsid w:val="00845E26"/>
    <w:rsid w:val="008556BE"/>
    <w:rsid w:val="008568A6"/>
    <w:rsid w:val="008623D5"/>
    <w:rsid w:val="00870ECE"/>
    <w:rsid w:val="00891AD9"/>
    <w:rsid w:val="008963EB"/>
    <w:rsid w:val="008A1E60"/>
    <w:rsid w:val="008B5F50"/>
    <w:rsid w:val="008B6EC5"/>
    <w:rsid w:val="008C00C8"/>
    <w:rsid w:val="008E36DB"/>
    <w:rsid w:val="008E53BA"/>
    <w:rsid w:val="008F7493"/>
    <w:rsid w:val="009118FE"/>
    <w:rsid w:val="0092029C"/>
    <w:rsid w:val="00920744"/>
    <w:rsid w:val="00924669"/>
    <w:rsid w:val="00924C5B"/>
    <w:rsid w:val="00924D46"/>
    <w:rsid w:val="00937E3B"/>
    <w:rsid w:val="00941791"/>
    <w:rsid w:val="0096374F"/>
    <w:rsid w:val="00963B11"/>
    <w:rsid w:val="00996039"/>
    <w:rsid w:val="009A44AB"/>
    <w:rsid w:val="009A5AD0"/>
    <w:rsid w:val="009D2DE6"/>
    <w:rsid w:val="009D4F45"/>
    <w:rsid w:val="00A01815"/>
    <w:rsid w:val="00A405C4"/>
    <w:rsid w:val="00A4334F"/>
    <w:rsid w:val="00A53DBC"/>
    <w:rsid w:val="00A71564"/>
    <w:rsid w:val="00A778A9"/>
    <w:rsid w:val="00A8565E"/>
    <w:rsid w:val="00AA6F27"/>
    <w:rsid w:val="00AC4037"/>
    <w:rsid w:val="00AC68EB"/>
    <w:rsid w:val="00AC7255"/>
    <w:rsid w:val="00AD2887"/>
    <w:rsid w:val="00B148C7"/>
    <w:rsid w:val="00B15F9D"/>
    <w:rsid w:val="00B17790"/>
    <w:rsid w:val="00B17BAB"/>
    <w:rsid w:val="00B37A5C"/>
    <w:rsid w:val="00B43CF8"/>
    <w:rsid w:val="00B44FCA"/>
    <w:rsid w:val="00B541BC"/>
    <w:rsid w:val="00B63B56"/>
    <w:rsid w:val="00B64A1A"/>
    <w:rsid w:val="00B72FCE"/>
    <w:rsid w:val="00B7608A"/>
    <w:rsid w:val="00B94013"/>
    <w:rsid w:val="00BA0B5A"/>
    <w:rsid w:val="00BA3F7E"/>
    <w:rsid w:val="00BB081E"/>
    <w:rsid w:val="00BB7F1F"/>
    <w:rsid w:val="00BC5FE1"/>
    <w:rsid w:val="00BE59C4"/>
    <w:rsid w:val="00C10A2E"/>
    <w:rsid w:val="00C13BA4"/>
    <w:rsid w:val="00C4144F"/>
    <w:rsid w:val="00C477FC"/>
    <w:rsid w:val="00C5033E"/>
    <w:rsid w:val="00C538F7"/>
    <w:rsid w:val="00C57BFA"/>
    <w:rsid w:val="00C62733"/>
    <w:rsid w:val="00C6629F"/>
    <w:rsid w:val="00C713B1"/>
    <w:rsid w:val="00C7717F"/>
    <w:rsid w:val="00C817FE"/>
    <w:rsid w:val="00C82E46"/>
    <w:rsid w:val="00C838DA"/>
    <w:rsid w:val="00CA5C66"/>
    <w:rsid w:val="00CB26C4"/>
    <w:rsid w:val="00CC6878"/>
    <w:rsid w:val="00CF04BE"/>
    <w:rsid w:val="00D336D5"/>
    <w:rsid w:val="00D740C8"/>
    <w:rsid w:val="00D80BAF"/>
    <w:rsid w:val="00DB77E9"/>
    <w:rsid w:val="00DC53F1"/>
    <w:rsid w:val="00DC5A29"/>
    <w:rsid w:val="00DD698F"/>
    <w:rsid w:val="00DF4F16"/>
    <w:rsid w:val="00DF6E59"/>
    <w:rsid w:val="00E14235"/>
    <w:rsid w:val="00E21D38"/>
    <w:rsid w:val="00E2484E"/>
    <w:rsid w:val="00E47AF9"/>
    <w:rsid w:val="00E47B0F"/>
    <w:rsid w:val="00E612AF"/>
    <w:rsid w:val="00E663C4"/>
    <w:rsid w:val="00E7069F"/>
    <w:rsid w:val="00E7355F"/>
    <w:rsid w:val="00E746C5"/>
    <w:rsid w:val="00E77406"/>
    <w:rsid w:val="00E82818"/>
    <w:rsid w:val="00E9646B"/>
    <w:rsid w:val="00EA3D01"/>
    <w:rsid w:val="00EC1BAB"/>
    <w:rsid w:val="00EC52EC"/>
    <w:rsid w:val="00ED73EE"/>
    <w:rsid w:val="00EE34C2"/>
    <w:rsid w:val="00EE44EF"/>
    <w:rsid w:val="00EF25A1"/>
    <w:rsid w:val="00EF4AF1"/>
    <w:rsid w:val="00F200B1"/>
    <w:rsid w:val="00F41E61"/>
    <w:rsid w:val="00F60019"/>
    <w:rsid w:val="00F60A49"/>
    <w:rsid w:val="00F61768"/>
    <w:rsid w:val="00F75A5D"/>
    <w:rsid w:val="00F76506"/>
    <w:rsid w:val="00F84CA1"/>
    <w:rsid w:val="00F97213"/>
    <w:rsid w:val="00FA0016"/>
    <w:rsid w:val="00FA105D"/>
    <w:rsid w:val="00FA2E47"/>
    <w:rsid w:val="00FD241B"/>
    <w:rsid w:val="00FD398E"/>
    <w:rsid w:val="00FD5955"/>
    <w:rsid w:val="00FD7934"/>
    <w:rsid w:val="00FF52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8E1975"/>
  <w15:docId w15:val="{6F993E6F-09C3-4232-8C13-4460AC3D7E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1A66A9"/>
    <w:pPr>
      <w:widowControl w:val="0"/>
      <w:jc w:val="both"/>
    </w:pPr>
    <w:rPr>
      <w:rFonts w:ascii="Times New Roman" w:eastAsia="仿宋_GB2312" w:hAnsi="Times New Roman" w:cs="Times New Roman"/>
      <w:sz w:val="32"/>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GB2312">
    <w:name w:val="正文 + (西文) 仿宋_GB2312"/>
    <w:aliases w:val="三号,居中,左侧:  -0.02 厘米"/>
    <w:basedOn w:val="a"/>
    <w:rsid w:val="001A66A9"/>
    <w:pPr>
      <w:snapToGrid w:val="0"/>
      <w:ind w:left="-14"/>
      <w:jc w:val="center"/>
    </w:pPr>
    <w:rPr>
      <w:rFonts w:ascii="宋体" w:eastAsia="宋体" w:hAnsi="宋体"/>
      <w:sz w:val="21"/>
      <w:szCs w:val="21"/>
    </w:rPr>
  </w:style>
  <w:style w:type="paragraph" w:customStyle="1" w:styleId="a3">
    <w:name w:val="正文 + 居中"/>
    <w:aliases w:val="左  -0.07 字符"/>
    <w:basedOn w:val="a"/>
    <w:rsid w:val="001A66A9"/>
    <w:pPr>
      <w:jc w:val="center"/>
    </w:pPr>
    <w:rPr>
      <w:rFonts w:ascii="仿宋_GB2312"/>
      <w:color w:val="000000"/>
    </w:rPr>
  </w:style>
  <w:style w:type="character" w:styleId="a4">
    <w:name w:val="annotation reference"/>
    <w:basedOn w:val="a0"/>
    <w:semiHidden/>
    <w:unhideWhenUsed/>
    <w:rsid w:val="001A66A9"/>
    <w:rPr>
      <w:sz w:val="21"/>
      <w:szCs w:val="21"/>
    </w:rPr>
  </w:style>
  <w:style w:type="paragraph" w:styleId="a5">
    <w:name w:val="annotation text"/>
    <w:basedOn w:val="a"/>
    <w:link w:val="a6"/>
    <w:unhideWhenUsed/>
    <w:rsid w:val="001A66A9"/>
    <w:pPr>
      <w:jc w:val="left"/>
    </w:pPr>
  </w:style>
  <w:style w:type="character" w:customStyle="1" w:styleId="a6">
    <w:name w:val="批注文字 字符"/>
    <w:basedOn w:val="a0"/>
    <w:link w:val="a5"/>
    <w:rsid w:val="001A66A9"/>
    <w:rPr>
      <w:rFonts w:ascii="Times New Roman" w:eastAsia="仿宋_GB2312" w:hAnsi="Times New Roman" w:cs="Times New Roman"/>
      <w:sz w:val="32"/>
      <w:szCs w:val="24"/>
    </w:rPr>
  </w:style>
  <w:style w:type="paragraph" w:styleId="a7">
    <w:name w:val="annotation subject"/>
    <w:basedOn w:val="a5"/>
    <w:next w:val="a5"/>
    <w:link w:val="a8"/>
    <w:uiPriority w:val="99"/>
    <w:semiHidden/>
    <w:unhideWhenUsed/>
    <w:rsid w:val="001A66A9"/>
    <w:rPr>
      <w:b/>
      <w:bCs/>
    </w:rPr>
  </w:style>
  <w:style w:type="character" w:customStyle="1" w:styleId="a8">
    <w:name w:val="批注主题 字符"/>
    <w:basedOn w:val="a6"/>
    <w:link w:val="a7"/>
    <w:uiPriority w:val="99"/>
    <w:semiHidden/>
    <w:rsid w:val="001A66A9"/>
    <w:rPr>
      <w:rFonts w:ascii="Times New Roman" w:eastAsia="仿宋_GB2312" w:hAnsi="Times New Roman" w:cs="Times New Roman"/>
      <w:b/>
      <w:bCs/>
      <w:sz w:val="32"/>
      <w:szCs w:val="24"/>
    </w:rPr>
  </w:style>
  <w:style w:type="paragraph" w:styleId="a9">
    <w:name w:val="Balloon Text"/>
    <w:basedOn w:val="a"/>
    <w:link w:val="aa"/>
    <w:uiPriority w:val="99"/>
    <w:semiHidden/>
    <w:unhideWhenUsed/>
    <w:rsid w:val="001A66A9"/>
    <w:rPr>
      <w:sz w:val="18"/>
      <w:szCs w:val="18"/>
    </w:rPr>
  </w:style>
  <w:style w:type="character" w:customStyle="1" w:styleId="aa">
    <w:name w:val="批注框文本 字符"/>
    <w:basedOn w:val="a0"/>
    <w:link w:val="a9"/>
    <w:uiPriority w:val="99"/>
    <w:semiHidden/>
    <w:rsid w:val="001A66A9"/>
    <w:rPr>
      <w:rFonts w:ascii="Times New Roman" w:eastAsia="仿宋_GB2312" w:hAnsi="Times New Roman" w:cs="Times New Roman"/>
      <w:sz w:val="18"/>
      <w:szCs w:val="18"/>
    </w:rPr>
  </w:style>
  <w:style w:type="paragraph" w:styleId="ab">
    <w:name w:val="header"/>
    <w:basedOn w:val="a"/>
    <w:link w:val="ac"/>
    <w:uiPriority w:val="99"/>
    <w:unhideWhenUsed/>
    <w:rsid w:val="00122DD7"/>
    <w:pPr>
      <w:pBdr>
        <w:bottom w:val="single" w:sz="6" w:space="1" w:color="auto"/>
      </w:pBdr>
      <w:tabs>
        <w:tab w:val="center" w:pos="4153"/>
        <w:tab w:val="right" w:pos="8306"/>
      </w:tabs>
      <w:snapToGrid w:val="0"/>
      <w:jc w:val="center"/>
    </w:pPr>
    <w:rPr>
      <w:sz w:val="18"/>
      <w:szCs w:val="18"/>
    </w:rPr>
  </w:style>
  <w:style w:type="character" w:customStyle="1" w:styleId="ac">
    <w:name w:val="页眉 字符"/>
    <w:basedOn w:val="a0"/>
    <w:link w:val="ab"/>
    <w:uiPriority w:val="99"/>
    <w:rsid w:val="00122DD7"/>
    <w:rPr>
      <w:rFonts w:ascii="Times New Roman" w:eastAsia="仿宋_GB2312" w:hAnsi="Times New Roman" w:cs="Times New Roman"/>
      <w:sz w:val="18"/>
      <w:szCs w:val="18"/>
    </w:rPr>
  </w:style>
  <w:style w:type="paragraph" w:styleId="ad">
    <w:name w:val="footer"/>
    <w:basedOn w:val="a"/>
    <w:link w:val="ae"/>
    <w:uiPriority w:val="99"/>
    <w:unhideWhenUsed/>
    <w:rsid w:val="00122DD7"/>
    <w:pPr>
      <w:tabs>
        <w:tab w:val="center" w:pos="4153"/>
        <w:tab w:val="right" w:pos="8306"/>
      </w:tabs>
      <w:snapToGrid w:val="0"/>
      <w:jc w:val="left"/>
    </w:pPr>
    <w:rPr>
      <w:sz w:val="18"/>
      <w:szCs w:val="18"/>
    </w:rPr>
  </w:style>
  <w:style w:type="character" w:customStyle="1" w:styleId="ae">
    <w:name w:val="页脚 字符"/>
    <w:basedOn w:val="a0"/>
    <w:link w:val="ad"/>
    <w:uiPriority w:val="99"/>
    <w:rsid w:val="00122DD7"/>
    <w:rPr>
      <w:rFonts w:ascii="Times New Roman" w:eastAsia="仿宋_GB2312" w:hAnsi="Times New Roman" w:cs="Times New Roman"/>
      <w:sz w:val="18"/>
      <w:szCs w:val="18"/>
    </w:rPr>
  </w:style>
  <w:style w:type="paragraph" w:customStyle="1" w:styleId="Char">
    <w:name w:val="Char"/>
    <w:basedOn w:val="a"/>
    <w:qFormat/>
    <w:rsid w:val="00122DD7"/>
    <w:pPr>
      <w:tabs>
        <w:tab w:val="left" w:pos="4665"/>
        <w:tab w:val="left" w:pos="8970"/>
      </w:tabs>
      <w:ind w:firstLine="400"/>
    </w:pPr>
    <w:rPr>
      <w:rFonts w:ascii="Tahoma" w:eastAsia="宋体" w:hAnsi="Tahoma"/>
      <w:sz w:val="24"/>
      <w:szCs w:val="20"/>
    </w:rPr>
  </w:style>
  <w:style w:type="paragraph" w:styleId="af">
    <w:name w:val="List Paragraph"/>
    <w:basedOn w:val="a"/>
    <w:uiPriority w:val="34"/>
    <w:qFormat/>
    <w:rsid w:val="00122DD7"/>
    <w:pPr>
      <w:ind w:firstLineChars="200" w:firstLine="420"/>
    </w:pPr>
    <w:rPr>
      <w:rFonts w:ascii="Calibri" w:eastAsia="宋体" w:hAnsi="Calibri"/>
      <w:sz w:val="21"/>
      <w:szCs w:val="22"/>
    </w:rPr>
  </w:style>
  <w:style w:type="table" w:styleId="af0">
    <w:name w:val="Table Grid"/>
    <w:basedOn w:val="a1"/>
    <w:uiPriority w:val="39"/>
    <w:rsid w:val="005D18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Normal (Web)"/>
    <w:basedOn w:val="a"/>
    <w:uiPriority w:val="99"/>
    <w:semiHidden/>
    <w:unhideWhenUsed/>
    <w:rsid w:val="00502A1A"/>
    <w:pPr>
      <w:widowControl/>
      <w:spacing w:before="100" w:beforeAutospacing="1" w:after="100" w:afterAutospacing="1"/>
      <w:jc w:val="left"/>
    </w:pPr>
    <w:rPr>
      <w:rFonts w:ascii="宋体" w:eastAsia="宋体" w:hAnsi="宋体" w:cs="宋体"/>
      <w:kern w:val="0"/>
      <w:sz w:val="24"/>
    </w:rPr>
  </w:style>
  <w:style w:type="paragraph" w:customStyle="1" w:styleId="Default">
    <w:name w:val="Default"/>
    <w:rsid w:val="008B5F50"/>
    <w:pPr>
      <w:widowControl w:val="0"/>
      <w:autoSpaceDE w:val="0"/>
      <w:autoSpaceDN w:val="0"/>
      <w:adjustRightInd w:val="0"/>
    </w:pPr>
    <w:rPr>
      <w:rFonts w:ascii="KaiTi" w:eastAsia="KaiTi" w:cs="KaiTi"/>
      <w:color w:val="000000"/>
      <w:kern w:val="0"/>
      <w:sz w:val="24"/>
      <w:szCs w:val="24"/>
    </w:rPr>
  </w:style>
  <w:style w:type="character" w:styleId="af2">
    <w:name w:val="Strong"/>
    <w:basedOn w:val="a0"/>
    <w:uiPriority w:val="22"/>
    <w:qFormat/>
    <w:rsid w:val="00920744"/>
    <w:rPr>
      <w:b/>
      <w:bCs/>
    </w:rPr>
  </w:style>
  <w:style w:type="character" w:customStyle="1" w:styleId="apple-converted-space">
    <w:name w:val="apple-converted-space"/>
    <w:basedOn w:val="a0"/>
    <w:rsid w:val="00920744"/>
  </w:style>
  <w:style w:type="paragraph" w:styleId="af3">
    <w:name w:val="footnote text"/>
    <w:basedOn w:val="a"/>
    <w:link w:val="af4"/>
    <w:uiPriority w:val="99"/>
    <w:semiHidden/>
    <w:unhideWhenUsed/>
    <w:rsid w:val="00920744"/>
    <w:pPr>
      <w:snapToGrid w:val="0"/>
      <w:jc w:val="left"/>
    </w:pPr>
    <w:rPr>
      <w:sz w:val="18"/>
      <w:szCs w:val="18"/>
    </w:rPr>
  </w:style>
  <w:style w:type="character" w:customStyle="1" w:styleId="af4">
    <w:name w:val="脚注文本 字符"/>
    <w:basedOn w:val="a0"/>
    <w:link w:val="af3"/>
    <w:uiPriority w:val="99"/>
    <w:semiHidden/>
    <w:rsid w:val="00920744"/>
    <w:rPr>
      <w:rFonts w:ascii="Times New Roman" w:eastAsia="仿宋_GB2312" w:hAnsi="Times New Roman" w:cs="Times New Roman"/>
      <w:sz w:val="18"/>
      <w:szCs w:val="18"/>
    </w:rPr>
  </w:style>
  <w:style w:type="character" w:styleId="af5">
    <w:name w:val="footnote reference"/>
    <w:basedOn w:val="a0"/>
    <w:uiPriority w:val="99"/>
    <w:semiHidden/>
    <w:unhideWhenUsed/>
    <w:rsid w:val="00920744"/>
    <w:rPr>
      <w:vertAlign w:val="superscript"/>
    </w:rPr>
  </w:style>
  <w:style w:type="paragraph" w:styleId="HTML">
    <w:name w:val="HTML Preformatted"/>
    <w:basedOn w:val="a"/>
    <w:link w:val="HTML0"/>
    <w:uiPriority w:val="99"/>
    <w:unhideWhenUsed/>
    <w:rsid w:val="0045246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rPr>
  </w:style>
  <w:style w:type="character" w:customStyle="1" w:styleId="HTML0">
    <w:name w:val="HTML 预设格式 字符"/>
    <w:basedOn w:val="a0"/>
    <w:link w:val="HTML"/>
    <w:uiPriority w:val="99"/>
    <w:rsid w:val="00452464"/>
    <w:rPr>
      <w:rFonts w:ascii="宋体" w:eastAsia="宋体" w:hAnsi="宋体" w:cs="宋体"/>
      <w:kern w:val="0"/>
      <w:sz w:val="24"/>
      <w:szCs w:val="24"/>
    </w:rPr>
  </w:style>
  <w:style w:type="paragraph" w:customStyle="1" w:styleId="0">
    <w:name w:val="0"/>
    <w:basedOn w:val="a"/>
    <w:qFormat/>
    <w:rsid w:val="00492002"/>
    <w:pPr>
      <w:widowControl/>
      <w:snapToGrid w:val="0"/>
      <w:jc w:val="left"/>
    </w:pPr>
    <w:rPr>
      <w:rFonts w:eastAsia="宋体"/>
      <w:kern w:val="0"/>
      <w:sz w:val="21"/>
      <w:szCs w:val="22"/>
    </w:rPr>
  </w:style>
  <w:style w:type="paragraph" w:customStyle="1" w:styleId="21">
    <w:name w:val="正文文本缩进 21"/>
    <w:basedOn w:val="a"/>
    <w:qFormat/>
    <w:rsid w:val="00492002"/>
    <w:pPr>
      <w:widowControl/>
      <w:spacing w:after="120" w:line="480" w:lineRule="auto"/>
      <w:ind w:leftChars="200" w:left="420"/>
      <w:jc w:val="left"/>
    </w:pPr>
    <w:rPr>
      <w:rFonts w:eastAsia="宋体"/>
      <w:kern w:val="0"/>
      <w:sz w:val="20"/>
      <w:szCs w:val="22"/>
    </w:rPr>
  </w:style>
  <w:style w:type="character" w:styleId="af6">
    <w:name w:val="Placeholder Text"/>
    <w:basedOn w:val="a0"/>
    <w:uiPriority w:val="99"/>
    <w:semiHidden/>
    <w:rsid w:val="006B3A8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2497143">
      <w:bodyDiv w:val="1"/>
      <w:marLeft w:val="0"/>
      <w:marRight w:val="0"/>
      <w:marTop w:val="0"/>
      <w:marBottom w:val="0"/>
      <w:divBdr>
        <w:top w:val="none" w:sz="0" w:space="0" w:color="auto"/>
        <w:left w:val="none" w:sz="0" w:space="0" w:color="auto"/>
        <w:bottom w:val="none" w:sz="0" w:space="0" w:color="auto"/>
        <w:right w:val="none" w:sz="0" w:space="0" w:color="auto"/>
      </w:divBdr>
    </w:div>
    <w:div w:id="951328583">
      <w:bodyDiv w:val="1"/>
      <w:marLeft w:val="0"/>
      <w:marRight w:val="0"/>
      <w:marTop w:val="0"/>
      <w:marBottom w:val="0"/>
      <w:divBdr>
        <w:top w:val="none" w:sz="0" w:space="0" w:color="auto"/>
        <w:left w:val="none" w:sz="0" w:space="0" w:color="auto"/>
        <w:bottom w:val="none" w:sz="0" w:space="0" w:color="auto"/>
        <w:right w:val="none" w:sz="0" w:space="0" w:color="auto"/>
      </w:divBdr>
    </w:div>
    <w:div w:id="1024327996">
      <w:bodyDiv w:val="1"/>
      <w:marLeft w:val="0"/>
      <w:marRight w:val="0"/>
      <w:marTop w:val="0"/>
      <w:marBottom w:val="0"/>
      <w:divBdr>
        <w:top w:val="none" w:sz="0" w:space="0" w:color="auto"/>
        <w:left w:val="none" w:sz="0" w:space="0" w:color="auto"/>
        <w:bottom w:val="none" w:sz="0" w:space="0" w:color="auto"/>
        <w:right w:val="none" w:sz="0" w:space="0" w:color="auto"/>
      </w:divBdr>
    </w:div>
    <w:div w:id="1372535874">
      <w:bodyDiv w:val="1"/>
      <w:marLeft w:val="0"/>
      <w:marRight w:val="0"/>
      <w:marTop w:val="0"/>
      <w:marBottom w:val="0"/>
      <w:divBdr>
        <w:top w:val="none" w:sz="0" w:space="0" w:color="auto"/>
        <w:left w:val="none" w:sz="0" w:space="0" w:color="auto"/>
        <w:bottom w:val="none" w:sz="0" w:space="0" w:color="auto"/>
        <w:right w:val="none" w:sz="0" w:space="0" w:color="auto"/>
      </w:divBdr>
    </w:div>
    <w:div w:id="1432778169">
      <w:bodyDiv w:val="1"/>
      <w:marLeft w:val="0"/>
      <w:marRight w:val="0"/>
      <w:marTop w:val="0"/>
      <w:marBottom w:val="0"/>
      <w:divBdr>
        <w:top w:val="none" w:sz="0" w:space="0" w:color="auto"/>
        <w:left w:val="none" w:sz="0" w:space="0" w:color="auto"/>
        <w:bottom w:val="none" w:sz="0" w:space="0" w:color="auto"/>
        <w:right w:val="none" w:sz="0" w:space="0" w:color="auto"/>
      </w:divBdr>
    </w:div>
    <w:div w:id="1829982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5" Type="http://schemas.openxmlformats.org/officeDocument/2006/relationships/chartUserShapes" Target="../drawings/drawing1.xml"/><Relationship Id="rId4" Type="http://schemas.openxmlformats.org/officeDocument/2006/relationships/oleObject" Target="Microsoft%20Word%20&#20013;&#30340;&#22270;&#34920;"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sz="1400" b="1">
                <a:solidFill>
                  <a:schemeClr val="tx1"/>
                </a:solidFill>
                <a:latin typeface="楷体" panose="02010609060101010101" pitchFamily="49" charset="-122"/>
                <a:ea typeface="楷体" panose="02010609060101010101" pitchFamily="49" charset="-122"/>
              </a:rPr>
              <a:t>产品收益结构</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manualLayout>
          <c:layoutTarget val="inner"/>
          <c:xMode val="edge"/>
          <c:yMode val="edge"/>
          <c:x val="0.12061624533775384"/>
          <c:y val="0.17113444152814231"/>
          <c:w val="0.78056133443845821"/>
          <c:h val="0.67725320793234167"/>
        </c:manualLayout>
      </c:layout>
      <c:scatterChart>
        <c:scatterStyle val="lineMarker"/>
        <c:varyColors val="0"/>
        <c:ser>
          <c:idx val="0"/>
          <c:order val="0"/>
          <c:spPr>
            <a:ln w="25400" cap="rnd">
              <a:solidFill>
                <a:schemeClr val="accent1">
                  <a:alpha val="97000"/>
                </a:schemeClr>
              </a:solidFill>
              <a:round/>
            </a:ln>
            <a:effectLst/>
          </c:spPr>
          <c:marker>
            <c:symbol val="none"/>
          </c:marker>
          <c:dLbls>
            <c:dLbl>
              <c:idx val="1"/>
              <c:layout>
                <c:manualLayout>
                  <c:x val="-0.36429877673233085"/>
                  <c:y val="-6.2016545839259161E-2"/>
                </c:manualLayout>
              </c:layout>
              <c:tx>
                <c:rich>
                  <a:bodyPr rot="0" spcFirstLastPara="1" vertOverflow="ellipsis" vert="horz" wrap="square" lIns="38100" tIns="19050" rIns="38100" bIns="19050" anchor="ctr" anchorCtr="1">
                    <a:spAutoFit/>
                  </a:bodyPr>
                  <a:lstStyle/>
                  <a:p>
                    <a:pPr>
                      <a:defRPr sz="1100" b="1" i="1" u="none" strike="noStrike" kern="1200" baseline="0">
                        <a:solidFill>
                          <a:schemeClr val="accent2"/>
                        </a:solidFill>
                        <a:latin typeface="Times New Roman" panose="02020603050405020304" pitchFamily="18" charset="0"/>
                        <a:ea typeface="楷体" panose="02010609060101010101" pitchFamily="49" charset="-122"/>
                        <a:cs typeface="Times New Roman" panose="02020603050405020304" pitchFamily="18" charset="0"/>
                      </a:defRPr>
                    </a:pPr>
                    <a:r>
                      <a:rPr lang="zh-CN" altLang="en-US" sz="1100" b="1" i="1">
                        <a:solidFill>
                          <a:schemeClr val="accent2"/>
                        </a:solidFill>
                        <a:latin typeface="Times New Roman" panose="02020603050405020304" pitchFamily="18" charset="0"/>
                        <a:ea typeface="楷体" panose="02010609060101010101" pitchFamily="49" charset="-122"/>
                        <a:cs typeface="Times New Roman" panose="02020603050405020304" pitchFamily="18" charset="0"/>
                      </a:rPr>
                      <a:t>保本收益率：</a:t>
                    </a:r>
                    <a:r>
                      <a:rPr lang="en-US" altLang="zh-CN" sz="1100" b="1" i="1">
                        <a:solidFill>
                          <a:schemeClr val="accent2"/>
                        </a:solidFill>
                        <a:latin typeface="Times New Roman" panose="02020603050405020304" pitchFamily="18" charset="0"/>
                        <a:ea typeface="楷体" panose="02010609060101010101" pitchFamily="49" charset="-122"/>
                        <a:cs typeface="Times New Roman" panose="02020603050405020304" pitchFamily="18" charset="0"/>
                      </a:rPr>
                      <a:t>2.70%</a:t>
                    </a:r>
                  </a:p>
                </c:rich>
              </c:tx>
              <c:spPr>
                <a:noFill/>
                <a:ln>
                  <a:noFill/>
                </a:ln>
                <a:effectLst/>
              </c:spPr>
              <c:txPr>
                <a:bodyPr rot="0" spcFirstLastPara="1" vertOverflow="ellipsis" vert="horz" wrap="square" lIns="38100" tIns="19050" rIns="38100" bIns="19050" anchor="ctr" anchorCtr="1">
                  <a:spAutoFit/>
                </a:bodyPr>
                <a:lstStyle/>
                <a:p>
                  <a:pPr>
                    <a:defRPr sz="1100" b="1" i="1" u="none" strike="noStrike" kern="1200" baseline="0">
                      <a:solidFill>
                        <a:schemeClr val="accent2"/>
                      </a:solidFill>
                      <a:latin typeface="Times New Roman" panose="02020603050405020304" pitchFamily="18" charset="0"/>
                      <a:ea typeface="楷体" panose="02010609060101010101" pitchFamily="49" charset="-122"/>
                      <a:cs typeface="Times New Roman" panose="02020603050405020304" pitchFamily="18" charset="0"/>
                    </a:defRPr>
                  </a:pPr>
                  <a:endParaRPr lang="zh-CN"/>
                </a:p>
              </c:txPr>
              <c:dLblPos val="r"/>
              <c:showLegendKey val="0"/>
              <c:showVal val="1"/>
              <c:showCatName val="0"/>
              <c:showSerName val="0"/>
              <c:showPercent val="0"/>
              <c:showBubbleSize val="0"/>
              <c:extLst>
                <c:ext xmlns:c15="http://schemas.microsoft.com/office/drawing/2012/chart" uri="{CE6537A1-D6FC-4f65-9D91-7224C49458BB}">
                  <c15:layout>
                    <c:manualLayout>
                      <c:w val="0.25299638989169676"/>
                      <c:h val="6.6387665198237869E-2"/>
                    </c:manualLayout>
                  </c15:layout>
                </c:ext>
                <c:ext xmlns:c16="http://schemas.microsoft.com/office/drawing/2014/chart" uri="{C3380CC4-5D6E-409C-BE32-E72D297353CC}">
                  <c16:uniqueId val="{00000000-A685-4908-9D61-6BCABF8B7439}"/>
                </c:ext>
              </c:extLst>
            </c:dLbl>
            <c:dLbl>
              <c:idx val="2"/>
              <c:tx>
                <c:rich>
                  <a:bodyPr rot="0" spcFirstLastPara="1" vertOverflow="ellipsis" vert="horz" wrap="square" lIns="38100" tIns="19050" rIns="38100" bIns="19050" anchor="ctr" anchorCtr="1">
                    <a:spAutoFit/>
                  </a:bodyPr>
                  <a:lstStyle/>
                  <a:p>
                    <a:pPr>
                      <a:defRPr sz="1100" b="1" i="1" u="none" strike="noStrike" kern="1200" baseline="0">
                        <a:solidFill>
                          <a:schemeClr val="accent2"/>
                        </a:solidFill>
                        <a:latin typeface="Times New Roman" panose="02020603050405020304" pitchFamily="18" charset="0"/>
                        <a:ea typeface="+mn-ea"/>
                        <a:cs typeface="Times New Roman" panose="02020603050405020304" pitchFamily="18" charset="0"/>
                      </a:defRPr>
                    </a:pPr>
                    <a:r>
                      <a:rPr lang="en-US" altLang="zh-CN" sz="1100" b="1" i="1">
                        <a:solidFill>
                          <a:schemeClr val="accent2"/>
                        </a:solidFill>
                        <a:latin typeface="Times New Roman" panose="02020603050405020304" pitchFamily="18" charset="0"/>
                        <a:cs typeface="Times New Roman" panose="02020603050405020304" pitchFamily="18" charset="0"/>
                      </a:rPr>
                      <a:t>9.20%</a:t>
                    </a:r>
                  </a:p>
                </c:rich>
              </c:tx>
              <c:spPr>
                <a:noFill/>
                <a:ln>
                  <a:noFill/>
                </a:ln>
                <a:effectLst/>
              </c:spPr>
              <c:txPr>
                <a:bodyPr rot="0" spcFirstLastPara="1" vertOverflow="ellipsis" vert="horz" wrap="square" lIns="38100" tIns="19050" rIns="38100" bIns="19050" anchor="ctr" anchorCtr="1">
                  <a:spAutoFit/>
                </a:bodyPr>
                <a:lstStyle/>
                <a:p>
                  <a:pPr>
                    <a:defRPr sz="1100" b="1" i="1" u="none" strike="noStrike" kern="1200" baseline="0">
                      <a:solidFill>
                        <a:schemeClr val="accent2"/>
                      </a:solidFill>
                      <a:latin typeface="Times New Roman" panose="02020603050405020304" pitchFamily="18" charset="0"/>
                      <a:ea typeface="+mn-ea"/>
                      <a:cs typeface="Times New Roman" panose="02020603050405020304" pitchFamily="18" charset="0"/>
                    </a:defRPr>
                  </a:pPr>
                  <a:endParaRPr lang="zh-CN"/>
                </a:p>
              </c:txPr>
              <c:dLblPos val="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A685-4908-9D61-6BCABF8B7439}"/>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xVal>
            <c:numRef>
              <c:f>'[Microsoft Word 中的图表]Sheet1'!$C$1:$C$3</c:f>
              <c:numCache>
                <c:formatCode>0.00_);[Red]\(0.00\)</c:formatCode>
                <c:ptCount val="3"/>
                <c:pt idx="0">
                  <c:v>95</c:v>
                </c:pt>
                <c:pt idx="1">
                  <c:v>103.5</c:v>
                </c:pt>
                <c:pt idx="2">
                  <c:v>110</c:v>
                </c:pt>
              </c:numCache>
            </c:numRef>
          </c:xVal>
          <c:yVal>
            <c:numRef>
              <c:f>'[Microsoft Word 中的图表]Sheet1'!$D$1:$D$3</c:f>
              <c:numCache>
                <c:formatCode>General</c:formatCode>
                <c:ptCount val="3"/>
                <c:pt idx="0">
                  <c:v>2.7</c:v>
                </c:pt>
                <c:pt idx="1">
                  <c:v>2.7</c:v>
                </c:pt>
                <c:pt idx="2">
                  <c:v>9.1999999999999993</c:v>
                </c:pt>
              </c:numCache>
            </c:numRef>
          </c:yVal>
          <c:smooth val="0"/>
          <c:extLst>
            <c:ext xmlns:c16="http://schemas.microsoft.com/office/drawing/2014/chart" uri="{C3380CC4-5D6E-409C-BE32-E72D297353CC}">
              <c16:uniqueId val="{00000002-A685-4908-9D61-6BCABF8B7439}"/>
            </c:ext>
          </c:extLst>
        </c:ser>
        <c:dLbls>
          <c:showLegendKey val="0"/>
          <c:showVal val="0"/>
          <c:showCatName val="0"/>
          <c:showSerName val="0"/>
          <c:showPercent val="0"/>
          <c:showBubbleSize val="0"/>
        </c:dLbls>
        <c:axId val="506798536"/>
        <c:axId val="506801160"/>
      </c:scatterChart>
      <c:valAx>
        <c:axId val="506798536"/>
        <c:scaling>
          <c:orientation val="minMax"/>
          <c:max val="110"/>
          <c:min val="96"/>
        </c:scaling>
        <c:delete val="0"/>
        <c:axPos val="b"/>
        <c:title>
          <c:tx>
            <c:rich>
              <a:bodyPr rot="0" spcFirstLastPara="1" vertOverflow="ellipsis" vert="horz" wrap="square" anchor="ctr" anchorCtr="1"/>
              <a:lstStyle/>
              <a:p>
                <a:pPr>
                  <a:defRPr sz="1050" b="1" i="0" u="none" strike="noStrike" kern="1200" baseline="0">
                    <a:solidFill>
                      <a:schemeClr val="accent1"/>
                    </a:solidFill>
                    <a:latin typeface="Times New Roman" panose="02020603050405020304" pitchFamily="18" charset="0"/>
                    <a:ea typeface="楷体" panose="02010609060101010101" pitchFamily="49" charset="-122"/>
                    <a:cs typeface="Times New Roman" panose="02020603050405020304" pitchFamily="18" charset="0"/>
                  </a:defRPr>
                </a:pPr>
                <a:r>
                  <a:rPr lang="zh-CN" altLang="en-US" sz="1050" b="1">
                    <a:solidFill>
                      <a:schemeClr val="accent1"/>
                    </a:solidFill>
                    <a:latin typeface="Times New Roman" panose="02020603050405020304" pitchFamily="18" charset="0"/>
                    <a:ea typeface="楷体" panose="02010609060101010101" pitchFamily="49" charset="-122"/>
                    <a:cs typeface="Times New Roman" panose="02020603050405020304" pitchFamily="18" charset="0"/>
                  </a:rPr>
                  <a:t>标的资产期末价格</a:t>
                </a:r>
                <a:r>
                  <a:rPr lang="en-US" altLang="zh-CN" sz="1050" b="1">
                    <a:solidFill>
                      <a:schemeClr val="accent1"/>
                    </a:solidFill>
                    <a:latin typeface="Times New Roman" panose="02020603050405020304" pitchFamily="18" charset="0"/>
                    <a:ea typeface="楷体" panose="02010609060101010101" pitchFamily="49" charset="-122"/>
                    <a:cs typeface="Times New Roman" panose="02020603050405020304" pitchFamily="18" charset="0"/>
                  </a:rPr>
                  <a:t>/</a:t>
                </a:r>
                <a:r>
                  <a:rPr lang="zh-CN" altLang="en-US" sz="1050" b="1">
                    <a:solidFill>
                      <a:schemeClr val="accent1"/>
                    </a:solidFill>
                    <a:latin typeface="Times New Roman" panose="02020603050405020304" pitchFamily="18" charset="0"/>
                    <a:ea typeface="楷体" panose="02010609060101010101" pitchFamily="49" charset="-122"/>
                    <a:cs typeface="Times New Roman" panose="02020603050405020304" pitchFamily="18" charset="0"/>
                  </a:rPr>
                  <a:t>期初价格</a:t>
                </a:r>
                <a:r>
                  <a:rPr lang="en-US" altLang="zh-CN" sz="1050" b="1">
                    <a:solidFill>
                      <a:schemeClr val="accent1"/>
                    </a:solidFill>
                    <a:latin typeface="Times New Roman" panose="02020603050405020304" pitchFamily="18" charset="0"/>
                    <a:ea typeface="楷体" panose="02010609060101010101" pitchFamily="49" charset="-122"/>
                    <a:cs typeface="Times New Roman" panose="02020603050405020304" pitchFamily="18" charset="0"/>
                  </a:rPr>
                  <a:t>(%)</a:t>
                </a:r>
                <a:endParaRPr lang="zh-CN" altLang="en-US" sz="1050" b="1">
                  <a:solidFill>
                    <a:schemeClr val="accent1"/>
                  </a:solidFill>
                  <a:latin typeface="Times New Roman" panose="02020603050405020304" pitchFamily="18" charset="0"/>
                  <a:ea typeface="楷体" panose="02010609060101010101" pitchFamily="49" charset="-122"/>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050" b="1" i="0" u="none" strike="noStrike" kern="1200" baseline="0">
                  <a:solidFill>
                    <a:schemeClr val="accent1"/>
                  </a:solidFill>
                  <a:latin typeface="Times New Roman" panose="02020603050405020304" pitchFamily="18" charset="0"/>
                  <a:ea typeface="楷体" panose="02010609060101010101" pitchFamily="49" charset="-122"/>
                  <a:cs typeface="Times New Roman" panose="02020603050405020304" pitchFamily="18" charset="0"/>
                </a:defRPr>
              </a:pPr>
              <a:endParaRPr lang="zh-CN"/>
            </a:p>
          </c:txPr>
        </c:title>
        <c:numFmt formatCode="0.00_);[Red]\(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00" b="1"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zh-CN"/>
          </a:p>
        </c:txPr>
        <c:crossAx val="506801160"/>
        <c:crosses val="autoZero"/>
        <c:crossBetween val="midCat"/>
        <c:minorUnit val="1"/>
      </c:valAx>
      <c:valAx>
        <c:axId val="5068011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0" spcFirstLastPara="1" vertOverflow="ellipsis" wrap="square" anchor="ctr" anchorCtr="0"/>
              <a:lstStyle/>
              <a:p>
                <a:pPr>
                  <a:defRPr sz="1050" b="1" i="0" u="none" strike="noStrike" kern="1200" baseline="0">
                    <a:solidFill>
                      <a:schemeClr val="accent1"/>
                    </a:solidFill>
                    <a:latin typeface="Times New Roman" panose="02020603050405020304" pitchFamily="18" charset="0"/>
                    <a:ea typeface="楷体" panose="02010609060101010101" pitchFamily="49" charset="-122"/>
                    <a:cs typeface="Times New Roman" panose="02020603050405020304" pitchFamily="18" charset="0"/>
                  </a:defRPr>
                </a:pPr>
                <a:r>
                  <a:rPr lang="zh-CN" altLang="en-US" sz="1050" b="1">
                    <a:solidFill>
                      <a:schemeClr val="accent1"/>
                    </a:solidFill>
                    <a:latin typeface="Times New Roman" panose="02020603050405020304" pitchFamily="18" charset="0"/>
                    <a:ea typeface="楷体" panose="02010609060101010101" pitchFamily="49" charset="-122"/>
                    <a:cs typeface="Times New Roman" panose="02020603050405020304" pitchFamily="18" charset="0"/>
                  </a:rPr>
                  <a:t>年化收益率</a:t>
                </a:r>
                <a:r>
                  <a:rPr lang="en-US" altLang="zh-CN" sz="1050" b="1">
                    <a:solidFill>
                      <a:schemeClr val="accent1"/>
                    </a:solidFill>
                    <a:latin typeface="Times New Roman" panose="02020603050405020304" pitchFamily="18" charset="0"/>
                    <a:ea typeface="楷体" panose="02010609060101010101" pitchFamily="49" charset="-122"/>
                    <a:cs typeface="Times New Roman" panose="02020603050405020304" pitchFamily="18" charset="0"/>
                  </a:rPr>
                  <a:t>(%)</a:t>
                </a:r>
                <a:endParaRPr lang="zh-CN" altLang="en-US" sz="1050" b="1">
                  <a:solidFill>
                    <a:schemeClr val="accent1"/>
                  </a:solidFill>
                  <a:latin typeface="Times New Roman" panose="02020603050405020304" pitchFamily="18" charset="0"/>
                  <a:ea typeface="楷体" panose="02010609060101010101" pitchFamily="49" charset="-122"/>
                  <a:cs typeface="Times New Roman" panose="02020603050405020304" pitchFamily="18" charset="0"/>
                </a:endParaRPr>
              </a:p>
            </c:rich>
          </c:tx>
          <c:layout>
            <c:manualLayout>
              <c:xMode val="edge"/>
              <c:yMode val="edge"/>
              <c:x val="1.1503074751035184E-2"/>
              <c:y val="6.6133754205834408E-2"/>
            </c:manualLayout>
          </c:layout>
          <c:overlay val="0"/>
          <c:spPr>
            <a:noFill/>
            <a:ln>
              <a:noFill/>
            </a:ln>
            <a:effectLst/>
          </c:spPr>
          <c:txPr>
            <a:bodyPr rot="0" spcFirstLastPara="1" vertOverflow="ellipsis" wrap="square" anchor="ctr" anchorCtr="0"/>
            <a:lstStyle/>
            <a:p>
              <a:pPr>
                <a:defRPr sz="1050" b="1" i="0" u="none" strike="noStrike" kern="1200" baseline="0">
                  <a:solidFill>
                    <a:schemeClr val="accent1"/>
                  </a:solidFill>
                  <a:latin typeface="Times New Roman" panose="02020603050405020304" pitchFamily="18" charset="0"/>
                  <a:ea typeface="楷体" panose="02010609060101010101" pitchFamily="49" charset="-122"/>
                  <a:cs typeface="Times New Roman" panose="02020603050405020304" pitchFamily="18" charset="0"/>
                </a:defRPr>
              </a:pPr>
              <a:endParaRPr lang="zh-CN"/>
            </a:p>
          </c:txPr>
        </c:title>
        <c:numFmt formatCode="#,##0.00_);[Red]\(#,##0.0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00" b="1"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zh-CN"/>
          </a:p>
        </c:txPr>
        <c:crossAx val="50679853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zh-CN"/>
    </a:p>
  </c:txPr>
  <c:externalData r:id="rId4">
    <c:autoUpdate val="0"/>
  </c:externalData>
  <c:userShapes r:id="rId5"/>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0.55578</cdr:x>
      <cdr:y>0.34141</cdr:y>
    </cdr:from>
    <cdr:to>
      <cdr:x>0.82025</cdr:x>
      <cdr:y>0.41189</cdr:y>
    </cdr:to>
    <cdr:sp macro="" textlink="">
      <cdr:nvSpPr>
        <cdr:cNvPr id="2" name="文本框 1">
          <a:extLst xmlns:a="http://schemas.openxmlformats.org/drawingml/2006/main">
            <a:ext uri="{FF2B5EF4-FFF2-40B4-BE49-F238E27FC236}">
              <a16:creationId xmlns:a16="http://schemas.microsoft.com/office/drawing/2014/main" id="{C72B8B83-52C4-4C55-81DB-F5D53336D9D3}"/>
            </a:ext>
          </a:extLst>
        </cdr:cNvPr>
        <cdr:cNvSpPr txBox="1"/>
      </cdr:nvSpPr>
      <cdr:spPr>
        <a:xfrm xmlns:a="http://schemas.openxmlformats.org/drawingml/2006/main">
          <a:off x="2932761" y="984251"/>
          <a:ext cx="1395569" cy="203187"/>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zh-CN" altLang="en-US" sz="1100" b="1" i="1">
              <a:solidFill>
                <a:schemeClr val="accent2"/>
              </a:solidFill>
              <a:latin typeface="Times New Roman" panose="02020603050405020304" pitchFamily="18" charset="0"/>
              <a:ea typeface="楷体" panose="02010609060101010101" pitchFamily="49" charset="-122"/>
              <a:cs typeface="Times New Roman" panose="02020603050405020304" pitchFamily="18" charset="0"/>
            </a:rPr>
            <a:t>参与率</a:t>
          </a:r>
          <a:r>
            <a:rPr lang="en-US" altLang="zh-CN" sz="1100" b="1" i="1">
              <a:solidFill>
                <a:schemeClr val="accent2"/>
              </a:solidFill>
              <a:latin typeface="Times New Roman" panose="02020603050405020304" pitchFamily="18" charset="0"/>
              <a:ea typeface="楷体" panose="02010609060101010101" pitchFamily="49" charset="-122"/>
              <a:cs typeface="Times New Roman" panose="02020603050405020304" pitchFamily="18" charset="0"/>
            </a:rPr>
            <a:t>=100%</a:t>
          </a:r>
          <a:endParaRPr lang="zh-CN" altLang="en-US" sz="1100" b="1" i="1">
            <a:solidFill>
              <a:schemeClr val="accent2"/>
            </a:solidFill>
            <a:latin typeface="Times New Roman" panose="02020603050405020304" pitchFamily="18" charset="0"/>
            <a:ea typeface="楷体" panose="02010609060101010101" pitchFamily="49" charset="-122"/>
            <a:cs typeface="Times New Roman" panose="02020603050405020304" pitchFamily="18" charset="0"/>
          </a:endParaRPr>
        </a:p>
      </cdr:txBody>
    </cdr:sp>
  </cdr:relSizeAnchor>
</c:userShap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7B1FAC-852D-47D5-BEAD-6C821216F3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478</TotalTime>
  <Pages>6</Pages>
  <Words>459</Words>
  <Characters>2622</Characters>
  <Application>Microsoft Office Word</Application>
  <DocSecurity>0</DocSecurity>
  <Lines>21</Lines>
  <Paragraphs>6</Paragraphs>
  <ScaleCrop>false</ScaleCrop>
  <Company/>
  <LinksUpToDate>false</LinksUpToDate>
  <CharactersWithSpaces>3075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chuqi</dc:creator>
  <cp:lastModifiedBy>赵 培杰</cp:lastModifiedBy>
  <cp:revision>55</cp:revision>
  <cp:lastPrinted>2018-04-11T05:16:00Z</cp:lastPrinted>
  <dcterms:created xsi:type="dcterms:W3CDTF">2018-04-03T08:50:00Z</dcterms:created>
  <dcterms:modified xsi:type="dcterms:W3CDTF">2018-08-21T05:03:00Z</dcterms:modified>
</cp:coreProperties>
</file>