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i w:val="0"/>
          <w:color w:val="1A6B3A"/>
          <w:sz w:val="22"/>
        </w:rPr>
        <w:t>PQRS SERVICES</w:t>
      </w:r>
    </w:p>
    <w:p>
      <w:pPr>
        <w:keepNext/>
        <w:spacing w:after="100"/>
      </w:pPr>
      <w:r>
        <w:rPr>
          <w:rFonts w:ascii="Arial" w:hAnsi="Arial"/>
          <w:b/>
          <w:i w:val="0"/>
          <w:color w:val="122545"/>
          <w:sz w:val="44"/>
        </w:rPr>
        <w:t>Acuerdo independiente de referidos y gestión comercial</w:t>
      </w:r>
    </w:p>
    <w:p>
      <w:pPr>
        <w:spacing w:after="320"/>
      </w:pPr>
      <w:r>
        <w:rPr>
          <w:rFonts w:ascii="Arial" w:hAnsi="Arial"/>
          <w:b w:val="0"/>
          <w:i w:val="0"/>
          <w:color w:val="5F6368"/>
          <w:sz w:val="23"/>
        </w:rPr>
        <w:t>Reglas de atribución, comisión, renovación y pago gradual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BF3DF"/>
          </w:tcPr>
          <w:p>
            <w:pPr>
              <w:spacing w:after="0"/>
            </w:pPr>
            <w:r>
              <w:rPr>
                <w:rFonts w:ascii="Arial" w:hAnsi="Arial"/>
                <w:b/>
                <w:i w:val="0"/>
                <w:color w:val="7A5A00"/>
                <w:sz w:val="19"/>
              </w:rPr>
              <w:t>BORRADOR DE TRABAJO. No firmar, publicar ni usar con clientes hasta que un abogado colombiano y el contador del prestador revisen su contenido y efectos tributarios.</w:t>
            </w:r>
          </w:p>
        </w:tc>
      </w:tr>
    </w:tbl>
    <w:p>
      <w:pPr>
        <w:keepLines w:val="0"/>
      </w:pPr>
      <w:r>
        <w:rPr>
          <w:rFonts w:ascii="Arial" w:hAnsi="Arial"/>
          <w:b w:val="0"/>
          <w:i w:val="0"/>
          <w:color w:val="1D1D1F"/>
          <w:sz w:val="21"/>
        </w:rPr>
        <w:t>Entre [NOMBRE COMPLETO DEL PRESTADOR], identificado con [C.C./NIT] [NÚMERO], titular de la operación comercial de PQRS Services, en adelante EL PRESTADOR; y [NOMBRE COMPLETO DE LA GESTORA], identificada con C.C. [NÚMERO], en adelante LA GESTORA, se celebra este acuerdo independiente.</w:t>
      </w:r>
    </w:p>
    <w:p>
      <w:pPr>
        <w:pStyle w:val="Heading1"/>
      </w:pPr>
      <w:r>
        <w:t>1. Objeto</w:t>
      </w:r>
    </w:p>
    <w:p>
      <w:pPr>
        <w:keepLines w:val="0"/>
      </w:pPr>
      <w:r>
        <w:rPr>
          <w:rFonts w:ascii="Arial" w:hAnsi="Arial"/>
          <w:b w:val="0"/>
          <w:i w:val="0"/>
          <w:color w:val="1D1D1F"/>
          <w:sz w:val="21"/>
        </w:rPr>
        <w:t>LA GESTORA podrá identificar y presentar propiedades horizontales potencialmente interesadas en PQRS Services, facilitar contactos y apoyar conversaciones comerciales. EL PRESTADOR conserva en todo momento la decisión sobre precios, demostraciones, propuestas, contratos y aceptación de clientes.</w:t>
      </w:r>
    </w:p>
    <w:p>
      <w:pPr>
        <w:pStyle w:val="Heading1"/>
      </w:pPr>
      <w:r>
        <w:t>2. Naturaleza independiente</w:t>
      </w:r>
    </w:p>
    <w:p>
      <w:pPr>
        <w:keepLines w:val="0"/>
      </w:pPr>
      <w:r>
        <w:rPr>
          <w:rFonts w:ascii="Arial" w:hAnsi="Arial"/>
          <w:b w:val="0"/>
          <w:i w:val="0"/>
          <w:color w:val="1D1D1F"/>
          <w:sz w:val="21"/>
        </w:rPr>
        <w:t>Este acuerdo no crea contrato de trabajo, sociedad, mandato, representación, franquicia ni exclusividad. LA GESTORA organiza autónomamente su actividad, no está sujeta a horario, cuota, reglamento, supervisión continua ni órdenes sobre modo, tiempo o cantidad de trabajo.</w:t>
      </w:r>
    </w:p>
    <w:p>
      <w:pPr>
        <w:keepLines w:val="0"/>
      </w:pPr>
      <w:r>
        <w:rPr>
          <w:rFonts w:ascii="Arial" w:hAnsi="Arial"/>
          <w:b w:val="0"/>
          <w:i w:val="0"/>
          <w:color w:val="1D1D1F"/>
          <w:sz w:val="21"/>
        </w:rPr>
        <w:t>LA GESTORA no recibe salario, prestaciones ni reembolso de gastos salvo autorización escrita. La única contraprestación es la comisión causada conforme a este acuerdo.</w:t>
      </w:r>
    </w:p>
    <w:p>
      <w:pPr>
        <w:keepLines w:val="0"/>
      </w:pPr>
      <w:r>
        <w:rPr>
          <w:rFonts w:ascii="Arial" w:hAnsi="Arial"/>
          <w:b w:val="0"/>
          <w:i w:val="0"/>
          <w:color w:val="1D1D1F"/>
          <w:sz w:val="21"/>
        </w:rPr>
        <w:t>Las partes no asignan territorio ni un encargo estable de explotación comercial. Si la operación real cambia y adquiere características de agencia comercial o relación laboral, deberán renegociar el instrumento antes de continuar.</w:t>
      </w:r>
    </w:p>
    <w:p>
      <w:pPr>
        <w:pStyle w:val="Heading1"/>
      </w:pPr>
      <w:r>
        <w:t>3. Registro y atribución de referidos</w:t>
      </w:r>
    </w:p>
    <w:p>
      <w:pPr>
        <w:keepLines w:val="0"/>
      </w:pPr>
      <w:r>
        <w:rPr>
          <w:rFonts w:ascii="Arial" w:hAnsi="Arial"/>
          <w:b w:val="0"/>
          <w:i w:val="0"/>
          <w:color w:val="1D1D1F"/>
          <w:sz w:val="21"/>
        </w:rPr>
        <w:t>Antes de presentar una propuesta, LA GESTORA registrará por correo o en el formato anexo el nombre del conjunto, contacto autorizado, fuente del contacto y fecha. EL PRESTADOR confirmará por escrito si el referido es aceptado.</w:t>
      </w:r>
    </w:p>
    <w:p>
      <w:pPr>
        <w:pStyle w:val="ListBullet"/>
        <w:keepLines/>
      </w:pPr>
      <w:r>
        <w:rPr>
          <w:rFonts w:ascii="Arial" w:hAnsi="Arial"/>
          <w:b w:val="0"/>
          <w:i w:val="0"/>
          <w:color w:val="1D1D1F"/>
          <w:sz w:val="21"/>
        </w:rPr>
        <w:t>No se atribuye comisión por un cliente ya activo, un prospecto con negociación documentada en los seis meses anteriores o un contacto obtenido directamente por EL PRESTADOR antes del registro.</w:t>
      </w:r>
    </w:p>
    <w:p>
      <w:pPr>
        <w:pStyle w:val="ListBullet"/>
        <w:keepLines/>
      </w:pPr>
      <w:r>
        <w:rPr>
          <w:rFonts w:ascii="Arial" w:hAnsi="Arial"/>
          <w:b w:val="0"/>
          <w:i w:val="0"/>
          <w:color w:val="1D1D1F"/>
          <w:sz w:val="21"/>
        </w:rPr>
        <w:t>La atribución inicial dura ciento veinte (120) días, prorrogables por escrito cuando exista una negociación activa.</w:t>
      </w:r>
    </w:p>
    <w:p>
      <w:pPr>
        <w:pStyle w:val="ListBullet"/>
        <w:keepLines/>
      </w:pPr>
      <w:r>
        <w:rPr>
          <w:rFonts w:ascii="Arial" w:hAnsi="Arial"/>
          <w:b w:val="0"/>
          <w:i w:val="0"/>
          <w:color w:val="1D1D1F"/>
          <w:sz w:val="21"/>
        </w:rPr>
        <w:t>Si dos personas reclaman el mismo referido, prevalece el primer registro aceptado; cualquier distribución exige acuerdo escrito.</w:t>
      </w:r>
    </w:p>
    <w:p>
      <w:pPr>
        <w:pStyle w:val="ListBullet"/>
        <w:keepLines/>
      </w:pPr>
      <w:r>
        <w:rPr>
          <w:rFonts w:ascii="Arial" w:hAnsi="Arial"/>
          <w:b w:val="0"/>
          <w:i w:val="0"/>
          <w:color w:val="1D1D1F"/>
          <w:sz w:val="21"/>
        </w:rPr>
        <w:t>La amistad, cercanía o relación profesional con un contacto no invalida el referido, siempre que no exista conflicto de interés ni pago oculto al decisor.</w:t>
      </w:r>
    </w:p>
    <w:p>
      <w:pPr>
        <w:pStyle w:val="Heading1"/>
      </w:pPr>
      <w:r>
        <w:t>4. Límites de actuación</w:t>
      </w:r>
    </w:p>
    <w:p>
      <w:pPr>
        <w:keepLines w:val="0"/>
      </w:pPr>
      <w:r>
        <w:rPr>
          <w:rFonts w:ascii="Arial" w:hAnsi="Arial"/>
          <w:b w:val="0"/>
          <w:i w:val="0"/>
          <w:color w:val="1D1D1F"/>
          <w:sz w:val="21"/>
        </w:rPr>
        <w:t>LA GESTORA no está autorizada para:</w:t>
      </w:r>
    </w:p>
    <w:p>
      <w:pPr>
        <w:pStyle w:val="ListBullet"/>
        <w:keepLines/>
      </w:pPr>
      <w:r>
        <w:rPr>
          <w:rFonts w:ascii="Arial" w:hAnsi="Arial"/>
          <w:b w:val="0"/>
          <w:i w:val="0"/>
          <w:color w:val="1D1D1F"/>
          <w:sz w:val="21"/>
        </w:rPr>
        <w:t>Firmar contratos, aceptar obligaciones o representar a PQRS Services.</w:t>
      </w:r>
    </w:p>
    <w:p>
      <w:pPr>
        <w:pStyle w:val="ListBullet"/>
        <w:keepLines/>
      </w:pPr>
      <w:r>
        <w:rPr>
          <w:rFonts w:ascii="Arial" w:hAnsi="Arial"/>
          <w:b w:val="0"/>
          <w:i w:val="0"/>
          <w:color w:val="1D1D1F"/>
          <w:sz w:val="21"/>
        </w:rPr>
        <w:t>Modificar precios, descuentos, permanencia, soporte o funcionalidades.</w:t>
      </w:r>
    </w:p>
    <w:p>
      <w:pPr>
        <w:pStyle w:val="ListBullet"/>
        <w:keepLines/>
      </w:pPr>
      <w:r>
        <w:rPr>
          <w:rFonts w:ascii="Arial" w:hAnsi="Arial"/>
          <w:b w:val="0"/>
          <w:i w:val="0"/>
          <w:color w:val="1D1D1F"/>
          <w:sz w:val="21"/>
        </w:rPr>
        <w:t>Recibir pagos de clientes en nombre de EL PRESTADOR.</w:t>
      </w:r>
    </w:p>
    <w:p>
      <w:pPr>
        <w:pStyle w:val="ListBullet"/>
        <w:keepLines/>
      </w:pPr>
      <w:r>
        <w:rPr>
          <w:rFonts w:ascii="Arial" w:hAnsi="Arial"/>
          <w:b w:val="0"/>
          <w:i w:val="0"/>
          <w:color w:val="1D1D1F"/>
          <w:sz w:val="21"/>
        </w:rPr>
        <w:t>Prometer desarrollos, integraciones o plazos no aprobados por escrito.</w:t>
      </w:r>
    </w:p>
    <w:p>
      <w:pPr>
        <w:pStyle w:val="ListBullet"/>
        <w:keepLines/>
      </w:pPr>
      <w:r>
        <w:rPr>
          <w:rFonts w:ascii="Arial" w:hAnsi="Arial"/>
          <w:b w:val="0"/>
          <w:i w:val="0"/>
          <w:color w:val="1D1D1F"/>
          <w:sz w:val="21"/>
        </w:rPr>
        <w:t>Compartir accesos, información confidencial o datos personales de residentes.</w:t>
      </w:r>
    </w:p>
    <w:p>
      <w:pPr>
        <w:pStyle w:val="Heading1"/>
      </w:pPr>
      <w:r>
        <w:t>5. Fórmula de la comisión</w:t>
      </w:r>
    </w:p>
    <w:p>
      <w:pPr>
        <w:keepLines w:val="0"/>
      </w:pPr>
      <w:r>
        <w:rPr>
          <w:rFonts w:ascii="Arial" w:hAnsi="Arial"/>
          <w:b w:val="0"/>
          <w:i w:val="0"/>
          <w:color w:val="1D1D1F"/>
          <w:sz w:val="21"/>
        </w:rPr>
        <w:t>Por cada año completo contratado y efectivamente activado de un referido aceptado, LA GESTORA tendrá derecho a una comisión equivalente a una (1) mensualidad neta recurrente del año correspondiente.</w:t>
      </w:r>
    </w:p>
    <w:p>
      <w:pPr>
        <w:keepLines w:val="0"/>
      </w:pPr>
      <w:r>
        <w:rPr>
          <w:rFonts w:ascii="Arial" w:hAnsi="Arial"/>
          <w:b w:val="0"/>
          <w:i w:val="0"/>
          <w:color w:val="1D1D1F"/>
          <w:sz w:val="21"/>
        </w:rPr>
        <w:t>La mensualidad neta recurrente es el valor de suscripción efectivamente acordado y recibido, después de descuentos, dividido por los meses cubiertos. En un pago anual se calcula como valor anual neto dividido por doce (12). Se excluyen IVA, retenciones, implementación, módulos de pago único, gastos reembolsables, costos de pasarela, intereses, devoluciones y cortesías.</w:t>
      </w:r>
    </w:p>
    <w:p>
      <w:pPr>
        <w:keepLines w:val="0"/>
      </w:pPr>
      <w:r>
        <w:rPr>
          <w:rFonts w:ascii="Arial" w:hAnsi="Arial"/>
          <w:b w:val="0"/>
          <w:i w:val="0"/>
          <w:color w:val="1D1D1F"/>
          <w:sz w:val="21"/>
        </w:rPr>
        <w:t>Ejemplos: un contrato de un año genera una mensualidad; uno de dos años genera dos mensualidades; uno de cinco años genera cinco mensualidades, pagaderas gradualmente según la cláusula 6.</w:t>
      </w:r>
    </w:p>
    <w:p>
      <w:pPr>
        <w:pStyle w:val="Heading1"/>
      </w:pPr>
      <w:r>
        <w:t>6. Causación y pago gradual</w:t>
      </w:r>
    </w:p>
    <w:p>
      <w:pPr>
        <w:keepLines w:val="0"/>
      </w:pPr>
      <w:r>
        <w:rPr>
          <w:rFonts w:ascii="Arial" w:hAnsi="Arial"/>
          <w:b w:val="0"/>
          <w:i w:val="0"/>
          <w:color w:val="1D1D1F"/>
          <w:sz w:val="21"/>
        </w:rPr>
        <w:t>La comisión total se divide en una cuota por cada Periodo Anual de Servicio. Ninguna cuota futura se causa únicamente porque el cliente haya firmado un contrato plurianual o pagado anticipadamente varios años.</w:t>
      </w:r>
    </w:p>
    <w:p>
      <w:pPr>
        <w:pStyle w:val="ListBullet"/>
        <w:keepLines/>
      </w:pPr>
      <w:r>
        <w:rPr>
          <w:rFonts w:ascii="Arial" w:hAnsi="Arial"/>
          <w:b w:val="0"/>
          <w:i w:val="0"/>
          <w:color w:val="1D1D1F"/>
          <w:sz w:val="21"/>
        </w:rPr>
        <w:t>Primera cuota con pago mensual: se causa cuando el cliente ha pagado dos mensualidades aprobadas y no reversadas.</w:t>
      </w:r>
    </w:p>
    <w:p>
      <w:pPr>
        <w:pStyle w:val="ListBullet"/>
        <w:keepLines/>
      </w:pPr>
      <w:r>
        <w:rPr>
          <w:rFonts w:ascii="Arial" w:hAnsi="Arial"/>
          <w:b w:val="0"/>
          <w:i w:val="0"/>
          <w:color w:val="1D1D1F"/>
          <w:sz w:val="21"/>
        </w:rPr>
        <w:t>Primera cuota con pago anual: se causa cuando el pago anual está aprobado, han transcurrido treinta (30) días calendario sin devolución total y el servicio está activo.</w:t>
      </w:r>
    </w:p>
    <w:p>
      <w:pPr>
        <w:pStyle w:val="ListBullet"/>
        <w:keepLines/>
      </w:pPr>
      <w:r>
        <w:rPr>
          <w:rFonts w:ascii="Arial" w:hAnsi="Arial"/>
          <w:b w:val="0"/>
          <w:i w:val="0"/>
          <w:color w:val="1D1D1F"/>
          <w:sz w:val="21"/>
        </w:rPr>
        <w:t>Cuotas de años posteriores: se causan en cada aniversario, siempre que el Periodo Anual de Servicio correspondiente haya empezado, el contrato continúe vigente y el pago de ese año esté aprobado.</w:t>
      </w:r>
    </w:p>
    <w:p>
      <w:pPr>
        <w:pStyle w:val="ListBullet"/>
        <w:keepLines/>
      </w:pPr>
      <w:r>
        <w:rPr>
          <w:rFonts w:ascii="Arial" w:hAnsi="Arial"/>
          <w:b w:val="0"/>
          <w:i w:val="0"/>
          <w:color w:val="1D1D1F"/>
          <w:sz w:val="21"/>
        </w:rPr>
        <w:t>Si el cliente paga varios años por anticipado, las cuotas continúan pagándose en cada aniversario, no todas al inicio.</w:t>
      </w:r>
    </w:p>
    <w:p>
      <w:pPr>
        <w:pStyle w:val="ListBullet"/>
        <w:keepLines/>
      </w:pPr>
      <w:r>
        <w:rPr>
          <w:rFonts w:ascii="Arial" w:hAnsi="Arial"/>
          <w:b w:val="0"/>
          <w:i w:val="0"/>
          <w:color w:val="1D1D1F"/>
          <w:sz w:val="21"/>
        </w:rPr>
        <w:t>Cada cuota causada se pagará dentro de los diez (10) días hábiles siguientes a la entrega de la cuenta de cobro o documento tributario exigible y los datos bancarios actualizados.</w:t>
      </w:r>
    </w:p>
    <w:p>
      <w:pPr>
        <w:pStyle w:val="Heading1"/>
      </w:pPr>
      <w:r>
        <w:t>7. Renovaciones</w:t>
      </w:r>
    </w:p>
    <w:p>
      <w:pPr>
        <w:keepLines w:val="0"/>
      </w:pPr>
      <w:r>
        <w:rPr>
          <w:rFonts w:ascii="Arial" w:hAnsi="Arial"/>
          <w:b w:val="0"/>
          <w:i w:val="0"/>
          <w:color w:val="1D1D1F"/>
          <w:sz w:val="21"/>
        </w:rPr>
        <w:t>Una renovación genera la misma comisión de una mensualidad por cada año adicional únicamente cuando: (i) se firma o acepta la renovación; (ii) el cliente paga el periodo correspondiente; y (iii) LA GESTORA tuvo una intervención comercial material y documentada, aceptada por EL PRESTADOR antes de la renovación.</w:t>
      </w:r>
    </w:p>
    <w:p>
      <w:pPr>
        <w:keepLines w:val="0"/>
      </w:pPr>
      <w:r>
        <w:rPr>
          <w:rFonts w:ascii="Arial" w:hAnsi="Arial"/>
          <w:b w:val="0"/>
          <w:i w:val="0"/>
          <w:color w:val="1D1D1F"/>
          <w:sz w:val="21"/>
        </w:rPr>
        <w:t>Una renovación automática, por sí sola, no genera comisión. Tampoco la genera una renovación gestionada directamente por EL PRESTADOR sin intervención demostrable de LA GESTORA.</w:t>
      </w:r>
    </w:p>
    <w:p>
      <w:pPr>
        <w:pStyle w:val="Heading1"/>
      </w:pPr>
      <w:r>
        <w:t>8. Cancelaciones, mora y reversos</w:t>
      </w:r>
    </w:p>
    <w:p>
      <w:pPr>
        <w:keepLines w:val="0"/>
      </w:pPr>
      <w:r>
        <w:rPr>
          <w:rFonts w:ascii="Arial" w:hAnsi="Arial"/>
          <w:b w:val="0"/>
          <w:i w:val="0"/>
          <w:color w:val="1D1D1F"/>
          <w:sz w:val="21"/>
        </w:rPr>
        <w:t>Si el cliente termina, no renueva, entra en mora definitiva o recibe devolución antes de iniciar un Periodo Anual de Servicio, las cuotas futuras no causadas se extinguen.</w:t>
      </w:r>
    </w:p>
    <w:p>
      <w:pPr>
        <w:keepLines w:val="0"/>
      </w:pPr>
      <w:r>
        <w:rPr>
          <w:rFonts w:ascii="Arial" w:hAnsi="Arial"/>
          <w:b w:val="0"/>
          <w:i w:val="0"/>
          <w:color w:val="1D1D1F"/>
          <w:sz w:val="21"/>
        </w:rPr>
        <w:t>Las comisiones correctamente pagadas no se devuelven, salvo fraude, duplicidad, falsedad atribuible a LA GESTORA o reversión del pago que sirvió como base. En esos casos EL PRESTADOR podrá compensar el valor contra comisiones futuras, previa entrega de soporte.</w:t>
      </w:r>
    </w:p>
    <w:p>
      <w:pPr>
        <w:keepLines w:val="0"/>
      </w:pPr>
      <w:r>
        <w:rPr>
          <w:rFonts w:ascii="Arial" w:hAnsi="Arial"/>
          <w:b w:val="0"/>
          <w:i w:val="0"/>
          <w:color w:val="1D1D1F"/>
          <w:sz w:val="21"/>
        </w:rPr>
        <w:t>La terminación anticipada del contrato del cliente no acelera las cuotas futuras.</w:t>
      </w:r>
    </w:p>
    <w:p>
      <w:pPr>
        <w:pStyle w:val="Heading1"/>
      </w:pPr>
      <w:r>
        <w:t>9. Conflictos de interés e integridad</w:t>
      </w:r>
    </w:p>
    <w:p>
      <w:pPr>
        <w:keepLines w:val="0"/>
      </w:pPr>
      <w:r>
        <w:rPr>
          <w:rFonts w:ascii="Arial" w:hAnsi="Arial"/>
          <w:b w:val="0"/>
          <w:i w:val="0"/>
          <w:color w:val="1D1D1F"/>
          <w:sz w:val="21"/>
        </w:rPr>
        <w:t>LA GESTORA informará cualquier relación económica, laboral, contractual, familiar o de representación que pueda influir en la decisión del conjunto referido.</w:t>
      </w:r>
    </w:p>
    <w:p>
      <w:pPr>
        <w:keepLines w:val="0"/>
      </w:pPr>
      <w:r>
        <w:rPr>
          <w:rFonts w:ascii="Arial" w:hAnsi="Arial"/>
          <w:b w:val="0"/>
          <w:i w:val="0"/>
          <w:color w:val="1D1D1F"/>
          <w:sz w:val="21"/>
        </w:rPr>
        <w:t>Si LA GESTORA llega a ser administradora, consejera, empleada, contratista decisora o representante del conjunto prospecto, la comisión solo podrá mantenerse con revelación escrita y autorización del órgano competente del conjunto. Si no existe esa autorización, el referido no genera comisión.</w:t>
      </w:r>
    </w:p>
    <w:p>
      <w:pPr>
        <w:keepLines w:val="0"/>
      </w:pPr>
      <w:r>
        <w:rPr>
          <w:rFonts w:ascii="Arial" w:hAnsi="Arial"/>
          <w:b w:val="0"/>
          <w:i w:val="0"/>
          <w:color w:val="1D1D1F"/>
          <w:sz w:val="21"/>
        </w:rPr>
        <w:t>LA GESTORA no ofrecerá regalos, pagos, participaciones de comisión ni beneficios ocultos a administradores, consejeros, revisores fiscales, empleados o decisores del cliente. Cualquier práctica de este tipo permite terminar el acuerdo y cancelar comisiones no pagadas.</w:t>
      </w:r>
    </w:p>
    <w:p>
      <w:pPr>
        <w:pStyle w:val="Heading1"/>
      </w:pPr>
      <w:r>
        <w:t>10. Confidencialidad y datos personales</w:t>
      </w:r>
    </w:p>
    <w:p>
      <w:pPr>
        <w:keepLines w:val="0"/>
      </w:pPr>
      <w:r>
        <w:rPr>
          <w:rFonts w:ascii="Arial" w:hAnsi="Arial"/>
          <w:b w:val="0"/>
          <w:i w:val="0"/>
          <w:color w:val="1D1D1F"/>
          <w:sz w:val="21"/>
        </w:rPr>
        <w:t>LA GESTORA usará la información comercial únicamente para presentar el servicio y guardará confidencialidad durante el acuerdo y por dos (2) años después. No solicitará bases de residentes, credenciales ni información de PQRS.</w:t>
      </w:r>
    </w:p>
    <w:p>
      <w:pPr>
        <w:keepLines w:val="0"/>
      </w:pPr>
      <w:r>
        <w:rPr>
          <w:rFonts w:ascii="Arial" w:hAnsi="Arial"/>
          <w:b w:val="0"/>
          <w:i w:val="0"/>
          <w:color w:val="1D1D1F"/>
          <w:sz w:val="21"/>
        </w:rPr>
        <w:t>Los datos de contacto de prospectos solo podrán compartirse cuando exista autorización o una base jurídica aplicable, y se limitarán a lo necesario para la conversación comercial.</w:t>
      </w:r>
    </w:p>
    <w:p>
      <w:pPr>
        <w:pStyle w:val="Heading1"/>
      </w:pPr>
      <w:r>
        <w:t>11. Impuestos y soportes</w:t>
      </w:r>
    </w:p>
    <w:p>
      <w:pPr>
        <w:keepLines w:val="0"/>
      </w:pPr>
      <w:r>
        <w:rPr>
          <w:rFonts w:ascii="Arial" w:hAnsi="Arial"/>
          <w:b w:val="0"/>
          <w:i w:val="0"/>
          <w:color w:val="1D1D1F"/>
          <w:sz w:val="21"/>
        </w:rPr>
        <w:t>Cada parte es responsable de sus obligaciones tributarias. EL PRESTADOR practicará las retenciones legalmente aplicables y entregará los certificados correspondientes cuando tenga esa obligación.</w:t>
      </w:r>
    </w:p>
    <w:p>
      <w:pPr>
        <w:keepLines w:val="0"/>
      </w:pPr>
      <w:r>
        <w:rPr>
          <w:rFonts w:ascii="Arial" w:hAnsi="Arial"/>
          <w:b w:val="0"/>
          <w:i w:val="0"/>
          <w:color w:val="1D1D1F"/>
          <w:sz w:val="21"/>
        </w:rPr>
        <w:t>LA GESTORA entregará RUT actualizado, certificación bancaria y cuenta de cobro, factura o documento equivalente que corresponda. El plazo de pago empieza cuando la documentación esté completa.</w:t>
      </w:r>
    </w:p>
    <w:p>
      <w:pPr>
        <w:pStyle w:val="Heading1"/>
      </w:pPr>
      <w:r>
        <w:t>12. Información y verificación</w:t>
      </w:r>
    </w:p>
    <w:p>
      <w:pPr>
        <w:keepLines w:val="0"/>
      </w:pPr>
      <w:r>
        <w:rPr>
          <w:rFonts w:ascii="Arial" w:hAnsi="Arial"/>
          <w:b w:val="0"/>
          <w:i w:val="0"/>
          <w:color w:val="1D1D1F"/>
          <w:sz w:val="21"/>
        </w:rPr>
        <w:t>EL PRESTADOR mantendrá un registro por referido con contrato, duración, modalidad de pago, estado de cada cuota, valor base, fecha de causación y referencia de pago. LA GESTORA puede solicitar un estado razonable de sus referidos sin acceder a información confidencial del cliente.</w:t>
      </w:r>
    </w:p>
    <w:p>
      <w:pPr>
        <w:keepLines w:val="0"/>
      </w:pPr>
      <w:r>
        <w:rPr>
          <w:rFonts w:ascii="Arial" w:hAnsi="Arial"/>
          <w:b w:val="0"/>
          <w:i w:val="0"/>
          <w:color w:val="1D1D1F"/>
          <w:sz w:val="21"/>
        </w:rPr>
        <w:t>Un desacuerdo sobre el cálculo debe informarse dentro de los treinta (30) días calendario siguientes al reporte o pago; las partes revisarán los soportes pertinentes.</w:t>
      </w:r>
    </w:p>
    <w:p>
      <w:pPr>
        <w:pStyle w:val="Heading1"/>
      </w:pPr>
      <w:r>
        <w:t>13. Duración y terminación del acuerdo</w:t>
      </w:r>
    </w:p>
    <w:p>
      <w:pPr>
        <w:keepLines w:val="0"/>
      </w:pPr>
      <w:r>
        <w:rPr>
          <w:rFonts w:ascii="Arial" w:hAnsi="Arial"/>
          <w:b w:val="0"/>
          <w:i w:val="0"/>
          <w:color w:val="1D1D1F"/>
          <w:sz w:val="21"/>
        </w:rPr>
        <w:t>El acuerdo tendrá una duración inicial de doce (12) meses y se renovará por periodos iguales salvo aviso escrito con treinta (30) días calendario de anticipación. Cualquiera de las partes puede terminarlo por conveniencia con el mismo aviso.</w:t>
      </w:r>
    </w:p>
    <w:p>
      <w:pPr>
        <w:keepLines w:val="0"/>
      </w:pPr>
      <w:r>
        <w:rPr>
          <w:rFonts w:ascii="Arial" w:hAnsi="Arial"/>
          <w:b w:val="0"/>
          <w:i w:val="0"/>
          <w:color w:val="1D1D1F"/>
          <w:sz w:val="21"/>
        </w:rPr>
        <w:t>La terminación no afecta cuotas ya causadas ni referidos aceptados con contrato vigente; sus cuotas futuras seguirán las cláusulas 6 a 8, salvo terminación por fraude, soborno, violación de confidencialidad o conflicto de interés no revelado.</w:t>
      </w:r>
    </w:p>
    <w:p>
      <w:pPr>
        <w:pStyle w:val="Heading1"/>
      </w:pPr>
      <w:r>
        <w:t>14. Ley aplicable y controversias</w:t>
      </w:r>
    </w:p>
    <w:p>
      <w:pPr>
        <w:keepLines w:val="0"/>
      </w:pPr>
      <w:r>
        <w:rPr>
          <w:rFonts w:ascii="Arial" w:hAnsi="Arial"/>
          <w:b w:val="0"/>
          <w:i w:val="0"/>
          <w:color w:val="1D1D1F"/>
          <w:sz w:val="21"/>
        </w:rPr>
        <w:t>El acuerdo se rige por las leyes de Colombia. Las partes intentarán resolver directamente cualquier diferencia durante treinta (30) días calendario y, si no lo logran, acudirán a los jueces competentes de [CIUDAD], sin perjuicio de una conciliación voluntaria.</w:t>
      </w:r>
    </w:p>
    <w:p>
      <w:pPr>
        <w:pStyle w:val="Heading1"/>
      </w:pPr>
      <w:r>
        <w:t>Anexo 1. Registro de referido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20" w:type="dxa"/>
              <w:bottom w:w="100" w:type="dxa"/>
              <w:end w:w="120" w:type="dxa"/>
            </w:tcMar>
            <w:vAlign w:val="center"/>
            <w:shd w:fill="122545"/>
          </w:tcPr>
          <w:p>
            <w:r>
              <w:rPr>
                <w:rFonts w:ascii="Arial" w:hAnsi="Arial"/>
                <w:b/>
                <w:i w:val="0"/>
                <w:color w:val="FFFFFF"/>
                <w:sz w:val="19"/>
              </w:rPr>
              <w:t>Campo</w:t>
            </w:r>
          </w:p>
        </w:tc>
        <w:tc>
          <w:tcPr>
            <w:tcW w:type="dxa" w:w="6660"/>
            <w:tcMar>
              <w:top w:w="100" w:type="dxa"/>
              <w:start w:w="120" w:type="dxa"/>
              <w:bottom w:w="100" w:type="dxa"/>
              <w:end w:w="120" w:type="dxa"/>
            </w:tcMar>
            <w:vAlign w:val="center"/>
            <w:shd w:fill="122545"/>
          </w:tcPr>
          <w:p>
            <w:r>
              <w:rPr>
                <w:rFonts w:ascii="Arial" w:hAnsi="Arial"/>
                <w:b/>
                <w:i w:val="0"/>
                <w:color w:val="FFFFFF"/>
                <w:sz w:val="19"/>
              </w:rPr>
              <w:t>Información acordada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Código</w:t>
            </w:r>
          </w:p>
        </w:tc>
        <w:tc>
          <w:tcPr>
            <w:tcW w:type="dxa" w:w="6660"/>
            <w:tcMar>
              <w:top w:w="100" w:type="dxa"/>
              <w:start w:w="120" w:type="dxa"/>
              <w:bottom w:w="100" w:type="dxa"/>
              <w:end w:w="120" w:type="dxa"/>
            </w:tcMar>
            <w:vAlign w:val="center"/>
          </w:tcPr>
          <w:p>
            <w:r>
              <w:rPr>
                <w:rFonts w:ascii="Arial" w:hAnsi="Arial"/>
                <w:b w:val="0"/>
                <w:i w:val="0"/>
                <w:color w:val="1D1D1F"/>
                <w:sz w:val="19"/>
              </w:rPr>
              <w:t>[REF-____]</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Fecha de registro</w:t>
            </w:r>
          </w:p>
        </w:tc>
        <w:tc>
          <w:tcPr>
            <w:tcW w:type="dxa" w:w="6660"/>
            <w:tcMar>
              <w:top w:w="100" w:type="dxa"/>
              <w:start w:w="120" w:type="dxa"/>
              <w:bottom w:w="100" w:type="dxa"/>
              <w:end w:w="120" w:type="dxa"/>
            </w:tcMar>
            <w:vAlign w:val="center"/>
          </w:tcPr>
          <w:p>
            <w:r>
              <w:rPr>
                <w:rFonts w:ascii="Arial" w:hAnsi="Arial"/>
                <w:b w:val="0"/>
                <w:i w:val="0"/>
                <w:color w:val="1D1D1F"/>
                <w:sz w:val="19"/>
              </w:rPr>
              <w:t>[AAAA-MM-DD]</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Conjunto</w:t>
            </w:r>
          </w:p>
        </w:tc>
        <w:tc>
          <w:tcPr>
            <w:tcW w:type="dxa" w:w="6660"/>
            <w:tcMar>
              <w:top w:w="100" w:type="dxa"/>
              <w:start w:w="120" w:type="dxa"/>
              <w:bottom w:w="100" w:type="dxa"/>
              <w:end w:w="120" w:type="dxa"/>
            </w:tcMar>
            <w:vAlign w:val="center"/>
          </w:tcPr>
          <w:p>
            <w:r>
              <w:rPr>
                <w:rFonts w:ascii="Arial" w:hAnsi="Arial"/>
                <w:b w:val="0"/>
                <w:i w:val="0"/>
                <w:color w:val="1D1D1F"/>
                <w:sz w:val="19"/>
              </w:rPr>
              <w:t>[Nombre legal y nombre comercial]</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NIT</w:t>
            </w:r>
          </w:p>
        </w:tc>
        <w:tc>
          <w:tcPr>
            <w:tcW w:type="dxa" w:w="6660"/>
            <w:tcMar>
              <w:top w:w="100" w:type="dxa"/>
              <w:start w:w="120" w:type="dxa"/>
              <w:bottom w:w="100" w:type="dxa"/>
              <w:end w:w="120" w:type="dxa"/>
            </w:tcMar>
            <w:vAlign w:val="center"/>
          </w:tcPr>
          <w:p>
            <w:r>
              <w:rPr>
                <w:rFonts w:ascii="Arial" w:hAnsi="Arial"/>
                <w:b w:val="0"/>
                <w:i w:val="0"/>
                <w:color w:val="1D1D1F"/>
                <w:sz w:val="19"/>
              </w:rPr>
              <w:t>[____]</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Contacto</w:t>
            </w:r>
          </w:p>
        </w:tc>
        <w:tc>
          <w:tcPr>
            <w:tcW w:type="dxa" w:w="6660"/>
            <w:tcMar>
              <w:top w:w="100" w:type="dxa"/>
              <w:start w:w="120" w:type="dxa"/>
              <w:bottom w:w="100" w:type="dxa"/>
              <w:end w:w="120" w:type="dxa"/>
            </w:tcMar>
            <w:vAlign w:val="center"/>
          </w:tcPr>
          <w:p>
            <w:r>
              <w:rPr>
                <w:rFonts w:ascii="Arial" w:hAnsi="Arial"/>
                <w:b w:val="0"/>
                <w:i w:val="0"/>
                <w:color w:val="1D1D1F"/>
                <w:sz w:val="19"/>
              </w:rPr>
              <w:t>[Nombre, cargo, correo y teléfono]</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Origen y relación</w:t>
            </w:r>
          </w:p>
        </w:tc>
        <w:tc>
          <w:tcPr>
            <w:tcW w:type="dxa" w:w="6660"/>
            <w:tcMar>
              <w:top w:w="100" w:type="dxa"/>
              <w:start w:w="120" w:type="dxa"/>
              <w:bottom w:w="100" w:type="dxa"/>
              <w:end w:w="120" w:type="dxa"/>
            </w:tcMar>
            <w:vAlign w:val="center"/>
          </w:tcPr>
          <w:p>
            <w:r>
              <w:rPr>
                <w:rFonts w:ascii="Arial" w:hAnsi="Arial"/>
                <w:b w:val="0"/>
                <w:i w:val="0"/>
                <w:color w:val="1D1D1F"/>
                <w:sz w:val="19"/>
              </w:rPr>
              <w:t>[Cómo se obtuvo el contacto y relación existente]</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Conflicto revelado</w:t>
            </w:r>
          </w:p>
        </w:tc>
        <w:tc>
          <w:tcPr>
            <w:tcW w:type="dxa" w:w="6660"/>
            <w:tcMar>
              <w:top w:w="100" w:type="dxa"/>
              <w:start w:w="120" w:type="dxa"/>
              <w:bottom w:w="100" w:type="dxa"/>
              <w:end w:w="120" w:type="dxa"/>
            </w:tcMar>
            <w:vAlign w:val="center"/>
          </w:tcPr>
          <w:p>
            <w:r>
              <w:rPr>
                <w:rFonts w:ascii="Arial" w:hAnsi="Arial"/>
                <w:b w:val="0"/>
                <w:i w:val="0"/>
                <w:color w:val="1D1D1F"/>
                <w:sz w:val="19"/>
              </w:rPr>
              <w:t>[Ninguno / descripción y autorización adjunta]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Estado previo</w:t>
            </w:r>
          </w:p>
        </w:tc>
        <w:tc>
          <w:tcPr>
            <w:tcW w:type="dxa" w:w="6660"/>
            <w:tcMar>
              <w:top w:w="100" w:type="dxa"/>
              <w:start w:w="120" w:type="dxa"/>
              <w:bottom w:w="100" w:type="dxa"/>
              <w:end w:w="120" w:type="dxa"/>
            </w:tcMar>
            <w:vAlign w:val="center"/>
          </w:tcPr>
          <w:p>
            <w:r>
              <w:rPr>
                <w:rFonts w:ascii="Arial" w:hAnsi="Arial"/>
                <w:b w:val="0"/>
                <w:i w:val="0"/>
                <w:color w:val="1D1D1F"/>
                <w:sz w:val="19"/>
              </w:rPr>
              <w:t>[Nuevo / ya conocido / negociación existente]</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Aceptación del referido</w:t>
            </w:r>
          </w:p>
        </w:tc>
        <w:tc>
          <w:tcPr>
            <w:tcW w:type="dxa" w:w="6660"/>
            <w:tcMar>
              <w:top w:w="100" w:type="dxa"/>
              <w:start w:w="120" w:type="dxa"/>
              <w:bottom w:w="100" w:type="dxa"/>
              <w:end w:w="120" w:type="dxa"/>
            </w:tcMar>
            <w:vAlign w:val="center"/>
          </w:tcPr>
          <w:p>
            <w:r>
              <w:rPr>
                <w:rFonts w:ascii="Arial" w:hAnsi="Arial"/>
                <w:b w:val="0"/>
                <w:i w:val="0"/>
                <w:color w:val="1D1D1F"/>
                <w:sz w:val="19"/>
              </w:rPr>
              <w:t>[Aceptado / rechazado] por [____] el [____]</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Vigencia de atribución</w:t>
            </w:r>
          </w:p>
        </w:tc>
        <w:tc>
          <w:tcPr>
            <w:tcW w:type="dxa" w:w="6660"/>
            <w:tcMar>
              <w:top w:w="100" w:type="dxa"/>
              <w:start w:w="120" w:type="dxa"/>
              <w:bottom w:w="100" w:type="dxa"/>
              <w:end w:w="120" w:type="dxa"/>
            </w:tcMar>
            <w:vAlign w:val="center"/>
          </w:tcPr>
          <w:p>
            <w:r>
              <w:rPr>
                <w:rFonts w:ascii="Arial" w:hAnsi="Arial"/>
                <w:b w:val="0"/>
                <w:i w:val="0"/>
                <w:color w:val="1D1D1F"/>
                <w:sz w:val="19"/>
              </w:rPr>
              <w:t>Hasta [AAAA-MM-DD]</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Contrato conseguido</w:t>
            </w:r>
          </w:p>
        </w:tc>
        <w:tc>
          <w:tcPr>
            <w:tcW w:type="dxa" w:w="6660"/>
            <w:tcMar>
              <w:top w:w="100" w:type="dxa"/>
              <w:start w:w="120" w:type="dxa"/>
              <w:bottom w:w="100" w:type="dxa"/>
              <w:end w:w="120" w:type="dxa"/>
            </w:tcMar>
            <w:vAlign w:val="center"/>
          </w:tcPr>
          <w:p>
            <w:r>
              <w:rPr>
                <w:rFonts w:ascii="Arial" w:hAnsi="Arial"/>
                <w:b w:val="0"/>
                <w:i w:val="0"/>
                <w:color w:val="1D1D1F"/>
                <w:sz w:val="19"/>
              </w:rPr>
              <w:t>[Número, fecha y duración]</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Modalidad</w:t>
            </w:r>
          </w:p>
        </w:tc>
        <w:tc>
          <w:tcPr>
            <w:tcW w:type="dxa" w:w="6660"/>
            <w:tcMar>
              <w:top w:w="100" w:type="dxa"/>
              <w:start w:w="120" w:type="dxa"/>
              <w:bottom w:w="100" w:type="dxa"/>
              <w:end w:w="120" w:type="dxa"/>
            </w:tcMar>
            <w:vAlign w:val="center"/>
          </w:tcPr>
          <w:p>
            <w:r>
              <w:rPr>
                <w:rFonts w:ascii="Arial" w:hAnsi="Arial"/>
                <w:b w:val="0"/>
                <w:i w:val="0"/>
                <w:color w:val="1D1D1F"/>
                <w:sz w:val="19"/>
              </w:rPr>
              <w:t>[Mensual manual / mensual automática / anual]</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Valor mensual neto</w:t>
            </w:r>
          </w:p>
        </w:tc>
        <w:tc>
          <w:tcPr>
            <w:tcW w:type="dxa" w:w="6660"/>
            <w:tcMar>
              <w:top w:w="100" w:type="dxa"/>
              <w:start w:w="120" w:type="dxa"/>
              <w:bottom w:w="100" w:type="dxa"/>
              <w:end w:w="120" w:type="dxa"/>
            </w:tcMar>
            <w:vAlign w:val="center"/>
          </w:tcPr>
          <w:p>
            <w:r>
              <w:rPr>
                <w:rFonts w:ascii="Arial" w:hAnsi="Arial"/>
                <w:b w:val="0"/>
                <w:i w:val="0"/>
                <w:color w:val="1D1D1F"/>
                <w:sz w:val="19"/>
              </w:rPr>
              <w:t>$[____] COP</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Años comisionables</w:t>
            </w:r>
          </w:p>
        </w:tc>
        <w:tc>
          <w:tcPr>
            <w:tcW w:type="dxa" w:w="6660"/>
            <w:tcMar>
              <w:top w:w="100" w:type="dxa"/>
              <w:start w:w="120" w:type="dxa"/>
              <w:bottom w:w="100" w:type="dxa"/>
              <w:end w:w="120" w:type="dxa"/>
            </w:tcMar>
            <w:vAlign w:val="center"/>
          </w:tcPr>
          <w:p>
            <w:r>
              <w:rPr>
                <w:rFonts w:ascii="Arial" w:hAnsi="Arial"/>
                <w:b w:val="0"/>
                <w:i w:val="0"/>
                <w:color w:val="1D1D1F"/>
                <w:sz w:val="19"/>
              </w:rPr>
              <w:t>[____]</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Calendario de cuotas</w:t>
            </w:r>
          </w:p>
        </w:tc>
        <w:tc>
          <w:tcPr>
            <w:tcW w:type="dxa" w:w="6660"/>
            <w:tcMar>
              <w:top w:w="100" w:type="dxa"/>
              <w:start w:w="120" w:type="dxa"/>
              <w:bottom w:w="100" w:type="dxa"/>
              <w:end w:w="120" w:type="dxa"/>
            </w:tcMar>
            <w:vAlign w:val="center"/>
          </w:tcPr>
          <w:p>
            <w:r>
              <w:rPr>
                <w:rFonts w:ascii="Arial" w:hAnsi="Arial"/>
                <w:b w:val="0"/>
                <w:i w:val="0"/>
                <w:color w:val="1D1D1F"/>
                <w:sz w:val="19"/>
              </w:rPr>
              <w:t>[Fechas estimadas y condiciones]</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Notas</w:t>
            </w:r>
          </w:p>
        </w:tc>
        <w:tc>
          <w:tcPr>
            <w:tcW w:type="dxa" w:w="6660"/>
            <w:tcMar>
              <w:top w:w="100" w:type="dxa"/>
              <w:start w:w="120" w:type="dxa"/>
              <w:bottom w:w="100" w:type="dxa"/>
              <w:end w:w="120" w:type="dxa"/>
            </w:tcMar>
            <w:vAlign w:val="center"/>
          </w:tcPr>
          <w:p>
            <w:r>
              <w:rPr>
                <w:rFonts w:ascii="Arial" w:hAnsi="Arial"/>
                <w:b w:val="0"/>
                <w:i w:val="0"/>
                <w:color w:val="1D1D1F"/>
                <w:sz w:val="19"/>
              </w:rPr>
              <w:t>[____]</w:t>
            </w:r>
          </w:p>
        </w:tc>
      </w:tr>
    </w:tbl>
    <w:p>
      <w:pPr>
        <w:pStyle w:val="Heading1"/>
      </w:pPr>
      <w:r>
        <w:t>Anexo 2. Registro de cuota de comisión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20" w:type="dxa"/>
              <w:bottom w:w="100" w:type="dxa"/>
              <w:end w:w="120" w:type="dxa"/>
            </w:tcMar>
            <w:vAlign w:val="center"/>
            <w:shd w:fill="122545"/>
          </w:tcPr>
          <w:p>
            <w:r>
              <w:rPr>
                <w:rFonts w:ascii="Arial" w:hAnsi="Arial"/>
                <w:b/>
                <w:i w:val="0"/>
                <w:color w:val="FFFFFF"/>
                <w:sz w:val="19"/>
              </w:rPr>
              <w:t>Campo</w:t>
            </w:r>
          </w:p>
        </w:tc>
        <w:tc>
          <w:tcPr>
            <w:tcW w:type="dxa" w:w="6660"/>
            <w:tcMar>
              <w:top w:w="100" w:type="dxa"/>
              <w:start w:w="120" w:type="dxa"/>
              <w:bottom w:w="100" w:type="dxa"/>
              <w:end w:w="120" w:type="dxa"/>
            </w:tcMar>
            <w:vAlign w:val="center"/>
            <w:shd w:fill="122545"/>
          </w:tcPr>
          <w:p>
            <w:r>
              <w:rPr>
                <w:rFonts w:ascii="Arial" w:hAnsi="Arial"/>
                <w:b/>
                <w:i w:val="0"/>
                <w:color w:val="FFFFFF"/>
                <w:sz w:val="19"/>
              </w:rPr>
              <w:t>Información acordada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Referido</w:t>
            </w:r>
          </w:p>
        </w:tc>
        <w:tc>
          <w:tcPr>
            <w:tcW w:type="dxa" w:w="6660"/>
            <w:tcMar>
              <w:top w:w="100" w:type="dxa"/>
              <w:start w:w="120" w:type="dxa"/>
              <w:bottom w:w="100" w:type="dxa"/>
              <w:end w:w="120" w:type="dxa"/>
            </w:tcMar>
            <w:vAlign w:val="center"/>
          </w:tcPr>
          <w:p>
            <w:r>
              <w:rPr>
                <w:rFonts w:ascii="Arial" w:hAnsi="Arial"/>
                <w:b w:val="0"/>
                <w:i w:val="0"/>
                <w:color w:val="1D1D1F"/>
                <w:sz w:val="19"/>
              </w:rPr>
              <w:t>[REF-____]</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Periodo anual</w:t>
            </w:r>
          </w:p>
        </w:tc>
        <w:tc>
          <w:tcPr>
            <w:tcW w:type="dxa" w:w="6660"/>
            <w:tcMar>
              <w:top w:w="100" w:type="dxa"/>
              <w:start w:w="120" w:type="dxa"/>
              <w:bottom w:w="100" w:type="dxa"/>
              <w:end w:w="120" w:type="dxa"/>
            </w:tcMar>
            <w:vAlign w:val="center"/>
          </w:tcPr>
          <w:p>
            <w:r>
              <w:rPr>
                <w:rFonts w:ascii="Arial" w:hAnsi="Arial"/>
                <w:b w:val="0"/>
                <w:i w:val="0"/>
                <w:color w:val="1D1D1F"/>
                <w:sz w:val="19"/>
              </w:rPr>
              <w:t>Año [____] de [____]</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Fecha de inicio del periodo</w:t>
            </w:r>
          </w:p>
        </w:tc>
        <w:tc>
          <w:tcPr>
            <w:tcW w:type="dxa" w:w="6660"/>
            <w:tcMar>
              <w:top w:w="100" w:type="dxa"/>
              <w:start w:w="120" w:type="dxa"/>
              <w:bottom w:w="100" w:type="dxa"/>
              <w:end w:w="120" w:type="dxa"/>
            </w:tcMar>
            <w:vAlign w:val="center"/>
          </w:tcPr>
          <w:p>
            <w:r>
              <w:rPr>
                <w:rFonts w:ascii="Arial" w:hAnsi="Arial"/>
                <w:b w:val="0"/>
                <w:i w:val="0"/>
                <w:color w:val="1D1D1F"/>
                <w:sz w:val="19"/>
              </w:rPr>
              <w:t>[AAAA-MM-DD]</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Pago del cliente verificado</w:t>
            </w:r>
          </w:p>
        </w:tc>
        <w:tc>
          <w:tcPr>
            <w:tcW w:type="dxa" w:w="6660"/>
            <w:tcMar>
              <w:top w:w="100" w:type="dxa"/>
              <w:start w:w="120" w:type="dxa"/>
              <w:bottom w:w="100" w:type="dxa"/>
              <w:end w:w="120" w:type="dxa"/>
            </w:tcMar>
            <w:vAlign w:val="center"/>
          </w:tcPr>
          <w:p>
            <w:r>
              <w:rPr>
                <w:rFonts w:ascii="Arial" w:hAnsi="Arial"/>
                <w:b w:val="0"/>
                <w:i w:val="0"/>
                <w:color w:val="1D1D1F"/>
                <w:sz w:val="19"/>
              </w:rPr>
              <w:t>[Referencia y fecha]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Mensualidad neta base</w:t>
            </w:r>
          </w:p>
        </w:tc>
        <w:tc>
          <w:tcPr>
            <w:tcW w:type="dxa" w:w="6660"/>
            <w:tcMar>
              <w:top w:w="100" w:type="dxa"/>
              <w:start w:w="120" w:type="dxa"/>
              <w:bottom w:w="100" w:type="dxa"/>
              <w:end w:w="120" w:type="dxa"/>
            </w:tcMar>
            <w:vAlign w:val="center"/>
          </w:tcPr>
          <w:p>
            <w:r>
              <w:rPr>
                <w:rFonts w:ascii="Arial" w:hAnsi="Arial"/>
                <w:b w:val="0"/>
                <w:i w:val="0"/>
                <w:color w:val="1D1D1F"/>
                <w:sz w:val="19"/>
              </w:rPr>
              <w:t>$[____] COP</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Retenciones</w:t>
            </w:r>
          </w:p>
        </w:tc>
        <w:tc>
          <w:tcPr>
            <w:tcW w:type="dxa" w:w="6660"/>
            <w:tcMar>
              <w:top w:w="100" w:type="dxa"/>
              <w:start w:w="120" w:type="dxa"/>
              <w:bottom w:w="100" w:type="dxa"/>
              <w:end w:w="120" w:type="dxa"/>
            </w:tcMar>
            <w:vAlign w:val="center"/>
          </w:tcPr>
          <w:p>
            <w:r>
              <w:rPr>
                <w:rFonts w:ascii="Arial" w:hAnsi="Arial"/>
                <w:b w:val="0"/>
                <w:i w:val="0"/>
                <w:color w:val="1D1D1F"/>
                <w:sz w:val="19"/>
              </w:rPr>
              <w:t>$[____] COP</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Valor neto pagado</w:t>
            </w:r>
          </w:p>
        </w:tc>
        <w:tc>
          <w:tcPr>
            <w:tcW w:type="dxa" w:w="6660"/>
            <w:tcMar>
              <w:top w:w="100" w:type="dxa"/>
              <w:start w:w="120" w:type="dxa"/>
              <w:bottom w:w="100" w:type="dxa"/>
              <w:end w:w="120" w:type="dxa"/>
            </w:tcMar>
            <w:vAlign w:val="center"/>
          </w:tcPr>
          <w:p>
            <w:r>
              <w:rPr>
                <w:rFonts w:ascii="Arial" w:hAnsi="Arial"/>
                <w:b w:val="0"/>
                <w:i w:val="0"/>
                <w:color w:val="1D1D1F"/>
                <w:sz w:val="19"/>
              </w:rPr>
              <w:t>$[____] COP</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Fecha de causación</w:t>
            </w:r>
          </w:p>
        </w:tc>
        <w:tc>
          <w:tcPr>
            <w:tcW w:type="dxa" w:w="6660"/>
            <w:tcMar>
              <w:top w:w="100" w:type="dxa"/>
              <w:start w:w="120" w:type="dxa"/>
              <w:bottom w:w="100" w:type="dxa"/>
              <w:end w:w="120" w:type="dxa"/>
            </w:tcMar>
            <w:vAlign w:val="center"/>
          </w:tcPr>
          <w:p>
            <w:r>
              <w:rPr>
                <w:rFonts w:ascii="Arial" w:hAnsi="Arial"/>
                <w:b w:val="0"/>
                <w:i w:val="0"/>
                <w:color w:val="1D1D1F"/>
                <w:sz w:val="19"/>
              </w:rPr>
              <w:t>[AAAA-MM-DD]</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Fecha y referencia de pago</w:t>
            </w:r>
          </w:p>
        </w:tc>
        <w:tc>
          <w:tcPr>
            <w:tcW w:type="dxa" w:w="6660"/>
            <w:tcMar>
              <w:top w:w="100" w:type="dxa"/>
              <w:start w:w="120" w:type="dxa"/>
              <w:bottom w:w="100" w:type="dxa"/>
              <w:end w:w="120" w:type="dxa"/>
            </w:tcMar>
            <w:vAlign w:val="center"/>
          </w:tcPr>
          <w:p>
            <w:r>
              <w:rPr>
                <w:rFonts w:ascii="Arial" w:hAnsi="Arial"/>
                <w:b w:val="0"/>
                <w:i w:val="0"/>
                <w:color w:val="1D1D1F"/>
                <w:sz w:val="19"/>
              </w:rPr>
              <w:t>[AAAA-MM-DD / referencia]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Estado</w:t>
            </w:r>
          </w:p>
        </w:tc>
        <w:tc>
          <w:tcPr>
            <w:tcW w:type="dxa" w:w="6660"/>
            <w:tcMar>
              <w:top w:w="100" w:type="dxa"/>
              <w:start w:w="120" w:type="dxa"/>
              <w:bottom w:w="100" w:type="dxa"/>
              <w:end w:w="120" w:type="dxa"/>
            </w:tcMar>
            <w:vAlign w:val="center"/>
          </w:tcPr>
          <w:p>
            <w:r>
              <w:rPr>
                <w:rFonts w:ascii="Arial" w:hAnsi="Arial"/>
                <w:b w:val="0"/>
                <w:i w:val="0"/>
                <w:color w:val="1D1D1F"/>
                <w:sz w:val="19"/>
              </w:rPr>
              <w:t>[Pendiente / causada / pagada / cancelada]</w:t>
            </w:r>
          </w:p>
        </w:tc>
      </w:tr>
    </w:tbl>
    <w:p>
      <w:pPr>
        <w:pStyle w:val="Heading1"/>
      </w:pPr>
      <w:r>
        <w:t>Firmas</w:t>
      </w:r>
    </w:p>
    <w:p>
      <w:pPr>
        <w:keepLines w:val="0"/>
      </w:pPr>
      <w:r>
        <w:rPr>
          <w:rFonts w:ascii="Arial" w:hAnsi="Arial"/>
          <w:b w:val="0"/>
          <w:i w:val="0"/>
          <w:color w:val="1D1D1F"/>
          <w:sz w:val="21"/>
        </w:rPr>
        <w:t>Las partes declaran que comprendieron la fórmula, el pago gradual y la independencia de la relación.</w:t>
      </w:r>
    </w:p>
    <w:p>
      <w:pPr>
        <w:spacing w:before="360"/>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vAlign w:val="center"/>
            <w:shd w:fill="F2F4F7"/>
          </w:tcPr>
          <w:p>
            <w:r>
              <w:rPr>
                <w:rFonts w:ascii="Arial" w:hAnsi="Arial"/>
                <w:b/>
                <w:i w:val="0"/>
                <w:color w:val="122545"/>
                <w:sz w:val="19"/>
              </w:rPr>
              <w:t>EL PRESTADOR</w:t>
            </w:r>
          </w:p>
        </w:tc>
        <w:tc>
          <w:tcPr>
            <w:tcW w:type="dxa" w:w="4680"/>
            <w:tcMar>
              <w:top w:w="90" w:type="dxa"/>
              <w:start w:w="120" w:type="dxa"/>
              <w:bottom w:w="90" w:type="dxa"/>
              <w:end w:w="120" w:type="dxa"/>
            </w:tcMar>
            <w:vAlign w:val="center"/>
            <w:shd w:fill="F2F4F7"/>
          </w:tcPr>
          <w:p>
            <w:r>
              <w:rPr>
                <w:rFonts w:ascii="Arial" w:hAnsi="Arial"/>
                <w:b/>
                <w:i w:val="0"/>
                <w:color w:val="122545"/>
                <w:sz w:val="19"/>
              </w:rPr>
              <w:t>LA GESTORA</w:t>
            </w:r>
          </w:p>
        </w:tc>
      </w:tr>
      <w:tr>
        <w:tc>
          <w:tcPr>
            <w:tcW w:type="dxa" w:w="4680"/>
            <w:tcMar>
              <w:top w:w="90" w:type="dxa"/>
              <w:start w:w="120" w:type="dxa"/>
              <w:bottom w:w="90" w:type="dxa"/>
              <w:end w:w="120" w:type="dxa"/>
            </w:tcMar>
            <w:vAlign w:val="center"/>
          </w:tcPr>
          <w:p>
            <w:r>
              <w:rPr>
                <w:rFonts w:ascii="Arial" w:hAnsi="Arial"/>
                <w:b w:val="0"/>
                <w:i w:val="0"/>
                <w:color w:val="1D1D1F"/>
                <w:sz w:val="19"/>
              </w:rPr>
              <w:t>Firma: ______________________________</w:t>
            </w:r>
          </w:p>
        </w:tc>
        <w:tc>
          <w:tcPr>
            <w:tcW w:type="dxa" w:w="4680"/>
            <w:tcMar>
              <w:top w:w="90" w:type="dxa"/>
              <w:start w:w="120" w:type="dxa"/>
              <w:bottom w:w="90" w:type="dxa"/>
              <w:end w:w="120" w:type="dxa"/>
            </w:tcMar>
            <w:vAlign w:val="center"/>
          </w:tcPr>
          <w:p>
            <w:r>
              <w:rPr>
                <w:rFonts w:ascii="Arial" w:hAnsi="Arial"/>
                <w:b w:val="0"/>
                <w:i w:val="0"/>
                <w:color w:val="1D1D1F"/>
                <w:sz w:val="19"/>
              </w:rPr>
              <w:t>Firma: ______________________________</w:t>
            </w:r>
          </w:p>
        </w:tc>
      </w:tr>
      <w:tr>
        <w:tc>
          <w:tcPr>
            <w:tcW w:type="dxa" w:w="4680"/>
            <w:tcMar>
              <w:top w:w="90" w:type="dxa"/>
              <w:start w:w="120" w:type="dxa"/>
              <w:bottom w:w="90" w:type="dxa"/>
              <w:end w:w="120" w:type="dxa"/>
            </w:tcMar>
            <w:vAlign w:val="center"/>
          </w:tcPr>
          <w:p>
            <w:r>
              <w:rPr>
                <w:rFonts w:ascii="Arial" w:hAnsi="Arial"/>
                <w:b w:val="0"/>
                <w:i w:val="0"/>
                <w:color w:val="1D1D1F"/>
                <w:sz w:val="19"/>
              </w:rPr>
              <w:t>Nombre: [___________________________]</w:t>
            </w:r>
          </w:p>
        </w:tc>
        <w:tc>
          <w:tcPr>
            <w:tcW w:type="dxa" w:w="4680"/>
            <w:tcMar>
              <w:top w:w="90" w:type="dxa"/>
              <w:start w:w="120" w:type="dxa"/>
              <w:bottom w:w="90" w:type="dxa"/>
              <w:end w:w="120" w:type="dxa"/>
            </w:tcMar>
            <w:vAlign w:val="center"/>
          </w:tcPr>
          <w:p>
            <w:r>
              <w:rPr>
                <w:rFonts w:ascii="Arial" w:hAnsi="Arial"/>
                <w:b w:val="0"/>
                <w:i w:val="0"/>
                <w:color w:val="1D1D1F"/>
                <w:sz w:val="19"/>
              </w:rPr>
              <w:t>Nombre: [___________________________]</w:t>
            </w:r>
          </w:p>
        </w:tc>
      </w:tr>
      <w:tr>
        <w:tc>
          <w:tcPr>
            <w:tcW w:type="dxa" w:w="4680"/>
            <w:tcMar>
              <w:top w:w="90" w:type="dxa"/>
              <w:start w:w="120" w:type="dxa"/>
              <w:bottom w:w="90" w:type="dxa"/>
              <w:end w:w="120" w:type="dxa"/>
            </w:tcMar>
            <w:vAlign w:val="center"/>
          </w:tcPr>
          <w:p>
            <w:r>
              <w:rPr>
                <w:rFonts w:ascii="Arial" w:hAnsi="Arial"/>
                <w:b w:val="0"/>
                <w:i w:val="0"/>
                <w:color w:val="1D1D1F"/>
                <w:sz w:val="19"/>
              </w:rPr>
              <w:t>Identificación: [____________________]</w:t>
            </w:r>
          </w:p>
        </w:tc>
        <w:tc>
          <w:tcPr>
            <w:tcW w:type="dxa" w:w="4680"/>
            <w:tcMar>
              <w:top w:w="90" w:type="dxa"/>
              <w:start w:w="120" w:type="dxa"/>
              <w:bottom w:w="90" w:type="dxa"/>
              <w:end w:w="120" w:type="dxa"/>
            </w:tcMar>
            <w:vAlign w:val="center"/>
          </w:tcPr>
          <w:p>
            <w:r>
              <w:rPr>
                <w:rFonts w:ascii="Arial" w:hAnsi="Arial"/>
                <w:b w:val="0"/>
                <w:i w:val="0"/>
                <w:color w:val="1D1D1F"/>
                <w:sz w:val="19"/>
              </w:rPr>
              <w:t>Identificación: [____________________]</w:t>
            </w:r>
          </w:p>
        </w:tc>
      </w:tr>
      <w:tr>
        <w:tc>
          <w:tcPr>
            <w:tcW w:type="dxa" w:w="4680"/>
            <w:tcMar>
              <w:top w:w="90" w:type="dxa"/>
              <w:start w:w="120" w:type="dxa"/>
              <w:bottom w:w="90" w:type="dxa"/>
              <w:end w:w="120" w:type="dxa"/>
            </w:tcMar>
            <w:vAlign w:val="center"/>
          </w:tcPr>
          <w:p>
            <w:r>
              <w:rPr>
                <w:rFonts w:ascii="Arial" w:hAnsi="Arial"/>
                <w:b w:val="0"/>
                <w:i w:val="0"/>
                <w:color w:val="1D1D1F"/>
                <w:sz w:val="19"/>
              </w:rPr>
              <w:t>Fecha: [____/____/________]</w:t>
            </w:r>
          </w:p>
        </w:tc>
        <w:tc>
          <w:tcPr>
            <w:tcW w:type="dxa" w:w="4680"/>
            <w:tcMar>
              <w:top w:w="90" w:type="dxa"/>
              <w:start w:w="120" w:type="dxa"/>
              <w:bottom w:w="90" w:type="dxa"/>
              <w:end w:w="120" w:type="dxa"/>
            </w:tcMar>
            <w:vAlign w:val="center"/>
          </w:tcPr>
          <w:p>
            <w:r>
              <w:rPr>
                <w:rFonts w:ascii="Arial" w:hAnsi="Arial"/>
                <w:b w:val="0"/>
                <w:i w:val="0"/>
                <w:color w:val="1D1D1F"/>
                <w:sz w:val="19"/>
              </w:rPr>
              <w:t>Fecha: [____/____/________]</w:t>
            </w:r>
          </w:p>
        </w:tc>
      </w:tr>
    </w:tbl>
    <w:p>
      <w:r>
        <w:br w:type="page"/>
      </w:r>
    </w:p>
    <w:p>
      <w:pPr>
        <w:pStyle w:val="Heading1"/>
      </w:pPr>
      <w:r>
        <w:t>Anexo de revisión profesional (no contractual)</w:t>
      </w:r>
    </w:p>
    <w:p>
      <w:pPr>
        <w:keepLines w:val="0"/>
      </w:pPr>
      <w:r>
        <w:rPr>
          <w:rFonts w:ascii="Arial" w:hAnsi="Arial"/>
          <w:b w:val="0"/>
          <w:i/>
          <w:color w:val="1D1D1F"/>
          <w:sz w:val="21"/>
        </w:rPr>
        <w:t>Esta página existe únicamente para facilitar la revisión del abogado y del contador. Debe retirarse de la versión final de firma.</w:t>
      </w:r>
    </w:p>
    <w:p>
      <w:pPr>
        <w:ind w:left="288" w:hanging="288"/>
      </w:pPr>
      <w:r>
        <w:rPr>
          <w:rFonts w:ascii="Arial" w:hAnsi="Arial"/>
          <w:b w:val="0"/>
          <w:i w:val="0"/>
          <w:color w:val="1D1D1F"/>
          <w:sz w:val="20"/>
        </w:rPr>
        <w:t>[  ] Confirmar que la operación real no configure subordinación laboral según el artículo 23 del Código Sustantivo del Trabajo.</w:t>
      </w:r>
    </w:p>
    <w:p>
      <w:pPr>
        <w:ind w:left="288" w:hanging="288"/>
      </w:pPr>
      <w:r>
        <w:rPr>
          <w:rFonts w:ascii="Arial" w:hAnsi="Arial"/>
          <w:b w:val="0"/>
          <w:i w:val="0"/>
          <w:color w:val="1D1D1F"/>
          <w:sz w:val="20"/>
        </w:rPr>
        <w:t>[  ] Revisar riesgo de agencia comercial por estabilidad, territorio, promoción continua o representación.</w:t>
      </w:r>
    </w:p>
    <w:p>
      <w:pPr>
        <w:ind w:left="288" w:hanging="288"/>
      </w:pPr>
      <w:r>
        <w:rPr>
          <w:rFonts w:ascii="Arial" w:hAnsi="Arial"/>
          <w:b w:val="0"/>
          <w:i w:val="0"/>
          <w:color w:val="1D1D1F"/>
          <w:sz w:val="20"/>
        </w:rPr>
        <w:t>[  ] Validar fórmula de una mensualidad neta por año, causación gradual y tratamiento de pagos anticipados plurianuales.</w:t>
      </w:r>
    </w:p>
    <w:p>
      <w:pPr>
        <w:ind w:left="288" w:hanging="288"/>
      </w:pPr>
      <w:r>
        <w:rPr>
          <w:rFonts w:ascii="Arial" w:hAnsi="Arial"/>
          <w:b w:val="0"/>
          <w:i w:val="0"/>
          <w:color w:val="1D1D1F"/>
          <w:sz w:val="20"/>
        </w:rPr>
        <w:t>[  ] Definir retenciones, IVA si corresponde, cuenta de cobro/factura y obligaciones de información exógena.</w:t>
      </w:r>
    </w:p>
    <w:p>
      <w:pPr>
        <w:ind w:left="288" w:hanging="288"/>
      </w:pPr>
      <w:r>
        <w:rPr>
          <w:rFonts w:ascii="Arial" w:hAnsi="Arial"/>
          <w:b w:val="0"/>
          <w:i w:val="0"/>
          <w:color w:val="1D1D1F"/>
          <w:sz w:val="20"/>
        </w:rPr>
        <w:t>[  ] Revisar supervivencia de cuotas futuras tras terminar el acuerdo y causales que permiten cancelarlas.</w:t>
      </w:r>
    </w:p>
    <w:p>
      <w:pPr>
        <w:ind w:left="288" w:hanging="288"/>
      </w:pPr>
      <w:r>
        <w:rPr>
          <w:rFonts w:ascii="Arial" w:hAnsi="Arial"/>
          <w:b w:val="0"/>
          <w:i w:val="0"/>
          <w:color w:val="1D1D1F"/>
          <w:sz w:val="20"/>
        </w:rPr>
        <w:t>[  ] Confirmar protocolo de conflicto de interés si LA GESTORA adquiere un cargo o poder de decisión en un conjunto referido.</w:t>
      </w:r>
    </w:p>
    <w:p>
      <w:pPr>
        <w:ind w:left="288" w:hanging="288"/>
      </w:pPr>
      <w:r>
        <w:rPr>
          <w:rFonts w:ascii="Arial" w:hAnsi="Arial"/>
          <w:b w:val="0"/>
          <w:i w:val="0"/>
          <w:color w:val="1D1D1F"/>
          <w:sz w:val="20"/>
        </w:rPr>
        <w:t>[  ] Alinear los campos con el modelo de datos y la trazabilidad de comisiones de la plataforma.</w:t>
      </w:r>
    </w:p>
    <w:p>
      <w:pPr>
        <w:ind w:left="288" w:hanging="288"/>
      </w:pPr>
      <w:r>
        <w:rPr>
          <w:rFonts w:ascii="Arial" w:hAnsi="Arial"/>
          <w:b w:val="0"/>
          <w:i w:val="0"/>
          <w:color w:val="1D1D1F"/>
          <w:sz w:val="20"/>
        </w:rPr>
        <w:t>[  ] Eliminar esta página y la marca de borrador antes de la firma final.</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b w:val="0"/>
        <w:i w:val="0"/>
        <w:color w:val="5F6368"/>
        <w:sz w:val="16"/>
      </w:rPr>
      <w:t xml:space="preserve">PQRS Services  |  Borrador no autorizado para firma  |  Página </w:t>
    </w:r>
    <w:r>
      <w:fldChar w:fldCharType="begin"/>
      <w:instrText xml:space="preserve">PAGE</w:instrText>
      <w:fldChar w:fldCharType="end"/>
    </w:r>
    <w:r>
      <w:rPr>
        <w:rFonts w:ascii="Arial" w:hAnsi="Arial"/>
        <w:b w:val="0"/>
        <w:i w:val="0"/>
        <w:color w:val="5F6368"/>
        <w:sz w:val="16"/>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i w:val="0"/>
        <w:color w:val="5F6368"/>
        <w:sz w:val="17"/>
      </w:rPr>
      <w:t>PQRS SERVICES  |  ACUERDO DE REFERIDOS</w:t>
    </w:r>
    <w:r>
      <w:rPr>
        <w:rFonts w:ascii="Arial" w:hAnsi="Arial"/>
        <w:b/>
        <w:i w:val="0"/>
        <w:color w:val="8A5A00"/>
        <w:sz w:val="17"/>
      </w:rPr>
      <w:t xml:space="preserve">    BORRADOR PARA REVISIÓN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Arial" w:hAnsi="Arial"/>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rial" w:hAnsi="Arial"/>
      <w:b/>
      <w:bCs/>
      <w:color w:val="122545"/>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122545"/>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rial" w:hAnsi="Arial"/>
      <w:b/>
      <w:bCs/>
      <w:color w:val="12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independiente de referidos y gestión comercial</dc:title>
  <dc:subject>Borrador de acuerdo de comisiones para referidos de PQRS Services</dc:subject>
  <dc:creator>PQRS Services</dc:creator>
  <cp:keywords>PQRS Services, contrato, borrador, Colombia</cp:keywords>
  <dc:description>Borrador sujeto a revisión jurídica y contable</dc:description>
  <cp:lastModifiedBy/>
  <cp:revision>1</cp:revision>
  <dcterms:created xsi:type="dcterms:W3CDTF">2013-12-23T23:15:00Z</dcterms:created>
  <dcterms:modified xsi:type="dcterms:W3CDTF">2013-12-23T23:15:00Z</dcterms:modified>
  <cp:category/>
</cp:coreProperties>
</file>