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i w:val="0"/>
          <w:color w:val="1A6B3A"/>
          <w:sz w:val="22"/>
        </w:rPr>
        <w:t>PQRS SERVICES</w:t>
      </w:r>
    </w:p>
    <w:p>
      <w:pPr>
        <w:keepNext/>
        <w:spacing w:after="100"/>
      </w:pPr>
      <w:r>
        <w:rPr>
          <w:rFonts w:ascii="Arial" w:hAnsi="Arial"/>
          <w:b/>
          <w:i w:val="0"/>
          <w:color w:val="122545"/>
          <w:sz w:val="44"/>
        </w:rPr>
        <w:t>Contrato marco de licencia y prestación de servicios</w:t>
      </w:r>
    </w:p>
    <w:p>
      <w:pPr>
        <w:spacing w:after="320"/>
      </w:pPr>
      <w:r>
        <w:rPr>
          <w:rFonts w:ascii="Arial" w:hAnsi="Arial"/>
          <w:b w:val="0"/>
          <w:i w:val="0"/>
          <w:color w:val="5F6368"/>
          <w:sz w:val="23"/>
        </w:rPr>
        <w:t>Plataforma PQRS Services para propiedades horizontales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BF3DF"/>
          </w:tcPr>
          <w:p>
            <w:pPr>
              <w:spacing w:after="0"/>
            </w:pPr>
            <w:r>
              <w:rPr>
                <w:rFonts w:ascii="Arial" w:hAnsi="Arial"/>
                <w:b/>
                <w:i w:val="0"/>
                <w:color w:val="7A5A00"/>
                <w:sz w:val="19"/>
              </w:rPr>
              <w:t>BORRADOR DE TRABAJO. No firmar, publicar ni usar con clientes hasta que un abogado colombiano y el contador del prestador revisen su contenido y efectos tributarios.</w:t>
            </w:r>
          </w:p>
        </w:tc>
      </w:tr>
    </w:tbl>
    <w:p>
      <w:pPr>
        <w:keepLines w:val="0"/>
      </w:pPr>
      <w:r>
        <w:rPr>
          <w:rFonts w:ascii="Arial" w:hAnsi="Arial"/>
          <w:b w:val="0"/>
          <w:i w:val="0"/>
          <w:color w:val="1D1D1F"/>
          <w:sz w:val="21"/>
        </w:rPr>
        <w:t>Entre [NOMBRE COMPLETO DEL PRESTADOR], identificado con [C.C./NIT] [NÚMERO], con domicilio en [CIUDAD], quien opera bajo la marca PQRS Services y en adelante se denomina EL PRESTADOR; y [NOMBRE LEGAL DE LA COPROPIEDAD], identificada con NIT [NÚMERO], representada legalmente por [NOMBRE], identificado con [DOCUMENTO], en adelante EL CLIENTE, se celebra el presente contrato.</w:t>
      </w:r>
    </w:p>
    <w:p>
      <w:pPr>
        <w:keepLines w:val="0"/>
      </w:pPr>
      <w:r>
        <w:rPr>
          <w:rFonts w:ascii="Arial" w:hAnsi="Arial"/>
          <w:b w:val="0"/>
          <w:i w:val="0"/>
          <w:color w:val="1D1D1F"/>
          <w:sz w:val="21"/>
        </w:rPr>
        <w:t>El representante de EL CLIENTE declara que cuenta con las facultades legales, estatutarias y presupuestales necesarias para contratar, y entregará el certificado de representación legal y la autorización del órgano competente cuando corresponda.</w:t>
      </w:r>
    </w:p>
    <w:p>
      <w:pPr>
        <w:pStyle w:val="Heading1"/>
      </w:pPr>
      <w:r>
        <w:t>1. Objeto</w:t>
      </w:r>
    </w:p>
    <w:p>
      <w:pPr>
        <w:keepLines w:val="0"/>
      </w:pPr>
      <w:r>
        <w:rPr>
          <w:rFonts w:ascii="Arial" w:hAnsi="Arial"/>
          <w:b w:val="0"/>
          <w:i w:val="0"/>
          <w:color w:val="1D1D1F"/>
          <w:sz w:val="21"/>
        </w:rPr>
        <w:t>EL PRESTADOR concede a EL CLIENTE una licencia limitada, no exclusiva, no transferible y temporal para usar PQRS Services, y presta los servicios de configuración, alojamiento, soporte y mantenimiento descritos en la Orden de Servicio.</w:t>
      </w:r>
    </w:p>
    <w:p>
      <w:pPr>
        <w:keepLines w:val="0"/>
      </w:pPr>
      <w:r>
        <w:rPr>
          <w:rFonts w:ascii="Arial" w:hAnsi="Arial"/>
          <w:b w:val="0"/>
          <w:i w:val="0"/>
          <w:color w:val="1D1D1F"/>
          <w:sz w:val="21"/>
        </w:rPr>
        <w:t>La plataforma permite radicar, gestionar, consultar y reportar peticiones, quejas, reclamos y solicitudes, con acceso diferenciado para administración, consejo y residentes. Los módulos no indicados como incluidos en la Orden de Servicio no forman parte del precio.</w:t>
      </w:r>
    </w:p>
    <w:p>
      <w:pPr>
        <w:pStyle w:val="Heading1"/>
      </w:pPr>
      <w:r>
        <w:t>2. Documentos que integran el contrato</w:t>
      </w:r>
    </w:p>
    <w:p>
      <w:pPr>
        <w:keepLines w:val="0"/>
      </w:pPr>
      <w:r>
        <w:rPr>
          <w:rFonts w:ascii="Arial" w:hAnsi="Arial"/>
          <w:b w:val="0"/>
          <w:i w:val="0"/>
          <w:color w:val="1D1D1F"/>
          <w:sz w:val="21"/>
        </w:rPr>
        <w:t>Hacen parte del contrato, en orden de prevalencia: (i) la Orden de Servicio firmada; (ii) este contrato marco; (iii) el Anexo de Tratamiento de Datos; (iv) la autorización de cobro automático, cuando se use; y (v) las políticas públicas vigentes de privacidad y pagos de PQRS Services.</w:t>
      </w:r>
    </w:p>
    <w:p>
      <w:pPr>
        <w:keepLines w:val="0"/>
      </w:pPr>
      <w:r>
        <w:rPr>
          <w:rFonts w:ascii="Arial" w:hAnsi="Arial"/>
          <w:b w:val="0"/>
          <w:i w:val="0"/>
          <w:color w:val="1D1D1F"/>
          <w:sz w:val="21"/>
        </w:rPr>
        <w:t>Una condición especial de la Orden de Servicio prevalece únicamente si identifica expresamente la cláusula que modifica.</w:t>
      </w:r>
    </w:p>
    <w:p>
      <w:pPr>
        <w:pStyle w:val="Heading1"/>
      </w:pPr>
      <w:r>
        <w:t>3. Inicio, duración y periodos de servicio</w:t>
      </w:r>
    </w:p>
    <w:p>
      <w:pPr>
        <w:keepLines w:val="0"/>
      </w:pPr>
      <w:r>
        <w:rPr>
          <w:rFonts w:ascii="Arial" w:hAnsi="Arial"/>
          <w:b w:val="0"/>
          <w:i w:val="0"/>
          <w:color w:val="1D1D1F"/>
          <w:sz w:val="21"/>
        </w:rPr>
        <w:t>La vigencia inicia en la fecha indicada en la Orden de Servicio. El plazo comercial puede ser de uno o varios años, pero para efectos de precio, renovación, salida y comisión cada año se divide en Periodos Anuales de Servicio de doce (12) meses.</w:t>
      </w:r>
    </w:p>
    <w:p>
      <w:pPr>
        <w:keepLines w:val="0"/>
      </w:pPr>
      <w:r>
        <w:rPr>
          <w:rFonts w:ascii="Arial" w:hAnsi="Arial"/>
          <w:b w:val="0"/>
          <w:i w:val="0"/>
          <w:color w:val="1D1D1F"/>
          <w:sz w:val="21"/>
        </w:rPr>
        <w:t>La Orden de Servicio debe indicar si, al finalizar el plazo inicial, existe renovación automática por periodos de doce meses o si la renovación exige una aceptación escrita. Si el campo queda vacío, la renovación no será automática.</w:t>
      </w:r>
    </w:p>
    <w:p>
      <w:pPr>
        <w:keepLines w:val="0"/>
      </w:pPr>
      <w:r>
        <w:rPr>
          <w:rFonts w:ascii="Arial" w:hAnsi="Arial"/>
          <w:b w:val="0"/>
          <w:i w:val="0"/>
          <w:color w:val="1D1D1F"/>
          <w:sz w:val="21"/>
        </w:rPr>
        <w:t>La no renovación debe comunicarse con al menos treinta (30) días calendario de anticipación al final del Periodo Anual de Servicio en curso.</w:t>
      </w:r>
    </w:p>
    <w:p>
      <w:pPr>
        <w:pStyle w:val="Heading1"/>
      </w:pPr>
      <w:r>
        <w:t>4. Implementación y aceptación</w:t>
      </w:r>
    </w:p>
    <w:p>
      <w:pPr>
        <w:keepLines w:val="0"/>
      </w:pPr>
      <w:r>
        <w:rPr>
          <w:rFonts w:ascii="Arial" w:hAnsi="Arial"/>
          <w:b w:val="0"/>
          <w:i w:val="0"/>
          <w:color w:val="1D1D1F"/>
          <w:sz w:val="21"/>
        </w:rPr>
        <w:t>EL CLIENTE entregará oportunamente su información básica, listado autorizado de usuarios, categorías y demás insumos necesarios. EL PRESTADOR realizará la configuración y acompañamiento pactados en la Orden de Servicio.</w:t>
      </w:r>
    </w:p>
    <w:p>
      <w:pPr>
        <w:keepLines w:val="0"/>
      </w:pPr>
      <w:r>
        <w:rPr>
          <w:rFonts w:ascii="Arial" w:hAnsi="Arial"/>
          <w:b w:val="0"/>
          <w:i w:val="0"/>
          <w:color w:val="1D1D1F"/>
          <w:sz w:val="21"/>
        </w:rPr>
        <w:t>La aceptación operativa se documentará mediante acta, correo o registro electrónico. La demora causada por información incompleta de EL CLIENTE ajustará razonablemente el cronograma sin constituir incumplimiento de EL PRESTADOR.</w:t>
      </w:r>
    </w:p>
    <w:p>
      <w:pPr>
        <w:pStyle w:val="Heading1"/>
      </w:pPr>
      <w:r>
        <w:t>5. Precio y modalidades de pago</w:t>
      </w:r>
    </w:p>
    <w:p>
      <w:pPr>
        <w:keepLines w:val="0"/>
      </w:pPr>
      <w:r>
        <w:rPr>
          <w:rFonts w:ascii="Arial" w:hAnsi="Arial"/>
          <w:b w:val="0"/>
          <w:i w:val="0"/>
          <w:color w:val="1D1D1F"/>
          <w:sz w:val="21"/>
        </w:rPr>
        <w:t>La tarifa depende del número de unidades, los módulos y las condiciones comerciales de la Orden de Servicio. El plazo contractual no cambia por escoger una forma de pago diferente.</w:t>
      </w:r>
    </w:p>
    <w:p>
      <w:pPr>
        <w:pStyle w:val="ListBullet"/>
        <w:keepLines/>
      </w:pPr>
      <w:r>
        <w:rPr>
          <w:rFonts w:ascii="Arial" w:hAnsi="Arial"/>
          <w:b w:val="0"/>
          <w:i w:val="0"/>
          <w:color w:val="1D1D1F"/>
          <w:sz w:val="21"/>
        </w:rPr>
        <w:t>Mensual manual: EL CLIENTE paga cada mensualidad por transferencia u otro medio habilitado.</w:t>
      </w:r>
    </w:p>
    <w:p>
      <w:pPr>
        <w:pStyle w:val="ListBullet"/>
        <w:keepLines/>
      </w:pPr>
      <w:r>
        <w:rPr>
          <w:rFonts w:ascii="Arial" w:hAnsi="Arial"/>
          <w:b w:val="0"/>
          <w:i w:val="0"/>
          <w:color w:val="1D1D1F"/>
          <w:sz w:val="21"/>
        </w:rPr>
        <w:t>Mensual automático: EL CLIENTE autoriza cobros recurrentes mensuales mediante Wompi o la pasarela indicada.</w:t>
      </w:r>
    </w:p>
    <w:p>
      <w:pPr>
        <w:pStyle w:val="ListBullet"/>
        <w:keepLines/>
      </w:pPr>
      <w:r>
        <w:rPr>
          <w:rFonts w:ascii="Arial" w:hAnsi="Arial"/>
          <w:b w:val="0"/>
          <w:i w:val="0"/>
          <w:color w:val="1D1D1F"/>
          <w:sz w:val="21"/>
        </w:rPr>
        <w:t>Anual anticipado: EL CLIENTE paga doce meses por adelantado y recibe un descuento del diez por ciento (10 %) sobre la tarifa mensual de lista multiplicada por doce.</w:t>
      </w:r>
    </w:p>
    <w:p>
      <w:pPr>
        <w:keepLines w:val="0"/>
      </w:pPr>
      <w:r>
        <w:rPr>
          <w:rFonts w:ascii="Arial" w:hAnsi="Arial"/>
          <w:b w:val="0"/>
          <w:i w:val="0"/>
          <w:color w:val="1D1D1F"/>
          <w:sz w:val="21"/>
        </w:rPr>
        <w:t>Desactivar o revocar el cobro automático no termina el contrato ni extingue las obligaciones pendientes; desde ese momento EL CLIENTE deberá pagar por un medio manual habilitado.</w:t>
      </w:r>
    </w:p>
    <w:p>
      <w:pPr>
        <w:keepLines w:val="0"/>
      </w:pPr>
      <w:r>
        <w:rPr>
          <w:rFonts w:ascii="Arial" w:hAnsi="Arial"/>
          <w:b w:val="0"/>
          <w:i w:val="0"/>
          <w:color w:val="1D1D1F"/>
          <w:sz w:val="21"/>
        </w:rPr>
        <w:t>Los impuestos, retenciones y documentos tributarios se aplicarán conforme a la situación fiscal de las partes y a la normativa vigente. El precio permanecerá fijo durante cada Periodo Anual de Servicio, salvo cambios de unidades, módulos, impuestos o acuerdo escrito.</w:t>
      </w:r>
    </w:p>
    <w:p>
      <w:pPr>
        <w:pStyle w:val="Heading1"/>
      </w:pPr>
      <w:r>
        <w:t>6. Mora, periodo de gracia y suspensión</w:t>
      </w:r>
    </w:p>
    <w:p>
      <w:pPr>
        <w:keepLines w:val="0"/>
      </w:pPr>
      <w:r>
        <w:rPr>
          <w:rFonts w:ascii="Arial" w:hAnsi="Arial"/>
          <w:b w:val="0"/>
          <w:i w:val="0"/>
          <w:color w:val="1D1D1F"/>
          <w:sz w:val="21"/>
        </w:rPr>
        <w:t>Ante un pago rechazado o vencido, EL PRESTADOR notificará al administrador y concederá el periodo de gracia señalado en la Orden de Servicio, que no será inferior a cinco (5) días calendario.</w:t>
      </w:r>
    </w:p>
    <w:p>
      <w:pPr>
        <w:keepLines w:val="0"/>
      </w:pPr>
      <w:r>
        <w:rPr>
          <w:rFonts w:ascii="Arial" w:hAnsi="Arial"/>
          <w:b w:val="0"/>
          <w:i w:val="0"/>
          <w:color w:val="1D1D1F"/>
          <w:sz w:val="21"/>
        </w:rPr>
        <w:t>Vencido el periodo de gracia sin pago, EL PRESTADOR podrá suspender el acceso sin eliminar la información. La suspensión no equivale a terminación y no libera las obligaciones económicas causadas. El acceso se restablecerá cuando el pago sea confirmado.</w:t>
      </w:r>
    </w:p>
    <w:p>
      <w:pPr>
        <w:pStyle w:val="Heading1"/>
      </w:pPr>
      <w:r>
        <w:t>7. Terminación anticipada</w:t>
      </w:r>
    </w:p>
    <w:p>
      <w:pPr>
        <w:keepLines w:val="0"/>
      </w:pPr>
      <w:r>
        <w:rPr>
          <w:rFonts w:ascii="Arial" w:hAnsi="Arial"/>
          <w:b w:val="0"/>
          <w:i w:val="0"/>
          <w:color w:val="1D1D1F"/>
          <w:sz w:val="21"/>
        </w:rPr>
        <w:t>Cualquiera de las partes puede terminar por incumplimiento esencial de la otra, siempre que comunique el incumplimiento y conceda diez (10) días hábiles para corregirlo cuando la corrección sea posible.</w:t>
      </w:r>
    </w:p>
    <w:p>
      <w:pPr>
        <w:keepLines w:val="0"/>
      </w:pPr>
      <w:r>
        <w:rPr>
          <w:rFonts w:ascii="Arial" w:hAnsi="Arial"/>
          <w:b w:val="0"/>
          <w:i w:val="0"/>
          <w:color w:val="1D1D1F"/>
          <w:sz w:val="21"/>
        </w:rPr>
        <w:t>EL CLIENTE también puede terminar por conveniencia con aviso escrito de treinta (30) días calendario. Si paga mensualmente y recibió en la Orden de Servicio una ventaja sustancial asociada a la permanencia -por ejemplo, implementación bonificada, precio especial o precio protegido-, pagará como compensación el menor valor entre: (i) dos mensualidades vigentes; y (ii) las mensualidades que falten para concluir el Periodo Anual de Servicio en curso. Si la Orden de Servicio no identifica esa ventaja, no se cobra compensación.</w:t>
      </w:r>
    </w:p>
    <w:p>
      <w:pPr>
        <w:keepLines w:val="0"/>
      </w:pPr>
      <w:r>
        <w:rPr>
          <w:rFonts w:ascii="Arial" w:hAnsi="Arial"/>
          <w:b w:val="0"/>
          <w:i w:val="0"/>
          <w:color w:val="1D1D1F"/>
          <w:sz w:val="21"/>
        </w:rPr>
        <w:t>En un plan anual anticipado, no se acumula una penalidad adicional: los meses completos usados se recalculan a la tarifa mensual de lista y se devuelve el saldo correspondiente a meses completos no utilizados. Nunca se cobra más de lo recibido por ese periodo.</w:t>
      </w:r>
    </w:p>
    <w:p>
      <w:pPr>
        <w:keepLines w:val="0"/>
      </w:pPr>
      <w:r>
        <w:rPr>
          <w:rFonts w:ascii="Arial" w:hAnsi="Arial"/>
          <w:b w:val="0"/>
          <w:i w:val="0"/>
          <w:color w:val="1D1D1F"/>
          <w:sz w:val="21"/>
        </w:rPr>
        <w:t>Si EL CLIENTE termina por un incumplimiento no corregido de EL PRESTADOR, no habrá compensación y se devolverá proporcionalmente el servicio pagado y no prestado. Estas reglas se aplican sin limitar derechos imperativos que correspondan.</w:t>
      </w:r>
    </w:p>
    <w:p>
      <w:pPr>
        <w:keepLines w:val="0"/>
      </w:pPr>
      <w:r>
        <w:rPr>
          <w:rFonts w:ascii="Arial" w:hAnsi="Arial"/>
          <w:b w:val="0"/>
          <w:i w:val="0"/>
          <w:color w:val="1D1D1F"/>
          <w:sz w:val="21"/>
        </w:rPr>
        <w:t>Si a la relación le resulta aplicable el Estatuto del Consumidor, cualquier permanencia mínima será expresa, estará asociada a una ventaja sustancial, no superará un (1) año salvo excepción legal y se ofrecerá una alternativa sin permanencia cuando la ley lo exija.</w:t>
      </w:r>
    </w:p>
    <w:p>
      <w:pPr>
        <w:pStyle w:val="Heading1"/>
      </w:pPr>
      <w:r>
        <w:t>8. Obligaciones de EL PRESTADOR</w:t>
      </w:r>
    </w:p>
    <w:p>
      <w:pPr>
        <w:keepLines w:val="0"/>
      </w:pPr>
      <w:r>
        <w:rPr>
          <w:rFonts w:ascii="Arial" w:hAnsi="Arial"/>
          <w:b w:val="0"/>
          <w:i w:val="0"/>
          <w:color w:val="1D1D1F"/>
          <w:sz w:val="21"/>
        </w:rPr>
        <w:t>EL PRESTADOR se obliga a:</w:t>
      </w:r>
    </w:p>
    <w:p>
      <w:pPr>
        <w:pStyle w:val="ListBullet"/>
        <w:keepLines/>
      </w:pPr>
      <w:r>
        <w:rPr>
          <w:rFonts w:ascii="Arial" w:hAnsi="Arial"/>
          <w:b w:val="0"/>
          <w:i w:val="0"/>
          <w:color w:val="1D1D1F"/>
          <w:sz w:val="21"/>
        </w:rPr>
        <w:t>Operar la plataforma con medidas razonables de seguridad, continuidad y respaldo.</w:t>
      </w:r>
    </w:p>
    <w:p>
      <w:pPr>
        <w:pStyle w:val="ListBullet"/>
        <w:keepLines/>
      </w:pPr>
      <w:r>
        <w:rPr>
          <w:rFonts w:ascii="Arial" w:hAnsi="Arial"/>
          <w:b w:val="0"/>
          <w:i w:val="0"/>
          <w:color w:val="1D1D1F"/>
          <w:sz w:val="21"/>
        </w:rPr>
        <w:t>Respetar los roles y el aislamiento de información entre conjuntos.</w:t>
      </w:r>
    </w:p>
    <w:p>
      <w:pPr>
        <w:pStyle w:val="ListBullet"/>
        <w:keepLines/>
      </w:pPr>
      <w:r>
        <w:rPr>
          <w:rFonts w:ascii="Arial" w:hAnsi="Arial"/>
          <w:b w:val="0"/>
          <w:i w:val="0"/>
          <w:color w:val="1D1D1F"/>
          <w:sz w:val="21"/>
        </w:rPr>
        <w:t>Prestar el soporte y acompañamiento descritos en la Orden de Servicio.</w:t>
      </w:r>
    </w:p>
    <w:p>
      <w:pPr>
        <w:pStyle w:val="ListBullet"/>
        <w:keepLines/>
      </w:pPr>
      <w:r>
        <w:rPr>
          <w:rFonts w:ascii="Arial" w:hAnsi="Arial"/>
          <w:b w:val="0"/>
          <w:i w:val="0"/>
          <w:color w:val="1D1D1F"/>
          <w:sz w:val="21"/>
        </w:rPr>
        <w:t>Informar mantenimientos programados que afecten materialmente el uso.</w:t>
      </w:r>
    </w:p>
    <w:p>
      <w:pPr>
        <w:pStyle w:val="ListBullet"/>
        <w:keepLines/>
      </w:pPr>
      <w:r>
        <w:rPr>
          <w:rFonts w:ascii="Arial" w:hAnsi="Arial"/>
          <w:b w:val="0"/>
          <w:i w:val="0"/>
          <w:color w:val="1D1D1F"/>
          <w:sz w:val="21"/>
        </w:rPr>
        <w:t>Permitir la consulta y exportación de información conforme al alcance contratado.</w:t>
      </w:r>
    </w:p>
    <w:p>
      <w:pPr>
        <w:pStyle w:val="ListBullet"/>
        <w:keepLines/>
      </w:pPr>
      <w:r>
        <w:rPr>
          <w:rFonts w:ascii="Arial" w:hAnsi="Arial"/>
          <w:b w:val="0"/>
          <w:i w:val="0"/>
          <w:color w:val="1D1D1F"/>
          <w:sz w:val="21"/>
        </w:rPr>
        <w:t>Tratar los datos personales únicamente para prestar el servicio y según las instrucciones documentadas de EL CLIENTE.</w:t>
      </w:r>
    </w:p>
    <w:p>
      <w:pPr>
        <w:pStyle w:val="Heading1"/>
      </w:pPr>
      <w:r>
        <w:t>9. Obligaciones de EL CLIENTE</w:t>
      </w:r>
    </w:p>
    <w:p>
      <w:pPr>
        <w:keepLines w:val="0"/>
      </w:pPr>
      <w:r>
        <w:rPr>
          <w:rFonts w:ascii="Arial" w:hAnsi="Arial"/>
          <w:b w:val="0"/>
          <w:i w:val="0"/>
          <w:color w:val="1D1D1F"/>
          <w:sz w:val="21"/>
        </w:rPr>
        <w:t>EL CLIENTE se obliga a:</w:t>
      </w:r>
    </w:p>
    <w:p>
      <w:pPr>
        <w:pStyle w:val="ListBullet"/>
        <w:keepLines/>
      </w:pPr>
      <w:r>
        <w:rPr>
          <w:rFonts w:ascii="Arial" w:hAnsi="Arial"/>
          <w:b w:val="0"/>
          <w:i w:val="0"/>
          <w:color w:val="1D1D1F"/>
          <w:sz w:val="21"/>
        </w:rPr>
        <w:t>Pagar completa y oportunamente el precio acordado.</w:t>
      </w:r>
    </w:p>
    <w:p>
      <w:pPr>
        <w:pStyle w:val="ListBullet"/>
        <w:keepLines/>
      </w:pPr>
      <w:r>
        <w:rPr>
          <w:rFonts w:ascii="Arial" w:hAnsi="Arial"/>
          <w:b w:val="0"/>
          <w:i w:val="0"/>
          <w:color w:val="1D1D1F"/>
          <w:sz w:val="21"/>
        </w:rPr>
        <w:t>Designar usuarios autorizados, asignar roles y desactivar accesos que ya no correspondan.</w:t>
      </w:r>
    </w:p>
    <w:p>
      <w:pPr>
        <w:pStyle w:val="ListBullet"/>
        <w:keepLines/>
      </w:pPr>
      <w:r>
        <w:rPr>
          <w:rFonts w:ascii="Arial" w:hAnsi="Arial"/>
          <w:b w:val="0"/>
          <w:i w:val="0"/>
          <w:color w:val="1D1D1F"/>
          <w:sz w:val="21"/>
        </w:rPr>
        <w:t>Mantener actualizados sus datos de contacto, unidades y facturación.</w:t>
      </w:r>
    </w:p>
    <w:p>
      <w:pPr>
        <w:pStyle w:val="ListBullet"/>
        <w:keepLines/>
      </w:pPr>
      <w:r>
        <w:rPr>
          <w:rFonts w:ascii="Arial" w:hAnsi="Arial"/>
          <w:b w:val="0"/>
          <w:i w:val="0"/>
          <w:color w:val="1D1D1F"/>
          <w:sz w:val="21"/>
        </w:rPr>
        <w:t>Obtener las autorizaciones de tratamiento de datos de residentes y demás titulares.</w:t>
      </w:r>
    </w:p>
    <w:p>
      <w:pPr>
        <w:pStyle w:val="ListBullet"/>
        <w:keepLines/>
      </w:pPr>
      <w:r>
        <w:rPr>
          <w:rFonts w:ascii="Arial" w:hAnsi="Arial"/>
          <w:b w:val="0"/>
          <w:i w:val="0"/>
          <w:color w:val="1D1D1F"/>
          <w:sz w:val="21"/>
        </w:rPr>
        <w:t>No cargar contenido ilegal ni datos sensibles o de menores sin base jurídica y autorización expresa.</w:t>
      </w:r>
    </w:p>
    <w:p>
      <w:pPr>
        <w:pStyle w:val="ListBullet"/>
        <w:keepLines/>
      </w:pPr>
      <w:r>
        <w:rPr>
          <w:rFonts w:ascii="Arial" w:hAnsi="Arial"/>
          <w:b w:val="0"/>
          <w:i w:val="0"/>
          <w:color w:val="1D1D1F"/>
          <w:sz w:val="21"/>
        </w:rPr>
        <w:t>No intentar acceder a otros conjuntos, alterar controles o realizar extracción masiva no autorizada.</w:t>
      </w:r>
    </w:p>
    <w:p>
      <w:pPr>
        <w:pStyle w:val="ListBullet"/>
        <w:keepLines/>
      </w:pPr>
      <w:r>
        <w:rPr>
          <w:rFonts w:ascii="Arial" w:hAnsi="Arial"/>
          <w:b w:val="0"/>
          <w:i w:val="0"/>
          <w:color w:val="1D1D1F"/>
          <w:sz w:val="21"/>
        </w:rPr>
        <w:t>Responder por la veracidad y licitud de la información que sus usuarios registren.</w:t>
      </w:r>
    </w:p>
    <w:p>
      <w:pPr>
        <w:pStyle w:val="Heading1"/>
      </w:pPr>
      <w:r>
        <w:t>10. Disponibilidad, soporte y cambios</w:t>
      </w:r>
    </w:p>
    <w:p>
      <w:pPr>
        <w:keepLines w:val="0"/>
      </w:pPr>
      <w:r>
        <w:rPr>
          <w:rFonts w:ascii="Arial" w:hAnsi="Arial"/>
          <w:b w:val="0"/>
          <w:i w:val="0"/>
          <w:color w:val="1D1D1F"/>
          <w:sz w:val="21"/>
        </w:rPr>
        <w:t>Salvo que la Orden de Servicio incluya un acuerdo de nivel de servicio, no se garantiza un porcentaje específico de disponibilidad. EL PRESTADOR realizará esfuerzos razonables para mantener el servicio y atender incidentes.</w:t>
      </w:r>
    </w:p>
    <w:p>
      <w:pPr>
        <w:keepLines w:val="0"/>
      </w:pPr>
      <w:r>
        <w:rPr>
          <w:rFonts w:ascii="Arial" w:hAnsi="Arial"/>
          <w:b w:val="0"/>
          <w:i w:val="0"/>
          <w:color w:val="1D1D1F"/>
          <w:sz w:val="21"/>
        </w:rPr>
        <w:t>Los cambios materiales de funcionalidad o tarifa se comunicarán con al menos treinta (30) días calendario de anticipación y se aplicarán desde el siguiente Periodo Anual de Servicio, salvo que sean necesarios por seguridad, cumplimiento legal o corrección urgente.</w:t>
      </w:r>
    </w:p>
    <w:p>
      <w:pPr>
        <w:pStyle w:val="Heading1"/>
      </w:pPr>
      <w:r>
        <w:t>11. Datos personales y confidencialidad</w:t>
      </w:r>
    </w:p>
    <w:p>
      <w:pPr>
        <w:keepLines w:val="0"/>
      </w:pPr>
      <w:r>
        <w:rPr>
          <w:rFonts w:ascii="Arial" w:hAnsi="Arial"/>
          <w:b w:val="0"/>
          <w:i w:val="0"/>
          <w:color w:val="1D1D1F"/>
          <w:sz w:val="21"/>
        </w:rPr>
        <w:t>Para los datos de residentes y demás usuarios, EL CLIENTE actúa como Responsable del Tratamiento y EL PRESTADOR como Encargado, conforme a la Ley 1581 de 2012 y sus normas reglamentarias. El Anexo de Tratamiento de Datos contiene las instrucciones, finalidades, medidas y subencargados autorizados.</w:t>
      </w:r>
    </w:p>
    <w:p>
      <w:pPr>
        <w:keepLines w:val="0"/>
      </w:pPr>
      <w:r>
        <w:rPr>
          <w:rFonts w:ascii="Arial" w:hAnsi="Arial"/>
          <w:b w:val="0"/>
          <w:i w:val="0"/>
          <w:color w:val="1D1D1F"/>
          <w:sz w:val="21"/>
        </w:rPr>
        <w:t>Cada parte guardará reserva sobre la información no pública de la otra durante el contrato y por dos (2) años después de su terminación; la confidencialidad de datos personales y secretos empresariales subsistirá durante el término exigido por la ley o mientras mantengan ese carácter.</w:t>
      </w:r>
    </w:p>
    <w:p>
      <w:pPr>
        <w:pStyle w:val="Heading1"/>
      </w:pPr>
      <w:r>
        <w:t>12. Propiedad intelectual y titularidad de la información</w:t>
      </w:r>
    </w:p>
    <w:p>
      <w:pPr>
        <w:keepLines w:val="0"/>
      </w:pPr>
      <w:r>
        <w:rPr>
          <w:rFonts w:ascii="Arial" w:hAnsi="Arial"/>
          <w:b w:val="0"/>
          <w:i w:val="0"/>
          <w:color w:val="1D1D1F"/>
          <w:sz w:val="21"/>
        </w:rPr>
        <w:t>El software, marca, código, diseño y documentación de PQRS Services pertenecen a EL PRESTADOR o a sus licenciantes. EL CLIENTE conserva la titularidad de la información que carga y de los documentos que genera con sus datos.</w:t>
      </w:r>
    </w:p>
    <w:p>
      <w:pPr>
        <w:keepLines w:val="0"/>
      </w:pPr>
      <w:r>
        <w:rPr>
          <w:rFonts w:ascii="Arial" w:hAnsi="Arial"/>
          <w:b w:val="0"/>
          <w:i w:val="0"/>
          <w:color w:val="1D1D1F"/>
          <w:sz w:val="21"/>
        </w:rPr>
        <w:t>El contrato no transfiere código fuente ni concede derechos de reventa, sublicencia, ingeniería inversa o explotación distinta al uso interno del conjunto.</w:t>
      </w:r>
    </w:p>
    <w:p>
      <w:pPr>
        <w:pStyle w:val="Heading1"/>
      </w:pPr>
      <w:r>
        <w:t>13. Responsabilidad</w:t>
      </w:r>
    </w:p>
    <w:p>
      <w:pPr>
        <w:keepLines w:val="0"/>
      </w:pPr>
      <w:r>
        <w:rPr>
          <w:rFonts w:ascii="Arial" w:hAnsi="Arial"/>
          <w:b w:val="0"/>
          <w:i w:val="0"/>
          <w:color w:val="1D1D1F"/>
          <w:sz w:val="21"/>
        </w:rPr>
        <w:t>Cada parte responde por sus incumplimientos directos y comprobados. En la medida permitida por la ley, la responsabilidad acumulada de EL PRESTADOR se limita a las sumas efectivamente pagadas por EL CLIENTE durante los tres (3) meses anteriores al hecho que originó la reclamación.</w:t>
      </w:r>
    </w:p>
    <w:p>
      <w:pPr>
        <w:keepLines w:val="0"/>
      </w:pPr>
      <w:r>
        <w:rPr>
          <w:rFonts w:ascii="Arial" w:hAnsi="Arial"/>
          <w:b w:val="0"/>
          <w:i w:val="0"/>
          <w:color w:val="1D1D1F"/>
          <w:sz w:val="21"/>
        </w:rPr>
        <w:t>EL PRESTADOR no responde por decisiones administrativas tomadas por EL CLIENTE, contenido ingresado por sus usuarios, fallas de conectividad del cliente, uso indebido de credenciales ni eventos de fuerza mayor. El límite no aplica cuando la ley prohíba limitar la responsabilidad, incluidos el dolo y la culpa grave.</w:t>
      </w:r>
    </w:p>
    <w:p>
      <w:pPr>
        <w:pStyle w:val="Heading1"/>
      </w:pPr>
      <w:r>
        <w:t>14. Finalización y entrega de datos</w:t>
      </w:r>
    </w:p>
    <w:p>
      <w:pPr>
        <w:keepLines w:val="0"/>
      </w:pPr>
      <w:r>
        <w:rPr>
          <w:rFonts w:ascii="Arial" w:hAnsi="Arial"/>
          <w:b w:val="0"/>
          <w:i w:val="0"/>
          <w:color w:val="1D1D1F"/>
          <w:sz w:val="21"/>
        </w:rPr>
        <w:t>Terminada la relación, EL CLIENTE contará con treinta (30) días calendario para solicitar la exportación disponible de su información. Cumplido ese plazo, EL PRESTADOR podrá eliminarla o anonimizarla, salvo registros cuya conservación sea legalmente obligatoria.</w:t>
      </w:r>
    </w:p>
    <w:p>
      <w:pPr>
        <w:pStyle w:val="Heading1"/>
      </w:pPr>
      <w:r>
        <w:t>15. Notificaciones, firma y evidencia</w:t>
      </w:r>
    </w:p>
    <w:p>
      <w:pPr>
        <w:keepLines w:val="0"/>
      </w:pPr>
      <w:r>
        <w:rPr>
          <w:rFonts w:ascii="Arial" w:hAnsi="Arial"/>
          <w:b w:val="0"/>
          <w:i w:val="0"/>
          <w:color w:val="1D1D1F"/>
          <w:sz w:val="21"/>
        </w:rPr>
        <w:t>Las comunicaciones contractuales se enviarán a los correos indicados en la Orden de Servicio. Cada parte debe informar sus cambios de contacto.</w:t>
      </w:r>
    </w:p>
    <w:p>
      <w:pPr>
        <w:keepLines w:val="0"/>
      </w:pPr>
      <w:r>
        <w:rPr>
          <w:rFonts w:ascii="Arial" w:hAnsi="Arial"/>
          <w:b w:val="0"/>
          <w:i w:val="0"/>
          <w:color w:val="1D1D1F"/>
          <w:sz w:val="21"/>
        </w:rPr>
        <w:t>El contrato puede firmarse física o electrónicamente. Las partes aceptan como evidencia los documentos firmados, mensajes de datos, registros de aceptación, sellos de tiempo, direcciones IP y trazas de auditoría que permitan identificar al firmante y preservar la integridad del contenido.</w:t>
      </w:r>
    </w:p>
    <w:p>
      <w:pPr>
        <w:pStyle w:val="Heading1"/>
      </w:pPr>
      <w:r>
        <w:t>16. Ley aplicable y controversias</w:t>
      </w:r>
    </w:p>
    <w:p>
      <w:pPr>
        <w:keepLines w:val="0"/>
      </w:pPr>
      <w:r>
        <w:rPr>
          <w:rFonts w:ascii="Arial" w:hAnsi="Arial"/>
          <w:b w:val="0"/>
          <w:i w:val="0"/>
          <w:color w:val="1D1D1F"/>
          <w:sz w:val="21"/>
        </w:rPr>
        <w:t>El contrato se rige por las leyes de Colombia. Las partes intentarán una negociación directa durante treinta (30) días calendario desde el reclamo escrito. Si no hay acuerdo, acudirán a los jueces competentes de [CIUDAD], sin perjuicio de mecanismos de conciliación o derechos imperativos aplicables.</w:t>
      </w:r>
    </w:p>
    <w:p>
      <w:pPr>
        <w:pStyle w:val="Heading1"/>
      </w:pPr>
      <w:r>
        <w:t>Orden de Servicio No. [____]</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100" w:type="dxa"/>
              <w:start w:w="120" w:type="dxa"/>
              <w:bottom w:w="100" w:type="dxa"/>
              <w:end w:w="120" w:type="dxa"/>
            </w:tcMar>
            <w:vAlign w:val="center"/>
            <w:shd w:fill="122545"/>
          </w:tcPr>
          <w:p>
            <w:r>
              <w:rPr>
                <w:rFonts w:ascii="Arial" w:hAnsi="Arial"/>
                <w:b/>
                <w:i w:val="0"/>
                <w:color w:val="FFFFFF"/>
                <w:sz w:val="19"/>
              </w:rPr>
              <w:t>Campo</w:t>
            </w:r>
          </w:p>
        </w:tc>
        <w:tc>
          <w:tcPr>
            <w:tcW w:type="dxa" w:w="6660"/>
            <w:tcMar>
              <w:top w:w="100" w:type="dxa"/>
              <w:start w:w="120" w:type="dxa"/>
              <w:bottom w:w="100" w:type="dxa"/>
              <w:end w:w="120" w:type="dxa"/>
            </w:tcMar>
            <w:vAlign w:val="center"/>
            <w:shd w:fill="122545"/>
          </w:tcPr>
          <w:p>
            <w:r>
              <w:rPr>
                <w:rFonts w:ascii="Arial" w:hAnsi="Arial"/>
                <w:b/>
                <w:i w:val="0"/>
                <w:color w:val="FFFFFF"/>
                <w:sz w:val="19"/>
              </w:rPr>
              <w:t>Información acordada</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Cliente</w:t>
            </w:r>
          </w:p>
        </w:tc>
        <w:tc>
          <w:tcPr>
            <w:tcW w:type="dxa" w:w="6660"/>
            <w:tcMar>
              <w:top w:w="100" w:type="dxa"/>
              <w:start w:w="120" w:type="dxa"/>
              <w:bottom w:w="100" w:type="dxa"/>
              <w:end w:w="120" w:type="dxa"/>
            </w:tcMar>
            <w:vAlign w:val="center"/>
          </w:tcPr>
          <w:p>
            <w:r>
              <w:rPr>
                <w:rFonts w:ascii="Arial" w:hAnsi="Arial"/>
                <w:b w:val="0"/>
                <w:i w:val="0"/>
                <w:color w:val="1D1D1F"/>
                <w:sz w:val="19"/>
              </w:rPr>
              <w:t>[Nombre legal de la copropiedad y NIT]</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Representante</w:t>
            </w:r>
          </w:p>
        </w:tc>
        <w:tc>
          <w:tcPr>
            <w:tcW w:type="dxa" w:w="6660"/>
            <w:tcMar>
              <w:top w:w="100" w:type="dxa"/>
              <w:start w:w="120" w:type="dxa"/>
              <w:bottom w:w="100" w:type="dxa"/>
              <w:end w:w="120" w:type="dxa"/>
            </w:tcMar>
            <w:vAlign w:val="center"/>
          </w:tcPr>
          <w:p>
            <w:r>
              <w:rPr>
                <w:rFonts w:ascii="Arial" w:hAnsi="Arial"/>
                <w:b w:val="0"/>
                <w:i w:val="0"/>
                <w:color w:val="1D1D1F"/>
                <w:sz w:val="19"/>
              </w:rPr>
              <w:t>[Nombre, documento, cargo y soporte de facultades]</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Unidades</w:t>
            </w:r>
          </w:p>
        </w:tc>
        <w:tc>
          <w:tcPr>
            <w:tcW w:type="dxa" w:w="6660"/>
            <w:tcMar>
              <w:top w:w="100" w:type="dxa"/>
              <w:start w:w="120" w:type="dxa"/>
              <w:bottom w:w="100" w:type="dxa"/>
              <w:end w:w="120" w:type="dxa"/>
            </w:tcMar>
            <w:vAlign w:val="center"/>
          </w:tcPr>
          <w:p>
            <w:r>
              <w:rPr>
                <w:rFonts w:ascii="Arial" w:hAnsi="Arial"/>
                <w:b w:val="0"/>
                <w:i w:val="0"/>
                <w:color w:val="1D1D1F"/>
                <w:sz w:val="19"/>
              </w:rPr>
              <w:t>[Cantidad de unidades privadas]</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Módulos incluidos</w:t>
            </w:r>
          </w:p>
        </w:tc>
        <w:tc>
          <w:tcPr>
            <w:tcW w:type="dxa" w:w="6660"/>
            <w:tcMar>
              <w:top w:w="100" w:type="dxa"/>
              <w:start w:w="120" w:type="dxa"/>
              <w:bottom w:w="100" w:type="dxa"/>
              <w:end w:w="120" w:type="dxa"/>
            </w:tcMar>
            <w:vAlign w:val="center"/>
          </w:tcPr>
          <w:p>
            <w:r>
              <w:rPr>
                <w:rFonts w:ascii="Arial" w:hAnsi="Arial"/>
                <w:b w:val="0"/>
                <w:i w:val="0"/>
                <w:color w:val="1D1D1F"/>
                <w:sz w:val="19"/>
              </w:rPr>
              <w:t>[PQRS / Reservas / Pagos de residentes / Otros]</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Implementación</w:t>
            </w:r>
          </w:p>
        </w:tc>
        <w:tc>
          <w:tcPr>
            <w:tcW w:type="dxa" w:w="6660"/>
            <w:tcMar>
              <w:top w:w="100" w:type="dxa"/>
              <w:start w:w="120" w:type="dxa"/>
              <w:bottom w:w="100" w:type="dxa"/>
              <w:end w:w="120" w:type="dxa"/>
            </w:tcMar>
            <w:vAlign w:val="center"/>
          </w:tcPr>
          <w:p>
            <w:r>
              <w:rPr>
                <w:rFonts w:ascii="Arial" w:hAnsi="Arial"/>
                <w:b w:val="0"/>
                <w:i w:val="0"/>
                <w:color w:val="1D1D1F"/>
                <w:sz w:val="19"/>
              </w:rPr>
              <w:t>[Estándar / asistida / bonificada] y valor $[____]</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Ventaja por permanencia</w:t>
            </w:r>
          </w:p>
        </w:tc>
        <w:tc>
          <w:tcPr>
            <w:tcW w:type="dxa" w:w="6660"/>
            <w:tcMar>
              <w:top w:w="100" w:type="dxa"/>
              <w:start w:w="120" w:type="dxa"/>
              <w:bottom w:w="100" w:type="dxa"/>
              <w:end w:w="120" w:type="dxa"/>
            </w:tcMar>
            <w:vAlign w:val="center"/>
          </w:tcPr>
          <w:p>
            <w:r>
              <w:rPr>
                <w:rFonts w:ascii="Arial" w:hAnsi="Arial"/>
                <w:b w:val="0"/>
                <w:i w:val="0"/>
                <w:color w:val="1D1D1F"/>
                <w:sz w:val="19"/>
              </w:rPr>
              <w:t>[Describir beneficio sustancial o indicar N/A]</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Fecha de inicio</w:t>
            </w:r>
          </w:p>
        </w:tc>
        <w:tc>
          <w:tcPr>
            <w:tcW w:type="dxa" w:w="6660"/>
            <w:tcMar>
              <w:top w:w="100" w:type="dxa"/>
              <w:start w:w="120" w:type="dxa"/>
              <w:bottom w:w="100" w:type="dxa"/>
              <w:end w:w="120" w:type="dxa"/>
            </w:tcMar>
            <w:vAlign w:val="center"/>
          </w:tcPr>
          <w:p>
            <w:r>
              <w:rPr>
                <w:rFonts w:ascii="Arial" w:hAnsi="Arial"/>
                <w:b w:val="0"/>
                <w:i w:val="0"/>
                <w:color w:val="1D1D1F"/>
                <w:sz w:val="19"/>
              </w:rPr>
              <w:t>[AAAA-MM-DD]</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Duración inicial</w:t>
            </w:r>
          </w:p>
        </w:tc>
        <w:tc>
          <w:tcPr>
            <w:tcW w:type="dxa" w:w="6660"/>
            <w:tcMar>
              <w:top w:w="100" w:type="dxa"/>
              <w:start w:w="120" w:type="dxa"/>
              <w:bottom w:w="100" w:type="dxa"/>
              <w:end w:w="120" w:type="dxa"/>
            </w:tcMar>
            <w:vAlign w:val="center"/>
          </w:tcPr>
          <w:p>
            <w:r>
              <w:rPr>
                <w:rFonts w:ascii="Arial" w:hAnsi="Arial"/>
                <w:b w:val="0"/>
                <w:i w:val="0"/>
                <w:color w:val="1D1D1F"/>
                <w:sz w:val="19"/>
              </w:rPr>
              <w:t>[1 / 2 / 3 / __] años</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Periodo anual</w:t>
            </w:r>
          </w:p>
        </w:tc>
        <w:tc>
          <w:tcPr>
            <w:tcW w:type="dxa" w:w="6660"/>
            <w:tcMar>
              <w:top w:w="100" w:type="dxa"/>
              <w:start w:w="120" w:type="dxa"/>
              <w:bottom w:w="100" w:type="dxa"/>
              <w:end w:w="120" w:type="dxa"/>
            </w:tcMar>
            <w:vAlign w:val="center"/>
          </w:tcPr>
          <w:p>
            <w:r>
              <w:rPr>
                <w:rFonts w:ascii="Arial" w:hAnsi="Arial"/>
                <w:b w:val="0"/>
                <w:i w:val="0"/>
                <w:color w:val="1D1D1F"/>
                <w:sz w:val="19"/>
              </w:rPr>
              <w:t>Doce (12) meses</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Tarifa mensual de lista</w:t>
            </w:r>
          </w:p>
        </w:tc>
        <w:tc>
          <w:tcPr>
            <w:tcW w:type="dxa" w:w="6660"/>
            <w:tcMar>
              <w:top w:w="100" w:type="dxa"/>
              <w:start w:w="120" w:type="dxa"/>
              <w:bottom w:w="100" w:type="dxa"/>
              <w:end w:w="120" w:type="dxa"/>
            </w:tcMar>
            <w:vAlign w:val="center"/>
          </w:tcPr>
          <w:p>
            <w:r>
              <w:rPr>
                <w:rFonts w:ascii="Arial" w:hAnsi="Arial"/>
                <w:b w:val="0"/>
                <w:i w:val="0"/>
                <w:color w:val="1D1D1F"/>
                <w:sz w:val="19"/>
              </w:rPr>
              <w:t>$[____] COP</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Forma de pago</w:t>
            </w:r>
          </w:p>
        </w:tc>
        <w:tc>
          <w:tcPr>
            <w:tcW w:type="dxa" w:w="6660"/>
            <w:tcMar>
              <w:top w:w="100" w:type="dxa"/>
              <w:start w:w="120" w:type="dxa"/>
              <w:bottom w:w="100" w:type="dxa"/>
              <w:end w:w="120" w:type="dxa"/>
            </w:tcMar>
            <w:vAlign w:val="center"/>
          </w:tcPr>
          <w:p>
            <w:r>
              <w:rPr>
                <w:rFonts w:ascii="Arial" w:hAnsi="Arial"/>
                <w:b w:val="0"/>
                <w:i w:val="0"/>
                <w:color w:val="1D1D1F"/>
                <w:sz w:val="19"/>
              </w:rPr>
              <w:t>[  ] Mensual manual   [  ] Mensual automática   [  ] Anual anticipada con 10 %</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Precio efectivo</w:t>
            </w:r>
          </w:p>
        </w:tc>
        <w:tc>
          <w:tcPr>
            <w:tcW w:type="dxa" w:w="6660"/>
            <w:tcMar>
              <w:top w:w="100" w:type="dxa"/>
              <w:start w:w="120" w:type="dxa"/>
              <w:bottom w:w="100" w:type="dxa"/>
              <w:end w:w="120" w:type="dxa"/>
            </w:tcMar>
            <w:vAlign w:val="center"/>
          </w:tcPr>
          <w:p>
            <w:r>
              <w:rPr>
                <w:rFonts w:ascii="Arial" w:hAnsi="Arial"/>
                <w:b w:val="0"/>
                <w:i w:val="0"/>
                <w:color w:val="1D1D1F"/>
                <w:sz w:val="19"/>
              </w:rPr>
              <w:t>$[____] COP por [mes/año]</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Renovación</w:t>
            </w:r>
          </w:p>
        </w:tc>
        <w:tc>
          <w:tcPr>
            <w:tcW w:type="dxa" w:w="6660"/>
            <w:tcMar>
              <w:top w:w="100" w:type="dxa"/>
              <w:start w:w="120" w:type="dxa"/>
              <w:bottom w:w="100" w:type="dxa"/>
              <w:end w:w="120" w:type="dxa"/>
            </w:tcMar>
            <w:vAlign w:val="center"/>
          </w:tcPr>
          <w:p>
            <w:r>
              <w:rPr>
                <w:rFonts w:ascii="Arial" w:hAnsi="Arial"/>
                <w:b w:val="0"/>
                <w:i w:val="0"/>
                <w:color w:val="1D1D1F"/>
                <w:sz w:val="19"/>
              </w:rPr>
              <w:t>[  ] Automática por 12 meses   [  ] Requiere aceptación escrita</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Aviso de no renovación</w:t>
            </w:r>
          </w:p>
        </w:tc>
        <w:tc>
          <w:tcPr>
            <w:tcW w:type="dxa" w:w="6660"/>
            <w:tcMar>
              <w:top w:w="100" w:type="dxa"/>
              <w:start w:w="120" w:type="dxa"/>
              <w:bottom w:w="100" w:type="dxa"/>
              <w:end w:w="120" w:type="dxa"/>
            </w:tcMar>
            <w:vAlign w:val="center"/>
          </w:tcPr>
          <w:p>
            <w:r>
              <w:rPr>
                <w:rFonts w:ascii="Arial" w:hAnsi="Arial"/>
                <w:b w:val="0"/>
                <w:i w:val="0"/>
                <w:color w:val="1D1D1F"/>
                <w:sz w:val="19"/>
              </w:rPr>
              <w:t>Treinta (30) días calendario</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Gracia</w:t>
            </w:r>
          </w:p>
        </w:tc>
        <w:tc>
          <w:tcPr>
            <w:tcW w:type="dxa" w:w="6660"/>
            <w:tcMar>
              <w:top w:w="100" w:type="dxa"/>
              <w:start w:w="120" w:type="dxa"/>
              <w:bottom w:w="100" w:type="dxa"/>
              <w:end w:w="120" w:type="dxa"/>
            </w:tcMar>
            <w:vAlign w:val="center"/>
          </w:tcPr>
          <w:p>
            <w:r>
              <w:rPr>
                <w:rFonts w:ascii="Arial" w:hAnsi="Arial"/>
                <w:b w:val="0"/>
                <w:i w:val="0"/>
                <w:color w:val="1D1D1F"/>
                <w:sz w:val="19"/>
              </w:rPr>
              <w:t>[____] días calendario, mínimo 5</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Soporte</w:t>
            </w:r>
          </w:p>
        </w:tc>
        <w:tc>
          <w:tcPr>
            <w:tcW w:type="dxa" w:w="6660"/>
            <w:tcMar>
              <w:top w:w="100" w:type="dxa"/>
              <w:start w:w="120" w:type="dxa"/>
              <w:bottom w:w="100" w:type="dxa"/>
              <w:end w:w="120" w:type="dxa"/>
            </w:tcMar>
            <w:vAlign w:val="center"/>
          </w:tcPr>
          <w:p>
            <w:r>
              <w:rPr>
                <w:rFonts w:ascii="Arial" w:hAnsi="Arial"/>
                <w:b w:val="0"/>
                <w:i w:val="0"/>
                <w:color w:val="1D1D1F"/>
                <w:sz w:val="19"/>
              </w:rPr>
              <w:t>[Canal, horario y tiempos objetivo]</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Contacto administrativo</w:t>
            </w:r>
          </w:p>
        </w:tc>
        <w:tc>
          <w:tcPr>
            <w:tcW w:type="dxa" w:w="6660"/>
            <w:tcMar>
              <w:top w:w="100" w:type="dxa"/>
              <w:start w:w="120" w:type="dxa"/>
              <w:bottom w:w="100" w:type="dxa"/>
              <w:end w:w="120" w:type="dxa"/>
            </w:tcMar>
            <w:vAlign w:val="center"/>
          </w:tcPr>
          <w:p>
            <w:r>
              <w:rPr>
                <w:rFonts w:ascii="Arial" w:hAnsi="Arial"/>
                <w:b w:val="0"/>
                <w:i w:val="0"/>
                <w:color w:val="1D1D1F"/>
                <w:sz w:val="19"/>
              </w:rPr>
              <w:t>[Nombre, correo y teléfono]</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Contacto de facturación</w:t>
            </w:r>
          </w:p>
        </w:tc>
        <w:tc>
          <w:tcPr>
            <w:tcW w:type="dxa" w:w="6660"/>
            <w:tcMar>
              <w:top w:w="100" w:type="dxa"/>
              <w:start w:w="120" w:type="dxa"/>
              <w:bottom w:w="100" w:type="dxa"/>
              <w:end w:w="120" w:type="dxa"/>
            </w:tcMar>
            <w:vAlign w:val="center"/>
          </w:tcPr>
          <w:p>
            <w:r>
              <w:rPr>
                <w:rFonts w:ascii="Arial" w:hAnsi="Arial"/>
                <w:b w:val="0"/>
                <w:i w:val="0"/>
                <w:color w:val="1D1D1F"/>
                <w:sz w:val="19"/>
              </w:rPr>
              <w:t>[Nombre y correo]</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Condiciones especiales</w:t>
            </w:r>
          </w:p>
        </w:tc>
        <w:tc>
          <w:tcPr>
            <w:tcW w:type="dxa" w:w="6660"/>
            <w:tcMar>
              <w:top w:w="100" w:type="dxa"/>
              <w:start w:w="120" w:type="dxa"/>
              <w:bottom w:w="100" w:type="dxa"/>
              <w:end w:w="120" w:type="dxa"/>
            </w:tcMar>
            <w:vAlign w:val="center"/>
          </w:tcPr>
          <w:p>
            <w:r>
              <w:rPr>
                <w:rFonts w:ascii="Arial" w:hAnsi="Arial"/>
                <w:b w:val="0"/>
                <w:i w:val="0"/>
                <w:color w:val="1D1D1F"/>
                <w:sz w:val="19"/>
              </w:rPr>
              <w:t>[____]</w:t>
            </w:r>
          </w:p>
        </w:tc>
      </w:tr>
    </w:tbl>
    <w:p>
      <w:pPr>
        <w:pStyle w:val="Heading1"/>
      </w:pPr>
      <w:r>
        <w:t>Anexo A. Tratamiento de datos personales</w:t>
      </w:r>
    </w:p>
    <w:p>
      <w:pPr>
        <w:keepLines w:val="0"/>
      </w:pPr>
      <w:r>
        <w:rPr>
          <w:rFonts w:ascii="Arial" w:hAnsi="Arial"/>
          <w:b w:val="0"/>
          <w:i w:val="0"/>
          <w:color w:val="1D1D1F"/>
          <w:sz w:val="21"/>
        </w:rPr>
        <w:t>Objeto del encargo. EL PRESTADOR tratará por cuenta de EL CLIENTE los datos necesarios para autenticar usuarios, gestionar PQRS, evidencias, notificaciones, reportes, auditoría y soporte.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100" w:type="dxa"/>
              <w:start w:w="120" w:type="dxa"/>
              <w:bottom w:w="100" w:type="dxa"/>
              <w:end w:w="120" w:type="dxa"/>
            </w:tcMar>
            <w:vAlign w:val="center"/>
            <w:shd w:fill="122545"/>
          </w:tcPr>
          <w:p>
            <w:r>
              <w:rPr>
                <w:rFonts w:ascii="Arial" w:hAnsi="Arial"/>
                <w:b/>
                <w:i w:val="0"/>
                <w:color w:val="FFFFFF"/>
                <w:sz w:val="19"/>
              </w:rPr>
              <w:t>Campo</w:t>
            </w:r>
          </w:p>
        </w:tc>
        <w:tc>
          <w:tcPr>
            <w:tcW w:type="dxa" w:w="6660"/>
            <w:tcMar>
              <w:top w:w="100" w:type="dxa"/>
              <w:start w:w="120" w:type="dxa"/>
              <w:bottom w:w="100" w:type="dxa"/>
              <w:end w:w="120" w:type="dxa"/>
            </w:tcMar>
            <w:vAlign w:val="center"/>
            <w:shd w:fill="122545"/>
          </w:tcPr>
          <w:p>
            <w:r>
              <w:rPr>
                <w:rFonts w:ascii="Arial" w:hAnsi="Arial"/>
                <w:b/>
                <w:i w:val="0"/>
                <w:color w:val="FFFFFF"/>
                <w:sz w:val="19"/>
              </w:rPr>
              <w:t>Información acordada</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Titulares</w:t>
            </w:r>
          </w:p>
        </w:tc>
        <w:tc>
          <w:tcPr>
            <w:tcW w:type="dxa" w:w="6660"/>
            <w:tcMar>
              <w:top w:w="100" w:type="dxa"/>
              <w:start w:w="120" w:type="dxa"/>
              <w:bottom w:w="100" w:type="dxa"/>
              <w:end w:w="120" w:type="dxa"/>
            </w:tcMar>
            <w:vAlign w:val="center"/>
          </w:tcPr>
          <w:p>
            <w:r>
              <w:rPr>
                <w:rFonts w:ascii="Arial" w:hAnsi="Arial"/>
                <w:b w:val="0"/>
                <w:i w:val="0"/>
                <w:color w:val="1D1D1F"/>
                <w:sz w:val="19"/>
              </w:rPr>
              <w:t>Residentes, propietarios, tenedores, trabajadores, contratistas y usuarios autorizados del conjunto.</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Datos</w:t>
            </w:r>
          </w:p>
        </w:tc>
        <w:tc>
          <w:tcPr>
            <w:tcW w:type="dxa" w:w="6660"/>
            <w:tcMar>
              <w:top w:w="100" w:type="dxa"/>
              <w:start w:w="120" w:type="dxa"/>
              <w:bottom w:w="100" w:type="dxa"/>
              <w:end w:w="120" w:type="dxa"/>
            </w:tcMar>
            <w:vAlign w:val="center"/>
          </w:tcPr>
          <w:p>
            <w:r>
              <w:rPr>
                <w:rFonts w:ascii="Arial" w:hAnsi="Arial"/>
                <w:b w:val="0"/>
                <w:i w:val="0"/>
                <w:color w:val="1D1D1F"/>
                <w:sz w:val="19"/>
              </w:rPr>
              <w:t>Identificación y contacto, unidad o vínculo con el conjunto, credenciales cifradas, contenido de PQRS, evidencias, actividad y auditoría.</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Finalidades</w:t>
            </w:r>
          </w:p>
        </w:tc>
        <w:tc>
          <w:tcPr>
            <w:tcW w:type="dxa" w:w="6660"/>
            <w:tcMar>
              <w:top w:w="100" w:type="dxa"/>
              <w:start w:w="120" w:type="dxa"/>
              <w:bottom w:w="100" w:type="dxa"/>
              <w:end w:w="120" w:type="dxa"/>
            </w:tcMar>
            <w:vAlign w:val="center"/>
          </w:tcPr>
          <w:p>
            <w:r>
              <w:rPr>
                <w:rFonts w:ascii="Arial" w:hAnsi="Arial"/>
                <w:b w:val="0"/>
                <w:i w:val="0"/>
                <w:color w:val="1D1D1F"/>
                <w:sz w:val="19"/>
              </w:rPr>
              <w:t>Prestar, asegurar, soportar y documentar el servicio contratado; cumplir obligaciones legales.</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Duración</w:t>
            </w:r>
          </w:p>
        </w:tc>
        <w:tc>
          <w:tcPr>
            <w:tcW w:type="dxa" w:w="6660"/>
            <w:tcMar>
              <w:top w:w="100" w:type="dxa"/>
              <w:start w:w="120" w:type="dxa"/>
              <w:bottom w:w="100" w:type="dxa"/>
              <w:end w:w="120" w:type="dxa"/>
            </w:tcMar>
            <w:vAlign w:val="center"/>
          </w:tcPr>
          <w:p>
            <w:r>
              <w:rPr>
                <w:rFonts w:ascii="Arial" w:hAnsi="Arial"/>
                <w:b w:val="0"/>
                <w:i w:val="0"/>
                <w:color w:val="1D1D1F"/>
                <w:sz w:val="19"/>
              </w:rPr>
              <w:t>Durante la relación contractual y los periodos legales de conservación.</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Subencargados previstos</w:t>
            </w:r>
          </w:p>
        </w:tc>
        <w:tc>
          <w:tcPr>
            <w:tcW w:type="dxa" w:w="6660"/>
            <w:tcMar>
              <w:top w:w="100" w:type="dxa"/>
              <w:start w:w="120" w:type="dxa"/>
              <w:bottom w:w="100" w:type="dxa"/>
              <w:end w:w="120" w:type="dxa"/>
            </w:tcMar>
            <w:vAlign w:val="center"/>
          </w:tcPr>
          <w:p>
            <w:r>
              <w:rPr>
                <w:rFonts w:ascii="Arial" w:hAnsi="Arial"/>
                <w:b w:val="0"/>
                <w:i w:val="0"/>
                <w:color w:val="1D1D1F"/>
                <w:sz w:val="19"/>
              </w:rPr>
              <w:t>Supabase, Vercel, Resend, Wompi y, cuando corresponda, Mercado Pago, o sus reemplazos informados previamente.</w:t>
            </w:r>
          </w:p>
        </w:tc>
      </w:tr>
      <w:tr>
        <w:tc>
          <w:tcPr>
            <w:tcW w:type="dxa" w:w="2700"/>
            <w:tcMar>
              <w:top w:w="100" w:type="dxa"/>
              <w:start w:w="120" w:type="dxa"/>
              <w:bottom w:w="100" w:type="dxa"/>
              <w:end w:w="120" w:type="dxa"/>
            </w:tcMar>
            <w:vAlign w:val="center"/>
            <w:shd w:fill="F2F4F7"/>
          </w:tcPr>
          <w:p>
            <w:r>
              <w:rPr>
                <w:rFonts w:ascii="Arial" w:hAnsi="Arial"/>
                <w:b/>
                <w:i w:val="0"/>
                <w:color w:val="122545"/>
                <w:sz w:val="19"/>
              </w:rPr>
              <w:t>Transferencias</w:t>
            </w:r>
          </w:p>
        </w:tc>
        <w:tc>
          <w:tcPr>
            <w:tcW w:type="dxa" w:w="6660"/>
            <w:tcMar>
              <w:top w:w="100" w:type="dxa"/>
              <w:start w:w="120" w:type="dxa"/>
              <w:bottom w:w="100" w:type="dxa"/>
              <w:end w:w="120" w:type="dxa"/>
            </w:tcMar>
            <w:vAlign w:val="center"/>
          </w:tcPr>
          <w:p>
            <w:r>
              <w:rPr>
                <w:rFonts w:ascii="Arial" w:hAnsi="Arial"/>
                <w:b w:val="0"/>
                <w:i w:val="0"/>
                <w:color w:val="1D1D1F"/>
                <w:sz w:val="19"/>
              </w:rPr>
              <w:t>Las necesarias para operar proveedores tecnológicos, sujetas a garantías legales y contractuales aplicables.</w:t>
            </w:r>
          </w:p>
        </w:tc>
      </w:tr>
    </w:tbl>
    <w:p>
      <w:pPr>
        <w:pStyle w:val="ListBullet"/>
        <w:keepLines/>
      </w:pPr>
      <w:r>
        <w:rPr>
          <w:rFonts w:ascii="Arial" w:hAnsi="Arial"/>
          <w:b w:val="0"/>
          <w:i w:val="0"/>
          <w:color w:val="1D1D1F"/>
          <w:sz w:val="21"/>
        </w:rPr>
        <w:t>EL PRESTADOR seguirá instrucciones documentadas, aplicará controles de acceso, cifrado en tránsito, almacenamiento privado y auditoría.</w:t>
      </w:r>
    </w:p>
    <w:p>
      <w:pPr>
        <w:pStyle w:val="ListBullet"/>
        <w:keepLines/>
      </w:pPr>
      <w:r>
        <w:rPr>
          <w:rFonts w:ascii="Arial" w:hAnsi="Arial"/>
          <w:b w:val="0"/>
          <w:i w:val="0"/>
          <w:color w:val="1D1D1F"/>
          <w:sz w:val="21"/>
        </w:rPr>
        <w:t>EL PRESTADOR notificará a EL CLIENTE incidentes confirmados sin dilación indebida y, como objetivo contractual, dentro de las 72 horas siguientes a su confirmación.</w:t>
      </w:r>
    </w:p>
    <w:p>
      <w:pPr>
        <w:pStyle w:val="ListBullet"/>
        <w:keepLines/>
      </w:pPr>
      <w:r>
        <w:rPr>
          <w:rFonts w:ascii="Arial" w:hAnsi="Arial"/>
          <w:b w:val="0"/>
          <w:i w:val="0"/>
          <w:color w:val="1D1D1F"/>
          <w:sz w:val="21"/>
        </w:rPr>
        <w:t>EL PRESTADOR apoyará consultas, correcciones, supresiones y exportaciones en la medida técnica correspondiente a su rol de Encargado.</w:t>
      </w:r>
    </w:p>
    <w:p>
      <w:pPr>
        <w:pStyle w:val="ListBullet"/>
        <w:keepLines/>
      </w:pPr>
      <w:r>
        <w:rPr>
          <w:rFonts w:ascii="Arial" w:hAnsi="Arial"/>
          <w:b w:val="0"/>
          <w:i w:val="0"/>
          <w:color w:val="1D1D1F"/>
          <w:sz w:val="21"/>
        </w:rPr>
        <w:t>EL CLIENTE conservará las autorizaciones, informará finalidades y no suministrará datos sin base jurídica.</w:t>
      </w:r>
    </w:p>
    <w:p>
      <w:pPr>
        <w:pStyle w:val="ListBullet"/>
        <w:keepLines/>
      </w:pPr>
      <w:r>
        <w:rPr>
          <w:rFonts w:ascii="Arial" w:hAnsi="Arial"/>
          <w:b w:val="0"/>
          <w:i w:val="0"/>
          <w:color w:val="1D1D1F"/>
          <w:sz w:val="21"/>
        </w:rPr>
        <w:t>Al terminar, los datos se exportarán, eliminarán o anonimizarán conforme a la cláusula 14.</w:t>
      </w:r>
    </w:p>
    <w:p>
      <w:pPr>
        <w:pStyle w:val="Heading1"/>
      </w:pPr>
      <w:r>
        <w:t>Anexo B. Autorización de cobro automático</w:t>
      </w:r>
    </w:p>
    <w:p>
      <w:pPr>
        <w:keepLines w:val="0"/>
      </w:pPr>
      <w:r>
        <w:rPr>
          <w:rFonts w:ascii="Arial" w:hAnsi="Arial"/>
          <w:b w:val="0"/>
          <w:i w:val="0"/>
          <w:color w:val="1D1D1F"/>
          <w:sz w:val="21"/>
        </w:rPr>
        <w:t>Este anexo solo se firma si EL CLIENTE elige cobro automático. Autoriza a EL PRESTADOR y a Wompi a iniciar cargos recurrentes por el valor y frecuencia indicados en la Orden de Servicio, usando el medio de pago tokenizado por la pasarela.</w:t>
      </w:r>
    </w:p>
    <w:p>
      <w:pPr>
        <w:pStyle w:val="ListBullet"/>
        <w:keepLines/>
      </w:pPr>
      <w:r>
        <w:rPr>
          <w:rFonts w:ascii="Arial" w:hAnsi="Arial"/>
          <w:b w:val="0"/>
          <w:i w:val="0"/>
          <w:color w:val="1D1D1F"/>
          <w:sz w:val="21"/>
        </w:rPr>
        <w:t>La plataforma mostrará el valor, frecuencia y fecha estimada del siguiente cobro.</w:t>
      </w:r>
    </w:p>
    <w:p>
      <w:pPr>
        <w:pStyle w:val="ListBullet"/>
        <w:keepLines/>
      </w:pPr>
      <w:r>
        <w:rPr>
          <w:rFonts w:ascii="Arial" w:hAnsi="Arial"/>
          <w:b w:val="0"/>
          <w:i w:val="0"/>
          <w:color w:val="1D1D1F"/>
          <w:sz w:val="21"/>
        </w:rPr>
        <w:t>EL CLIENTE puede revocar esta autorización desde Licencias y pagos o mediante comunicación escrita.</w:t>
      </w:r>
    </w:p>
    <w:p>
      <w:pPr>
        <w:pStyle w:val="ListBullet"/>
        <w:keepLines/>
      </w:pPr>
      <w:r>
        <w:rPr>
          <w:rFonts w:ascii="Arial" w:hAnsi="Arial"/>
          <w:b w:val="0"/>
          <w:i w:val="0"/>
          <w:color w:val="1D1D1F"/>
          <w:sz w:val="21"/>
        </w:rPr>
        <w:t>La revocatoria detiene cargos futuros, pero no termina el contrato ni elimina obligaciones ya causadas.</w:t>
      </w:r>
    </w:p>
    <w:p>
      <w:pPr>
        <w:pStyle w:val="ListBullet"/>
        <w:keepLines/>
      </w:pPr>
      <w:r>
        <w:rPr>
          <w:rFonts w:ascii="Arial" w:hAnsi="Arial"/>
          <w:b w:val="0"/>
          <w:i w:val="0"/>
          <w:color w:val="1D1D1F"/>
          <w:sz w:val="21"/>
        </w:rPr>
        <w:t>PQRS Services no almacena el número completo, código de seguridad ni credenciales bancarias de la tarjeta.</w:t>
      </w:r>
    </w:p>
    <w:p>
      <w:pPr>
        <w:pStyle w:val="Heading1"/>
      </w:pPr>
      <w:r>
        <w:t>Firmas</w:t>
      </w:r>
    </w:p>
    <w:p>
      <w:pPr>
        <w:keepLines w:val="0"/>
      </w:pPr>
      <w:r>
        <w:rPr>
          <w:rFonts w:ascii="Arial" w:hAnsi="Arial"/>
          <w:b w:val="0"/>
          <w:i w:val="0"/>
          <w:color w:val="1D1D1F"/>
          <w:sz w:val="21"/>
        </w:rPr>
        <w:t>Las partes declaran que leyeron y comprendieron el contrato, la Orden de Servicio y sus anexos.</w:t>
      </w:r>
    </w:p>
    <w:p>
      <w:pPr>
        <w:spacing w:before="360"/>
      </w:pP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90" w:type="dxa"/>
              <w:start w:w="120" w:type="dxa"/>
              <w:bottom w:w="90" w:type="dxa"/>
              <w:end w:w="120" w:type="dxa"/>
            </w:tcMar>
            <w:vAlign w:val="center"/>
            <w:shd w:fill="F2F4F7"/>
          </w:tcPr>
          <w:p>
            <w:r>
              <w:rPr>
                <w:rFonts w:ascii="Arial" w:hAnsi="Arial"/>
                <w:b/>
                <w:i w:val="0"/>
                <w:color w:val="122545"/>
                <w:sz w:val="19"/>
              </w:rPr>
              <w:t>EL PRESTADOR</w:t>
            </w:r>
          </w:p>
        </w:tc>
        <w:tc>
          <w:tcPr>
            <w:tcW w:type="dxa" w:w="4680"/>
            <w:tcMar>
              <w:top w:w="90" w:type="dxa"/>
              <w:start w:w="120" w:type="dxa"/>
              <w:bottom w:w="90" w:type="dxa"/>
              <w:end w:w="120" w:type="dxa"/>
            </w:tcMar>
            <w:vAlign w:val="center"/>
            <w:shd w:fill="F2F4F7"/>
          </w:tcPr>
          <w:p>
            <w:r>
              <w:rPr>
                <w:rFonts w:ascii="Arial" w:hAnsi="Arial"/>
                <w:b/>
                <w:i w:val="0"/>
                <w:color w:val="122545"/>
                <w:sz w:val="19"/>
              </w:rPr>
              <w:t>EL CLIENTE</w:t>
            </w:r>
          </w:p>
        </w:tc>
      </w:tr>
      <w:tr>
        <w:tc>
          <w:tcPr>
            <w:tcW w:type="dxa" w:w="4680"/>
            <w:tcMar>
              <w:top w:w="90" w:type="dxa"/>
              <w:start w:w="120" w:type="dxa"/>
              <w:bottom w:w="90" w:type="dxa"/>
              <w:end w:w="120" w:type="dxa"/>
            </w:tcMar>
            <w:vAlign w:val="center"/>
          </w:tcPr>
          <w:p>
            <w:r>
              <w:rPr>
                <w:rFonts w:ascii="Arial" w:hAnsi="Arial"/>
                <w:b w:val="0"/>
                <w:i w:val="0"/>
                <w:color w:val="1D1D1F"/>
                <w:sz w:val="19"/>
              </w:rPr>
              <w:t>Firma: ______________________________</w:t>
            </w:r>
          </w:p>
        </w:tc>
        <w:tc>
          <w:tcPr>
            <w:tcW w:type="dxa" w:w="4680"/>
            <w:tcMar>
              <w:top w:w="90" w:type="dxa"/>
              <w:start w:w="120" w:type="dxa"/>
              <w:bottom w:w="90" w:type="dxa"/>
              <w:end w:w="120" w:type="dxa"/>
            </w:tcMar>
            <w:vAlign w:val="center"/>
          </w:tcPr>
          <w:p>
            <w:r>
              <w:rPr>
                <w:rFonts w:ascii="Arial" w:hAnsi="Arial"/>
                <w:b w:val="0"/>
                <w:i w:val="0"/>
                <w:color w:val="1D1D1F"/>
                <w:sz w:val="19"/>
              </w:rPr>
              <w:t>Firma: ______________________________</w:t>
            </w:r>
          </w:p>
        </w:tc>
      </w:tr>
      <w:tr>
        <w:tc>
          <w:tcPr>
            <w:tcW w:type="dxa" w:w="4680"/>
            <w:tcMar>
              <w:top w:w="90" w:type="dxa"/>
              <w:start w:w="120" w:type="dxa"/>
              <w:bottom w:w="90" w:type="dxa"/>
              <w:end w:w="120" w:type="dxa"/>
            </w:tcMar>
            <w:vAlign w:val="center"/>
          </w:tcPr>
          <w:p>
            <w:r>
              <w:rPr>
                <w:rFonts w:ascii="Arial" w:hAnsi="Arial"/>
                <w:b w:val="0"/>
                <w:i w:val="0"/>
                <w:color w:val="1D1D1F"/>
                <w:sz w:val="19"/>
              </w:rPr>
              <w:t>Nombre: [___________________________]</w:t>
            </w:r>
          </w:p>
        </w:tc>
        <w:tc>
          <w:tcPr>
            <w:tcW w:type="dxa" w:w="4680"/>
            <w:tcMar>
              <w:top w:w="90" w:type="dxa"/>
              <w:start w:w="120" w:type="dxa"/>
              <w:bottom w:w="90" w:type="dxa"/>
              <w:end w:w="120" w:type="dxa"/>
            </w:tcMar>
            <w:vAlign w:val="center"/>
          </w:tcPr>
          <w:p>
            <w:r>
              <w:rPr>
                <w:rFonts w:ascii="Arial" w:hAnsi="Arial"/>
                <w:b w:val="0"/>
                <w:i w:val="0"/>
                <w:color w:val="1D1D1F"/>
                <w:sz w:val="19"/>
              </w:rPr>
              <w:t>Nombre: [___________________________]</w:t>
            </w:r>
          </w:p>
        </w:tc>
      </w:tr>
      <w:tr>
        <w:tc>
          <w:tcPr>
            <w:tcW w:type="dxa" w:w="4680"/>
            <w:tcMar>
              <w:top w:w="90" w:type="dxa"/>
              <w:start w:w="120" w:type="dxa"/>
              <w:bottom w:w="90" w:type="dxa"/>
              <w:end w:w="120" w:type="dxa"/>
            </w:tcMar>
            <w:vAlign w:val="center"/>
          </w:tcPr>
          <w:p>
            <w:r>
              <w:rPr>
                <w:rFonts w:ascii="Arial" w:hAnsi="Arial"/>
                <w:b w:val="0"/>
                <w:i w:val="0"/>
                <w:color w:val="1D1D1F"/>
                <w:sz w:val="19"/>
              </w:rPr>
              <w:t>Identificación: [____________________]</w:t>
            </w:r>
          </w:p>
        </w:tc>
        <w:tc>
          <w:tcPr>
            <w:tcW w:type="dxa" w:w="4680"/>
            <w:tcMar>
              <w:top w:w="90" w:type="dxa"/>
              <w:start w:w="120" w:type="dxa"/>
              <w:bottom w:w="90" w:type="dxa"/>
              <w:end w:w="120" w:type="dxa"/>
            </w:tcMar>
            <w:vAlign w:val="center"/>
          </w:tcPr>
          <w:p>
            <w:r>
              <w:rPr>
                <w:rFonts w:ascii="Arial" w:hAnsi="Arial"/>
                <w:b w:val="0"/>
                <w:i w:val="0"/>
                <w:color w:val="1D1D1F"/>
                <w:sz w:val="19"/>
              </w:rPr>
              <w:t>Identificación: [____________________]</w:t>
            </w:r>
          </w:p>
        </w:tc>
      </w:tr>
      <w:tr>
        <w:tc>
          <w:tcPr>
            <w:tcW w:type="dxa" w:w="4680"/>
            <w:tcMar>
              <w:top w:w="90" w:type="dxa"/>
              <w:start w:w="120" w:type="dxa"/>
              <w:bottom w:w="90" w:type="dxa"/>
              <w:end w:w="120" w:type="dxa"/>
            </w:tcMar>
            <w:vAlign w:val="center"/>
          </w:tcPr>
          <w:p>
            <w:r>
              <w:rPr>
                <w:rFonts w:ascii="Arial" w:hAnsi="Arial"/>
                <w:b w:val="0"/>
                <w:i w:val="0"/>
                <w:color w:val="1D1D1F"/>
                <w:sz w:val="19"/>
              </w:rPr>
              <w:t>Fecha: [____/____/________]</w:t>
            </w:r>
          </w:p>
        </w:tc>
        <w:tc>
          <w:tcPr>
            <w:tcW w:type="dxa" w:w="4680"/>
            <w:tcMar>
              <w:top w:w="90" w:type="dxa"/>
              <w:start w:w="120" w:type="dxa"/>
              <w:bottom w:w="90" w:type="dxa"/>
              <w:end w:w="120" w:type="dxa"/>
            </w:tcMar>
            <w:vAlign w:val="center"/>
          </w:tcPr>
          <w:p>
            <w:r>
              <w:rPr>
                <w:rFonts w:ascii="Arial" w:hAnsi="Arial"/>
                <w:b w:val="0"/>
                <w:i w:val="0"/>
                <w:color w:val="1D1D1F"/>
                <w:sz w:val="19"/>
              </w:rPr>
              <w:t>Fecha: [____/____/________]</w:t>
            </w:r>
          </w:p>
        </w:tc>
      </w:tr>
    </w:tbl>
    <w:p>
      <w:r>
        <w:br w:type="page"/>
      </w:r>
    </w:p>
    <w:p>
      <w:pPr>
        <w:pStyle w:val="Heading1"/>
      </w:pPr>
      <w:r>
        <w:t>Anexo de revisión profesional (no contractual)</w:t>
      </w:r>
    </w:p>
    <w:p>
      <w:pPr>
        <w:keepLines w:val="0"/>
      </w:pPr>
      <w:r>
        <w:rPr>
          <w:rFonts w:ascii="Arial" w:hAnsi="Arial"/>
          <w:b w:val="0"/>
          <w:i/>
          <w:color w:val="1D1D1F"/>
          <w:sz w:val="21"/>
        </w:rPr>
        <w:t>Esta página existe únicamente para facilitar la revisión del abogado y del contador. Debe retirarse de la versión final de firma.</w:t>
      </w:r>
    </w:p>
    <w:p>
      <w:pPr>
        <w:ind w:left="288" w:hanging="288"/>
      </w:pPr>
      <w:r>
        <w:rPr>
          <w:rFonts w:ascii="Arial" w:hAnsi="Arial"/>
          <w:b w:val="0"/>
          <w:i w:val="0"/>
          <w:color w:val="1D1D1F"/>
          <w:sz w:val="20"/>
        </w:rPr>
        <w:t>[  ] Verificar identidad, RUT, obligaciones de facturación, IVA y retenciones de EL PRESTADOR.</w:t>
      </w:r>
    </w:p>
    <w:p>
      <w:pPr>
        <w:ind w:left="288" w:hanging="288"/>
      </w:pPr>
      <w:r>
        <w:rPr>
          <w:rFonts w:ascii="Arial" w:hAnsi="Arial"/>
          <w:b w:val="0"/>
          <w:i w:val="0"/>
          <w:color w:val="1D1D1F"/>
          <w:sz w:val="20"/>
        </w:rPr>
        <w:t>[  ] Validar facultades del representante del conjunto conforme a Ley 675 de 2001 y al reglamento de propiedad horizontal.</w:t>
      </w:r>
    </w:p>
    <w:p>
      <w:pPr>
        <w:ind w:left="288" w:hanging="288"/>
      </w:pPr>
      <w:r>
        <w:rPr>
          <w:rFonts w:ascii="Arial" w:hAnsi="Arial"/>
          <w:b w:val="0"/>
          <w:i w:val="0"/>
          <w:color w:val="1D1D1F"/>
          <w:sz w:val="20"/>
        </w:rPr>
        <w:t>[  ] Confirmar si el Estatuto del Consumidor aplica y ajustar permanencia, retracto, reversión y compensación de salida.</w:t>
      </w:r>
    </w:p>
    <w:p>
      <w:pPr>
        <w:ind w:left="288" w:hanging="288"/>
      </w:pPr>
      <w:r>
        <w:rPr>
          <w:rFonts w:ascii="Arial" w:hAnsi="Arial"/>
          <w:b w:val="0"/>
          <w:i w:val="0"/>
          <w:color w:val="1D1D1F"/>
          <w:sz w:val="20"/>
        </w:rPr>
        <w:t>[  ] Revisar que la compensación máxima de dos mensualidades sea válida, proporcionada y soportada por una ventaja sustancial identificada.</w:t>
      </w:r>
    </w:p>
    <w:p>
      <w:pPr>
        <w:ind w:left="288" w:hanging="288"/>
      </w:pPr>
      <w:r>
        <w:rPr>
          <w:rFonts w:ascii="Arial" w:hAnsi="Arial"/>
          <w:b w:val="0"/>
          <w:i w:val="0"/>
          <w:color w:val="1D1D1F"/>
          <w:sz w:val="20"/>
        </w:rPr>
        <w:t>[  ] Definir si contratos plurianuales serán marcos con salidas anuales o compromisos no cancelables negociados individualmente.</w:t>
      </w:r>
    </w:p>
    <w:p>
      <w:pPr>
        <w:ind w:left="288" w:hanging="288"/>
      </w:pPr>
      <w:r>
        <w:rPr>
          <w:rFonts w:ascii="Arial" w:hAnsi="Arial"/>
          <w:b w:val="0"/>
          <w:i w:val="0"/>
          <w:color w:val="1D1D1F"/>
          <w:sz w:val="20"/>
        </w:rPr>
        <w:t>[  ] Revisar límite de responsabilidad de tres meses, cobertura de seguros y régimen de daños.</w:t>
      </w:r>
    </w:p>
    <w:p>
      <w:pPr>
        <w:ind w:left="288" w:hanging="288"/>
      </w:pPr>
      <w:r>
        <w:rPr>
          <w:rFonts w:ascii="Arial" w:hAnsi="Arial"/>
          <w:b w:val="0"/>
          <w:i w:val="0"/>
          <w:color w:val="1D1D1F"/>
          <w:sz w:val="20"/>
        </w:rPr>
        <w:t>[  ] Confirmar conservación, exportación y eliminación de datos; revisar subencargados y transferencias internacionales.</w:t>
      </w:r>
    </w:p>
    <w:p>
      <w:pPr>
        <w:ind w:left="288" w:hanging="288"/>
      </w:pPr>
      <w:r>
        <w:rPr>
          <w:rFonts w:ascii="Arial" w:hAnsi="Arial"/>
          <w:b w:val="0"/>
          <w:i w:val="0"/>
          <w:color w:val="1D1D1F"/>
          <w:sz w:val="20"/>
        </w:rPr>
        <w:t>[  ] Alinear la Orden de Servicio con precios, módulos, Wompi, renovaciones y registros reales de la plataforma.</w:t>
      </w:r>
    </w:p>
    <w:p>
      <w:pPr>
        <w:ind w:left="288" w:hanging="288"/>
      </w:pPr>
      <w:r>
        <w:rPr>
          <w:rFonts w:ascii="Arial" w:hAnsi="Arial"/>
          <w:b w:val="0"/>
          <w:i w:val="0"/>
          <w:color w:val="1D1D1F"/>
          <w:sz w:val="20"/>
        </w:rPr>
        <w:t>[  ] Eliminar esta página y la marca de borrador antes de la firma final.</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b w:val="0"/>
        <w:i w:val="0"/>
        <w:color w:val="5F6368"/>
        <w:sz w:val="16"/>
      </w:rPr>
      <w:t xml:space="preserve">PQRS Services  |  Borrador no autorizado para firma  |  Página </w:t>
    </w:r>
    <w:r>
      <w:fldChar w:fldCharType="begin"/>
      <w:instrText xml:space="preserve">PAGE</w:instrText>
      <w:fldChar w:fldCharType="end"/>
    </w:r>
    <w:r>
      <w:rPr>
        <w:rFonts w:ascii="Arial" w:hAnsi="Arial"/>
        <w:b w:val="0"/>
        <w:i w:val="0"/>
        <w:color w:val="5F6368"/>
        <w:sz w:val="16"/>
      </w:rPr>
      <w:t xml:space="preserve"> de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Arial" w:hAnsi="Arial"/>
        <w:b/>
        <w:i w:val="0"/>
        <w:color w:val="5F6368"/>
        <w:sz w:val="17"/>
      </w:rPr>
      <w:t>PQRS SERVICES  |  CONTRATO MARCO</w:t>
    </w:r>
    <w:r>
      <w:rPr>
        <w:rFonts w:ascii="Arial" w:hAnsi="Arial"/>
        <w:b/>
        <w:i w:val="0"/>
        <w:color w:val="8A5A00"/>
        <w:sz w:val="17"/>
      </w:rPr>
      <w:t xml:space="preserve">    BORRADOR PARA REVISIÓN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Arial" w:hAnsi="Arial"/>
      <w:color w:val="1D1D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Arial" w:hAnsi="Arial"/>
      <w:b/>
      <w:bCs/>
      <w:color w:val="122545"/>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Arial" w:hAnsi="Arial"/>
      <w:b/>
      <w:bCs/>
      <w:color w:val="122545"/>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Arial" w:hAnsi="Arial"/>
      <w:b/>
      <w:bCs/>
      <w:color w:val="1225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marco de licencia y prestación de servicios</dc:title>
  <dc:subject>Borrador contractual entre PQRS Services y una propiedad horizontal</dc:subject>
  <dc:creator>PQRS Services</dc:creator>
  <cp:keywords>PQRS Services, contrato, borrador, Colombia</cp:keywords>
  <dc:description>Borrador sujeto a revisión jurídica y contable</dc:description>
  <cp:lastModifiedBy/>
  <cp:revision>1</cp:revision>
  <dcterms:created xsi:type="dcterms:W3CDTF">2013-12-23T23:15:00Z</dcterms:created>
  <dcterms:modified xsi:type="dcterms:W3CDTF">2013-12-23T23:15:00Z</dcterms:modified>
  <cp:category/>
</cp:coreProperties>
</file>