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5E20"/>
          <w:sz w:val="48"/>
        </w:rPr>
        <w:t>PORTAL WEB PQRS</w:t>
        <w:br/>
        <w:t>CONJUNTO PARQUE RESIDENCIAL CALLE 100</w:t>
      </w:r>
    </w:p>
    <w:p>
      <w:pPr>
        <w:jc w:val="center"/>
      </w:pPr>
      <w:r>
        <w:rPr>
          <w:color w:val="555555"/>
          <w:sz w:val="32"/>
        </w:rPr>
        <w:t>Manual de Usuario — Residente</w:t>
      </w:r>
    </w:p>
    <w:p/>
    <w:p>
      <w:pPr>
        <w:jc w:val="center"/>
      </w:pPr>
      <w:r>
        <w:rPr>
          <w:color w:val="555555"/>
          <w:sz w:val="22"/>
        </w:rPr>
        <w:t>Versión 1.0  ·  Abril 2026</w:t>
      </w:r>
    </w:p>
    <w:p>
      <w:r>
        <w:br w:type="page"/>
      </w:r>
    </w:p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Contenido</w:t>
      </w:r>
    </w:p>
    <w:p>
      <w:pPr>
        <w:spacing w:after="60"/>
      </w:pPr>
      <w:r>
        <w:rPr>
          <w:b/>
          <w:color w:val="1B5E20"/>
          <w:sz w:val="22"/>
        </w:rPr>
        <w:t xml:space="preserve">1.  </w:t>
      </w:r>
      <w:r>
        <w:rPr>
          <w:color w:val="212121"/>
          <w:sz w:val="22"/>
        </w:rPr>
        <w:t>Introducción</w:t>
      </w:r>
    </w:p>
    <w:p>
      <w:pPr>
        <w:spacing w:after="60"/>
      </w:pPr>
      <w:r>
        <w:rPr>
          <w:b/>
          <w:color w:val="1B5E20"/>
          <w:sz w:val="22"/>
        </w:rPr>
        <w:t xml:space="preserve">2.  </w:t>
      </w:r>
      <w:r>
        <w:rPr>
          <w:color w:val="212121"/>
          <w:sz w:val="22"/>
        </w:rPr>
        <w:t>Acceso al portal — Inicio de sesión</w:t>
      </w:r>
    </w:p>
    <w:p>
      <w:pPr>
        <w:spacing w:after="60"/>
      </w:pPr>
      <w:r>
        <w:rPr>
          <w:b/>
          <w:color w:val="1B5E20"/>
          <w:sz w:val="22"/>
        </w:rPr>
        <w:t xml:space="preserve">3.  </w:t>
      </w:r>
      <w:r>
        <w:rPr>
          <w:color w:val="212121"/>
          <w:sz w:val="22"/>
        </w:rPr>
        <w:t>Pantalla principal — Mis PQRS</w:t>
      </w:r>
    </w:p>
    <w:p>
      <w:pPr>
        <w:spacing w:after="60"/>
      </w:pPr>
      <w:r>
        <w:rPr>
          <w:b/>
          <w:color w:val="1B5E20"/>
          <w:sz w:val="22"/>
        </w:rPr>
        <w:t xml:space="preserve">4.  </w:t>
      </w:r>
      <w:r>
        <w:rPr>
          <w:color w:val="212121"/>
          <w:sz w:val="22"/>
        </w:rPr>
        <w:t>Crear una nueva PQRS</w:t>
      </w:r>
    </w:p>
    <w:p>
      <w:pPr>
        <w:spacing w:after="60"/>
      </w:pPr>
      <w:r>
        <w:rPr>
          <w:b/>
          <w:color w:val="1B5E20"/>
          <w:sz w:val="22"/>
        </w:rPr>
        <w:t xml:space="preserve">5.  </w:t>
      </w:r>
      <w:r>
        <w:rPr>
          <w:color w:val="212121"/>
          <w:sz w:val="22"/>
        </w:rPr>
        <w:t>Detalle de una PQRS</w:t>
      </w:r>
    </w:p>
    <w:p>
      <w:pPr>
        <w:spacing w:after="60"/>
      </w:pPr>
      <w:r>
        <w:rPr>
          <w:b/>
          <w:color w:val="1B5E20"/>
          <w:sz w:val="22"/>
        </w:rPr>
        <w:t xml:space="preserve">6.  </w:t>
      </w:r>
      <w:r>
        <w:rPr>
          <w:color w:val="212121"/>
          <w:sz w:val="22"/>
        </w:rPr>
        <w:t>Estados de una PQRS</w:t>
      </w:r>
    </w:p>
    <w:p>
      <w:pPr>
        <w:spacing w:after="60"/>
      </w:pPr>
      <w:r>
        <w:rPr>
          <w:b/>
          <w:color w:val="1B5E20"/>
          <w:sz w:val="22"/>
        </w:rPr>
        <w:t xml:space="preserve">7.  </w:t>
      </w:r>
      <w:r>
        <w:rPr>
          <w:color w:val="212121"/>
          <w:sz w:val="22"/>
        </w:rPr>
        <w:t>Seguimiento durante el proceso</w:t>
      </w:r>
    </w:p>
    <w:p>
      <w:pPr>
        <w:spacing w:after="60"/>
      </w:pPr>
      <w:r>
        <w:rPr>
          <w:b/>
          <w:color w:val="1B5E20"/>
          <w:sz w:val="22"/>
        </w:rPr>
        <w:t xml:space="preserve">8.  </w:t>
      </w:r>
      <w:r>
        <w:rPr>
          <w:color w:val="212121"/>
          <w:sz w:val="22"/>
        </w:rPr>
        <w:t>Cambiar contraseña</w:t>
      </w:r>
    </w:p>
    <w:p>
      <w:pPr>
        <w:spacing w:after="60"/>
      </w:pPr>
      <w:r>
        <w:rPr>
          <w:b/>
          <w:color w:val="1B5E20"/>
          <w:sz w:val="22"/>
        </w:rPr>
        <w:t xml:space="preserve">9.  </w:t>
      </w:r>
      <w:r>
        <w:rPr>
          <w:color w:val="212121"/>
          <w:sz w:val="22"/>
        </w:rPr>
        <w:t>Cerrar sesión</w:t>
      </w:r>
    </w:p>
    <w:p>
      <w:pPr>
        <w:spacing w:after="60"/>
      </w:pPr>
      <w:r>
        <w:rPr>
          <w:b/>
          <w:color w:val="1B5E20"/>
          <w:sz w:val="22"/>
        </w:rPr>
        <w:t xml:space="preserve">10.  </w:t>
      </w:r>
      <w:r>
        <w:rPr>
          <w:color w:val="212121"/>
          <w:sz w:val="22"/>
        </w:rPr>
        <w:t>Preguntas frecuentes</w:t>
      </w:r>
    </w:p>
    <w:p>
      <w:r>
        <w:br w:type="page"/>
      </w:r>
    </w:p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1.  Introducción</w:t>
      </w:r>
    </w:p>
    <w:p>
      <w:pPr>
        <w:spacing w:after="100"/>
      </w:pPr>
      <w:r>
        <w:rPr>
          <w:color w:val="212121"/>
          <w:sz w:val="22"/>
        </w:rPr>
        <w:t>El Portal Web PQRS del Conjunto Parque Residencial Calle 100 es la plataforma digital oficial para que los residentes puedan radicar, consultar y hacer seguimiento a sus Peticiones, Quejas, Reclamos y Sugerencias (PQRS) directamente desde su computador o dispositivo móvil, sin necesidad de acercarse a la administración.</w:t>
      </w:r>
    </w:p>
    <w:p>
      <w:pPr>
        <w:spacing w:after="100"/>
      </w:pPr>
      <w:r>
        <w:rPr>
          <w:color w:val="212121"/>
          <w:sz w:val="22"/>
        </w:rPr>
        <w:t>Este manual explica paso a paso cómo utilizar todas las funcionalidades disponibles para el rol de Residente.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i/>
                <w:color w:val="1B5E20"/>
                <w:sz w:val="20"/>
              </w:rPr>
              <w:t>💡  Para acceder al portal necesita las credenciales (correo electrónico y contraseña) que le fueron asignadas por la administración del conjunto.</w:t>
            </w:r>
          </w:p>
        </w:tc>
      </w:tr>
    </w:tbl>
    <w:p/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2.  Acceso al portal — Inicio de sesión</w:t>
      </w:r>
    </w:p>
    <w:p>
      <w:pPr>
        <w:spacing w:after="100"/>
      </w:pPr>
      <w:r>
        <w:rPr>
          <w:color w:val="212121"/>
          <w:sz w:val="22"/>
        </w:rPr>
        <w:t>Siga los siguientes pasos para ingresar al portal: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Abrir el navegador web</w:t>
              <w:br/>
            </w:r>
            <w:r>
              <w:rPr>
                <w:color w:val="555555"/>
                <w:sz w:val="20"/>
              </w:rPr>
              <w:t>Ingrese a la dirección del portal proporcionada por la administración (Google Chrome, Firefox o Edge recomendados).</w:t>
            </w:r>
          </w:p>
        </w:tc>
      </w:tr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Ingresar credenciales</w:t>
              <w:br/>
            </w:r>
            <w:r>
              <w:rPr>
                <w:color w:val="555555"/>
                <w:sz w:val="20"/>
              </w:rPr>
              <w:t>En la pantalla de inicio de sesión escriba su correo electrónico y su contraseña.</w:t>
            </w:r>
          </w:p>
        </w:tc>
      </w:tr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Hacer clic en "Iniciar sesión"</w:t>
              <w:br/>
            </w:r>
            <w:r>
              <w:rPr>
                <w:color w:val="555555"/>
                <w:sz w:val="20"/>
              </w:rPr>
              <w:t>Si los datos son correctos, el sistema lo redirigirá automáticamente a la pantalla principal con su listado de PQRS.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>
            <w:r>
              <w:rPr>
                <w:i/>
                <w:color w:val="E65C00"/>
                <w:sz w:val="20"/>
              </w:rPr>
              <w:t>⚠️  Si olvidó su contraseña, contacte a la administración para que le genere unas nuevas credenciales de acceso.</w:t>
            </w:r>
          </w:p>
        </w:tc>
      </w:tr>
    </w:tbl>
    <w:p/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3.  Pantalla principal — Mis PQRS</w:t>
      </w:r>
    </w:p>
    <w:p>
      <w:pPr>
        <w:spacing w:after="100"/>
      </w:pPr>
      <w:r>
        <w:rPr>
          <w:color w:val="212121"/>
          <w:sz w:val="22"/>
        </w:rPr>
        <w:t>Una vez dentro del portal, verá la sección "Mis PQRS", que muestra el listado completo de todas las solicitudes que usted ha radicado.</w:t>
      </w:r>
    </w:p>
    <w:p>
      <w:pPr>
        <w:spacing w:before="200" w:after="40"/>
      </w:pPr>
      <w:r>
        <w:rPr>
          <w:b/>
          <w:color w:val="2E7D32"/>
          <w:sz w:val="26"/>
        </w:rPr>
        <w:t>3.1  Elementos de la pantalla</w:t>
      </w:r>
    </w:p>
    <w:p>
      <w:pPr>
        <w:pStyle w:val="ListBullet"/>
        <w:spacing w:after="60"/>
      </w:pPr>
      <w:r>
        <w:rPr>
          <w:b/>
          <w:color w:val="212121"/>
          <w:sz w:val="22"/>
        </w:rPr>
        <w:t>Título "Mis PQRS"</w:t>
      </w:r>
      <w:r>
        <w:rPr>
          <w:color w:val="212121"/>
          <w:sz w:val="22"/>
        </w:rPr>
        <w:t>: confirma que está viendo únicamente sus solicitudes.</w:t>
      </w:r>
    </w:p>
    <w:p>
      <w:pPr>
        <w:pStyle w:val="ListBullet"/>
        <w:spacing w:after="60"/>
      </w:pPr>
      <w:r>
        <w:rPr>
          <w:b/>
          <w:color w:val="212121"/>
          <w:sz w:val="22"/>
        </w:rPr>
        <w:t>Botón "Crear"</w:t>
      </w:r>
      <w:r>
        <w:rPr>
          <w:color w:val="212121"/>
          <w:sz w:val="22"/>
        </w:rPr>
        <w:t>: permite radicar una nueva PQRS (esquina superior derecha).</w:t>
      </w:r>
    </w:p>
    <w:p>
      <w:pPr>
        <w:pStyle w:val="ListBullet"/>
        <w:spacing w:after="60"/>
      </w:pPr>
      <w:r>
        <w:rPr>
          <w:b/>
          <w:color w:val="212121"/>
          <w:sz w:val="22"/>
        </w:rPr>
        <w:t>Contador de resultados</w:t>
      </w:r>
      <w:r>
        <w:rPr>
          <w:color w:val="212121"/>
          <w:sz w:val="22"/>
        </w:rPr>
        <w:t>: indica cuántas solicitudes coinciden con los filtros activos.</w:t>
      </w:r>
    </w:p>
    <w:p>
      <w:pPr>
        <w:spacing w:before="200" w:after="40"/>
      </w:pPr>
      <w:r>
        <w:rPr>
          <w:b/>
          <w:color w:val="2E7D32"/>
          <w:sz w:val="26"/>
        </w:rPr>
        <w:t>3.2  Filtros disponibles</w:t>
      </w:r>
    </w:p>
    <w:p>
      <w:pPr>
        <w:spacing w:after="100"/>
      </w:pPr>
      <w:r>
        <w:rPr>
          <w:color w:val="212121"/>
          <w:sz w:val="22"/>
        </w:rPr>
        <w:t>Puede combinar los siguientes filtros para encontrar una solicitud específica: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5E20"/>
          </w:tcPr>
          <w:p>
            <w:r>
              <w:rPr>
                <w:b/>
                <w:color w:val="FFFFFF"/>
                <w:sz w:val="22"/>
              </w:rPr>
              <w:t>Filtro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b w:val="0"/>
                <w:color w:val="212121"/>
                <w:sz w:val="22"/>
              </w:rPr>
              <w:t>Estado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Filtra por En Espera, En Proceso o Terminadas.</w:t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b w:val="0"/>
                <w:color w:val="212121"/>
                <w:sz w:val="22"/>
              </w:rPr>
              <w:t>Mes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Filtra solicitudes por el mes en que fueron radicadas.</w:t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b w:val="0"/>
                <w:color w:val="212121"/>
                <w:sz w:val="22"/>
              </w:rPr>
              <w:t>Año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Filtra solicitudes por el año de radicación.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i/>
                <w:color w:val="1B5E20"/>
                <w:sz w:val="20"/>
              </w:rPr>
              <w:t>💡  Use el botón "Limpiar" para restablecer todos los filtros y ver el listado completo.</w:t>
            </w:r>
          </w:p>
        </w:tc>
      </w:tr>
    </w:tbl>
    <w:p/>
    <w:p>
      <w:pPr>
        <w:spacing w:before="200" w:after="40"/>
      </w:pPr>
      <w:r>
        <w:rPr>
          <w:b/>
          <w:color w:val="2E7D32"/>
          <w:sz w:val="26"/>
        </w:rPr>
        <w:t>3.3  Tarjeta de resumen de una PQRS</w:t>
      </w:r>
    </w:p>
    <w:p>
      <w:pPr>
        <w:spacing w:after="100"/>
      </w:pPr>
      <w:r>
        <w:rPr>
          <w:color w:val="212121"/>
          <w:sz w:val="22"/>
        </w:rPr>
        <w:t>Cada solicitud aparece como una tarjeta con la siguiente información resumida:</w:t>
      </w:r>
    </w:p>
    <w:p>
      <w:pPr>
        <w:pStyle w:val="ListBullet"/>
        <w:spacing w:after="60"/>
      </w:pPr>
      <w:r>
        <w:rPr>
          <w:color w:val="212121"/>
          <w:sz w:val="22"/>
        </w:rPr>
        <w:t>Número de radicado (#001, #002, etc.)</w:t>
      </w:r>
    </w:p>
    <w:p>
      <w:pPr>
        <w:pStyle w:val="ListBullet"/>
        <w:spacing w:after="60"/>
      </w:pPr>
      <w:r>
        <w:rPr>
          <w:color w:val="212121"/>
          <w:sz w:val="22"/>
        </w:rPr>
        <w:t>Chip de estado (color amarillo = En Espera, azul = En Proceso, verde = Terminado)</w:t>
      </w:r>
    </w:p>
    <w:p>
      <w:pPr>
        <w:pStyle w:val="ListBullet"/>
        <w:spacing w:after="60"/>
      </w:pPr>
      <w:r>
        <w:rPr>
          <w:color w:val="212121"/>
          <w:sz w:val="22"/>
        </w:rPr>
        <w:t>Asunto o primeras palabras de la descripción</w:t>
      </w:r>
    </w:p>
    <w:p>
      <w:pPr>
        <w:pStyle w:val="ListBullet"/>
        <w:spacing w:after="60"/>
      </w:pPr>
      <w:r>
        <w:rPr>
          <w:color w:val="212121"/>
          <w:sz w:val="22"/>
        </w:rPr>
        <w:t>Fecha de radicación</w:t>
      </w:r>
    </w:p>
    <w:p>
      <w:pPr>
        <w:spacing w:after="100"/>
      </w:pPr>
      <w:r>
        <w:rPr>
          <w:color w:val="212121"/>
          <w:sz w:val="22"/>
        </w:rPr>
        <w:t>Haga clic sobre cualquier tarjeta para ver el detalle completo.</w:t>
      </w:r>
    </w:p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4.  Crear una nueva PQRS</w:t>
      </w:r>
    </w:p>
    <w:p>
      <w:pPr>
        <w:spacing w:after="100"/>
      </w:pPr>
      <w:r>
        <w:rPr>
          <w:color w:val="212121"/>
          <w:sz w:val="22"/>
        </w:rPr>
        <w:t>Para radicar una nueva solicitud, haga clic en el botón verde "Crear" ubicado en la esquina superior derecha de la pantalla "Mis PQRS".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Seleccionar el Asunto (opcional)</w:t>
              <w:br/>
            </w:r>
            <w:r>
              <w:rPr>
                <w:color w:val="555555"/>
                <w:sz w:val="20"/>
              </w:rPr>
              <w:t>Escoja la categoría que mejor describe su solicitud: Área Común, Contabilidad, Convivencia, Humedad/Cubierta, Humedad/Depósito, Humedad/Ventanas, Humedad/Fachada o Humedad/Garaje.</w:t>
            </w:r>
          </w:p>
        </w:tc>
      </w:tr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Redactar la descripción</w:t>
              <w:br/>
            </w:r>
            <w:r>
              <w:rPr>
                <w:color w:val="555555"/>
                <w:sz w:val="20"/>
              </w:rPr>
              <w:t>Escriba con claridad el detalle de su petición, queja, reclamo o sugerencia. El límite es de 300 palabras. Un contador en tiempo real muestra las palabras utilizadas (se torna rojo al superar el límite).</w:t>
            </w:r>
          </w:p>
        </w:tc>
      </w:tr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Enviar la solicitud</w:t>
              <w:br/>
            </w:r>
            <w:r>
              <w:rPr>
                <w:color w:val="555555"/>
                <w:sz w:val="20"/>
              </w:rPr>
              <w:t>Haga clic en el botón "Enviar solicitud". El sistema asignará automáticamente un número de radicado y la PQRS quedará en estado "En Espera".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i/>
                <w:color w:val="1B5E20"/>
                <w:sz w:val="20"/>
              </w:rPr>
              <w:t>💡  Sus datos personales (nombre, bloque y apartamento) se asocian automáticamente a la solicitud a partir de su cuenta. No es necesario ingresarlos manualmente.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>
            <w:r>
              <w:rPr>
                <w:i/>
                <w:color w:val="E65C00"/>
                <w:sz w:val="20"/>
              </w:rPr>
              <w:t>⚠️  La descripción es el único campo obligatorio. Si supera 300 palabras, el sistema impedirá el envío hasta que reduzca el texto.</w:t>
            </w:r>
          </w:p>
        </w:tc>
      </w:tr>
    </w:tbl>
    <w:p/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5.  Detalle de una PQRS</w:t>
      </w:r>
    </w:p>
    <w:p>
      <w:pPr>
        <w:spacing w:after="100"/>
      </w:pPr>
      <w:r>
        <w:rPr>
          <w:color w:val="212121"/>
          <w:sz w:val="22"/>
        </w:rPr>
        <w:t>Al hacer clic sobre una tarjeta de la lista, se abre la vista de detalle con toda la información relacionada a esa solicitud.</w:t>
      </w:r>
    </w:p>
    <w:p>
      <w:pPr>
        <w:spacing w:before="200" w:after="40"/>
      </w:pPr>
      <w:r>
        <w:rPr>
          <w:b/>
          <w:color w:val="2E7D32"/>
          <w:sz w:val="26"/>
        </w:rPr>
        <w:t>5.1  Información general</w:t>
      </w:r>
    </w:p>
    <w:p>
      <w:pPr>
        <w:pStyle w:val="ListBullet"/>
        <w:spacing w:after="60"/>
      </w:pPr>
      <w:r>
        <w:rPr>
          <w:color w:val="212121"/>
          <w:sz w:val="22"/>
        </w:rPr>
        <w:t>Número de radicado y estado actual</w:t>
      </w:r>
    </w:p>
    <w:p>
      <w:pPr>
        <w:pStyle w:val="ListBullet"/>
        <w:spacing w:after="60"/>
      </w:pPr>
      <w:r>
        <w:rPr>
          <w:color w:val="212121"/>
          <w:sz w:val="22"/>
        </w:rPr>
        <w:t>Fecha de recibido y mes</w:t>
      </w:r>
    </w:p>
    <w:p>
      <w:pPr>
        <w:pStyle w:val="ListBullet"/>
        <w:spacing w:after="60"/>
      </w:pPr>
      <w:r>
        <w:rPr>
          <w:color w:val="212121"/>
          <w:sz w:val="22"/>
        </w:rPr>
        <w:t>Bloque y apartamento</w:t>
      </w:r>
    </w:p>
    <w:p>
      <w:pPr>
        <w:pStyle w:val="ListBullet"/>
        <w:spacing w:after="60"/>
      </w:pPr>
      <w:r>
        <w:rPr>
          <w:color w:val="212121"/>
          <w:sz w:val="22"/>
        </w:rPr>
        <w:t>Nombre del residente</w:t>
      </w:r>
    </w:p>
    <w:p>
      <w:pPr>
        <w:pStyle w:val="ListBullet"/>
        <w:spacing w:after="60"/>
      </w:pPr>
      <w:r>
        <w:rPr>
          <w:color w:val="212121"/>
          <w:sz w:val="22"/>
        </w:rPr>
        <w:t>Asunto y descripción completa de la solicitud</w:t>
      </w:r>
    </w:p>
    <w:p>
      <w:pPr>
        <w:spacing w:before="200" w:after="40"/>
      </w:pPr>
      <w:r>
        <w:rPr>
          <w:b/>
          <w:color w:val="2E7D32"/>
          <w:sz w:val="26"/>
        </w:rPr>
        <w:t>5.2  Información de gestión (visible según el estado)</w:t>
      </w:r>
    </w:p>
    <w:p>
      <w:pPr>
        <w:spacing w:after="100"/>
      </w:pPr>
      <w:r>
        <w:rPr>
          <w:color w:val="212121"/>
          <w:sz w:val="22"/>
        </w:rPr>
        <w:t>A medida que la administración avanza en la gestión, aparecerán nuevas secciones:</w:t>
      </w:r>
    </w:p>
    <w:p>
      <w:pPr>
        <w:pStyle w:val="ListBullet"/>
        <w:spacing w:after="60"/>
      </w:pPr>
      <w:r>
        <w:rPr>
          <w:b/>
          <w:color w:val="212121"/>
          <w:sz w:val="22"/>
        </w:rPr>
        <w:t>Fecha de primer contacto</w:t>
      </w:r>
      <w:r>
        <w:rPr>
          <w:color w:val="212121"/>
          <w:sz w:val="22"/>
        </w:rPr>
        <w:t xml:space="preserve"> y tiempo de respuesta inicial</w:t>
      </w:r>
    </w:p>
    <w:p>
      <w:pPr>
        <w:pStyle w:val="ListBullet"/>
        <w:spacing w:after="60"/>
      </w:pPr>
      <w:r>
        <w:rPr>
          <w:color w:val="212121"/>
          <w:sz w:val="22"/>
        </w:rPr>
        <w:t xml:space="preserve">Sección </w:t>
      </w:r>
      <w:r>
        <w:rPr>
          <w:b/>
          <w:color w:val="212121"/>
          <w:sz w:val="22"/>
        </w:rPr>
        <w:t>"En ejecución"</w:t>
      </w:r>
      <w:r>
        <w:rPr>
          <w:color w:val="212121"/>
          <w:sz w:val="22"/>
        </w:rPr>
        <w:t>: disponible cuando la solicitud está siendo ejecutada (ver Sección 7).</w:t>
      </w:r>
    </w:p>
    <w:p>
      <w:pPr>
        <w:pStyle w:val="ListBullet"/>
        <w:spacing w:after="60"/>
      </w:pPr>
      <w:r>
        <w:rPr>
          <w:b/>
          <w:color w:val="212121"/>
          <w:sz w:val="22"/>
        </w:rPr>
        <w:t>Evidencia de cierre</w:t>
      </w:r>
      <w:r>
        <w:rPr>
          <w:color w:val="212121"/>
          <w:sz w:val="22"/>
        </w:rPr>
        <w:t>: texto o archivo adjunto que describe la solución aplicada.</w:t>
      </w:r>
    </w:p>
    <w:p>
      <w:pPr>
        <w:pStyle w:val="ListBullet"/>
        <w:spacing w:after="60"/>
      </w:pPr>
      <w:r>
        <w:rPr>
          <w:b/>
          <w:color w:val="212121"/>
          <w:sz w:val="22"/>
        </w:rPr>
        <w:t>Fecha de cierre</w:t>
      </w:r>
      <w:r>
        <w:rPr>
          <w:color w:val="212121"/>
          <w:sz w:val="22"/>
        </w:rPr>
        <w:t xml:space="preserve"> y tiempo total de respuesta.</w:t>
      </w:r>
    </w:p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6.  Estados de una PQRS</w:t>
      </w:r>
    </w:p>
    <w:p>
      <w:pPr>
        <w:spacing w:after="100"/>
      </w:pPr>
      <w:r>
        <w:rPr>
          <w:color w:val="212121"/>
          <w:sz w:val="22"/>
        </w:rPr>
        <w:t>Toda PQRS pasa por tres estados a lo largo de su ciclo de vida. El estado se muestra como un chip de color tanto en la lista como en el detalle.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5E20"/>
          </w:tcPr>
          <w:p>
            <w:r>
              <w:rPr>
                <w:b/>
                <w:color w:val="FFFFFF"/>
                <w:sz w:val="22"/>
              </w:rPr>
              <w:t>Estado</w:t>
            </w:r>
          </w:p>
        </w:tc>
        <w:tc>
          <w:tcPr>
            <w:tcW w:type="dxa" w:w="3024"/>
            <w:shd w:val="clear" w:color="auto" w:fill="1B5E20"/>
          </w:tcPr>
          <w:p>
            <w:r>
              <w:rPr>
                <w:b/>
                <w:color w:val="FFFFFF"/>
                <w:sz w:val="22"/>
              </w:rPr>
              <w:t>Significado</w:t>
            </w:r>
          </w:p>
        </w:tc>
        <w:tc>
          <w:tcPr>
            <w:tcW w:type="dxa" w:w="3024"/>
            <w:shd w:val="clear" w:color="auto" w:fill="1B5E20"/>
          </w:tcPr>
          <w:p>
            <w:r>
              <w:rPr>
                <w:b/>
                <w:color w:val="FFFFFF"/>
                <w:sz w:val="22"/>
              </w:rPr>
              <w:t>Qué puede hacer el residente</w:t>
            </w:r>
          </w:p>
        </w:tc>
      </w:tr>
      <w:tr>
        <w:tc>
          <w:tcPr>
            <w:tcW w:type="dxa" w:w="3024"/>
            <w:shd w:val="clear" w:color="auto" w:fill="FFF9C4"/>
          </w:tcPr>
          <w:p>
            <w:r>
              <w:rPr>
                <w:sz w:val="20"/>
              </w:rPr>
              <w:t>⏳  En Espera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 solicitud fue recibida y está pendiente de revisión por parte de la administración.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Consultar el detalle. No se requiere acción adicional.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r>
              <w:rPr>
                <w:sz w:val="20"/>
              </w:rPr>
              <w:t>🕐  En Proceso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 administración está gestionando activamente la solicitud.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Consultar el avance. Si hay ejecución, se mostrará la sección "En ejecución".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r>
              <w:rPr>
                <w:sz w:val="20"/>
              </w:rPr>
              <w:t>✅  Terminado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 solicitud fue resuelta y cerrada por la administración.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Consultar el resumen del cierre y la evidencia adjunta.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i/>
                <w:color w:val="1B5E20"/>
                <w:sz w:val="20"/>
              </w:rPr>
              <w:t>💡  El residente no puede cambiar manualmente el estado. Los cambios los realiza exclusivamente la administración del conjunto.</w:t>
            </w:r>
          </w:p>
        </w:tc>
      </w:tr>
    </w:tbl>
    <w:p/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7.  Seguimiento durante el proceso</w:t>
      </w:r>
    </w:p>
    <w:p>
      <w:pPr>
        <w:spacing w:after="100"/>
      </w:pPr>
      <w:r>
        <w:rPr>
          <w:color w:val="212121"/>
          <w:sz w:val="22"/>
        </w:rPr>
        <w:t>Cuando su PQRS se encuentre en estado "En Proceso", la administración puede registrar notas de avance por cada fase de gestión interna.</w:t>
      </w:r>
    </w:p>
    <w:p>
      <w:pPr>
        <w:spacing w:before="200" w:after="40"/>
      </w:pPr>
      <w:r>
        <w:rPr>
          <w:b/>
          <w:color w:val="2E7D32"/>
          <w:sz w:val="26"/>
        </w:rPr>
        <w:t>7.1  Sección "En ejecución"</w:t>
      </w:r>
    </w:p>
    <w:p>
      <w:pPr>
        <w:spacing w:after="100"/>
      </w:pPr>
      <w:r>
        <w:rPr>
          <w:color w:val="212121"/>
          <w:sz w:val="22"/>
        </w:rPr>
        <w:t>Si la administración ha iniciado la fase de ejecución de obras o acciones y ha registrado una nota al respecto, usted verá automáticamente en el detalle de su PQRS una tarjeta azul titulada "En ejecución" con la descripción de lo que se está haciendo.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i/>
                <w:color w:val="1B5E20"/>
                <w:sz w:val="20"/>
              </w:rPr>
              <w:t>💡  Esta información es de solo lectura. Refleja en tiempo real el progreso registrado por la administración sin revelar la estructura interna de fases de gestión.</w:t>
            </w:r>
          </w:p>
        </w:tc>
      </w:tr>
    </w:tbl>
    <w:p/>
    <w:p>
      <w:pPr>
        <w:spacing w:before="200" w:after="40"/>
      </w:pPr>
      <w:r>
        <w:rPr>
          <w:b/>
          <w:color w:val="2E7D32"/>
          <w:sz w:val="26"/>
        </w:rPr>
        <w:t>7.2  ¿Qué no puede ver el residente?</w:t>
      </w:r>
    </w:p>
    <w:p>
      <w:pPr>
        <w:spacing w:after="100"/>
      </w:pPr>
      <w:r>
        <w:rPr>
          <w:color w:val="212121"/>
          <w:sz w:val="22"/>
        </w:rPr>
        <w:t>Para proteger la confidencialidad operativa del proceso, las siguientes secciones no son visibles para el residente:</w:t>
      </w:r>
    </w:p>
    <w:p>
      <w:pPr>
        <w:pStyle w:val="ListBullet"/>
        <w:spacing w:after="60"/>
      </w:pPr>
      <w:r>
        <w:rPr>
          <w:color w:val="212121"/>
          <w:sz w:val="22"/>
        </w:rPr>
        <w:t>Detalle de las fases de gestión interna (Fase I a V)</w:t>
      </w:r>
    </w:p>
    <w:p>
      <w:pPr>
        <w:pStyle w:val="ListBullet"/>
        <w:spacing w:after="60"/>
      </w:pPr>
      <w:r>
        <w:rPr>
          <w:color w:val="212121"/>
          <w:sz w:val="22"/>
        </w:rPr>
        <w:t>Acción tomada por el gestor</w:t>
      </w:r>
    </w:p>
    <w:p>
      <w:pPr>
        <w:pStyle w:val="ListBullet"/>
        <w:spacing w:after="60"/>
      </w:pPr>
      <w:r>
        <w:rPr>
          <w:color w:val="212121"/>
          <w:sz w:val="22"/>
        </w:rPr>
        <w:t>Notas internas de cada fase</w:t>
      </w:r>
    </w:p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8.  Cambiar contraseña</w:t>
      </w:r>
    </w:p>
    <w:p>
      <w:pPr>
        <w:spacing w:after="100"/>
      </w:pPr>
      <w:r>
        <w:rPr>
          <w:color w:val="212121"/>
          <w:sz w:val="22"/>
        </w:rPr>
        <w:t>Si desea actualizar su contraseña de acceso, contacte a la administración del conjunto para que le asigne unas nuevas credenciales. Actualmente el cambio de contraseña es gestionado por el administrador del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i/>
                <w:color w:val="1B5E20"/>
                <w:sz w:val="20"/>
              </w:rPr>
              <w:t>💡  Mantenga su contraseña confidencial y no la comparta con terceros. Si sospecha que su cuenta fue comprometida, notifique de inmediato a la administración.</w:t>
            </w:r>
          </w:p>
        </w:tc>
      </w:tr>
    </w:tbl>
    <w:p/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9.  Cerrar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Localizar el menú de usuario</w:t>
              <w:br/>
            </w:r>
            <w:r>
              <w:rPr>
                <w:color w:val="555555"/>
                <w:sz w:val="20"/>
              </w:rPr>
              <w:t>En la esquina superior derecha de cualquier pantalla encontrará su nombre o un ícono de perfil.</w:t>
            </w:r>
          </w:p>
        </w:tc>
      </w:tr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b/>
                <w:color w:val="212121"/>
                <w:sz w:val="22"/>
              </w:rPr>
              <w:t>Seleccionar "Cerrar sesión"</w:t>
              <w:br/>
            </w:r>
            <w:r>
              <w:rPr>
                <w:color w:val="555555"/>
                <w:sz w:val="20"/>
              </w:rPr>
              <w:t>Haga clic en la opción correspondiente. El sistema lo redirigirá a la pantalla de inicio de sesión.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>
            <w:r>
              <w:rPr>
                <w:i/>
                <w:color w:val="E65C00"/>
                <w:sz w:val="20"/>
              </w:rPr>
              <w:t>⚠️  Siempre cierre sesión cuando utilice un dispositivo compartido o público.</w:t>
            </w:r>
          </w:p>
        </w:tc>
      </w:tr>
    </w:tbl>
    <w:p/>
    <w:p>
      <w:pPr>
        <w:spacing w:before="280" w:after="80"/>
        <w:pBdr>
          <w:bottom w:val="single" w:sz="8" w:space="2" w:color="1B5E20"/>
        </w:pBdr>
      </w:pPr>
      <w:r>
        <w:rPr>
          <w:b/>
          <w:color w:val="1B5E20"/>
          <w:sz w:val="32"/>
        </w:rPr>
        <w:t>10.  Preguntas frecuentes</w:t>
      </w:r>
    </w:p>
    <w:p>
      <w:pPr>
        <w:spacing w:before="200" w:after="40"/>
      </w:pPr>
      <w:r>
        <w:rPr>
          <w:b/>
          <w:color w:val="2E7D32"/>
          <w:sz w:val="26"/>
        </w:rPr>
        <w:t>¿Puedo ver las PQRS de otros residentes?</w:t>
      </w:r>
    </w:p>
    <w:p>
      <w:pPr>
        <w:spacing w:after="100"/>
      </w:pPr>
      <w:r>
        <w:rPr>
          <w:color w:val="212121"/>
          <w:sz w:val="22"/>
        </w:rPr>
        <w:t>No. El sistema filtra automáticamente y le muestra únicamente las solicitudes asociadas a su cuenta.</w:t>
      </w:r>
    </w:p>
    <w:p>
      <w:pPr>
        <w:spacing w:before="200" w:after="40"/>
      </w:pPr>
      <w:r>
        <w:rPr>
          <w:b/>
          <w:color w:val="2E7D32"/>
          <w:sz w:val="26"/>
        </w:rPr>
        <w:t>¿Puedo modificar o eliminar una PQRS ya enviada?</w:t>
      </w:r>
    </w:p>
    <w:p>
      <w:pPr>
        <w:spacing w:after="100"/>
      </w:pPr>
      <w:r>
        <w:rPr>
          <w:color w:val="212121"/>
          <w:sz w:val="22"/>
        </w:rPr>
        <w:t>No. Una vez radicada, la PQRS no puede ser editada ni eliminada por el residente. Si necesita una corrección, contacte a la administración.</w:t>
      </w:r>
    </w:p>
    <w:p>
      <w:pPr>
        <w:spacing w:before="200" w:after="40"/>
      </w:pPr>
      <w:r>
        <w:rPr>
          <w:b/>
          <w:color w:val="2E7D32"/>
          <w:sz w:val="26"/>
        </w:rPr>
        <w:t>¿Recibiré una notificación cuando mi PQRS cambie de estado?</w:t>
      </w:r>
    </w:p>
    <w:p>
      <w:pPr>
        <w:spacing w:after="100"/>
      </w:pPr>
      <w:r>
        <w:rPr>
          <w:color w:val="212121"/>
          <w:sz w:val="22"/>
        </w:rPr>
        <w:t>El sistema puede enviar notificaciones por correo electrónico cuando la administración actualice el estado de su solicitud, según la configuración del conjunto.</w:t>
      </w:r>
    </w:p>
    <w:p>
      <w:pPr>
        <w:spacing w:before="200" w:after="40"/>
      </w:pPr>
      <w:r>
        <w:rPr>
          <w:b/>
          <w:color w:val="2E7D32"/>
          <w:sz w:val="26"/>
        </w:rPr>
        <w:t>¿Cuántas PQRS puedo radicar?</w:t>
      </w:r>
    </w:p>
    <w:p>
      <w:pPr>
        <w:spacing w:after="100"/>
      </w:pPr>
      <w:r>
        <w:rPr>
          <w:color w:val="212121"/>
          <w:sz w:val="22"/>
        </w:rPr>
        <w:t>No existe un límite definido de solicitudes por residente.</w:t>
      </w:r>
    </w:p>
    <w:p>
      <w:pPr>
        <w:spacing w:before="200" w:after="40"/>
      </w:pPr>
      <w:r>
        <w:rPr>
          <w:b/>
          <w:color w:val="2E7D32"/>
          <w:sz w:val="26"/>
        </w:rPr>
        <w:t>¿La descripción tiene límite de extensión?</w:t>
      </w:r>
    </w:p>
    <w:p>
      <w:pPr>
        <w:spacing w:after="100"/>
      </w:pPr>
      <w:r>
        <w:rPr>
          <w:color w:val="212121"/>
          <w:sz w:val="22"/>
        </w:rPr>
        <w:t>Sí. El campo de descripción admite un máximo de 300 palabras. Un contador en tiempo real le indica cuántas ha utilizado.</w:t>
      </w:r>
    </w:p>
    <w:p>
      <w:pPr>
        <w:spacing w:before="200" w:after="40"/>
      </w:pPr>
      <w:r>
        <w:rPr>
          <w:b/>
          <w:color w:val="2E7D32"/>
          <w:sz w:val="26"/>
        </w:rPr>
        <w:t>¿Qué hago si no puedo iniciar sesión?</w:t>
      </w:r>
    </w:p>
    <w:p>
      <w:pPr>
        <w:spacing w:after="100"/>
      </w:pPr>
      <w:r>
        <w:rPr>
          <w:color w:val="212121"/>
          <w:sz w:val="22"/>
        </w:rPr>
        <w:t>Verifique que su correo y contraseña sean correctos. Si el problema persiste, contacte a la administración para restablecer sus credenciales.</w:t>
      </w:r>
    </w:p>
    <w:p>
      <w:r>
        <w:br w:type="page"/>
      </w:r>
    </w:p>
    <w:p>
      <w:pPr>
        <w:jc w:val="center"/>
      </w:pPr>
      <w:r>
        <w:rPr>
          <w:i/>
          <w:color w:val="555555"/>
          <w:sz w:val="18"/>
        </w:rPr>
        <w:t>Conjunto Parque Residencial Calle 100  ·  Portal PQRS  ·  Versión 1.0  · 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