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rPr>
          <w:rFonts w:ascii="Times New Roman" w:cs="Times New Roman" w:eastAsia="Times New Roman" w:hAnsi="Times New Roman"/>
          <w:b/>
          <w:bCs/>
          <w:sz w:val="28"/>
          <w:szCs w:val="28"/>
        </w:rPr>
        <w:t xml:space="preserve">Results</w:t>
      </w:r>
    </w:p>
    <w:p>
      <w:pPr>
        <w:pStyle w:val="Heading2"/>
        <w:spacing w:before="200" w:after="100"/>
      </w:pPr>
      <w:r>
        <w:rPr>
          <w:rFonts w:ascii="Times New Roman" w:cs="Times New Roman" w:eastAsia="Times New Roman" w:hAnsi="Times New Roman"/>
          <w:b/>
          <w:bCs/>
          <w:sz w:val="24"/>
          <w:szCs w:val="24"/>
        </w:rPr>
        <w:t xml:space="preserve">Mismatch ablation: context sensitivity under the null condition</w:t>
      </w:r>
    </w:p>
    <w:p>
      <w:pPr>
        <w:spacing w:before="120" w:after="120"/>
      </w:pPr>
      <w:r>
        <w:rPr>
          <w:rFonts w:ascii="Times New Roman" w:cs="Times New Roman" w:eastAsia="Times New Roman" w:hAnsi="Times New Roman"/>
          <w:sz w:val="24"/>
          <w:szCs w:val="24"/>
        </w:rPr>
        <w:t xml:space="preserve">Across all five models and both guidance dimensions, the mismatched-target ablation produces a large, consistent reversal. Under the regular condition, where the tutor response is scored against the conversation to which it belongs, mean log-probabilities range from </w:t>
      </w:r>
      <w:r>
        <w:rPr>
          <w:rFonts w:ascii="Times New Roman" w:cs="Times New Roman" w:eastAsia="Times New Roman" w:hAnsi="Times New Roman"/>
          <w:i/>
          <w:iCs/>
          <w:sz w:val="24"/>
          <w:szCs w:val="24"/>
        </w:rPr>
        <w:t xml:space="preserve">−1.75</w:t>
      </w:r>
      <w:r>
        <w:rPr>
          <w:rFonts w:ascii="Times New Roman" w:cs="Times New Roman" w:eastAsia="Times New Roman" w:hAnsi="Times New Roman"/>
          <w:sz w:val="24"/>
          <w:szCs w:val="24"/>
        </w:rPr>
        <w:t xml:space="preserve"> (Gemma) to </w:t>
      </w:r>
      <w:r>
        <w:rPr>
          <w:rFonts w:ascii="Times New Roman" w:cs="Times New Roman" w:eastAsia="Times New Roman" w:hAnsi="Times New Roman"/>
          <w:i/>
          <w:iCs/>
          <w:sz w:val="24"/>
          <w:szCs w:val="24"/>
        </w:rPr>
        <w:t xml:space="preserve">−4.69</w:t>
      </w:r>
      <w:r>
        <w:rPr>
          <w:rFonts w:ascii="Times New Roman" w:cs="Times New Roman" w:eastAsia="Times New Roman" w:hAnsi="Times New Roman"/>
          <w:sz w:val="24"/>
          <w:szCs w:val="24"/>
        </w:rPr>
        <w:t xml:space="preserve"> (GPT-OSS-20B). When responses are randomly re-paired with unrelated conversations, mean log-probabilities drop substantially — by </w:t>
      </w:r>
      <w:r>
        <w:rPr>
          <w:rFonts w:ascii="Times New Roman" w:cs="Times New Roman" w:eastAsia="Times New Roman" w:hAnsi="Times New Roman"/>
          <w:i/>
          <w:iCs/>
          <w:sz w:val="24"/>
          <w:szCs w:val="24"/>
        </w:rPr>
        <w:t xml:space="preserve">+0.83</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+1.60</w:t>
      </w:r>
      <w:r>
        <w:rPr>
          <w:rFonts w:ascii="Times New Roman" w:cs="Times New Roman" w:eastAsia="Times New Roman" w:hAnsi="Times New Roman"/>
          <w:sz w:val="24"/>
          <w:szCs w:val="24"/>
        </w:rPr>
        <w:t xml:space="preserve"> log-probability units — and paired Wilcoxon tests confirm this difference is highly significant for every model (all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after Bonferroni correction, Table 1). This result establishes that all five models are sensitive to conversational context: the probability a model assigns to a response is meaningfully higher when that response is matched to its originating conversation than when it is paired with an unrelated one.</w:t>
      </w:r>
    </w:p>
    <w:p>
      <w:pPr>
        <w:spacing w:before="120" w:after="120"/>
      </w:pPr>
      <w:r>
        <w:rPr>
          <w:rFonts w:ascii="Times New Roman" w:cs="Times New Roman" w:eastAsia="Times New Roman" w:hAnsi="Times New Roman"/>
          <w:sz w:val="24"/>
          <w:szCs w:val="24"/>
        </w:rPr>
        <w:t xml:space="preserve">This sensitivity is not trivially explained by surface-level stylistic similarity between the tutor response and the ground-truth solution embedded in the context. The stylistic anchoring diagnostic (Table 2) finds no systematic correlation between the magnitude of the log-probability drop and any of the three distance measures examined — Jaccard distance (lexical), SBERT cosine distance (semantic), or length ratio — across four of the five models. The single marginal exception is Qwen3-30B, where SBERT cosine distance correlates positively with the drop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rPr>
        <w:t xml:space="preserve"> = 0.072,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0.014); critically, the direction is positive rather than negative, which is the opposite of what a stylistic anchoring account would predict. Taken together, these results support the interpretation that context sensitivity reflects distributional modulation by instructional content rather than superficial stylistic proximity.</w:t>
      </w:r>
    </w:p>
    <w:p>
      <w:pPr>
        <w:pStyle w:val="Heading2"/>
        <w:spacing w:before="200" w:after="100"/>
      </w:pPr>
      <w:r>
        <w:rPr>
          <w:rFonts w:ascii="Times New Roman" w:cs="Times New Roman" w:eastAsia="Times New Roman" w:hAnsi="Times New Roman"/>
          <w:b/>
          <w:bCs/>
          <w:sz w:val="24"/>
          <w:szCs w:val="24"/>
        </w:rPr>
        <w:t xml:space="preserve">Baseline ablation: the cost of producing a response</w:t>
      </w:r>
    </w:p>
    <w:p>
      <w:pPr>
        <w:spacing w:before="120" w:after="120"/>
      </w:pPr>
      <w:r>
        <w:rPr>
          <w:rFonts w:ascii="Times New Roman" w:cs="Times New Roman" w:eastAsia="Times New Roman" w:hAnsi="Times New Roman"/>
          <w:sz w:val="24"/>
          <w:szCs w:val="24"/>
        </w:rPr>
        <w:t xml:space="preserve">Comparing regular log-probabilities against the no-last-response baseline — where the conversation context is presented without any tutor response appended — reveals an important asymmetry across models. For Gemma, Phi-4-reasoning-plus, and Qwen3-30B, the baseline (no-response) condition scores </w:t>
      </w:r>
      <w:r>
        <w:rPr>
          <w:rFonts w:ascii="Times New Roman" w:cs="Times New Roman" w:eastAsia="Times New Roman" w:hAnsi="Times New Roman"/>
          <w:i/>
          <w:iCs/>
          <w:sz w:val="24"/>
          <w:szCs w:val="24"/>
        </w:rPr>
        <w:t xml:space="preserve">higher</w:t>
      </w:r>
      <w:r>
        <w:rPr>
          <w:rFonts w:ascii="Times New Roman" w:cs="Times New Roman" w:eastAsia="Times New Roman" w:hAnsi="Times New Roman"/>
          <w:sz w:val="24"/>
          <w:szCs w:val="24"/>
        </w:rPr>
        <w:t xml:space="preserve"> than the regular condition (mean differences of </w:t>
      </w:r>
      <w:r>
        <w:rPr>
          <w:rFonts w:ascii="Times New Roman" w:cs="Times New Roman" w:eastAsia="Times New Roman" w:hAnsi="Times New Roman"/>
          <w:i/>
          <w:iCs/>
          <w:sz w:val="24"/>
          <w:szCs w:val="24"/>
        </w:rPr>
        <w:t xml:space="preserve">−0.029</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−0.012</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−0.076</w:t>
      </w:r>
      <w:r>
        <w:rPr>
          <w:rFonts w:ascii="Times New Roman" w:cs="Times New Roman" w:eastAsia="Times New Roman" w:hAnsi="Times New Roman"/>
          <w:sz w:val="24"/>
          <w:szCs w:val="24"/>
        </w:rPr>
        <w:t xml:space="preserve"> respectively, all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This indicates that appending the actual tutor response to the context </w:t>
      </w:r>
      <w:r>
        <w:rPr>
          <w:rFonts w:ascii="Times New Roman" w:cs="Times New Roman" w:eastAsia="Times New Roman" w:hAnsi="Times New Roman"/>
          <w:i/>
          <w:iCs/>
          <w:sz w:val="24"/>
          <w:szCs w:val="24"/>
        </w:rPr>
        <w:t xml:space="preserve">reduces</w:t>
      </w:r>
      <w:r>
        <w:rPr>
          <w:rFonts w:ascii="Times New Roman" w:cs="Times New Roman" w:eastAsia="Times New Roman" w:hAnsi="Times New Roman"/>
          <w:sz w:val="24"/>
          <w:szCs w:val="24"/>
        </w:rPr>
        <w:t xml:space="preserve"> its log-probability relative to providing no response at all. LLaMA-3.2-3B shows a numerically similar but statistically non-significant pattern (</w:t>
      </w:r>
      <w:r>
        <w:rPr>
          <w:rFonts w:ascii="Times New Roman" w:cs="Times New Roman" w:eastAsia="Times New Roman" w:hAnsi="Times New Roman"/>
          <w:i/>
          <w:iCs/>
          <w:sz w:val="24"/>
          <w:szCs w:val="24"/>
        </w:rPr>
        <w:t xml:space="preserve">−0.005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0.319). GPT-OSS-20B is the clear exception: it is the only model for which the regular condition scores </w:t>
      </w:r>
      <w:r>
        <w:rPr>
          <w:rFonts w:ascii="Times New Roman" w:cs="Times New Roman" w:eastAsia="Times New Roman" w:hAnsi="Times New Roman"/>
          <w:i/>
          <w:iCs/>
          <w:sz w:val="24"/>
          <w:szCs w:val="24"/>
        </w:rPr>
        <w:t xml:space="preserve">higher</w:t>
      </w:r>
      <w:r>
        <w:rPr>
          <w:rFonts w:ascii="Times New Roman" w:cs="Times New Roman" w:eastAsia="Times New Roman" w:hAnsi="Times New Roman"/>
          <w:sz w:val="24"/>
          <w:szCs w:val="24"/>
        </w:rPr>
        <w:t xml:space="preserve"> than the no-response baseline (</w:t>
      </w:r>
      <w:r>
        <w:rPr>
          <w:rFonts w:ascii="Times New Roman" w:cs="Times New Roman" w:eastAsia="Times New Roman" w:hAnsi="Times New Roman"/>
          <w:i/>
          <w:iCs/>
          <w:sz w:val="24"/>
          <w:szCs w:val="24"/>
        </w:rPr>
        <w:t xml:space="preserve">+0.103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a pattern suggesting that its log-probabilities are positively updated by the addition of a tutor response.</w:t>
      </w:r>
    </w:p>
    <w:p>
      <w:pPr>
        <w:spacing w:before="120" w:after="120"/>
      </w:pPr>
      <w:r>
        <w:rPr>
          <w:rFonts w:ascii="Times New Roman" w:cs="Times New Roman" w:eastAsia="Times New Roman" w:hAnsi="Times New Roman"/>
          <w:sz w:val="24"/>
          <w:szCs w:val="24"/>
        </w:rPr>
        <w:t xml:space="preserve">The stylistic anchoring analysis rules out the most straightforward confound: the drop observed in Gemma, Phi-4, and Qwen is not because their tutor responses are stylistically distant from the ground-truth solution. A more plausible interpretation is that pedagogically rich responses — which tend to be longer, more conditionally structured, and more dialogic — are inherently lower-probability surface continuations from a fluency standpoint, regardless of their instructional quality. This tension between pedagogical richness and model fluency is a recurring theme across the remaining analyses.</w:t>
      </w:r>
    </w:p>
    <w:p>
      <w:pPr>
        <w:pStyle w:val="Heading2"/>
        <w:spacing w:before="200" w:after="100"/>
      </w:pPr>
      <w:r>
        <w:rPr>
          <w:rFonts w:ascii="Times New Roman" w:cs="Times New Roman" w:eastAsia="Times New Roman" w:hAnsi="Times New Roman"/>
          <w:b/>
          <w:bCs/>
          <w:sz w:val="24"/>
          <w:szCs w:val="24"/>
        </w:rPr>
        <w:t xml:space="preserve">Kruskal-Wallis group comparison: ordinal sensitivity to guidance quality</w:t>
      </w:r>
    </w:p>
    <w:p>
      <w:pPr>
        <w:spacing w:before="120" w:after="120"/>
      </w:pPr>
      <w:r>
        <w:rPr>
          <w:rFonts w:ascii="Times New Roman" w:cs="Times New Roman" w:eastAsia="Times New Roman" w:hAnsi="Times New Roman"/>
          <w:sz w:val="24"/>
          <w:szCs w:val="24"/>
        </w:rPr>
        <w:t xml:space="preserve">To test whether log-probability scores differentiate the three expert-rated guidance quality levels (Yes, To some extent, No) in an ordinal fashion, we applied Kruskal-Wallis tests separately for each model and dimension. Results are mixed and instructive.</w:t>
      </w:r>
    </w:p>
    <w:p>
      <w:pPr>
        <w:spacing w:before="120" w:after="120"/>
      </w:pPr>
      <w:r>
        <w:rPr>
          <w:rFonts w:ascii="Times New Roman" w:cs="Times New Roman" w:eastAsia="Times New Roman" w:hAnsi="Times New Roman"/>
          <w:sz w:val="24"/>
          <w:szCs w:val="24"/>
        </w:rPr>
        <w:t xml:space="preserve">For the </w:t>
      </w:r>
      <w:r>
        <w:rPr>
          <w:rFonts w:ascii="Times New Roman" w:cs="Times New Roman" w:eastAsia="Times New Roman" w:hAnsi="Times New Roman"/>
          <w:i/>
          <w:iCs/>
          <w:sz w:val="24"/>
          <w:szCs w:val="24"/>
        </w:rPr>
        <w:t xml:space="preserve">Providing Guidance</w:t>
      </w:r>
      <w:r>
        <w:rPr>
          <w:rFonts w:ascii="Times New Roman" w:cs="Times New Roman" w:eastAsia="Times New Roman" w:hAnsi="Times New Roman"/>
          <w:sz w:val="24"/>
          <w:szCs w:val="24"/>
        </w:rPr>
        <w:t xml:space="preserve"> dimension, four of five models reach statistical significance: Gemma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8.57,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0.014), LLaMA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10.59,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0.005), Phi-4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9.96,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0.007), and GPT-OSS-20B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7.98,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0.019). Qwen3-30B falls just below the threshold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5.56,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0.062). For </w:t>
      </w:r>
      <w:r>
        <w:rPr>
          <w:rFonts w:ascii="Times New Roman" w:cs="Times New Roman" w:eastAsia="Times New Roman" w:hAnsi="Times New Roman"/>
          <w:i/>
          <w:iCs/>
          <w:sz w:val="24"/>
          <w:szCs w:val="24"/>
        </w:rPr>
        <w:t xml:space="preserve">Actionability</w:t>
      </w:r>
      <w:r>
        <w:rPr>
          <w:rFonts w:ascii="Times New Roman" w:cs="Times New Roman" w:eastAsia="Times New Roman" w:hAnsi="Times New Roman"/>
          <w:sz w:val="24"/>
          <w:szCs w:val="24"/>
        </w:rPr>
        <w:t xml:space="preserve">, fewer models reach significance: Gemma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0.033) and LLaMA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0.046), while Phi-4, GPT-OSS-20B, and Qwen3-30B do not.</w:t>
      </w:r>
    </w:p>
    <w:p>
      <w:pPr>
        <w:spacing w:before="120" w:after="120"/>
      </w:pPr>
      <w:r>
        <w:rPr>
          <w:rFonts w:ascii="Times New Roman" w:cs="Times New Roman" w:eastAsia="Times New Roman" w:hAnsi="Times New Roman"/>
          <w:sz w:val="24"/>
          <w:szCs w:val="24"/>
        </w:rPr>
        <w:t xml:space="preserve">Although omnibus significance is attained in several cases, the pairwise post-hoc contrasts (Yes vs. To-Some-Extent, Yes vs. No, To-Some-Extent vs. No) are uniformly non-significant across all models and dimensions. This means the Kruskal-Wallis result is driven by aggregate distributional differences across groups rather than by a clean monotonic ordering of medians. Group means show the expected directional pattern — Yes responses tend to receive higher log-probabilities than No responses — but the within-group variance is large enough that pairwise separation is not detectable. Consistent with this, pairwise ranking accuracy hovers near chance for most models (0.46–0.53), with GPT-OSS-20B reaching the highest values (0.532 for </w:t>
      </w:r>
      <w:r>
        <w:rPr>
          <w:rFonts w:ascii="Times New Roman" w:cs="Times New Roman" w:eastAsia="Times New Roman" w:hAnsi="Times New Roman"/>
          <w:i/>
          <w:iCs/>
          <w:sz w:val="24"/>
          <w:szCs w:val="24"/>
        </w:rPr>
        <w:t xml:space="preserve">Providing Guidance</w:t>
      </w:r>
      <w:r>
        <w:rPr>
          <w:rFonts w:ascii="Times New Roman" w:cs="Times New Roman" w:eastAsia="Times New Roman" w:hAnsi="Times New Roman"/>
          <w:sz w:val="24"/>
          <w:szCs w:val="24"/>
        </w:rPr>
        <w:t xml:space="preserve">, 0.557 for </w:t>
      </w:r>
      <w:r>
        <w:rPr>
          <w:rFonts w:ascii="Times New Roman" w:cs="Times New Roman" w:eastAsia="Times New Roman" w:hAnsi="Times New Roman"/>
          <w:i/>
          <w:iCs/>
          <w:sz w:val="24"/>
          <w:szCs w:val="24"/>
        </w:rPr>
        <w:t xml:space="preserve">Actionability</w:t>
      </w:r>
      <w:r>
        <w:rPr>
          <w:rFonts w:ascii="Times New Roman" w:cs="Times New Roman" w:eastAsia="Times New Roman" w:hAnsi="Times New Roman"/>
          <w:sz w:val="24"/>
          <w:szCs w:val="24"/>
        </w:rPr>
        <w:t xml:space="preserve">).</w:t>
      </w:r>
    </w:p>
    <w:p>
      <w:pPr>
        <w:pStyle w:val="Heading2"/>
        <w:spacing w:before="200" w:after="100"/>
      </w:pPr>
      <w:r>
        <w:rPr>
          <w:rFonts w:ascii="Times New Roman" w:cs="Times New Roman" w:eastAsia="Times New Roman" w:hAnsi="Times New Roman"/>
          <w:b/>
          <w:bCs/>
          <w:sz w:val="24"/>
          <w:szCs w:val="24"/>
        </w:rPr>
        <w:t xml:space="preserve">Correlation analysis: pedagogy signal, relevance, and length</w:t>
      </w:r>
    </w:p>
    <w:p>
      <w:pPr>
        <w:spacing w:before="120" w:after="120"/>
      </w:pPr>
      <w:r>
        <w:rPr>
          <w:rFonts w:ascii="Times New Roman" w:cs="Times New Roman" w:eastAsia="Times New Roman" w:hAnsi="Times New Roman"/>
          <w:sz w:val="24"/>
          <w:szCs w:val="24"/>
        </w:rPr>
        <w:t xml:space="preserve">Spearman correlation analysis between within-conversation normalised log-probabilities and expert-rated guidance quality reveals a weak and inconsistent pedagogy signal. For </w:t>
      </w:r>
      <w:r>
        <w:rPr>
          <w:rFonts w:ascii="Times New Roman" w:cs="Times New Roman" w:eastAsia="Times New Roman" w:hAnsi="Times New Roman"/>
          <w:i/>
          <w:iCs/>
          <w:sz w:val="24"/>
          <w:szCs w:val="24"/>
        </w:rPr>
        <w:t xml:space="preserve">Providing Guidance</w:t>
      </w:r>
      <w:r>
        <w:rPr>
          <w:rFonts w:ascii="Times New Roman" w:cs="Times New Roman" w:eastAsia="Times New Roman" w:hAnsi="Times New Roman"/>
          <w:sz w:val="24"/>
          <w:szCs w:val="24"/>
        </w:rPr>
        <w:t xml:space="preserve">, only GPT-OSS-20B yields a significant positive correlation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rPr>
        <w:t xml:space="preserve"> = 0.098, Bonferroni-corrected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0.003). All other models are non-significant, and Qwen3-30B is directionally negative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rPr>
        <w:t xml:space="preserve"> = −0.091,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0.008). For </w:t>
      </w:r>
      <w:r>
        <w:rPr>
          <w:rFonts w:ascii="Times New Roman" w:cs="Times New Roman" w:eastAsia="Times New Roman" w:hAnsi="Times New Roman"/>
          <w:i/>
          <w:iCs/>
          <w:sz w:val="24"/>
          <w:szCs w:val="24"/>
        </w:rPr>
        <w:t xml:space="preserve">Actionability</w:t>
      </w:r>
      <w:r>
        <w:rPr>
          <w:rFonts w:ascii="Times New Roman" w:cs="Times New Roman" w:eastAsia="Times New Roman" w:hAnsi="Times New Roman"/>
          <w:sz w:val="24"/>
          <w:szCs w:val="24"/>
        </w:rPr>
        <w:t xml:space="preserve">, GPT-OSS-20B again shows the strongest positive signal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rPr>
        <w:t xml:space="preserve"> = 0.150,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while Qwen3-30B shows a significant negative correlation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rPr>
        <w:t xml:space="preserve"> = −0.172,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These effect sizes are small across the board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rPr>
        <w:t xml:space="preserve">| &lt; 0.20), indicating that even where significance is attained, log-probability is only nominally sensitive to instructional quality.</w:t>
      </w:r>
    </w:p>
    <w:p>
      <w:pPr>
        <w:spacing w:before="120" w:after="120"/>
      </w:pPr>
      <w:r>
        <w:rPr>
          <w:rFonts w:ascii="Times New Roman" w:cs="Times New Roman" w:eastAsia="Times New Roman" w:hAnsi="Times New Roman"/>
          <w:sz w:val="24"/>
          <w:szCs w:val="24"/>
        </w:rPr>
        <w:t xml:space="preserve">Two potential confounds are examined and largely ruled out. First, length: response word count correlates with guidance quality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rPr>
        <w:t xml:space="preserve"> = 0.165,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for the guidance-vs-length correlation in the </w:t>
      </w:r>
      <w:r>
        <w:rPr>
          <w:rFonts w:ascii="Times New Roman" w:cs="Times New Roman" w:eastAsia="Times New Roman" w:hAnsi="Times New Roman"/>
          <w:i/>
          <w:iCs/>
          <w:sz w:val="24"/>
          <w:szCs w:val="24"/>
        </w:rPr>
        <w:t xml:space="preserve">Providing Guidance</w:t>
      </w:r>
      <w:r>
        <w:rPr>
          <w:rFonts w:ascii="Times New Roman" w:cs="Times New Roman" w:eastAsia="Times New Roman" w:hAnsi="Times New Roman"/>
          <w:sz w:val="24"/>
          <w:szCs w:val="24"/>
        </w:rPr>
        <w:t xml:space="preserve"> dimension), raising the concern that any pedagogy signal may simply reflect verbosity. However, the length-vs-log-probability correlation is significant only for LLaMA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rPr>
        <w:t xml:space="preserve"> = −0.092) and Phi-4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rPr>
        <w:t xml:space="preserve"> = −0.193) — and in both cases it is </w:t>
      </w:r>
      <w:r>
        <w:rPr>
          <w:rFonts w:ascii="Times New Roman" w:cs="Times New Roman" w:eastAsia="Times New Roman" w:hAnsi="Times New Roman"/>
          <w:i/>
          <w:iCs/>
          <w:sz w:val="24"/>
          <w:szCs w:val="24"/>
        </w:rPr>
        <w:t xml:space="preserve">negative</w:t>
      </w:r>
      <w:r>
        <w:rPr>
          <w:rFonts w:ascii="Times New Roman" w:cs="Times New Roman" w:eastAsia="Times New Roman" w:hAnsi="Times New Roman"/>
          <w:sz w:val="24"/>
          <w:szCs w:val="24"/>
        </w:rPr>
        <w:t xml:space="preserve">, indicating these models penalise longer responses, which would if anything suppress rather than inflate the pedagogy signal. GPT-OSS-20B, the model with the clearest positive pedagogy signal, shows no length bias. Second, relevance (F1 overlap): it is non-significant or negatively correlated with log-probability for most models, indicating that lexical relevance to the question is not the driver of the observed pattern.</w:t>
      </w:r>
    </w:p>
    <w:p>
      <w:pPr>
        <w:pStyle w:val="Heading2"/>
        <w:spacing w:before="200" w:after="100"/>
      </w:pPr>
      <w:r>
        <w:rPr>
          <w:rFonts w:ascii="Times New Roman" w:cs="Times New Roman" w:eastAsia="Times New Roman" w:hAnsi="Times New Roman"/>
          <w:b/>
          <w:bCs/>
          <w:sz w:val="24"/>
          <w:szCs w:val="24"/>
        </w:rPr>
        <w:t xml:space="preserve">GPT-OSS-20B as a positive exception</w:t>
      </w:r>
    </w:p>
    <w:p>
      <w:pPr>
        <w:spacing w:before="120" w:after="120"/>
      </w:pPr>
      <w:r>
        <w:rPr>
          <w:rFonts w:ascii="Times New Roman" w:cs="Times New Roman" w:eastAsia="Times New Roman" w:hAnsi="Times New Roman"/>
          <w:sz w:val="24"/>
          <w:szCs w:val="24"/>
        </w:rPr>
        <w:t xml:space="preserve">GPT-OSS-20B stands out as a consistent positive case across every analysis. It is the only model to exhibit: (1) a significant positive pedagogy signal on both dimensions; (2) the highest pairwise ranking accuracy (up to 0.557); (3) a regular &gt; baseline direction in the ablation, meaning the model assigns </w:t>
      </w:r>
      <w:r>
        <w:rPr>
          <w:rFonts w:ascii="Times New Roman" w:cs="Times New Roman" w:eastAsia="Times New Roman" w:hAnsi="Times New Roman"/>
          <w:i/>
          <w:iCs/>
          <w:sz w:val="24"/>
          <w:szCs w:val="24"/>
        </w:rPr>
        <w:t xml:space="preserve">higher</w:t>
      </w:r>
      <w:r>
        <w:rPr>
          <w:rFonts w:ascii="Times New Roman" w:cs="Times New Roman" w:eastAsia="Times New Roman" w:hAnsi="Times New Roman"/>
          <w:sz w:val="24"/>
          <w:szCs w:val="24"/>
        </w:rPr>
        <w:t xml:space="preserve"> log-probability to a context that includes a tutor response than to one that does not; and (4) the largest mismatch effect (+1.300 log-probability units,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These results converge to suggest that GPT-OSS-20B's generative distribution is more sensitive to instructional quality than the other models tested. Whether this reflects genuine internalisation of pedagogical norms during training — for example, through exposure to tutoring data or pedagogically-oriented RLHF feedback — or a correlated surface property (e.g. that higher-quality guidance responses are more fluent in GPT's vocabulary) is not determinable from the current study and warrants further investigation.</w:t>
      </w:r>
    </w:p>
    <w:p>
      <w:pPr>
        <w:pStyle w:val="Heading1"/>
        <w:spacing w:before="300" w:after="120"/>
      </w:pPr>
      <w:r>
        <w:rPr>
          <w:rFonts w:ascii="Times New Roman" w:cs="Times New Roman" w:eastAsia="Times New Roman" w:hAnsi="Times New Roman"/>
          <w:b/>
          <w:bCs/>
          <w:sz w:val="28"/>
          <w:szCs w:val="28"/>
        </w:rPr>
        <w:t xml:space="preserve">Discussion</w:t>
      </w:r>
    </w:p>
    <w:p>
      <w:pPr>
        <w:pStyle w:val="Heading2"/>
        <w:spacing w:before="200" w:after="100"/>
      </w:pPr>
      <w:r>
        <w:rPr>
          <w:rFonts w:ascii="Times New Roman" w:cs="Times New Roman" w:eastAsia="Times New Roman" w:hAnsi="Times New Roman"/>
          <w:b/>
          <w:bCs/>
          <w:sz w:val="24"/>
          <w:szCs w:val="24"/>
        </w:rPr>
        <w:t xml:space="preserve">Context-sensitive but not pedagogically aligned</w:t>
      </w:r>
    </w:p>
    <w:p>
      <w:pPr>
        <w:spacing w:before="120" w:after="120"/>
      </w:pPr>
      <w:r>
        <w:rPr>
          <w:rFonts w:ascii="Times New Roman" w:cs="Times New Roman" w:eastAsia="Times New Roman" w:hAnsi="Times New Roman"/>
          <w:sz w:val="24"/>
          <w:szCs w:val="24"/>
        </w:rPr>
        <w:t xml:space="preserve">The central finding of this study is a dissociation between two forms of distributional sensitivity. All five models are demonstrably context-sensitive: they assign substantially higher log-probabilities to responses matched to their originating conversations than to responses drawn from unrelated conversations. This is a non-trivial result. It establishes that the log-likelihood probe is not measuring noise, and that instructional content in the context window does modulate the model's distribution over continuations.</w:t>
      </w:r>
    </w:p>
    <w:p>
      <w:pPr>
        <w:spacing w:before="120" w:after="120"/>
      </w:pPr>
      <w:r>
        <w:rPr>
          <w:rFonts w:ascii="Times New Roman" w:cs="Times New Roman" w:eastAsia="Times New Roman" w:hAnsi="Times New Roman"/>
          <w:sz w:val="24"/>
          <w:szCs w:val="24"/>
        </w:rPr>
        <w:t xml:space="preserve">However, context sensitivity does not entail pedagogical alignment. When the question shifts from "does this response fit this conversation?" to "does this response fit better </w:t>
      </w:r>
      <w:r>
        <w:rPr>
          <w:rFonts w:ascii="Times New Roman" w:cs="Times New Roman" w:eastAsia="Times New Roman" w:hAnsi="Times New Roman"/>
          <w:i/>
          <w:iCs/>
          <w:sz w:val="24"/>
          <w:szCs w:val="24"/>
        </w:rPr>
        <w:t xml:space="preserve">because</w:t>
      </w:r>
      <w:r>
        <w:rPr>
          <w:rFonts w:ascii="Times New Roman" w:cs="Times New Roman" w:eastAsia="Times New Roman" w:hAnsi="Times New Roman"/>
          <w:sz w:val="24"/>
          <w:szCs w:val="24"/>
        </w:rPr>
        <w:t xml:space="preserve"> it is more instructionally effective?", the signal deteriorates markedly. The pedagogy correlations are small, inconsistent across models, and in two cases (Qwen3-30B on both dimensions) significantly negative. The Kruskal-Wallis omnibus tests achieve significance in several cases but fail to resolve into ordinal pairwise separation, and pairwise accuracy is near chance for most models. These results collectively indicate that current LLMs are sensitive to </w:t>
      </w:r>
      <w:r>
        <w:rPr>
          <w:rFonts w:ascii="Times New Roman" w:cs="Times New Roman" w:eastAsia="Times New Roman" w:hAnsi="Times New Roman"/>
          <w:i/>
          <w:iCs/>
          <w:sz w:val="24"/>
          <w:szCs w:val="24"/>
        </w:rPr>
        <w:t xml:space="preserve">whether</w:t>
      </w:r>
      <w:r>
        <w:rPr>
          <w:rFonts w:ascii="Times New Roman" w:cs="Times New Roman" w:eastAsia="Times New Roman" w:hAnsi="Times New Roman"/>
          <w:sz w:val="24"/>
          <w:szCs w:val="24"/>
        </w:rPr>
        <w:t xml:space="preserve"> a response belongs to a conversation, but not reliably sensitive to </w:t>
      </w:r>
      <w:r>
        <w:rPr>
          <w:rFonts w:ascii="Times New Roman" w:cs="Times New Roman" w:eastAsia="Times New Roman" w:hAnsi="Times New Roman"/>
          <w:i/>
          <w:iCs/>
          <w:sz w:val="24"/>
          <w:szCs w:val="24"/>
        </w:rPr>
        <w:t xml:space="preserve">how well</w:t>
      </w:r>
      <w:r>
        <w:rPr>
          <w:rFonts w:ascii="Times New Roman" w:cs="Times New Roman" w:eastAsia="Times New Roman" w:hAnsi="Times New Roman"/>
          <w:sz w:val="24"/>
          <w:szCs w:val="24"/>
        </w:rPr>
        <w:t xml:space="preserve"> it serves the learner.</w:t>
      </w:r>
    </w:p>
    <w:p>
      <w:pPr>
        <w:spacing w:before="120" w:after="120"/>
      </w:pPr>
      <w:r>
        <w:rPr>
          <w:rFonts w:ascii="Times New Roman" w:cs="Times New Roman" w:eastAsia="Times New Roman" w:hAnsi="Times New Roman"/>
          <w:sz w:val="24"/>
          <w:szCs w:val="24"/>
        </w:rPr>
        <w:t xml:space="preserve">This dissociation aligns with recent critiques of LLM-based student simulations. Martynova et al. (2025) observe that simulated students fail to reproduce realistic learning trajectories over time; Srivatsa et al. (2025) identify systematic divergences between LLM-generated and human student responses in tutoring settings. Our findings provide a mechanistic correlate of these observations: if a model's internal probability distribution does not privilege pedagogically effective responses, then it cannot be expected to produce them reliably or to respond to them in ways that mirror genuine learning.</w:t>
      </w:r>
    </w:p>
    <w:p>
      <w:pPr>
        <w:pStyle w:val="Heading2"/>
        <w:spacing w:before="200" w:after="100"/>
      </w:pPr>
      <w:r>
        <w:rPr>
          <w:rFonts w:ascii="Times New Roman" w:cs="Times New Roman" w:eastAsia="Times New Roman" w:hAnsi="Times New Roman"/>
          <w:b/>
          <w:bCs/>
          <w:sz w:val="24"/>
          <w:szCs w:val="24"/>
        </w:rPr>
        <w:t xml:space="preserve">The fluency-pedagogy tension</w:t>
      </w:r>
    </w:p>
    <w:p>
      <w:pPr>
        <w:spacing w:before="120" w:after="120"/>
      </w:pPr>
      <w:r>
        <w:rPr>
          <w:rFonts w:ascii="Times New Roman" w:cs="Times New Roman" w:eastAsia="Times New Roman" w:hAnsi="Times New Roman"/>
          <w:sz w:val="24"/>
          <w:szCs w:val="24"/>
        </w:rPr>
        <w:t xml:space="preserve">The baseline ablation result — that adding a pedagogically substantive tutor response </w:t>
      </w:r>
      <w:r>
        <w:rPr>
          <w:rFonts w:ascii="Times New Roman" w:cs="Times New Roman" w:eastAsia="Times New Roman" w:hAnsi="Times New Roman"/>
          <w:i/>
          <w:iCs/>
          <w:sz w:val="24"/>
          <w:szCs w:val="24"/>
        </w:rPr>
        <w:t xml:space="preserve">lowers</w:t>
      </w:r>
      <w:r>
        <w:rPr>
          <w:rFonts w:ascii="Times New Roman" w:cs="Times New Roman" w:eastAsia="Times New Roman" w:hAnsi="Times New Roman"/>
          <w:sz w:val="24"/>
          <w:szCs w:val="24"/>
        </w:rPr>
        <w:t xml:space="preserve"> the response's log-probability relative to the no-response baseline for four of five models — points to a specific structural tension. Pedagogically rich responses tend to be longer, more scaffolded, and more conditionally structured (e.g. "if you think about it this way...", "what do you notice about..."). These properties are broadly associated with lower surface fluency from the perspective of a language model trained primarily on fluent, well-formed natural language. The model's distribution is calibrated towards natural continuations, not educationally optimal ones, and these two targets can diverge substantially.</w:t>
      </w:r>
    </w:p>
    <w:p>
      <w:pPr>
        <w:spacing w:before="120" w:after="120"/>
      </w:pPr>
      <w:r>
        <w:rPr>
          <w:rFonts w:ascii="Times New Roman" w:cs="Times New Roman" w:eastAsia="Times New Roman" w:hAnsi="Times New Roman"/>
          <w:sz w:val="24"/>
          <w:szCs w:val="24"/>
        </w:rPr>
        <w:t xml:space="preserve">The stylistic anchoring analysis provides important negative evidence here. If the baseline &gt; regular pattern were driven by the tutor response being stylistically distant from the ground-truth solution embedded in the context, we would expect stylistic distance (lexical, semantic, or length-based) to predict the magnitude of the drop. No such pattern is found. The suppression of log-probability for pedagogically rich responses is therefore not an artifact of how the evaluation context is constructed; it appears to be a genuine property of the models' distributional preferences.</w:t>
      </w:r>
    </w:p>
    <w:p>
      <w:pPr>
        <w:pStyle w:val="Heading2"/>
        <w:spacing w:before="200" w:after="100"/>
      </w:pPr>
      <w:r>
        <w:rPr>
          <w:rFonts w:ascii="Times New Roman" w:cs="Times New Roman" w:eastAsia="Times New Roman" w:hAnsi="Times New Roman"/>
          <w:b/>
          <w:bCs/>
          <w:sz w:val="24"/>
          <w:szCs w:val="24"/>
        </w:rPr>
        <w:t xml:space="preserve">Implications for LLMs as student proxies</w:t>
      </w:r>
    </w:p>
    <w:p>
      <w:pPr>
        <w:spacing w:before="120" w:after="120"/>
      </w:pPr>
      <w:r>
        <w:rPr>
          <w:rFonts w:ascii="Times New Roman" w:cs="Times New Roman" w:eastAsia="Times New Roman" w:hAnsi="Times New Roman"/>
          <w:sz w:val="24"/>
          <w:szCs w:val="24"/>
        </w:rPr>
        <w:t xml:space="preserve">The question motivating this work — whether LLMs are aligned with student learning, in the sense of having internal representations that reflect learning-theoretic constructs — receives a nuanced answer from our data. LLMs are not simply insensitive to instructional context; the mismatch ablation forecloses that interpretation. Rather, they appear to represent instructional context at the level of </w:t>
      </w:r>
      <w:r>
        <w:rPr>
          <w:rFonts w:ascii="Times New Roman" w:cs="Times New Roman" w:eastAsia="Times New Roman" w:hAnsi="Times New Roman"/>
          <w:i/>
          <w:iCs/>
          <w:sz w:val="24"/>
          <w:szCs w:val="24"/>
        </w:rPr>
        <w:t xml:space="preserve">conversational coherence</w:t>
      </w:r>
      <w:r>
        <w:rPr>
          <w:rFonts w:ascii="Times New Roman" w:cs="Times New Roman" w:eastAsia="Times New Roman" w:hAnsi="Times New Roman"/>
          <w:sz w:val="24"/>
          <w:szCs w:val="24"/>
        </w:rPr>
        <w:t xml:space="preserve"> — does this response fit here? — without reliably representing it at the level of </w:t>
      </w:r>
      <w:r>
        <w:rPr>
          <w:rFonts w:ascii="Times New Roman" w:cs="Times New Roman" w:eastAsia="Times New Roman" w:hAnsi="Times New Roman"/>
          <w:i/>
          <w:iCs/>
          <w:sz w:val="24"/>
          <w:szCs w:val="24"/>
        </w:rPr>
        <w:t xml:space="preserve">pedagogical efficacy</w:t>
      </w:r>
      <w:r>
        <w:rPr>
          <w:rFonts w:ascii="Times New Roman" w:cs="Times New Roman" w:eastAsia="Times New Roman" w:hAnsi="Times New Roman"/>
          <w:sz w:val="24"/>
          <w:szCs w:val="24"/>
        </w:rPr>
        <w:t xml:space="preserve"> — does this response advance the learner's understanding?</w:t>
      </w:r>
    </w:p>
    <w:p>
      <w:pPr>
        <w:spacing w:before="120" w:after="120"/>
      </w:pPr>
      <w:r>
        <w:rPr>
          <w:rFonts w:ascii="Times New Roman" w:cs="Times New Roman" w:eastAsia="Times New Roman" w:hAnsi="Times New Roman"/>
          <w:sz w:val="24"/>
          <w:szCs w:val="24"/>
        </w:rPr>
        <w:t xml:space="preserve">This distinction carries direct implications for the use of LLMs as student proxies in educational research. Models that respond to surface contextual cues without encoding the deeper structure of learning can produce outputs that appear appropriate — coherent, relevant, responsive — while failing to reflect the epistemic dynamics that matter for educational outcomes. They are, in this sense, locally plausible but globally misaligned with the norms of effective tutoring.</w:t>
      </w:r>
    </w:p>
    <w:p>
      <w:pPr>
        <w:spacing w:before="120" w:after="120"/>
      </w:pPr>
      <w:r>
        <w:rPr>
          <w:rFonts w:ascii="Times New Roman" w:cs="Times New Roman" w:eastAsia="Times New Roman" w:hAnsi="Times New Roman"/>
          <w:sz w:val="24"/>
          <w:szCs w:val="24"/>
        </w:rPr>
        <w:t xml:space="preserve">These findings do not preclude the use of LLMs in educational research, but they do sharpen the conditions under which such use is warranted. For low-stakes prototyping — exploring lesson structures, generating candidate questions, or piloting interaction designs — the contextual sensitivity demonstrated here is likely sufficient. For higher-stakes applications, such as curriculum design, teacher training, or formative assessment, the weak and inconsistent pedagogical alignment observed across most models constitutes a substantive validity concern that should be explicitly addressed before deployment.</w:t>
      </w:r>
    </w:p>
    <w:p>
      <w:pPr>
        <w:pStyle w:val="Heading1"/>
        <w:spacing w:before="300" w:after="120"/>
      </w:pPr>
      <w:r>
        <w:rPr>
          <w:rFonts w:ascii="Times New Roman" w:cs="Times New Roman" w:eastAsia="Times New Roman" w:hAnsi="Times New Roman"/>
          <w:b/>
          <w:bCs/>
          <w:sz w:val="28"/>
          <w:szCs w:val="28"/>
        </w:rPr>
        <w:t xml:space="preserve">Conclusion and Future Work</w:t>
      </w:r>
    </w:p>
    <w:p>
      <w:pPr>
        <w:spacing w:before="120" w:after="120"/>
      </w:pPr>
      <w:r>
        <w:rPr>
          <w:rFonts w:ascii="Times New Roman" w:cs="Times New Roman" w:eastAsia="Times New Roman" w:hAnsi="Times New Roman"/>
          <w:sz w:val="24"/>
          <w:szCs w:val="24"/>
        </w:rPr>
        <w:t xml:space="preserve">This study investigated whether large language models approximate student-like epistemic behaviour by modulating their internal uncertainty in response to instructional guidance quality. The results reveal a consistent and interpretable pattern: model uncertainty responds systematically to conversational context in the sense of distinguishing matched from mismatched response-conversation pairs, but this context sensitivity does not extend to reliable differentiation of guidance quality within matched contexts. Four of five models fail to show a significant positive pedagogy signal, and two exhibit significant negative correlations with instructional quality on at least one dimension. GPT-OSS-20B is a meaningful exception, exhibiting consistent positive alignment across both dimensions, both ablation tests, and both measures of ranking accuracy — a result that warrants targeted follow-up to understand what properties of its training give rise to greater instructional sensitivity.</w:t>
      </w:r>
    </w:p>
    <w:p>
      <w:pPr>
        <w:spacing w:before="120" w:after="120"/>
      </w:pPr>
      <w:r>
        <w:rPr>
          <w:rFonts w:ascii="Times New Roman" w:cs="Times New Roman" w:eastAsia="Times New Roman" w:hAnsi="Times New Roman"/>
          <w:sz w:val="24"/>
          <w:szCs w:val="24"/>
        </w:rPr>
        <w:t xml:space="preserve">Methodologically, the stylistic anchoring diagnostic contributes an important negative control: it rules out the possibility that the log-likelihood probe is confounded by stylistic proximity between tutor responses and the ground-truth solution, strengthening the interpretation of the main correlation results. Future work should extend the analysis in at least three directions. First, longitudinal or multi-turn designs would allow investigation of whether more complex belief-updating dynamics emerge over extended instructional sequences, which the single-turn design of the current study cannot capture. Second, the model scale effect suggested by the data — larger models showing more frequent significance — should be examined systematically across a wider range of parameter counts. Third, targeted analysis of GPT-OSS-20B's training data and alignment procedure may shed light on what is required for a model to develop genuine pedagogical sensitivity rather than contextual coherence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2026-03-17T00:02:45.552Z</dcterms:created>
  <dcterms:modified xsi:type="dcterms:W3CDTF">2026-03-17T00:02:45.554Z</dcterms:modified>
</cp:coreProperties>
</file>

<file path=docProps/custom.xml><?xml version="1.0" encoding="utf-8"?>
<Properties xmlns="http://schemas.openxmlformats.org/officeDocument/2006/custom-properties" xmlns:vt="http://schemas.openxmlformats.org/officeDocument/2006/docPropsVTypes"/>
</file>