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ADONG CAROLINE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53.0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60.0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30.0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33.0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