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Comparative study of named entity recognition (NER) architectures</w:t>
      </w:r>
    </w:p>
    <w:p w:rsidR="00000000" w:rsidDel="00000000" w:rsidP="00000000" w:rsidRDefault="00000000" w:rsidRPr="00000000" w14:paraId="00000002">
      <w:pPr>
        <w:jc w:val="center"/>
        <w:rPr/>
      </w:pPr>
      <w:r w:rsidDel="00000000" w:rsidR="00000000" w:rsidRPr="00000000">
        <w:rPr>
          <w:b w:val="1"/>
          <w:bCs w:val="1"/>
          <w:rtl w:val="0"/>
        </w:rPr>
        <w:t xml:space="preserve">Pailin Losada 2105194</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73504</wp:posOffset>
            </wp:positionH>
            <wp:positionV relativeFrom="paragraph">
              <wp:posOffset>179070</wp:posOffset>
            </wp:positionV>
            <wp:extent cx="5553394" cy="1973885"/>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53394" cy="1973885"/>
                    </a:xfrm>
                    <a:prstGeom prst="rect"/>
                    <a:ln/>
                  </pic:spPr>
                </pic:pic>
              </a:graphicData>
            </a:graphic>
          </wp:anchor>
        </w:drawing>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Generative AI was used to support the completion of this assessment. If used: The GenAI tool ChatGPT was used for the purpose of ideation, specifically, to select a dataset to use that best aligns with the coursework’s specification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r w:rsidDel="00000000" w:rsidR="00000000" w:rsidRPr="00000000">
        <w:rPr>
          <w:rtl w:val="0"/>
        </w:rPr>
        <w:t xml:space="preserve">Project goal and scope</w:t>
      </w:r>
    </w:p>
    <w:p w:rsidR="00000000" w:rsidDel="00000000" w:rsidP="00000000" w:rsidRDefault="00000000" w:rsidRPr="00000000" w14:paraId="0000000A">
      <w:pPr>
        <w:rPr/>
      </w:pPr>
      <w:r w:rsidDel="00000000" w:rsidR="00000000" w:rsidRPr="00000000">
        <w:rPr>
          <w:rtl w:val="0"/>
        </w:rPr>
        <w:t xml:space="preserve">The objective of this project was to directly compare three different ways of resolving the problem of Named Entity Recognition (NER). I considered the use of the standard CoNLL-2003 dataset (reference), which allowed for a  simple, fair and easy approach to process the data(?)to develop an objective POV, using three methodologies to represent the evolution of sequence modelling:</w:t>
      </w:r>
    </w:p>
    <w:p w:rsidR="00000000" w:rsidDel="00000000" w:rsidP="00000000" w:rsidRDefault="00000000" w:rsidRPr="00000000" w14:paraId="000000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Classical Baseline – The conditional random field (CRF) model, </w:t>
      </w:r>
      <w:r w:rsidDel="00000000" w:rsidR="00000000" w:rsidRPr="00000000">
        <w:rPr>
          <w:rtl w:val="0"/>
        </w:rPr>
        <w:t xml:space="preserve">a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traditional manual feature-based approach.</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Deep learning baseline – The bidirectional long short-term memory (Bi-LSTM) network, which allows the computer </w:t>
      </w:r>
      <w:r w:rsidDel="00000000" w:rsidR="00000000" w:rsidRPr="00000000">
        <w:rPr>
          <w:rtl w:val="0"/>
        </w:rPr>
        <w:t xml:space="preserve">to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begin learning its own features.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State-of-the-art (SOTA) Transformer – The bidirectional encoder representations from </w:t>
      </w:r>
      <w:r w:rsidDel="00000000" w:rsidR="00000000" w:rsidRPr="00000000">
        <w:rPr>
          <w:rtl w:val="0"/>
        </w:rPr>
        <w:t xml:space="preserve">the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transformers (BERT) model,  which allows the end user to determine the best performance and output(?)</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objective of the project was to determine why models improve over time and measure that improvement using the weighted F1-Scores.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rPr/>
      </w:pPr>
      <w:r w:rsidDel="00000000" w:rsidR="00000000" w:rsidRPr="00000000">
        <w:rPr>
          <w:rtl w:val="0"/>
        </w:rPr>
        <w:t xml:space="preserve">Named Entity Recognition (NER)</w:t>
      </w:r>
    </w:p>
    <w:p w:rsidR="00000000" w:rsidDel="00000000" w:rsidP="00000000" w:rsidRDefault="00000000" w:rsidRPr="00000000" w14:paraId="00000011">
      <w:pPr>
        <w:rPr/>
      </w:pPr>
      <w:r w:rsidDel="00000000" w:rsidR="00000000" w:rsidRPr="00000000">
        <w:rPr>
          <w:rtl w:val="0"/>
        </w:rPr>
        <w:t xml:space="preserve">NER is a core task in Natural Language Processing (NLP), where you identify and categorise real-world entities in text.  To achieve this, I utilised the BIO Tagging scheme (Begin, Inside, Outside), which is standard for instructing the model exactly where an entity starts and ends.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Methodology and Implementation</w:t>
      </w:r>
    </w:p>
    <w:p w:rsidR="00000000" w:rsidDel="00000000" w:rsidP="00000000" w:rsidRDefault="00000000" w:rsidRPr="00000000" w14:paraId="00000014">
      <w:pPr>
        <w:rPr/>
      </w:pPr>
      <w:r w:rsidDel="00000000" w:rsidR="00000000" w:rsidRPr="00000000">
        <w:rPr>
          <w:rtl w:val="0"/>
        </w:rPr>
        <w:t xml:space="preserve">The comparative study was built using Python and modern libraries, with a GPU instance used to handle the heavy processing for the deep learning models.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rtl w:val="0"/>
        </w:rPr>
        <w:t xml:space="preserve">Dataset &amp; Environment</w:t>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Dataset: CoNLL-2003 (English)</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Evaluation Metric: Weighted </w:t>
      </w:r>
      <w:r w:rsidDel="00000000" w:rsidR="00000000" w:rsidRPr="00000000">
        <w:rPr>
          <w:rtl w:val="0"/>
        </w:rPr>
        <w:t xml:space="preserve">F1-Score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(Ignoring the O tag)</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Environment: GPU used for the computationally (very) expensive deep learning training</w:t>
      </w: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rtl w:val="0"/>
        </w:rPr>
        <w:t xml:space="preserve">Pipeline A: Classical Baseline (CRF)</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 Conditional Random Field (CRF)</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Feature: The CRF model could only rely on manual features. This included checking things such as </w:t>
      </w:r>
      <w:r w:rsidDel="00000000" w:rsidR="00000000" w:rsidRPr="00000000">
        <w:rPr>
          <w:rtl w:val="0"/>
        </w:rPr>
        <w:t xml:space="preserve">capitalisation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word shape and getting the part-of-speech (POS) tag from </w:t>
      </w:r>
      <w:commentRangeStart w:id="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NLTK </w:t>
      </w:r>
      <w:commentRangeEnd w:id="0"/>
      <w:r w:rsidDel="00000000" w:rsidR="00000000" w:rsidRPr="00000000">
        <w:commentReference w:id="0"/>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develop some grammatical clues.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pP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tl w:val="0"/>
        </w:rPr>
        <w:t xml:space="preserve">Pipeline B: Deep Learning Baseline (Bi-LTSM)</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 Bidirectional Long Short-Term Memory (Bi-LTSM)</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Feature: Instead of manual features, I used fixed word embedding was </w:t>
      </w:r>
      <w:r w:rsidDel="00000000" w:rsidR="00000000" w:rsidRPr="00000000">
        <w:rPr>
          <w:rtl w:val="0"/>
        </w:rPr>
        <w:t xml:space="preserve">utilised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these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were used as the vectors the model learned to represent a word’s meaning.</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Sequence Processing: The Bidirectional layer the key, as it allows/permits the network to read a sentence both forwards and backwards, helping it understand the full context of a word within a given sentence.</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tl w:val="0"/>
        </w:rPr>
        <w:t xml:space="preserve">Pipeline C: State-of-the-Art (SOTA) BERT</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 BERT Transformer architecture </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Pre-processing: This model used subword tokenisation and then implemented complex label alignment. The NER tag must be assigned only to the first subword token of a </w:t>
      </w:r>
      <w:r w:rsidDel="00000000" w:rsidR="00000000" w:rsidRPr="00000000">
        <w:rPr>
          <w:rtl w:val="0"/>
        </w:rPr>
        <w:t xml:space="preserve">word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which forces the model to ignore the rest of the subword pieces using the special label –100.</w:t>
      </w: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Comparative Overview</w:t>
      </w:r>
    </w:p>
    <w:p w:rsidR="00000000" w:rsidDel="00000000" w:rsidP="00000000" w:rsidRDefault="00000000" w:rsidRPr="00000000" w14:paraId="00000028">
      <w:pPr>
        <w:rPr/>
      </w:pPr>
      <w:r w:rsidDel="00000000" w:rsidR="00000000" w:rsidRPr="00000000">
        <w:rPr>
          <w:rtl w:val="0"/>
        </w:rPr>
        <w:t xml:space="preserve">Using three distinct NER pipelines to benchmark the progression of feature representation methodologies. The study confirmed that performance is directly tied to a model’s ability to generate contextualised word representations. The technical innovation driving superior performance lies within the Bi-Directional encoder representations from the transformers (BERT) model, which achieved a high score of 0.9050 on the CoNLL-2003 dataset.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BERT’s key novel contribution is the transformer architecture and its self-attention mechanism. This architecture enables the BERT model to create a unique vector for every word based on the entire sentence it appears in, unlike the fixed embeddings used by the Bi-LSTM model. This dynamic and contextual approach is important for resolving ambiguity in named entities, for example, differentiating between “Aberdeen” as a location or person, a core challenge in the news domain of the CoNLL-2003 dataset. This innovation advances the subject area by proving that rich &amp; dynamic feature encoding eliminates the need for manual feature engineering (CRF) and surpasses the limitations of static vector representations (Bi-LSTM) as detailed in the Results and Comparative Analysis section.</w:t>
      </w:r>
    </w:p>
    <w:p w:rsidR="00000000" w:rsidDel="00000000" w:rsidP="00000000" w:rsidRDefault="00000000" w:rsidRPr="00000000" w14:paraId="0000002B">
      <w:pPr>
        <w:pStyle w:val="Heading1"/>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t xml:space="preserve">Results and Comparative Analysis</w:t>
      </w:r>
    </w:p>
    <w:p w:rsidR="00000000" w:rsidDel="00000000" w:rsidP="00000000" w:rsidRDefault="00000000" w:rsidRPr="00000000" w14:paraId="0000002F">
      <w:pPr>
        <w:rPr/>
      </w:pPr>
      <w:r w:rsidDel="00000000" w:rsidR="00000000" w:rsidRPr="00000000">
        <w:rPr>
          <w:rtl w:val="0"/>
        </w:rPr>
        <w:t xml:space="preserve">The final results table (Table 1), detailed below, clearly demonstrates why the NLP field moved from older model methods of CRF to transformer models ( Bi-LSTM &amp; BERT).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t xml:space="preserve">Final results table</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16"/>
        <w:gridCol w:w="3117"/>
        <w:gridCol w:w="3117"/>
        <w:tblGridChange w:id="0">
          <w:tblGrid>
            <w:gridCol w:w="3116"/>
            <w:gridCol w:w="3117"/>
            <w:gridCol w:w="3117"/>
          </w:tblGrid>
        </w:tblGridChange>
      </w:tblGrid>
      <w:tr>
        <w:trPr>
          <w:cantSplit w:val="0"/>
          <w:trHeight w:val="300" w:hRule="atLeast"/>
          <w:tblHeader w:val="0"/>
        </w:trPr>
        <w:tc>
          <w:tcPr/>
          <w:p w:rsidR="00000000" w:rsidDel="00000000" w:rsidP="00000000" w:rsidRDefault="00000000" w:rsidRPr="00000000" w14:paraId="00000032">
            <w:pPr>
              <w:rPr>
                <w:b w:val="1"/>
                <w:bCs w:val="1"/>
              </w:rPr>
            </w:pPr>
            <w:r w:rsidDel="00000000" w:rsidR="00000000" w:rsidRPr="00000000">
              <w:rPr>
                <w:b w:val="1"/>
                <w:bCs w:val="1"/>
                <w:rtl w:val="0"/>
              </w:rPr>
              <w:t xml:space="preserve">Model</w:t>
            </w:r>
          </w:p>
        </w:tc>
        <w:tc>
          <w:tcPr/>
          <w:p w:rsidR="00000000" w:rsidDel="00000000" w:rsidP="00000000" w:rsidRDefault="00000000" w:rsidRPr="00000000" w14:paraId="00000033">
            <w:pPr>
              <w:rPr>
                <w:b w:val="1"/>
                <w:bCs w:val="1"/>
              </w:rPr>
            </w:pPr>
            <w:r w:rsidDel="00000000" w:rsidR="00000000" w:rsidRPr="00000000">
              <w:rPr>
                <w:b w:val="1"/>
                <w:bCs w:val="1"/>
                <w:rtl w:val="0"/>
              </w:rPr>
              <w:t xml:space="preserve">Pipeline</w:t>
            </w:r>
          </w:p>
        </w:tc>
        <w:tc>
          <w:tcPr/>
          <w:p w:rsidR="00000000" w:rsidDel="00000000" w:rsidP="00000000" w:rsidRDefault="00000000" w:rsidRPr="00000000" w14:paraId="00000034">
            <w:pPr>
              <w:rPr>
                <w:b w:val="1"/>
                <w:bCs w:val="1"/>
              </w:rPr>
            </w:pPr>
            <w:r w:rsidDel="00000000" w:rsidR="00000000" w:rsidRPr="00000000">
              <w:rPr>
                <w:b w:val="1"/>
                <w:bCs w:val="1"/>
                <w:rtl w:val="0"/>
              </w:rPr>
              <w:t xml:space="preserve">Test Set F1-Scores</w:t>
            </w:r>
          </w:p>
        </w:tc>
      </w:tr>
      <w:tr>
        <w:trPr>
          <w:cantSplit w:val="0"/>
          <w:trHeight w:val="300" w:hRule="atLeast"/>
          <w:tblHeader w:val="0"/>
        </w:trPr>
        <w:tc>
          <w:tcPr/>
          <w:p w:rsidR="00000000" w:rsidDel="00000000" w:rsidP="00000000" w:rsidRDefault="00000000" w:rsidRPr="00000000" w14:paraId="00000035">
            <w:pPr>
              <w:rPr>
                <w:b w:val="1"/>
                <w:bCs w:val="1"/>
              </w:rPr>
            </w:pPr>
            <w:r w:rsidDel="00000000" w:rsidR="00000000" w:rsidRPr="00000000">
              <w:rPr>
                <w:b w:val="1"/>
                <w:bCs w:val="1"/>
                <w:rtl w:val="0"/>
              </w:rPr>
              <w:t xml:space="preserve">CRF</w:t>
            </w:r>
          </w:p>
        </w:tc>
        <w:tc>
          <w:tcPr/>
          <w:p w:rsidR="00000000" w:rsidDel="00000000" w:rsidP="00000000" w:rsidRDefault="00000000" w:rsidRPr="00000000" w14:paraId="00000036">
            <w:pPr>
              <w:rPr/>
            </w:pPr>
            <w:r w:rsidDel="00000000" w:rsidR="00000000" w:rsidRPr="00000000">
              <w:rPr>
                <w:rtl w:val="0"/>
              </w:rPr>
              <w:t xml:space="preserve">Classical ML</w:t>
            </w:r>
          </w:p>
        </w:tc>
        <w:tc>
          <w:tcPr/>
          <w:p w:rsidR="00000000" w:rsidDel="00000000" w:rsidP="00000000" w:rsidRDefault="00000000" w:rsidRPr="00000000" w14:paraId="00000037">
            <w:pPr>
              <w:rPr/>
            </w:pPr>
            <w:r w:rsidDel="00000000" w:rsidR="00000000" w:rsidRPr="00000000">
              <w:rPr>
                <w:rtl w:val="0"/>
              </w:rPr>
              <w:t xml:space="preserve">0.7925</w:t>
            </w:r>
          </w:p>
        </w:tc>
      </w:tr>
      <w:tr>
        <w:trPr>
          <w:cantSplit w:val="0"/>
          <w:trHeight w:val="300" w:hRule="atLeast"/>
          <w:tblHeader w:val="0"/>
        </w:trPr>
        <w:tc>
          <w:tcPr/>
          <w:p w:rsidR="00000000" w:rsidDel="00000000" w:rsidP="00000000" w:rsidRDefault="00000000" w:rsidRPr="00000000" w14:paraId="00000038">
            <w:pPr>
              <w:rPr>
                <w:b w:val="1"/>
                <w:bCs w:val="1"/>
              </w:rPr>
            </w:pPr>
            <w:r w:rsidDel="00000000" w:rsidR="00000000" w:rsidRPr="00000000">
              <w:rPr>
                <w:b w:val="1"/>
                <w:bCs w:val="1"/>
                <w:rtl w:val="0"/>
              </w:rPr>
              <w:t xml:space="preserve">Bi-LSTM</w:t>
            </w:r>
          </w:p>
        </w:tc>
        <w:tc>
          <w:tcPr/>
          <w:p w:rsidR="00000000" w:rsidDel="00000000" w:rsidP="00000000" w:rsidRDefault="00000000" w:rsidRPr="00000000" w14:paraId="00000039">
            <w:pPr>
              <w:rPr/>
            </w:pPr>
            <w:r w:rsidDel="00000000" w:rsidR="00000000" w:rsidRPr="00000000">
              <w:rPr>
                <w:rtl w:val="0"/>
              </w:rPr>
              <w:t xml:space="preserve">Deep Learning Baseline</w:t>
            </w:r>
          </w:p>
        </w:tc>
        <w:tc>
          <w:tcPr/>
          <w:p w:rsidR="00000000" w:rsidDel="00000000" w:rsidP="00000000" w:rsidRDefault="00000000" w:rsidRPr="00000000" w14:paraId="0000003A">
            <w:pPr>
              <w:rPr/>
            </w:pPr>
            <w:r w:rsidDel="00000000" w:rsidR="00000000" w:rsidRPr="00000000">
              <w:rPr>
                <w:rtl w:val="0"/>
              </w:rPr>
              <w:t xml:space="preserve">0.8450</w:t>
            </w:r>
          </w:p>
        </w:tc>
      </w:tr>
      <w:tr>
        <w:trPr>
          <w:cantSplit w:val="0"/>
          <w:trHeight w:val="300" w:hRule="atLeast"/>
          <w:tblHeader w:val="0"/>
        </w:trPr>
        <w:tc>
          <w:tcPr/>
          <w:p w:rsidR="00000000" w:rsidDel="00000000" w:rsidP="00000000" w:rsidRDefault="00000000" w:rsidRPr="00000000" w14:paraId="0000003B">
            <w:pPr>
              <w:rPr>
                <w:b w:val="1"/>
                <w:bCs w:val="1"/>
              </w:rPr>
            </w:pPr>
            <w:r w:rsidDel="00000000" w:rsidR="00000000" w:rsidRPr="00000000">
              <w:rPr>
                <w:b w:val="1"/>
                <w:bCs w:val="1"/>
                <w:rtl w:val="0"/>
              </w:rPr>
              <w:t xml:space="preserve">BERT</w:t>
            </w:r>
          </w:p>
        </w:tc>
        <w:tc>
          <w:tcPr/>
          <w:p w:rsidR="00000000" w:rsidDel="00000000" w:rsidP="00000000" w:rsidRDefault="00000000" w:rsidRPr="00000000" w14:paraId="0000003C">
            <w:pPr>
              <w:rPr/>
            </w:pPr>
            <w:r w:rsidDel="00000000" w:rsidR="00000000" w:rsidRPr="00000000">
              <w:rPr>
                <w:rtl w:val="0"/>
              </w:rPr>
              <w:t xml:space="preserve">Novel SOTA</w:t>
            </w:r>
          </w:p>
        </w:tc>
        <w:tc>
          <w:tcPr/>
          <w:p w:rsidR="00000000" w:rsidDel="00000000" w:rsidP="00000000" w:rsidRDefault="00000000" w:rsidRPr="00000000" w14:paraId="0000003D">
            <w:pPr>
              <w:rPr/>
            </w:pPr>
            <w:r w:rsidDel="00000000" w:rsidR="00000000" w:rsidRPr="00000000">
              <w:rPr>
                <w:rtl w:val="0"/>
              </w:rPr>
              <w:t xml:space="preserve">0.9050</w:t>
            </w:r>
          </w:p>
        </w:tc>
      </w:tr>
    </w:tbl>
    <w:p w:rsidR="00000000" w:rsidDel="00000000" w:rsidP="00000000" w:rsidRDefault="00000000" w:rsidRPr="00000000" w14:paraId="0000003E">
      <w:pPr>
        <w:rPr/>
      </w:pPr>
      <w:r w:rsidDel="00000000" w:rsidR="00000000" w:rsidRPr="00000000">
        <w:rPr>
          <w:b w:val="1"/>
          <w:bCs w:val="1"/>
          <w:rtl w:val="0"/>
        </w:rPr>
        <w:t xml:space="preserve">Table 1:</w:t>
      </w:r>
      <w:r w:rsidDel="00000000" w:rsidR="00000000" w:rsidRPr="00000000">
        <w:rPr>
          <w:rtl w:val="0"/>
        </w:rPr>
        <w:t xml:space="preserve"> Final results table demonstrating improvements in NLP models</w:t>
      </w:r>
    </w:p>
    <w:p w:rsidR="00000000" w:rsidDel="00000000" w:rsidP="00000000" w:rsidRDefault="00000000" w:rsidRPr="00000000" w14:paraId="0000003F">
      <w:pPr>
        <w:pStyle w:val="Heading2"/>
        <w:rPr/>
      </w:pPr>
      <w:r w:rsidDel="00000000" w:rsidR="00000000" w:rsidRPr="00000000">
        <w:rPr>
          <w:rtl w:val="0"/>
        </w:rPr>
        <w:t xml:space="preserve">Discussion of the feature representation</w:t>
      </w:r>
    </w:p>
    <w:p w:rsidR="00000000" w:rsidDel="00000000" w:rsidP="00000000" w:rsidRDefault="00000000" w:rsidRPr="00000000" w14:paraId="00000040">
      <w:pPr>
        <w:rPr/>
      </w:pPr>
      <w:r w:rsidDel="00000000" w:rsidR="00000000" w:rsidRPr="00000000">
        <w:rPr>
          <w:rtl w:val="0"/>
        </w:rPr>
        <w:t xml:space="preserve">As illustrated in Table 1, there was a huge performance jump observed, which can be directly attributed to the inclusion of the model using and contextualising words as part of its memory. </w:t>
      </w:r>
    </w:p>
    <w:p w:rsidR="00000000" w:rsidDel="00000000" w:rsidP="00000000" w:rsidRDefault="00000000" w:rsidRPr="00000000" w14:paraId="00000041">
      <w:pPr>
        <w:pStyle w:val="Heading3"/>
        <w:rPr/>
      </w:pPr>
      <w:r w:rsidDel="00000000" w:rsidR="00000000" w:rsidRPr="00000000">
        <w:rPr>
          <w:rtl w:val="0"/>
        </w:rPr>
        <w:t xml:space="preserve">CRF to Bi-LTSM: From rules to fixed semantics</w:t>
      </w:r>
    </w:p>
    <w:p w:rsidR="00000000" w:rsidDel="00000000" w:rsidP="00000000" w:rsidRDefault="00000000" w:rsidRPr="00000000" w14:paraId="00000042">
      <w:pPr>
        <w:rPr/>
      </w:pPr>
      <w:r w:rsidDel="00000000" w:rsidR="00000000" w:rsidRPr="00000000">
        <w:rPr>
          <w:rtl w:val="0"/>
        </w:rPr>
        <w:t xml:space="preserve">The Bi-LTSM model demonstrates an improvement over the CRF model because the learned fixed embeddings of the Bi-LTSM are superior to the handcrafted features in the CRF model. The neural network automatically finds complex semantics patterns that the manual rules are unable to recognise and therefore completely miss.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3"/>
        <w:rPr/>
      </w:pPr>
      <w:r w:rsidDel="00000000" w:rsidR="00000000" w:rsidRPr="00000000">
        <w:rPr>
          <w:rtl w:val="0"/>
        </w:rPr>
        <w:t xml:space="preserve">Bi-LSTM to BERT: Transition to contextual dynamics</w:t>
      </w:r>
    </w:p>
    <w:p w:rsidR="00000000" w:rsidDel="00000000" w:rsidP="00000000" w:rsidRDefault="00000000" w:rsidRPr="00000000" w14:paraId="00000045">
      <w:pPr>
        <w:rPr/>
      </w:pPr>
      <w:r w:rsidDel="00000000" w:rsidR="00000000" w:rsidRPr="00000000">
        <w:rPr>
          <w:rtl w:val="0"/>
        </w:rPr>
        <w:t xml:space="preserve">The BERT model provided further improvement over the CRF and Bi-LTSM models, this is the key insight of modern NLP, where embeddings must be contextualised.</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issue with </w:t>
      </w:r>
      <w:r w:rsidDel="00000000" w:rsidR="00000000" w:rsidRPr="00000000">
        <w:rPr>
          <w:rtl w:val="0"/>
        </w:rPr>
        <w:t xml:space="preserve">the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Bi-LSTM model</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that it uses a single fixed vector for a word</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which means words</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such as “Aberdeen” </w:t>
      </w:r>
      <w:r w:rsidDel="00000000" w:rsidR="00000000" w:rsidRPr="00000000">
        <w:rPr>
          <w:rtl w:val="0"/>
        </w:rPr>
        <w:t xml:space="preserve">have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same presentation whether it represents a place or a person’s name or anything else.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BERT’s model solution is that by</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using the attention mechanism, it generates a dynamic &amp; unique vector for every word based on the entire sentence it appears within</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introduction of</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contextualisation allows the BERT model to resolve ambiguity. For example, it allows the model to know that “Orange” is a fruit if it is followed by “eaten” / “ate”, but means the colour if it’s followed by “walls”/ “shirt”.</w:t>
      </w:r>
      <w:r w:rsidDel="00000000" w:rsidR="00000000" w:rsidRPr="00000000">
        <w:rPr>
          <w:rtl w:val="0"/>
        </w:rPr>
      </w:r>
    </w:p>
    <w:p w:rsidR="00000000" w:rsidDel="00000000" w:rsidP="00000000" w:rsidRDefault="00000000" w:rsidRPr="00000000" w14:paraId="00000048">
      <w:pPr>
        <w:ind w:left="720" w:firstLine="0"/>
        <w:rPr/>
      </w:pPr>
      <w:r w:rsidDel="00000000" w:rsidR="00000000" w:rsidRPr="00000000">
        <w:rPr>
          <w:rtl w:val="0"/>
        </w:rPr>
        <w:t xml:space="preserve">The high score confirms that the transformer architecture is currently the most effective way to process language for sequence labelling.</w:t>
      </w:r>
    </w:p>
    <w:p w:rsidR="00000000" w:rsidDel="00000000" w:rsidP="00000000" w:rsidRDefault="00000000" w:rsidRPr="00000000" w14:paraId="00000049">
      <w:pPr>
        <w:pStyle w:val="Heading2"/>
        <w:rPr/>
      </w:pPr>
      <w:bookmarkStart w:colFirst="0" w:colLast="0" w:name="_lvtmw9o3kvie" w:id="0"/>
      <w:bookmarkEnd w:id="0"/>
      <w:r w:rsidDel="00000000" w:rsidR="00000000" w:rsidRPr="00000000">
        <w:rPr>
          <w:rtl w:val="0"/>
        </w:rPr>
        <w:t xml:space="preserve">Justification and Discrepancies (With the paper)</w:t>
      </w:r>
    </w:p>
    <w:p w:rsidR="00000000" w:rsidDel="00000000" w:rsidP="00000000" w:rsidRDefault="00000000" w:rsidRPr="00000000" w14:paraId="0000004A">
      <w:pPr>
        <w:rPr/>
      </w:pPr>
      <w:r w:rsidDel="00000000" w:rsidR="00000000" w:rsidRPr="00000000">
        <w:rPr>
          <w:rtl w:val="0"/>
        </w:rPr>
        <w:t xml:space="preserve">The F1-scores provide a strong justification for the NLP architecture. The analysis of the results focuses on the shift in feature representation and discusses why the scores might not match those reported in the academic literature.</w:t>
      </w:r>
    </w:p>
    <w:p w:rsidR="00000000" w:rsidDel="00000000" w:rsidP="00000000" w:rsidRDefault="00000000" w:rsidRPr="00000000" w14:paraId="0000004B">
      <w:pPr>
        <w:rPr/>
      </w:pPr>
      <w:r w:rsidDel="00000000" w:rsidR="00000000" w:rsidRPr="00000000">
        <w:rPr>
          <w:rtl w:val="0"/>
        </w:rPr>
        <w:t xml:space="preserve">CRF -&gt; Bi-LSTM: the leap is justified by the transition from manual (CRF) to Bi-LSTM. The neural network finds patterns in the data that are not accessible through rule-based features.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Bi-LSTM -&gt; BERT: The leap is justified by the use of contextualised embeddings. BERT mechanism ensures a word’s vector changes based on the sentence context. This resolves ambiguity.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While the hierarchy is correct, BERT’s score often is lower than SOTA figures that are reported in the original BERT publication; this is because the academic paper trains models for more epochs and uses larger batch sizes. My project has resource constraints, which means there is a cap on the final performance I can achieve.</w:t>
      </w:r>
    </w:p>
    <w:p w:rsidR="00000000" w:rsidDel="00000000" w:rsidP="00000000" w:rsidRDefault="00000000" w:rsidRPr="00000000" w14:paraId="00000050">
      <w:pPr>
        <w:rPr/>
      </w:pPr>
      <w:r w:rsidDel="00000000" w:rsidR="00000000" w:rsidRPr="00000000">
        <w:rPr>
          <w:rtl w:val="0"/>
        </w:rPr>
        <w:t xml:space="preserve">The SOTA results are usually achieved after big optimisations, but my project was using very standard defaults, not very optimised.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pStyle w:val="Heading1"/>
        <w:rPr/>
      </w:pPr>
      <w:r w:rsidDel="00000000" w:rsidR="00000000" w:rsidRPr="00000000">
        <w:rPr>
          <w:rtl w:val="0"/>
        </w:rPr>
        <w:t xml:space="preserve">Conclusions</w:t>
      </w:r>
    </w:p>
    <w:p w:rsidR="00000000" w:rsidDel="00000000" w:rsidP="00000000" w:rsidRDefault="00000000" w:rsidRPr="00000000" w14:paraId="00000054">
      <w:pPr>
        <w:rPr/>
      </w:pPr>
      <w:r w:rsidDel="00000000" w:rsidR="00000000" w:rsidRPr="00000000">
        <w:rPr>
          <w:rtl w:val="0"/>
        </w:rPr>
        <w:t xml:space="preserve">In conclusion, the work presented in this report successfully demonstrated that the accuracy of an NER system is directly correlated to the quality of its feature representation. The manual features (CRF model) were found to be the weakest, followed by Fixed Embeddings (Bi-LSTM model), and Contextualised Embeddings (BERT model), proving to be the best.</w:t>
      </w:r>
    </w:p>
    <w:p w:rsidR="00000000" w:rsidDel="00000000" w:rsidP="00000000" w:rsidRDefault="00000000" w:rsidRPr="00000000" w14:paraId="00000055">
      <w:pPr>
        <w:rPr/>
      </w:pPr>
      <w:r w:rsidDel="00000000" w:rsidR="00000000" w:rsidRPr="00000000">
        <w:rPr>
          <w:rtl w:val="0"/>
        </w:rPr>
        <w:t xml:space="preserve">A simpler way to improve overall accuracy would be to combine the best parts of each model, putting a CRF layer on top of BERT’s model output. It would enforce the grammatical rules, like B-PER must be followed by I-PER or “O”, which would make predictions more accurate.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t xml:space="preserve">References</w:t>
      </w:r>
    </w:p>
    <w:p w:rsidR="00000000" w:rsidDel="00000000" w:rsidP="00000000" w:rsidRDefault="00000000" w:rsidRPr="00000000" w14:paraId="0000005A">
      <w:pPr>
        <w:spacing w:after="240" w:before="240" w:lineRule="auto"/>
        <w:rPr/>
      </w:pPr>
      <w:r w:rsidDel="00000000" w:rsidR="00000000" w:rsidRPr="00000000">
        <w:rPr>
          <w:rFonts w:ascii="Georgia" w:cs="Georgia" w:eastAsia="Georgia" w:hAnsi="Georgia"/>
          <w:i w:val="1"/>
          <w:iCs w:val="1"/>
          <w:rtl w:val="0"/>
        </w:rPr>
        <w:t xml:space="preserve">DSpace</w:t>
      </w:r>
      <w:r w:rsidDel="00000000" w:rsidR="00000000" w:rsidRPr="00000000">
        <w:rPr>
          <w:rFonts w:ascii="Georgia" w:cs="Georgia" w:eastAsia="Georgia" w:hAnsi="Georgia"/>
          <w:rtl w:val="0"/>
        </w:rPr>
        <w:t xml:space="preserve">, 2025. [online]. Upenn.edu. Available from: </w:t>
      </w:r>
      <w:hyperlink r:id="rId8">
        <w:r w:rsidDel="00000000" w:rsidR="00000000" w:rsidRPr="00000000">
          <w:rPr>
            <w:rFonts w:ascii="Georgia" w:cs="Georgia" w:eastAsia="Georgia" w:hAnsi="Georgia"/>
            <w:color w:val="467886"/>
            <w:u w:val="single"/>
            <w:rtl w:val="0"/>
          </w:rPr>
          <w:t xml:space="preserve">https://repository.upenn.edu/entities/publication/c9aea099-b5c8-4fdd-901c-15b6f889e4a7</w:t>
        </w:r>
      </w:hyperlink>
      <w:r w:rsidDel="00000000" w:rsidR="00000000" w:rsidRPr="00000000">
        <w:rPr>
          <w:rFonts w:ascii="Georgia" w:cs="Georgia" w:eastAsia="Georgia" w:hAnsi="Georgia"/>
          <w:rtl w:val="0"/>
        </w:rPr>
        <w:t xml:space="preserve"> [Accessed 04 Nov 2025].</w:t>
      </w: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Fonts w:ascii="Georgia" w:cs="Georgia" w:eastAsia="Georgia" w:hAnsi="Georgia"/>
          <w:rtl w:val="0"/>
        </w:rPr>
        <w:t xml:space="preserve">VASWANI, A. et al., 2025. Attention is all you need. </w:t>
      </w:r>
      <w:r w:rsidDel="00000000" w:rsidR="00000000" w:rsidRPr="00000000">
        <w:rPr>
          <w:rFonts w:ascii="Georgia" w:cs="Georgia" w:eastAsia="Georgia" w:hAnsi="Georgia"/>
          <w:i w:val="1"/>
          <w:iCs w:val="1"/>
          <w:rtl w:val="0"/>
        </w:rPr>
        <w:t xml:space="preserve">arXiv [Cs.CL]</w:t>
      </w:r>
      <w:r w:rsidDel="00000000" w:rsidR="00000000" w:rsidRPr="00000000">
        <w:rPr>
          <w:rFonts w:ascii="Georgia" w:cs="Georgia" w:eastAsia="Georgia" w:hAnsi="Georgia"/>
          <w:rtl w:val="0"/>
        </w:rPr>
        <w:t xml:space="preserve">. Available from: </w:t>
      </w:r>
      <w:hyperlink r:id="rId9">
        <w:r w:rsidDel="00000000" w:rsidR="00000000" w:rsidRPr="00000000">
          <w:rPr>
            <w:rFonts w:ascii="Georgia" w:cs="Georgia" w:eastAsia="Georgia" w:hAnsi="Georgia"/>
            <w:color w:val="467886"/>
            <w:u w:val="single"/>
            <w:rtl w:val="0"/>
          </w:rPr>
          <w:t xml:space="preserve">http://arxiv.org/abs/1706.03762</w:t>
        </w:r>
      </w:hyperlink>
      <w:r w:rsidDel="00000000" w:rsidR="00000000" w:rsidRPr="00000000">
        <w:rPr>
          <w:rFonts w:ascii="Georgia" w:cs="Georgia" w:eastAsia="Georgia" w:hAnsi="Georgia"/>
          <w:rtl w:val="0"/>
        </w:rPr>
        <w:t xml:space="preserve">. [Accessed 04 Nov 2025].</w:t>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Fonts w:ascii="Georgia" w:cs="Georgia" w:eastAsia="Georgia" w:hAnsi="Georgia"/>
          <w:rtl w:val="0"/>
        </w:rPr>
        <w:t xml:space="preserve">DEVLIN, J. et al., 2018. BERT: Pre-training of deep bidirectional Transformers for language understanding. </w:t>
      </w:r>
      <w:r w:rsidDel="00000000" w:rsidR="00000000" w:rsidRPr="00000000">
        <w:rPr>
          <w:rFonts w:ascii="Georgia" w:cs="Georgia" w:eastAsia="Georgia" w:hAnsi="Georgia"/>
          <w:i w:val="1"/>
          <w:iCs w:val="1"/>
          <w:rtl w:val="0"/>
        </w:rPr>
        <w:t xml:space="preserve">arXiv [Cs.CL]</w:t>
      </w:r>
      <w:r w:rsidDel="00000000" w:rsidR="00000000" w:rsidRPr="00000000">
        <w:rPr>
          <w:rFonts w:ascii="Georgia" w:cs="Georgia" w:eastAsia="Georgia" w:hAnsi="Georgia"/>
          <w:rtl w:val="0"/>
        </w:rPr>
        <w:t xml:space="preserve">. Available from: </w:t>
      </w:r>
      <w:hyperlink r:id="rId10">
        <w:r w:rsidDel="00000000" w:rsidR="00000000" w:rsidRPr="00000000">
          <w:rPr>
            <w:rFonts w:ascii="Georgia" w:cs="Georgia" w:eastAsia="Georgia" w:hAnsi="Georgia"/>
            <w:color w:val="467886"/>
            <w:u w:val="single"/>
            <w:rtl w:val="0"/>
          </w:rPr>
          <w:t xml:space="preserve">http://arxiv.org/abs/1810.04805</w:t>
        </w:r>
      </w:hyperlink>
      <w:r w:rsidDel="00000000" w:rsidR="00000000" w:rsidRPr="00000000">
        <w:rPr>
          <w:rFonts w:ascii="Georgia" w:cs="Georgia" w:eastAsia="Georgia" w:hAnsi="Georgia"/>
          <w:rtl w:val="0"/>
        </w:rPr>
        <w:t xml:space="preserve">.</w:t>
      </w: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Fonts w:ascii="Georgia" w:cs="Georgia" w:eastAsia="Georgia" w:hAnsi="Georgia"/>
          <w:i w:val="1"/>
          <w:iCs w:val="1"/>
          <w:rtl w:val="0"/>
        </w:rPr>
        <w:t xml:space="preserve">Language-independent named entity recognition (II)</w:t>
      </w:r>
      <w:r w:rsidDel="00000000" w:rsidR="00000000" w:rsidRPr="00000000">
        <w:rPr>
          <w:rFonts w:ascii="Georgia" w:cs="Georgia" w:eastAsia="Georgia" w:hAnsi="Georgia"/>
          <w:rtl w:val="0"/>
        </w:rPr>
        <w:t xml:space="preserve">, 2025. [online]. Uantwerpen.be. Available from: </w:t>
      </w:r>
      <w:hyperlink r:id="rId11">
        <w:r w:rsidDel="00000000" w:rsidR="00000000" w:rsidRPr="00000000">
          <w:rPr>
            <w:rFonts w:ascii="Georgia" w:cs="Georgia" w:eastAsia="Georgia" w:hAnsi="Georgia"/>
            <w:color w:val="467886"/>
            <w:u w:val="single"/>
            <w:rtl w:val="0"/>
          </w:rPr>
          <w:t xml:space="preserve">https://www.clips.uantwerpen.be/conll2003/ner/</w:t>
        </w:r>
      </w:hyperlink>
      <w:r w:rsidDel="00000000" w:rsidR="00000000" w:rsidRPr="00000000">
        <w:rPr>
          <w:rFonts w:ascii="Georgia" w:cs="Georgia" w:eastAsia="Georgia" w:hAnsi="Georgia"/>
          <w:rtl w:val="0"/>
        </w:rPr>
        <w:t xml:space="preserve"> [Accessed 28 Nov 2025].</w: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Fonts w:ascii="Georgia" w:cs="Georgia" w:eastAsia="Georgia" w:hAnsi="Georgia"/>
          <w:i w:val="1"/>
          <w:iCs w:val="1"/>
          <w:rtl w:val="0"/>
        </w:rPr>
        <w:t xml:space="preserve">Tutorial — sklearn-crfsuite 0.3 documentation</w:t>
      </w:r>
      <w:r w:rsidDel="00000000" w:rsidR="00000000" w:rsidRPr="00000000">
        <w:rPr>
          <w:rFonts w:ascii="Georgia" w:cs="Georgia" w:eastAsia="Georgia" w:hAnsi="Georgia"/>
          <w:rtl w:val="0"/>
        </w:rPr>
        <w:t xml:space="preserve">, 2025. [online]. Readthedocs.io. Available from: </w:t>
      </w:r>
      <w:hyperlink r:id="rId12">
        <w:r w:rsidDel="00000000" w:rsidR="00000000" w:rsidRPr="00000000">
          <w:rPr>
            <w:rFonts w:ascii="Georgia" w:cs="Georgia" w:eastAsia="Georgia" w:hAnsi="Georgia"/>
            <w:color w:val="467886"/>
            <w:u w:val="single"/>
            <w:rtl w:val="0"/>
          </w:rPr>
          <w:t xml:space="preserve">https://sklearn-crfsuite.readthedocs.io/en/latest/tutorial.html</w:t>
        </w:r>
      </w:hyperlink>
      <w:r w:rsidDel="00000000" w:rsidR="00000000" w:rsidRPr="00000000">
        <w:rPr>
          <w:rFonts w:ascii="Georgia" w:cs="Georgia" w:eastAsia="Georgia" w:hAnsi="Georgia"/>
          <w:rtl w:val="0"/>
        </w:rPr>
        <w:t xml:space="preserve"> [Accessed 07 Nov 2025].</w:t>
      </w: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Fonts w:ascii="Georgia" w:cs="Georgia" w:eastAsia="Georgia" w:hAnsi="Georgia"/>
          <w:i w:val="1"/>
          <w:iCs w:val="1"/>
          <w:rtl w:val="0"/>
        </w:rPr>
        <w:t xml:space="preserve">Fine-tuning</w:t>
      </w:r>
      <w:r w:rsidDel="00000000" w:rsidR="00000000" w:rsidRPr="00000000">
        <w:rPr>
          <w:rFonts w:ascii="Georgia" w:cs="Georgia" w:eastAsia="Georgia" w:hAnsi="Georgia"/>
          <w:rtl w:val="0"/>
        </w:rPr>
        <w:t xml:space="preserve">, 2025. [online]. Huggingface.co. Available from: </w:t>
      </w:r>
      <w:hyperlink r:id="rId13">
        <w:r w:rsidDel="00000000" w:rsidR="00000000" w:rsidRPr="00000000">
          <w:rPr>
            <w:rFonts w:ascii="Georgia" w:cs="Georgia" w:eastAsia="Georgia" w:hAnsi="Georgia"/>
            <w:color w:val="467886"/>
            <w:u w:val="single"/>
            <w:rtl w:val="0"/>
          </w:rPr>
          <w:t xml:space="preserve">https://huggingface.co/docs/transformers/training</w:t>
        </w:r>
      </w:hyperlink>
      <w:r w:rsidDel="00000000" w:rsidR="00000000" w:rsidRPr="00000000">
        <w:rPr>
          <w:rFonts w:ascii="Georgia" w:cs="Georgia" w:eastAsia="Georgia" w:hAnsi="Georgia"/>
          <w:rtl w:val="0"/>
        </w:rPr>
        <w:t xml:space="preserve"> [Accessed 10 Nov 2025].</w:t>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Fonts w:ascii="Georgia" w:cs="Georgia" w:eastAsia="Georgia" w:hAnsi="Georgia"/>
          <w:i w:val="1"/>
          <w:iCs w:val="1"/>
          <w:rtl w:val="0"/>
        </w:rPr>
        <w:t xml:space="preserve">Token classification</w:t>
      </w:r>
      <w:r w:rsidDel="00000000" w:rsidR="00000000" w:rsidRPr="00000000">
        <w:rPr>
          <w:rFonts w:ascii="Georgia" w:cs="Georgia" w:eastAsia="Georgia" w:hAnsi="Georgia"/>
          <w:rtl w:val="0"/>
        </w:rPr>
        <w:t xml:space="preserve">, 2025. [online]. Huggingface.co. Available from: </w:t>
      </w:r>
      <w:hyperlink r:id="rId14">
        <w:r w:rsidDel="00000000" w:rsidR="00000000" w:rsidRPr="00000000">
          <w:rPr>
            <w:rFonts w:ascii="Georgia" w:cs="Georgia" w:eastAsia="Georgia" w:hAnsi="Georgia"/>
            <w:color w:val="467886"/>
            <w:u w:val="single"/>
            <w:rtl w:val="0"/>
          </w:rPr>
          <w:t xml:space="preserve">https://huggingface.co/docs/transformers/tasks/token_classification</w:t>
        </w:r>
      </w:hyperlink>
      <w:r w:rsidDel="00000000" w:rsidR="00000000" w:rsidRPr="00000000">
        <w:rPr>
          <w:rFonts w:ascii="Georgia" w:cs="Georgia" w:eastAsia="Georgia" w:hAnsi="Georgia"/>
          <w:rtl w:val="0"/>
        </w:rPr>
        <w:t xml:space="preserve"> [Accessed 10 Nov 2025].</w:t>
      </w: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Fonts w:ascii="Georgia" w:cs="Georgia" w:eastAsia="Georgia" w:hAnsi="Georgia"/>
          <w:rtl w:val="0"/>
        </w:rPr>
        <w:t xml:space="preserve">SOURAV, H., n.d. </w:t>
      </w:r>
      <w:r w:rsidDel="00000000" w:rsidR="00000000" w:rsidRPr="00000000">
        <w:rPr>
          <w:rFonts w:ascii="Georgia" w:cs="Georgia" w:eastAsia="Georgia" w:hAnsi="Georgia"/>
          <w:i w:val="1"/>
          <w:iCs w:val="1"/>
          <w:rtl w:val="0"/>
        </w:rPr>
        <w:t xml:space="preserve">Name-Entity-Recognition-NER-using-LSTM: This project trains an LSTM model on the CoNLL-2003 dataset to tackle Named Entity Recognition (NER), using deep learning to enhance the precision of entity extraction from text</w:t>
      </w:r>
      <w:r w:rsidDel="00000000" w:rsidR="00000000" w:rsidRPr="00000000">
        <w:rPr>
          <w:rFonts w:ascii="Georgia" w:cs="Georgia" w:eastAsia="Georgia" w:hAnsi="Georgia"/>
          <w:rtl w:val="0"/>
        </w:rPr>
        <w:t xml:space="preserve">. </w:t>
      </w:r>
      <w:hyperlink r:id="rId15">
        <w:r w:rsidDel="00000000" w:rsidR="00000000" w:rsidRPr="00000000">
          <w:rPr>
            <w:rFonts w:ascii="Georgia" w:cs="Georgia" w:eastAsia="Georgia" w:hAnsi="Georgia"/>
            <w:color w:val="467886"/>
            <w:u w:val="single"/>
            <w:rtl w:val="0"/>
          </w:rPr>
          <w:t xml:space="preserve">https://github.com/souravhada/Name-Entity-Recognition-NER-using-LSTM</w:t>
        </w:r>
      </w:hyperlink>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Fonts w:ascii="Georgia" w:cs="Georgia" w:eastAsia="Georgia" w:hAnsi="Georgia"/>
          <w:rtl w:val="0"/>
        </w:rPr>
        <w:t xml:space="preserve">DATA SCIENCE IN YOUR POCKET, 2025. </w:t>
      </w:r>
      <w:r w:rsidDel="00000000" w:rsidR="00000000" w:rsidRPr="00000000">
        <w:rPr>
          <w:rFonts w:ascii="Georgia" w:cs="Georgia" w:eastAsia="Georgia" w:hAnsi="Georgia"/>
          <w:i w:val="1"/>
          <w:iCs w:val="1"/>
          <w:rtl w:val="0"/>
        </w:rPr>
        <w:t xml:space="preserve">Training a custom NER system in python codes explained</w:t>
      </w:r>
      <w:r w:rsidDel="00000000" w:rsidR="00000000" w:rsidRPr="00000000">
        <w:rPr>
          <w:rFonts w:ascii="Georgia" w:cs="Georgia" w:eastAsia="Georgia" w:hAnsi="Georgia"/>
          <w:rtl w:val="0"/>
        </w:rPr>
        <w:t xml:space="preserve">. [online]. Youtube. Available from: </w:t>
      </w:r>
      <w:hyperlink r:id="rId16">
        <w:r w:rsidDel="00000000" w:rsidR="00000000" w:rsidRPr="00000000">
          <w:rPr>
            <w:rFonts w:ascii="Georgia" w:cs="Georgia" w:eastAsia="Georgia" w:hAnsi="Georgia"/>
            <w:color w:val="467886"/>
            <w:u w:val="single"/>
            <w:rtl w:val="0"/>
          </w:rPr>
          <w:t xml:space="preserve">https://www.youtube.com/watch?v=1LDRG4aeHqo</w:t>
        </w:r>
      </w:hyperlink>
      <w:r w:rsidDel="00000000" w:rsidR="00000000" w:rsidRPr="00000000">
        <w:rPr>
          <w:rFonts w:ascii="Georgia" w:cs="Georgia" w:eastAsia="Georgia" w:hAnsi="Georgia"/>
          <w:rtl w:val="0"/>
        </w:rPr>
        <w:t xml:space="preserve"> [Accessed 04 Nov 2025].</w:t>
      </w: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Fonts w:ascii="Georgia" w:cs="Georgia" w:eastAsia="Georgia" w:hAnsi="Georgia"/>
          <w:rtl w:val="0"/>
        </w:rPr>
        <w:t xml:space="preserve">PERSSON, A., 2025. </w:t>
      </w:r>
      <w:r w:rsidDel="00000000" w:rsidR="00000000" w:rsidRPr="00000000">
        <w:rPr>
          <w:rFonts w:ascii="Georgia" w:cs="Georgia" w:eastAsia="Georgia" w:hAnsi="Georgia"/>
          <w:i w:val="1"/>
          <w:iCs w:val="1"/>
          <w:rtl w:val="0"/>
        </w:rPr>
        <w:t xml:space="preserve">Pytorch bidirectional LSTM example</w:t>
      </w:r>
      <w:r w:rsidDel="00000000" w:rsidR="00000000" w:rsidRPr="00000000">
        <w:rPr>
          <w:rFonts w:ascii="Georgia" w:cs="Georgia" w:eastAsia="Georgia" w:hAnsi="Georgia"/>
          <w:rtl w:val="0"/>
        </w:rPr>
        <w:t xml:space="preserve">. [online]. Youtube. Available from: </w:t>
      </w:r>
      <w:hyperlink r:id="rId17">
        <w:r w:rsidDel="00000000" w:rsidR="00000000" w:rsidRPr="00000000">
          <w:rPr>
            <w:rFonts w:ascii="Georgia" w:cs="Georgia" w:eastAsia="Georgia" w:hAnsi="Georgia"/>
            <w:color w:val="467886"/>
            <w:u w:val="single"/>
            <w:rtl w:val="0"/>
          </w:rPr>
          <w:t xml:space="preserve">https://www.youtube.com/watch?v=jGst43P-TJA</w:t>
        </w:r>
      </w:hyperlink>
      <w:r w:rsidDel="00000000" w:rsidR="00000000" w:rsidRPr="00000000">
        <w:rPr>
          <w:rFonts w:ascii="Georgia" w:cs="Georgia" w:eastAsia="Georgia" w:hAnsi="Georgia"/>
          <w:rtl w:val="0"/>
        </w:rPr>
        <w:t xml:space="preserve"> [Accessed 14 Nov 2025].</w:t>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Fonts w:ascii="Georgia" w:cs="Georgia" w:eastAsia="Georgia" w:hAnsi="Georgia"/>
          <w:rtl w:val="0"/>
        </w:rPr>
        <w:t xml:space="preserve">LAB, A.B., 2025. </w:t>
      </w:r>
      <w:r w:rsidDel="00000000" w:rsidR="00000000" w:rsidRPr="00000000">
        <w:rPr>
          <w:rFonts w:ascii="Georgia" w:cs="Georgia" w:eastAsia="Georgia" w:hAnsi="Georgia"/>
          <w:i w:val="1"/>
          <w:iCs w:val="1"/>
          <w:rtl w:val="0"/>
        </w:rPr>
        <w:t xml:space="preserve">4.2 huggingface - NER</w:t>
      </w:r>
      <w:r w:rsidDel="00000000" w:rsidR="00000000" w:rsidRPr="00000000">
        <w:rPr>
          <w:rFonts w:ascii="Georgia" w:cs="Georgia" w:eastAsia="Georgia" w:hAnsi="Georgia"/>
          <w:rtl w:val="0"/>
        </w:rPr>
        <w:t xml:space="preserve">. [online]. Youtube. Available from: </w:t>
      </w:r>
      <w:hyperlink r:id="rId18">
        <w:r w:rsidDel="00000000" w:rsidR="00000000" w:rsidRPr="00000000">
          <w:rPr>
            <w:rFonts w:ascii="Georgia" w:cs="Georgia" w:eastAsia="Georgia" w:hAnsi="Georgia"/>
            <w:color w:val="467886"/>
            <w:u w:val="single"/>
            <w:rtl w:val="0"/>
          </w:rPr>
          <w:t xml:space="preserve">https://www.youtube.com/watch?v=MOxLPdEyQUs</w:t>
        </w:r>
      </w:hyperlink>
      <w:r w:rsidDel="00000000" w:rsidR="00000000" w:rsidRPr="00000000">
        <w:rPr>
          <w:rFonts w:ascii="Georgia" w:cs="Georgia" w:eastAsia="Georgia" w:hAnsi="Georgia"/>
          <w:rtl w:val="0"/>
        </w:rPr>
        <w:t xml:space="preserve"> [Accessed 14 Nov 2025].</w:t>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Fonts w:ascii="Georgia" w:cs="Georgia" w:eastAsia="Georgia" w:hAnsi="Georgia"/>
          <w:rtl w:val="0"/>
        </w:rPr>
        <w:t xml:space="preserve">NEURALNINE, 2025. </w:t>
      </w:r>
      <w:r w:rsidDel="00000000" w:rsidR="00000000" w:rsidRPr="00000000">
        <w:rPr>
          <w:rFonts w:ascii="Georgia" w:cs="Georgia" w:eastAsia="Georgia" w:hAnsi="Georgia"/>
          <w:i w:val="1"/>
          <w:iCs w:val="1"/>
          <w:rtl w:val="0"/>
        </w:rPr>
        <w:t xml:space="preserve">Named entity recognition (NER) in python: Pre-trained &amp; custom models</w:t>
      </w:r>
      <w:r w:rsidDel="00000000" w:rsidR="00000000" w:rsidRPr="00000000">
        <w:rPr>
          <w:rFonts w:ascii="Georgia" w:cs="Georgia" w:eastAsia="Georgia" w:hAnsi="Georgia"/>
          <w:rtl w:val="0"/>
        </w:rPr>
        <w:t xml:space="preserve">. [online]. Youtube. Available from: </w:t>
      </w:r>
      <w:hyperlink r:id="rId19">
        <w:r w:rsidDel="00000000" w:rsidR="00000000" w:rsidRPr="00000000">
          <w:rPr>
            <w:rFonts w:ascii="Georgia" w:cs="Georgia" w:eastAsia="Georgia" w:hAnsi="Georgia"/>
            <w:color w:val="467886"/>
            <w:u w:val="single"/>
            <w:rtl w:val="0"/>
          </w:rPr>
          <w:t xml:space="preserve">https://www.youtube.com/watch?v=JIz-hiRrZ2g</w:t>
        </w:r>
      </w:hyperlink>
      <w:r w:rsidDel="00000000" w:rsidR="00000000" w:rsidRPr="00000000">
        <w:rPr>
          <w:rFonts w:ascii="Georgia" w:cs="Georgia" w:eastAsia="Georgia" w:hAnsi="Georgia"/>
          <w:rtl w:val="0"/>
        </w:rPr>
        <w:t xml:space="preserve"> [Accessed 04 Nov 2025].</w:t>
      </w:r>
      <w:r w:rsidDel="00000000" w:rsidR="00000000" w:rsidRPr="00000000">
        <w:rPr>
          <w:rtl w:val="0"/>
        </w:rPr>
      </w:r>
    </w:p>
    <w:p w:rsidR="00000000" w:rsidDel="00000000" w:rsidP="00000000" w:rsidRDefault="00000000" w:rsidRPr="00000000" w14:paraId="00000066">
      <w:pPr>
        <w:spacing w:after="0" w:lineRule="auto"/>
        <w:rPr/>
      </w:pPr>
      <w:r w:rsidDel="00000000" w:rsidR="00000000" w:rsidRPr="00000000">
        <w:rPr>
          <w:rtl w:val="0"/>
        </w:rPr>
      </w:r>
    </w:p>
    <w:p w:rsidR="00000000" w:rsidDel="00000000" w:rsidP="00000000" w:rsidRDefault="00000000" w:rsidRPr="00000000" w14:paraId="00000067">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68">
      <w:pPr>
        <w:spacing w:after="0" w:lineRule="auto"/>
        <w:rPr/>
      </w:pPr>
      <w:r w:rsidDel="00000000" w:rsidR="00000000" w:rsidRPr="00000000">
        <w:rPr>
          <w:rtl w:val="0"/>
        </w:rPr>
      </w:r>
    </w:p>
    <w:p w:rsidR="00000000" w:rsidDel="00000000" w:rsidP="00000000" w:rsidRDefault="00000000" w:rsidRPr="00000000" w14:paraId="00000069">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6A">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6B">
      <w:pPr>
        <w:spacing w:after="0" w:lineRule="auto"/>
        <w:rPr/>
      </w:pPr>
      <w:r w:rsidDel="00000000" w:rsidR="00000000" w:rsidRPr="00000000">
        <w:rPr>
          <w:rtl w:val="0"/>
        </w:rPr>
      </w:r>
    </w:p>
    <w:p w:rsidR="00000000" w:rsidDel="00000000" w:rsidP="00000000" w:rsidRDefault="00000000" w:rsidRPr="00000000" w14:paraId="0000006C">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6D">
      <w:pPr>
        <w:spacing w:after="0" w:lineRule="auto"/>
        <w:rPr/>
      </w:pPr>
      <w:r w:rsidDel="00000000" w:rsidR="00000000" w:rsidRPr="00000000">
        <w:rPr>
          <w:rtl w:val="0"/>
        </w:rPr>
      </w:r>
    </w:p>
    <w:p w:rsidR="00000000" w:rsidDel="00000000" w:rsidP="00000000" w:rsidRDefault="00000000" w:rsidRPr="00000000" w14:paraId="0000006E">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6F">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70">
      <w:pPr>
        <w:spacing w:after="0" w:lineRule="auto"/>
        <w:rPr/>
      </w:pPr>
      <w:r w:rsidDel="00000000" w:rsidR="00000000" w:rsidRPr="00000000">
        <w:rPr>
          <w:rtl w:val="0"/>
        </w:rPr>
      </w:r>
    </w:p>
    <w:p w:rsidR="00000000" w:rsidDel="00000000" w:rsidP="00000000" w:rsidRDefault="00000000" w:rsidRPr="00000000" w14:paraId="00000071">
      <w:pPr>
        <w:spacing w:after="240" w:before="240" w:lineRule="auto"/>
        <w:rPr>
          <w:rFonts w:ascii="Georgia" w:cs="Georgia" w:eastAsia="Georgia" w:hAnsi="Georgia"/>
        </w:rPr>
      </w:pPr>
      <w:r w:rsidDel="00000000" w:rsidR="00000000" w:rsidRPr="00000000">
        <w:rPr>
          <w:rtl w:val="0"/>
        </w:rPr>
      </w:r>
    </w:p>
    <w:sectPr>
      <w:headerReference r:id="rId20" w:type="default"/>
      <w:footerReference r:id="rId21"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am walsham" w:id="0" w:date="2025-11-29T16:11:00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pPr>
    <w:r w:rsidDel="00000000" w:rsidR="00000000" w:rsidRPr="00000000">
      <w:rPr>
        <w:rtl w:val="0"/>
      </w:rPr>
    </w:r>
  </w:p>
  <w:tbl>
    <w:tblPr>
      <w:tblStyle w:val="Table2"/>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300" w:hRule="atLeast"/>
        <w:tblHeader w:val="0"/>
      </w:trPr>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Play" w:cs="Play" w:eastAsia="Play" w:hAnsi="Play"/>
      <w:sz w:val="56"/>
      <w:szCs w:val="56"/>
    </w:rPr>
  </w:style>
  <w:style w:type="paragraph" w:styleId="Subtitle">
    <w:name w:val="Subtitle"/>
    <w:basedOn w:val="Normal"/>
    <w:next w:val="Normal"/>
    <w:pPr/>
    <w:rPr>
      <w:color w:val="5a5a5a"/>
      <w:sz w:val="22"/>
      <w:szCs w:val="22"/>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www.clips.uantwerpen.be/conll2003/ner/" TargetMode="External"/><Relationship Id="rId10" Type="http://schemas.openxmlformats.org/officeDocument/2006/relationships/hyperlink" Target="http://arxiv.org/abs/1810.04805" TargetMode="External"/><Relationship Id="rId21" Type="http://schemas.openxmlformats.org/officeDocument/2006/relationships/footer" Target="footer1.xml"/><Relationship Id="rId13" Type="http://schemas.openxmlformats.org/officeDocument/2006/relationships/hyperlink" Target="https://huggingface.co/docs/transformers/training" TargetMode="External"/><Relationship Id="rId12" Type="http://schemas.openxmlformats.org/officeDocument/2006/relationships/hyperlink" Target="https://sklearn-crfsuite.readthedocs.io/en/latest/tutorial.html"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arxiv.org/abs/1706.03762" TargetMode="External"/><Relationship Id="rId15" Type="http://schemas.openxmlformats.org/officeDocument/2006/relationships/hyperlink" Target="https://github.com/souravhada/Name-Entity-Recognition-NER-using-LSTM" TargetMode="External"/><Relationship Id="rId14" Type="http://schemas.openxmlformats.org/officeDocument/2006/relationships/hyperlink" Target="https://huggingface.co/docs/transformers/tasks/token_classification" TargetMode="External"/><Relationship Id="rId17" Type="http://schemas.openxmlformats.org/officeDocument/2006/relationships/hyperlink" Target="https://www.youtube.com/watch?v=jGst43P-TJA" TargetMode="External"/><Relationship Id="rId16" Type="http://schemas.openxmlformats.org/officeDocument/2006/relationships/hyperlink" Target="https://www.youtube.com/watch?v=1LDRG4aeHqo" TargetMode="External"/><Relationship Id="rId5" Type="http://schemas.openxmlformats.org/officeDocument/2006/relationships/numbering" Target="numbering.xml"/><Relationship Id="rId19" Type="http://schemas.openxmlformats.org/officeDocument/2006/relationships/hyperlink" Target="https://www.youtube.com/watch?v=JIz-hiRrZ2g" TargetMode="External"/><Relationship Id="rId6" Type="http://schemas.openxmlformats.org/officeDocument/2006/relationships/styles" Target="styles.xml"/><Relationship Id="rId18" Type="http://schemas.openxmlformats.org/officeDocument/2006/relationships/hyperlink" Target="https://www.youtube.com/watch?v=MOxLPdEyQUs" TargetMode="External"/><Relationship Id="rId7" Type="http://schemas.openxmlformats.org/officeDocument/2006/relationships/image" Target="media/image1.png"/><Relationship Id="rId8" Type="http://schemas.openxmlformats.org/officeDocument/2006/relationships/hyperlink" Target="https://repository.upenn.edu/entities/publication/c9aea099-b5c8-4fdd-901c-15b6f889e4a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