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color w:val="1A477A"/>
          <w:sz w:val="52"/>
        </w:rPr>
        <w:t>Модель участников</w:t>
        <w:br/>
        <w:t>и продукт</w:t>
      </w:r>
    </w:p>
    <w:p>
      <w:pPr>
        <w:jc w:val="center"/>
      </w:pPr>
      <w:r>
        <w:rPr>
          <w:rFonts w:ascii="Calibri" w:hAnsi="Calibri"/>
          <w:color w:val="2E75B6"/>
          <w:sz w:val="28"/>
        </w:rPr>
        <w:t>УЖВ · ИКТ · коммерция</w:t>
      </w:r>
    </w:p>
    <w:p/>
    <w:p>
      <w:pPr>
        <w:jc w:val="center"/>
      </w:pPr>
      <w:r>
        <w:rPr>
          <w:color w:val="5A5A5A"/>
          <w:sz w:val="22"/>
        </w:rPr>
        <w:t>Версия 1.0 · 19.05.2026</w:t>
      </w:r>
    </w:p>
    <w:p>
      <w:r>
        <w:br w:type="page"/>
      </w:r>
    </w:p>
    <w:p>
      <w:pPr>
        <w:pStyle w:val="Heading1"/>
      </w:pPr>
      <w:r>
        <w:t>Модель участников, продукт и два трека (гос + коммерция)</w:t>
      </w:r>
    </w:p>
    <w:p>
      <w:r>
        <w:t>Дата: 19.05.2026 · Версия: 1.0</w:t>
      </w:r>
    </w:p>
    <w:p>
      <w:pPr>
        <w:pStyle w:val="Heading2"/>
      </w:pPr>
      <w:r>
        <w:t>1. Три стороны в госпроекте (не путать роли)</w:t>
      </w:r>
    </w:p>
    <w:p>
      <w:r>
        <w:t>```mermaid</w:t>
      </w:r>
    </w:p>
    <w:p>
      <w:r>
        <w:t>flowchart LR</w:t>
      </w:r>
    </w:p>
    <w:p>
      <w:r>
        <w:t>subgraph func [Функциональный контур]</w:t>
      </w:r>
    </w:p>
    <w:p>
      <w:r>
        <w:t>UZHV[УЖВ]</w:t>
      </w:r>
    </w:p>
    <w:p>
      <w:r>
        <w:t>end</w:t>
      </w:r>
    </w:p>
    <w:p>
      <w:r>
        <w:t>subgraph tech [Технический и закупочный контур]</w:t>
      </w:r>
    </w:p>
    <w:p>
      <w:r>
        <w:t>IKT[Управление ИКТ / УИКТиС]</w:t>
      </w:r>
    </w:p>
    <w:p>
      <w:r>
        <w:t>end</w:t>
      </w:r>
    </w:p>
    <w:p>
      <w:r>
        <w:t>subgraph exec [Исполнитель]</w:t>
      </w:r>
    </w:p>
    <w:p>
      <w:r>
        <w:t>DEV[Разработчик]</w:t>
      </w:r>
    </w:p>
    <w:p>
      <w:r>
        <w:t>end</w:t>
      </w:r>
    </w:p>
    <w:p>
      <w:r>
        <w:t>UZHV --&gt;|требования, процессы, UI, приёмка по смыслу| DEV</w:t>
      </w:r>
    </w:p>
    <w:p>
      <w:r>
        <w:t>IKT --&gt;|закупка, сервер, ИБ, приёмка по акту| DEV</w:t>
      </w:r>
    </w:p>
    <w:p>
      <w:r>
        <w:t>UZHV -.-&gt;|согласование| IKT</w:t>
      </w:r>
    </w:p>
    <w:p>
      <w:r>
        <w:t>IKT --&gt;|инфраструктура| UZHV</w:t>
      </w:r>
    </w:p>
    <w:p>
      <w:r>
        <w:t>```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Роль</w:t>
            </w:r>
          </w:p>
        </w:tc>
        <w:tc>
          <w:tcPr>
            <w:tcW w:type="dxa" w:w="216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Кто</w:t>
            </w:r>
          </w:p>
        </w:tc>
        <w:tc>
          <w:tcPr>
            <w:tcW w:type="dxa" w:w="216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Зона ответственности</w:t>
            </w:r>
          </w:p>
        </w:tc>
        <w:tc>
          <w:tcPr>
            <w:tcW w:type="dxa" w:w="216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Что согласовываем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**Технический заказчик / закупщик**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**Управление ИКТ**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Закупка, сервер, сеть, ИБ, **приёмка работ по контракту**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Отдельная сессия ИКТ: стек, размещение, ПМИ, акт</w:t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rFonts w:ascii="Calibri" w:hAnsi="Calibri"/>
                <w:sz w:val="20"/>
              </w:rPr>
              <w:t>**Пользователи**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rFonts w:ascii="Calibri" w:hAnsi="Calibri"/>
                <w:sz w:val="20"/>
              </w:rPr>
              <w:t>Сотрудники УЖВ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rFonts w:ascii="Calibri" w:hAnsi="Calibri"/>
                <w:sz w:val="20"/>
              </w:rPr>
              <w:t>Ежедневная работа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rFonts w:ascii="Calibri" w:hAnsi="Calibri"/>
                <w:sz w:val="20"/>
              </w:rPr>
              <w:t>Обучение, обратная связь на опытной эксплуатации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**Исполнитель**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Вы / ваша организация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Разработка, реестр, внедрение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Контракт с тем, кто указан заказчиком в извещении</w:t>
            </w:r>
          </w:p>
        </w:tc>
      </w:tr>
    </w:tbl>
    <w:p/>
    <w:p>
      <w:r>
        <w:t>Важно для документов:</w:t>
      </w:r>
    </w:p>
    <w:p>
      <w:pPr>
        <w:pStyle w:val="ListBullet"/>
      </w:pPr>
      <w:r>
        <w:t>В ТЗ на закупку заказчиком по 44-ФЗ часто выступает администрация / МКУ «Электронный Краснодар», а ИКТ готовит извещение и принимает как технический специалист — уточнить юридическое лицо в A2.1.</w:t>
      </w:r>
    </w:p>
    <w:p>
      <w:pPr>
        <w:pStyle w:val="ListBullet"/>
      </w:pPr>
      <w:r>
        <w:t>Приёмку подписывает ИКТ (или комиссия под председательством ИКТ + представитель УЖВ) — зафиксировать в F1.5 до августа.</w:t>
      </w:r>
    </w:p>
    <w:p>
      <w:pPr>
        <w:pStyle w:val="ListBullet"/>
      </w:pPr>
      <w:r>
        <w:t>УЖВ не должно оставаться единственным контактом по серверу — всё размещение через ИКТ.</w:t>
      </w:r>
    </w:p>
    <w:p>
      <w:pPr>
        <w:pStyle w:val="Heading2"/>
      </w:pPr>
      <w:r>
        <w:t>2. Размещение: модель «на стороне ИКТ»</w:t>
      </w:r>
    </w:p>
    <w:p>
      <w:r>
        <w:t>Если сервер предоставляет ИКТ (типично для муниципалитета):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Тема</w:t>
            </w:r>
          </w:p>
        </w:tc>
        <w:tc>
          <w:tcPr>
            <w:tcW w:type="dxa" w:w="288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Ответственный</w:t>
            </w:r>
          </w:p>
        </w:tc>
        <w:tc>
          <w:tcPr>
            <w:tcW w:type="dxa" w:w="288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Вопрос на сессии ИКТ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Astra Linux, Nginx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ИКТ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Версии, кто админит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PostgreSQL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ИКТ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Отдельная ВМ или общий кластер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VPN / доступ разработчика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ИКТ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VPN, jump-host, GitLab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TLS-сертификат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ИКТ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Кто выпускает, срок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Резервное копирование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ИКТ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RPO/RTO, кто восстанавливает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К3 / ИСПДн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ИКТ + ИБ администрации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Класс, модель угроз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Мониторинг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ИКТ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Prometheus/ELK или их аналог</w:t>
            </w:r>
          </w:p>
        </w:tc>
      </w:tr>
    </w:tbl>
    <w:p/>
    <w:p>
      <w:r>
        <w:t>Следствие для календаря: сессия с ИКТ — не позже первой недели июня, иначе риск «нет сервера к сентябрю».</w:t>
      </w:r>
    </w:p>
    <w:p>
      <w:pPr>
        <w:pStyle w:val="Heading2"/>
      </w:pPr>
      <w:r>
        <w:t>3. Универсальный продукт для реестра (не только «АИС УЖВ»)</w:t>
      </w:r>
    </w:p>
    <w:p>
      <w:pPr>
        <w:pStyle w:val="Heading3"/>
      </w:pPr>
      <w:r>
        <w:t>3.1. Зачем</w:t>
      </w:r>
    </w:p>
    <w:p>
      <w:pPr>
        <w:pStyle w:val="ListBullet"/>
      </w:pPr>
      <w:r>
        <w:t>Один продукт в реестре → можно использовать в других закупках и коммерции (Ателика, стройка, юрбюро).</w:t>
      </w:r>
    </w:p>
    <w:p>
      <w:pPr>
        <w:pStyle w:val="ListBullet"/>
      </w:pPr>
      <w:r>
        <w:t>УЖВ — первая отраслевая конфигурация (модуль «Жилищный контур» / «УЖВ»), а не отдельное ПО навсегда только для одного управления.</w:t>
      </w:r>
    </w:p>
    <w:p>
      <w:pPr>
        <w:pStyle w:val="Heading3"/>
      </w:pPr>
      <w:r>
        <w:t>3.2. Рекомендуемая продуктовая схема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Уровень</w:t>
            </w:r>
          </w:p>
        </w:tc>
        <w:tc>
          <w:tcPr>
            <w:tcW w:type="dxa" w:w="288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Название (рабочее)</w:t>
            </w:r>
          </w:p>
        </w:tc>
        <w:tc>
          <w:tcPr>
            <w:tcW w:type="dxa" w:w="288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В реестре / в контракте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**Модуль УЖВ**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АИС УЖВ / жилищный модуль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Описание в ТЗ закупки как конфигурация платформы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**Модули коммерции**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CRM-учёт, заявки, документы…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Отдельные лицензии, тот же реестровый №</w:t>
            </w:r>
          </w:p>
        </w:tc>
      </w:tr>
    </w:tbl>
    <w:p/>
    <w:p>
      <w:pPr>
        <w:pStyle w:val="Heading3"/>
      </w:pPr>
      <w:r>
        <w:t>3.3. Что прописать в реестре (смысл, не юрформулировка)</w:t>
      </w:r>
    </w:p>
    <w:p>
      <w:pPr>
        <w:pStyle w:val="ListBullet"/>
      </w:pPr>
      <w:r>
        <w:t>Назначение: модульная веб-платформа для автоматизации учёта заявлений, документооборота, отчётности, ролевого доступа.</w:t>
      </w:r>
    </w:p>
    <w:p>
      <w:pPr>
        <w:pStyle w:val="ListBullet"/>
      </w:pPr>
      <w:r>
        <w:t>Область: органы власти, муниципальные учреждения, коммерческие организации (B2B).</w:t>
      </w:r>
    </w:p>
    <w:p>
      <w:pPr>
        <w:pStyle w:val="ListBullet"/>
      </w:pPr>
      <w:r>
        <w:t>Модули: жилищный контур (УЖВ), *далее — по мере выпуска*.</w:t>
      </w:r>
    </w:p>
    <w:p>
      <w:pPr>
        <w:pStyle w:val="ListBullet"/>
      </w:pPr>
      <w:r>
        <w:t>Без привязки только к «Управлению по жилищным вопросам г. Краснодара» в наименовании продукта.</w:t>
      </w:r>
    </w:p>
    <w:p>
      <w:pPr>
        <w:pStyle w:val="Heading3"/>
      </w:pPr>
      <w:r>
        <w:t>3.4. Связка с закупкой УЖВ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Документ</w:t>
            </w:r>
          </w:p>
        </w:tc>
        <w:tc>
          <w:tcPr>
            <w:tcW w:type="dxa" w:w="432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Как писать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Реестр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Запись на **платформу**; в описании — модуль УЖВ как первая поставка</w:t>
            </w:r>
          </w:p>
        </w:tc>
      </w:tr>
      <w:tr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Контракт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sz w:val="20"/>
              </w:rPr>
              <w:t>Лицензия на платформу + работы по внедрению модуля УЖВ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Приёмка ИКТ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Платформа развёрнута + модуль УЖВ по ПМИ</w:t>
            </w:r>
          </w:p>
        </w:tc>
      </w:tr>
    </w:tbl>
    <w:p/>
    <w:p>
      <w:r>
        <w:t>Риск: если в извещении только «АИС УЖВ» без платформы — коммерческие модули не «подвязаны» к той же записи. Решение: юрист + ИКТ согласуют формулировку.</w:t>
      </w:r>
    </w:p>
    <w:p>
      <w:pPr>
        <w:pStyle w:val="Heading2"/>
      </w:pPr>
      <w:r>
        <w:t>4. Два параллельных трека</w:t>
      </w:r>
    </w:p>
    <w:p>
      <w:r>
        <w:t>```mermaid</w:t>
      </w:r>
    </w:p>
    <w:p>
      <w:r>
        <w:t>flowchart TB</w:t>
      </w:r>
    </w:p>
    <w:p>
      <w:r>
        <w:t>subgraph core [Общее ядро — один репозиторий]</w:t>
      </w:r>
    </w:p>
    <w:p>
      <w:r>
        <w:t>P[Платформа: auth, роли, аудит, справочники, отчёты, шаблоны]</w:t>
      </w:r>
    </w:p>
    <w:p>
      <w:r>
        <w:t>end</w:t>
      </w:r>
    </w:p>
    <w:p>
      <w:r>
        <w:t>subgraph gov [Трек 1 — гос]</w:t>
      </w:r>
    </w:p>
    <w:p>
      <w:r>
        <w:t>U[Модуль УЖВ]</w:t>
      </w:r>
    </w:p>
    <w:p>
      <w:r>
        <w:t>R[Реестр + закупка ИКТ]</w:t>
      </w:r>
    </w:p>
    <w:p>
      <w:r>
        <w:t>T[Приёмка ИКТ 02.10]</w:t>
      </w:r>
    </w:p>
    <w:p>
      <w:r>
        <w:t>end</w:t>
      </w:r>
    </w:p>
    <w:p>
      <w:r>
        <w:t>subgraph com [Трек 2 — коммерция]</w:t>
      </w:r>
    </w:p>
    <w:p>
      <w:r>
        <w:t>C1[Ателика]</w:t>
      </w:r>
    </w:p>
    <w:p>
      <w:r>
        <w:t>C2[Точно / стройка]</w:t>
      </w:r>
    </w:p>
    <w:p>
      <w:r>
        <w:t>C3[Юрбюро]</w:t>
      </w:r>
    </w:p>
    <w:p>
      <w:r>
        <w:t>end</w:t>
      </w:r>
    </w:p>
    <w:p>
      <w:r>
        <w:t>P --&gt; U</w:t>
      </w:r>
    </w:p>
    <w:p>
      <w:r>
        <w:t>P --&gt; C1</w:t>
      </w:r>
    </w:p>
    <w:p>
      <w:r>
        <w:t>P --&gt; C2</w:t>
      </w:r>
    </w:p>
    <w:p>
      <w:r>
        <w:t>P --&gt; C3</w:t>
      </w:r>
    </w:p>
    <w:p>
      <w:r>
        <w:t>U --&gt; R --&gt; T</w:t>
      </w:r>
    </w:p>
    <w:p>
      <w:r>
        <w:t>```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288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**Трек 1: УЖВ (гос)**</w:t>
            </w:r>
          </w:p>
        </w:tc>
        <w:tc>
          <w:tcPr>
            <w:tcW w:type="dxa" w:w="288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**Трек 2: коммерция**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**Деньги**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Контракт после торгов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Пилот / внедрение напрямую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**Срок**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Жёстко 02.10.2026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Гибко, 30–60 дней на пилот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**Функционал**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Полное ТЗ УЖВ (без I-xx)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1 ниша = 1 демо-сценарий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**Реестр**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Нужен для закупки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Аргумент для ЛПР (+ вычет)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**Сервер**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ИКТ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Облако РФ / у клиента</w:t>
            </w:r>
          </w:p>
        </w:tc>
      </w:tr>
    </w:tbl>
    <w:p/>
    <w:p>
      <w:r>
        <w:t>Правило: не смешивать разработку под контракт УЖВ с кастомом для коммерции без отдельного соглашения и оценки — иначе срыв сроков госприёмки.</w:t>
      </w:r>
    </w:p>
    <w:p>
      <w:pPr>
        <w:pStyle w:val="Heading2"/>
      </w:pPr>
      <w:r>
        <w:t>5. Коммерческие ниши (черновик)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Клиент</w:t>
            </w:r>
          </w:p>
        </w:tc>
        <w:tc>
          <w:tcPr>
            <w:tcW w:type="dxa" w:w="288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Узкий сценарий для демо</w:t>
            </w:r>
          </w:p>
        </w:tc>
        <w:tc>
          <w:tcPr>
            <w:tcW w:type="dxa" w:w="288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Переиспользование из ядра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**Точно (стройка)**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Объекты, заявки на снабжение/документы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Справочники, документы, workflow</w:t>
            </w:r>
          </w:p>
        </w:tc>
      </w:tr>
      <w:tr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**Юрбюро**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Дела, сроки, шаблоны документов</w:t>
            </w:r>
          </w:p>
        </w:tc>
        <w:tc>
          <w:tcPr>
            <w:tcW w:type="dxa" w:w="2880"/>
            <w:shd w:fill="F2F6FA" w:val="clear"/>
          </w:tcPr>
          <w:p>
            <w:r>
              <w:rPr>
                <w:rFonts w:ascii="Calibri" w:hAnsi="Calibri"/>
                <w:sz w:val="20"/>
              </w:rPr>
              <w:t>Шаблонизатор, календарь сроков, аудит</w:t>
            </w:r>
          </w:p>
        </w:tc>
      </w:tr>
    </w:tbl>
    <w:p/>
    <w:p>
      <w:r>
        <w:t>Май–июнь: пока фокус на прототипе УЖВ; коммерции — 1 страница в презентации «дорожная карта модулей».</w:t>
      </w:r>
    </w:p>
    <w:p>
      <w:r>
        <w:t>Июль+: после стабилизации ядра — пилот 2–4 недели на одном коммерческом клиенте (выбрать одного).</w:t>
      </w:r>
    </w:p>
    <w:p>
      <w:pPr>
        <w:pStyle w:val="Heading2"/>
      </w:pPr>
      <w:r>
        <w:t>6. Обновлённый календарь встреч (5 сессий)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216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Когда</w:t>
            </w:r>
          </w:p>
        </w:tc>
        <w:tc>
          <w:tcPr>
            <w:tcW w:type="dxa" w:w="216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С кем</w:t>
            </w:r>
          </w:p>
        </w:tc>
        <w:tc>
          <w:tcPr>
            <w:tcW w:type="dxa" w:w="2160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Фокус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**1**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26–30.05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**УЖВ**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Обследование процессов</w:t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rFonts w:ascii="Calibri" w:hAnsi="Calibri"/>
                <w:sz w:val="20"/>
              </w:rPr>
              <w:t>**2**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rFonts w:ascii="Calibri" w:hAnsi="Calibri"/>
                <w:sz w:val="20"/>
              </w:rPr>
              <w:t>09–13.06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rFonts w:ascii="Calibri" w:hAnsi="Calibri"/>
                <w:sz w:val="20"/>
              </w:rPr>
              <w:t>**УЖВ**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rFonts w:ascii="Calibri" w:hAnsi="Calibri"/>
                <w:sz w:val="20"/>
              </w:rPr>
              <w:t>Учёт, расчёты, формы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**3**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16–20.06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**УЖВ**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UI, роли</w:t>
            </w:r>
          </w:p>
        </w:tc>
      </w:tr>
      <w:tr>
        <w:tc>
          <w:tcPr>
            <w:tcW w:type="dxa" w:w="2160"/>
            <w:shd w:fill="F2F6FA" w:val="clear"/>
          </w:tcPr>
          <w:p>
            <w:r>
              <w:rPr>
                <w:rFonts w:ascii="Calibri" w:hAnsi="Calibri"/>
                <w:sz w:val="20"/>
              </w:rPr>
              <w:t>**4**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rFonts w:ascii="Calibri" w:hAnsi="Calibri"/>
                <w:sz w:val="20"/>
              </w:rPr>
              <w:t>23–27.06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rFonts w:ascii="Calibri" w:hAnsi="Calibri"/>
                <w:sz w:val="20"/>
              </w:rPr>
              <w:t>**УЖВ + ИКТ**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rFonts w:ascii="Calibri" w:hAnsi="Calibri"/>
                <w:sz w:val="20"/>
              </w:rPr>
              <w:t>MVP, ТЗ закупки, ПМИ, комиссия приёмки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*опц.*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июнь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**Коммерция**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1 презентация платформы (без глубокого ТЗ)</w:t>
            </w:r>
          </w:p>
        </w:tc>
      </w:tr>
    </w:tbl>
    <w:p/>
    <w:p>
      <w:pPr>
        <w:pStyle w:val="Heading2"/>
      </w:pPr>
      <w:r>
        <w:t>7. Тезисы для трёх аудиторий</w:t>
      </w:r>
    </w:p>
    <w:p>
      <w:r>
        <w:t>УЖВ: «Вы задаёте, *что* система должна делать; ИКТ обеспечивает *где* она работает и *как* принимается контракт.»</w:t>
      </w:r>
    </w:p>
    <w:p>
      <w:r>
        <w:t>ИКТ: «Вы — заказчик инфраструктуры и приёмки; мы приносим платформу в реестре и модуль УЖВ по согласованному ПМИ.»</w:t>
      </w:r>
    </w:p>
    <w:p>
      <w:r>
        <w:t>Коммерция: «Та же платформа в реестре, другой модуль — быстрый пилот без госзакупки.»</w:t>
      </w:r>
    </w:p>
    <w:p>
      <w:pPr>
        <w:pStyle w:val="Heading2"/>
      </w:pPr>
      <w:r>
        <w:t>8. Следующие шаги</w:t>
      </w:r>
    </w:p>
    <w:p>
      <w:pPr>
        <w:pStyle w:val="ListNumber"/>
      </w:pPr>
      <w:r>
        <w:t>Зафиксировать торговое имя платформы для реестра (до подачи в июне).</w:t>
      </w:r>
    </w:p>
    <w:p>
      <w:pPr>
        <w:pStyle w:val="ListNumber"/>
      </w:pPr>
      <w:r>
        <w:t>Назначить встречу 0 с ИКТ (неделя 22–24.05).</w:t>
      </w:r>
    </w:p>
    <w:p>
      <w:pPr>
        <w:pStyle w:val="ListNumber"/>
      </w:pPr>
      <w:r>
        <w:t>В опроснике заполнить блок Часть I (ИКТ) — см. `voprosy-k-zakazchiku-uzhv-detalno.md`.</w:t>
      </w:r>
    </w:p>
    <w:p>
      <w:pPr>
        <w:pStyle w:val="ListNumber"/>
      </w:pPr>
      <w:r>
        <w:t>На визите 4 обязательно председатель приёмки от ИКТ + функциональная приёмка УЖВ.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8"/>
      </w:rPr>
      <w:t>АИС УЖВ · model-uchastnikov-produkt-kommertiya.md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477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477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477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