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Calibri" w:hAnsi="Calibri"/>
          <w:b/>
          <w:color w:val="1A477A"/>
          <w:sz w:val="52"/>
        </w:rPr>
        <w:t>Программа реализации</w:t>
        <w:br/>
        <w:t>АИС УЖВ</w:t>
      </w:r>
    </w:p>
    <w:p>
      <w:pPr>
        <w:jc w:val="center"/>
      </w:pPr>
      <w:r>
        <w:rPr>
          <w:rFonts w:ascii="Calibri" w:hAnsi="Calibri"/>
          <w:color w:val="2E75B6"/>
          <w:sz w:val="28"/>
        </w:rPr>
        <w:t>Для представления заказчику · май — октябрь 2026</w:t>
      </w:r>
    </w:p>
    <w:p/>
    <w:p>
      <w:pPr>
        <w:jc w:val="center"/>
      </w:pPr>
      <w:r>
        <w:rPr>
          <w:color w:val="5A5A5A"/>
          <w:sz w:val="22"/>
        </w:rPr>
        <w:t>Документ-основание: ТЗ_АИС_УЖВ (2).docx</w:t>
      </w:r>
      <w:r>
        <w:br/>
      </w:r>
      <w:r>
        <w:rPr>
          <w:color w:val="5A5A5A"/>
          <w:sz w:val="22"/>
        </w:rPr>
        <w:t>Заказчик: Управление по жилищным вопросам</w:t>
      </w:r>
      <w:r>
        <w:br/>
      </w:r>
      <w:r>
        <w:rPr>
          <w:color w:val="5A5A5A"/>
          <w:sz w:val="22"/>
        </w:rPr>
        <w:t>администрации МО город Краснодар</w:t>
      </w:r>
      <w:r>
        <w:br/>
      </w:r>
      <w:r>
        <w:rPr>
          <w:color w:val="5A5A5A"/>
          <w:sz w:val="22"/>
        </w:rPr>
        <w:t>Оператор закупки: МКУ «Электронный Краснодар»</w:t>
      </w:r>
      <w:r>
        <w:br/>
      </w:r>
      <w:r>
        <w:rPr>
          <w:color w:val="5A5A5A"/>
          <w:sz w:val="22"/>
        </w:rPr>
        <w:t>Версия 2.0 · 19.05.2026</w:t>
      </w:r>
    </w:p>
    <w:p>
      <w:r>
        <w:br w:type="page"/>
      </w:r>
    </w:p>
    <w:p>
      <w:pPr>
        <w:shd w:fill="E8F1FA" w:val="clear"/>
        <w:spacing w:before="160" w:after="160"/>
        <w:ind w:left="227" w:right="227"/>
      </w:pPr>
      <w:r>
        <w:rPr>
          <w:b w:val="0"/>
          <w:color w:val="1A1A1A"/>
          <w:sz w:val="21"/>
        </w:rPr>
        <w:t>Важно: в упрощённом ТЗ внешние интеграции (ГИС ЖКХ, СМЭВ, Катарсис и др.) не входят в объём первого этапа — опции I-01…I-14 не активны. Учёт межведомственных ответов ведётся вручную; обмен — файлами CSV/XLSX и скриптами PY-01…PY-07.</w:t>
        <w:br/>
        <w:br/>
        <w:t>Срок по ТЗ: оказание услуг до 02.10.2026. Приёмка планируется к концу сентября — началу октября. Перенос на ноябрь возможен только изменением ТЗ/контракта.</w:t>
      </w:r>
    </w:p>
    <w:p>
      <w:pPr>
        <w:pStyle w:val="Heading1"/>
      </w:pPr>
      <w:r>
        <w:t>1. Чем упрощённое ТЗ отличается от полной версии 1.1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551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Аспект</w:t>
            </w:r>
          </w:p>
        </w:tc>
        <w:tc>
          <w:tcPr>
            <w:tcW w:type="dxa" w:w="311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ТЗ v1.1</w:t>
            </w:r>
          </w:p>
        </w:tc>
        <w:tc>
          <w:tcPr>
            <w:tcW w:type="dxa" w:w="368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Согласованное ТЗ (2)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Интеграции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ГИС ЖКХ, СМЭВ, Катарсис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Нет — опции I-xx не активны</w:t>
            </w:r>
          </w:p>
        </w:tc>
      </w:tr>
      <w:tr>
        <w:tc>
          <w:tcPr>
            <w:tcW w:type="dxa" w:w="2551"/>
            <w:shd w:fill="F2F6FA" w:val="clear"/>
          </w:tcPr>
          <w:p>
            <w:r>
              <w:rPr>
                <w:rFonts w:ascii="Calibri" w:hAnsi="Calibri"/>
                <w:sz w:val="20"/>
              </w:rPr>
              <w:t>Межведомственные запросы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Авто через СМЭВ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Ручной учёт + отчёт ОТЧ-8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Обмен данными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API внешних ИС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Импорт/экспорт файлов, Python</w:t>
            </w:r>
          </w:p>
        </w:tc>
      </w:tr>
      <w:tr>
        <w:tc>
          <w:tcPr>
            <w:tcW w:type="dxa" w:w="2551"/>
            <w:shd w:fill="F2F6FA" w:val="clear"/>
          </w:tcPr>
          <w:p>
            <w:r>
              <w:rPr>
                <w:rFonts w:ascii="Calibri" w:hAnsi="Calibri"/>
                <w:sz w:val="20"/>
              </w:rPr>
              <w:t>Срок контракта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В договоре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До 02.10.2026</w:t>
            </w:r>
          </w:p>
        </w:tc>
      </w:tr>
      <w:tr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Модули учёта, договоров, контроля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Да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Да (функционал сохранён)</w:t>
            </w:r>
          </w:p>
        </w:tc>
      </w:tr>
    </w:tbl>
    <w:p/>
    <w:p>
      <w:r>
        <w:rPr>
          <w:i w:val="0"/>
        </w:rPr>
        <w:t>Для заказчика это плюс: реалистичнее уложиться в календарь, меньше зависимость от смежных ведомств.</w:t>
      </w:r>
    </w:p>
    <w:p>
      <w:pPr>
        <w:pStyle w:val="Heading1"/>
      </w:pPr>
      <w:r>
        <w:t>2. Сводный календарь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814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Период</w:t>
            </w:r>
          </w:p>
        </w:tc>
        <w:tc>
          <w:tcPr>
            <w:tcW w:type="dxa" w:w="368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Работы</w:t>
            </w:r>
          </w:p>
        </w:tc>
        <w:tc>
          <w:tcPr>
            <w:tcW w:type="dxa" w:w="283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Результат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Май — июнь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Прототип, 4 визита в УЖВ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Демо + протоколы</w:t>
            </w:r>
          </w:p>
        </w:tc>
      </w:tr>
      <w:tr>
        <w:tc>
          <w:tcPr>
            <w:tcW w:type="dxa" w:w="1814"/>
            <w:shd w:fill="F2F6FA" w:val="clear"/>
          </w:tcPr>
          <w:p>
            <w:r>
              <w:rPr>
                <w:rFonts w:ascii="Calibri" w:hAnsi="Calibri"/>
                <w:sz w:val="20"/>
              </w:rPr>
              <w:t>Конец июня (1 нед.)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Регистрация прав на ПО</w:t>
            </w:r>
          </w:p>
        </w:tc>
        <w:tc>
          <w:tcPr>
            <w:tcW w:type="dxa" w:w="2835"/>
            <w:shd w:fill="F2F6FA" w:val="clear"/>
          </w:tcPr>
          <w:p>
            <w:r>
              <w:rPr>
                <w:rFonts w:ascii="Calibri" w:hAnsi="Calibri"/>
                <w:sz w:val="20"/>
              </w:rPr>
              <w:t>Заявка в Роспатент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Июль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Реестр Минцифры + разработка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Запись в реестре</w:t>
            </w:r>
          </w:p>
        </w:tc>
      </w:tr>
      <w:tr>
        <w:tc>
          <w:tcPr>
            <w:tcW w:type="dxa" w:w="1814"/>
            <w:shd w:fill="F2F6FA" w:val="clear"/>
          </w:tcPr>
          <w:p>
            <w:r>
              <w:rPr>
                <w:rFonts w:ascii="Calibri" w:hAnsi="Calibri"/>
                <w:sz w:val="20"/>
              </w:rPr>
              <w:t>Август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Реестровый № в ТЗ, закупка</w:t>
            </w:r>
          </w:p>
        </w:tc>
        <w:tc>
          <w:tcPr>
            <w:tcW w:type="dxa" w:w="2835"/>
            <w:shd w:fill="F2F6FA" w:val="clear"/>
          </w:tcPr>
          <w:p>
            <w:r>
              <w:rPr>
                <w:rFonts w:ascii="Calibri" w:hAnsi="Calibri"/>
                <w:sz w:val="20"/>
              </w:rPr>
              <w:t>Извещение в ЕИС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Сентябрь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Торги, контракт, внедрение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Акт начала работ</w:t>
            </w:r>
          </w:p>
        </w:tc>
      </w:tr>
      <w:tr>
        <w:tc>
          <w:tcPr>
            <w:tcW w:type="dxa" w:w="1814"/>
            <w:shd w:fill="F2F6FA" w:val="clear"/>
          </w:tcPr>
          <w:p>
            <w:r>
              <w:rPr>
                <w:rFonts w:ascii="Calibri" w:hAnsi="Calibri"/>
                <w:sz w:val="20"/>
              </w:rPr>
              <w:t>Октябрь (до 02.10)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Опытная эксплуатация, приёмка</w:t>
            </w:r>
          </w:p>
        </w:tc>
        <w:tc>
          <w:tcPr>
            <w:tcW w:type="dxa" w:w="2835"/>
            <w:shd w:fill="F2F6FA" w:val="clear"/>
          </w:tcPr>
          <w:p>
            <w:r>
              <w:rPr>
                <w:rFonts w:ascii="Calibri" w:hAnsi="Calibri"/>
                <w:sz w:val="20"/>
              </w:rPr>
              <w:t>Акт приёма-передачи</w:t>
            </w:r>
          </w:p>
        </w:tc>
      </w:tr>
      <w:tr>
        <w:tc>
          <w:tcPr>
            <w:tcW w:type="dxa" w:w="1814"/>
          </w:tcPr>
          <w:p>
            <w:r>
              <w:rPr>
                <w:rFonts w:ascii="Calibri" w:hAnsi="Calibri"/>
                <w:sz w:val="20"/>
              </w:rPr>
              <w:t>Ноябрь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Только при изменении срока</w:t>
            </w:r>
          </w:p>
        </w:tc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Резерв / гарантия</w:t>
            </w:r>
          </w:p>
        </w:tc>
      </w:tr>
    </w:tbl>
    <w:p/>
    <w:p>
      <w:pPr>
        <w:pStyle w:val="Heading1"/>
      </w:pPr>
      <w:r>
        <w:t>3. Май — июнь: прототип и 4 очные сессии</w:t>
      </w:r>
    </w:p>
    <w:p>
      <w:pPr>
        <w:pStyle w:val="Heading2"/>
      </w:pPr>
      <w:r>
        <w:t>3.1. Состав прототипа (к концу июня)</w:t>
      </w:r>
    </w:p>
    <w:p>
      <w:r>
        <w:rPr>
          <w:i w:val="0"/>
        </w:rPr>
        <w:t>Платформа: веб, JWT, роли, журнал аудита, PostgreSQL, Docker, Astra Linux, Nginx.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26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Подсистема</w:t>
            </w:r>
          </w:p>
        </w:tc>
        <w:tc>
          <w:tcPr>
            <w:tcW w:type="dxa" w:w="311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 прототипе (июнь)</w:t>
            </w:r>
          </w:p>
        </w:tc>
        <w:tc>
          <w:tcPr>
            <w:tcW w:type="dxa" w:w="311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 приёмке 02.10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Малоимущие + расчёт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Заявление, расчёт, заключение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Полный цикл</w:t>
            </w:r>
          </w:p>
        </w:tc>
      </w:tr>
      <w:tr>
        <w:tc>
          <w:tcPr>
            <w:tcW w:type="dxa" w:w="2268"/>
            <w:shd w:fill="F2F6FA" w:val="clear"/>
          </w:tcPr>
          <w:p>
            <w:r>
              <w:rPr>
                <w:rFonts w:ascii="Calibri" w:hAnsi="Calibri"/>
                <w:sz w:val="20"/>
              </w:rPr>
              <w:t>Учёт нуждающихся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Реестры, очерёдность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+ история, отчёты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Молодые семьи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Списки (базово)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По законам КК 2704, 2710</w:t>
            </w:r>
          </w:p>
        </w:tc>
      </w:tr>
      <w:tr>
        <w:tc>
          <w:tcPr>
            <w:tcW w:type="dxa" w:w="2268"/>
            <w:shd w:fill="F2F6FA" w:val="clear"/>
          </w:tcPr>
          <w:p>
            <w:r>
              <w:rPr>
                <w:rFonts w:ascii="Calibri" w:hAnsi="Calibri"/>
                <w:sz w:val="20"/>
              </w:rPr>
              <w:t>Дети-сироты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Карточка дела, ручные решения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Без I-04, I-08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Договоры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Реестр договоров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+ шаблоны docx/pdf</w:t>
            </w:r>
          </w:p>
        </w:tc>
      </w:tr>
      <w:tr>
        <w:tc>
          <w:tcPr>
            <w:tcW w:type="dxa" w:w="2268"/>
            <w:shd w:fill="F2F6FA" w:val="clear"/>
          </w:tcPr>
          <w:p>
            <w:r>
              <w:rPr>
                <w:rFonts w:ascii="Calibri" w:hAnsi="Calibri"/>
                <w:sz w:val="20"/>
              </w:rPr>
              <w:t>Жилфонд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МКД, помещения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Импорт PY-01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Жилконтроль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Проверки, предписания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Реестр проверок</w:t>
            </w:r>
          </w:p>
        </w:tc>
      </w:tr>
      <w:tr>
        <w:tc>
          <w:tcPr>
            <w:tcW w:type="dxa" w:w="2268"/>
            <w:shd w:fill="F2F6FA" w:val="clear"/>
          </w:tcPr>
          <w:p>
            <w:r>
              <w:rPr>
                <w:rFonts w:ascii="Calibri" w:hAnsi="Calibri"/>
                <w:sz w:val="20"/>
              </w:rPr>
              <w:t>Обращения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Регистрация, сроки 30 дн.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+ ответы, ОТЧ-5</w:t>
            </w:r>
          </w:p>
        </w:tc>
      </w:tr>
      <w:tr>
        <w:tc>
          <w:tcPr>
            <w:tcW w:type="dxa" w:w="2268"/>
          </w:tcPr>
          <w:p>
            <w:r>
              <w:rPr>
                <w:rFonts w:ascii="Calibri" w:hAnsi="Calibri"/>
                <w:sz w:val="20"/>
              </w:rPr>
              <w:t>Отчёты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ОТЧ-1, ОТЧ-5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ОТЧ-1…ОТЧ-10</w:t>
            </w:r>
          </w:p>
        </w:tc>
      </w:tr>
      <w:tr>
        <w:tc>
          <w:tcPr>
            <w:tcW w:type="dxa" w:w="2268"/>
            <w:shd w:fill="F2F6FA" w:val="clear"/>
          </w:tcPr>
          <w:p>
            <w:r>
              <w:rPr>
                <w:rFonts w:ascii="Calibri" w:hAnsi="Calibri"/>
                <w:sz w:val="20"/>
              </w:rPr>
              <w:t>Интеграции I-xx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Не делаем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Заглушки / справочник</w:t>
            </w:r>
          </w:p>
        </w:tc>
      </w:tr>
    </w:tbl>
    <w:p/>
    <w:p>
      <w:pPr>
        <w:pStyle w:val="Heading2"/>
      </w:pPr>
      <w:r>
        <w:t>3.2. График визитов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56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№</w:t>
            </w:r>
          </w:p>
        </w:tc>
        <w:tc>
          <w:tcPr>
            <w:tcW w:type="dxa" w:w="141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Окно</w:t>
            </w:r>
          </w:p>
        </w:tc>
        <w:tc>
          <w:tcPr>
            <w:tcW w:type="dxa" w:w="2551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Участники</w:t>
            </w:r>
          </w:p>
        </w:tc>
        <w:tc>
          <w:tcPr>
            <w:tcW w:type="dxa" w:w="368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Цель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20"/>
              </w:rPr>
              <w:t>1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26–30.05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Руководство, ИТ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Обследование, приоритеты</w:t>
            </w:r>
          </w:p>
        </w:tc>
      </w:tr>
      <w:tr>
        <w:tc>
          <w:tcPr>
            <w:tcW w:type="dxa" w:w="567"/>
            <w:shd w:fill="F2F6FA" w:val="clear"/>
          </w:tcPr>
          <w:p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1417"/>
            <w:shd w:fill="F2F6FA" w:val="clear"/>
          </w:tcPr>
          <w:p>
            <w:r>
              <w:rPr>
                <w:rFonts w:ascii="Calibri" w:hAnsi="Calibri"/>
                <w:sz w:val="20"/>
              </w:rPr>
              <w:t>09–13.06</w:t>
            </w:r>
          </w:p>
        </w:tc>
        <w:tc>
          <w:tcPr>
            <w:tcW w:type="dxa" w:w="2551"/>
            <w:shd w:fill="F2F6FA" w:val="clear"/>
          </w:tcPr>
          <w:p>
            <w:r>
              <w:rPr>
                <w:rFonts w:ascii="Calibri" w:hAnsi="Calibri"/>
                <w:sz w:val="20"/>
              </w:rPr>
              <w:t>Учёт, малоимущие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Поля, расчёты, формы</w:t>
            </w:r>
          </w:p>
        </w:tc>
      </w:tr>
      <w:tr>
        <w:tc>
          <w:tcPr>
            <w:tcW w:type="dxa" w:w="567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16–20.06</w:t>
            </w:r>
          </w:p>
        </w:tc>
        <w:tc>
          <w:tcPr>
            <w:tcW w:type="dxa" w:w="2551"/>
          </w:tcPr>
          <w:p>
            <w:r>
              <w:rPr>
                <w:rFonts w:ascii="Calibri" w:hAnsi="Calibri"/>
                <w:sz w:val="20"/>
              </w:rPr>
              <w:t>Ключевые пользователи</w:t>
            </w:r>
          </w:p>
        </w:tc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Утверждение UI</w:t>
            </w:r>
          </w:p>
        </w:tc>
      </w:tr>
      <w:tr>
        <w:tc>
          <w:tcPr>
            <w:tcW w:type="dxa" w:w="567"/>
            <w:shd w:fill="F2F6FA" w:val="clear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1417"/>
            <w:shd w:fill="F2F6FA" w:val="clear"/>
          </w:tcPr>
          <w:p>
            <w:r>
              <w:rPr>
                <w:rFonts w:ascii="Calibri" w:hAnsi="Calibri"/>
                <w:sz w:val="20"/>
              </w:rPr>
              <w:t>23–27.06</w:t>
            </w:r>
          </w:p>
        </w:tc>
        <w:tc>
          <w:tcPr>
            <w:tcW w:type="dxa" w:w="2551"/>
            <w:shd w:fill="F2F6FA" w:val="clear"/>
          </w:tcPr>
          <w:p>
            <w:r>
              <w:rPr>
                <w:rFonts w:ascii="Calibri" w:hAnsi="Calibri"/>
                <w:sz w:val="20"/>
              </w:rPr>
              <w:t>УЖВ + закупки</w:t>
            </w:r>
          </w:p>
        </w:tc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Итог MVP, реестр, август</w:t>
            </w:r>
          </w:p>
        </w:tc>
      </w:tr>
    </w:tbl>
    <w:p/>
    <w:p>
      <w:pPr>
        <w:pStyle w:val="Heading2"/>
      </w:pPr>
      <w:r>
        <w:t>3.3. Блоки вопросов для анкетирования (14+)</w:t>
      </w:r>
    </w:p>
    <w:p>
      <w:pPr>
        <w:pStyle w:val="ListBullet"/>
      </w:pPr>
      <w:r>
        <w:t>Актуальные регламенты и приказы (в т.ч. пр. № 58/2026).</w:t>
      </w:r>
    </w:p>
    <w:p>
      <w:pPr>
        <w:pStyle w:val="ListBullet"/>
      </w:pPr>
      <w:r>
        <w:t>Образцы заявлений, заключений, постановлений.</w:t>
      </w:r>
    </w:p>
    <w:p>
      <w:pPr>
        <w:pStyle w:val="ListBullet"/>
      </w:pPr>
      <w:r>
        <w:t>Алгоритм расчёта дохода и имущества.</w:t>
      </w:r>
    </w:p>
    <w:p>
      <w:pPr>
        <w:pStyle w:val="ListBullet"/>
      </w:pPr>
      <w:r>
        <w:t>Категории учёта и очерёдность.</w:t>
      </w:r>
    </w:p>
    <w:p>
      <w:pPr>
        <w:pStyle w:val="ListBullet"/>
      </w:pPr>
      <w:r>
        <w:t>Формы ОТЧ-1…ОТЧ-10 — обязательные к 02.10.</w:t>
      </w:r>
    </w:p>
    <w:p>
      <w:pPr>
        <w:pStyle w:val="ListBullet"/>
      </w:pPr>
      <w:r>
        <w:t>Роли и матрица утверждений.</w:t>
      </w:r>
    </w:p>
    <w:p>
      <w:pPr>
        <w:pStyle w:val="ListBullet"/>
      </w:pPr>
      <w:r>
        <w:t>Регламент обращений (30 дней).</w:t>
      </w:r>
    </w:p>
    <w:p>
      <w:pPr>
        <w:pStyle w:val="ListBullet"/>
      </w:pPr>
      <w:r>
        <w:t>Дела детей-сирот без СМЭВ — как фиксируют ответы ведомств.</w:t>
      </w:r>
    </w:p>
    <w:p>
      <w:pPr>
        <w:pStyle w:val="ListBullet"/>
      </w:pPr>
      <w:r>
        <w:t>Жилфонд: УЖВ / Горжилхоз, формат выгрузок.</w:t>
      </w:r>
    </w:p>
    <w:p>
      <w:pPr>
        <w:pStyle w:val="ListBullet"/>
      </w:pPr>
      <w:r>
        <w:t>Жилищный контроль — предметы проверок.</w:t>
      </w:r>
    </w:p>
    <w:p>
      <w:pPr>
        <w:pStyle w:val="ListBullet"/>
      </w:pPr>
      <w:r>
        <w:t>Контур размещения (сервер, VPN).</w:t>
      </w:r>
    </w:p>
    <w:p>
      <w:pPr>
        <w:pStyle w:val="ListBullet"/>
      </w:pPr>
      <w:r>
        <w:t>Требования ИБ и 152-ФЗ.</w:t>
      </w:r>
    </w:p>
    <w:p>
      <w:pPr>
        <w:pStyle w:val="ListBullet"/>
      </w:pPr>
      <w:r>
        <w:t>Способ закупки и НМЦК.</w:t>
      </w:r>
    </w:p>
    <w:p>
      <w:pPr>
        <w:pStyle w:val="ListBullet"/>
      </w:pPr>
      <w:r>
        <w:t>Обезличенные данные для пилота (PY-04).</w:t>
      </w:r>
    </w:p>
    <w:p>
      <w:pPr>
        <w:pStyle w:val="Heading1"/>
      </w:pPr>
      <w:r>
        <w:t>4. Конец июня: регистрация прав (1 неделя)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День</w:t>
            </w:r>
          </w:p>
        </w:tc>
        <w:tc>
          <w:tcPr>
            <w:tcW w:type="dxa" w:w="6803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Действие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Заявка «программа для ЭВМ», реферат, фрагмент кода</w:t>
            </w:r>
          </w:p>
        </w:tc>
      </w:tr>
      <w:tr>
        <w:tc>
          <w:tcPr>
            <w:tcW w:type="dxa" w:w="1417"/>
            <w:shd w:fill="F2F6FA" w:val="clea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803"/>
            <w:shd w:fill="F2F6FA" w:val="clear"/>
          </w:tcPr>
          <w:p>
            <w:r>
              <w:rPr>
                <w:rFonts w:ascii="Calibri" w:hAnsi="Calibri"/>
                <w:sz w:val="20"/>
              </w:rPr>
              <w:t>Подача в Роспатент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4–7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Номер заявки → основание для реестра</w:t>
            </w:r>
          </w:p>
        </w:tc>
      </w:tr>
    </w:tbl>
    <w:p/>
    <w:p>
      <w:pPr>
        <w:pStyle w:val="Heading1"/>
      </w:pPr>
      <w:r>
        <w:t>5. Июль: реестр + разработка</w:t>
      </w:r>
    </w:p>
    <w:p>
      <w:pPr>
        <w:pStyle w:val="ListBullet"/>
      </w:pPr>
      <w:r>
        <w:t>Подача в реестр → запись до конца июля / начала августа.</w:t>
      </w:r>
    </w:p>
    <w:p>
      <w:pPr>
        <w:pStyle w:val="ListBullet"/>
      </w:pPr>
      <w:r>
        <w:t>Все подсистемы — рабочие сценарии.</w:t>
      </w:r>
    </w:p>
    <w:p>
      <w:pPr>
        <w:pStyle w:val="ListBullet"/>
      </w:pPr>
      <w:r>
        <w:t>PY-01, PY-03, PY-04 — импорт и миграция.</w:t>
      </w:r>
    </w:p>
    <w:p>
      <w:pPr>
        <w:pStyle w:val="ListBullet"/>
      </w:pPr>
      <w:r>
        <w:t>PY-02, PY-06 — отчёты и пакеты документов.</w:t>
      </w:r>
    </w:p>
    <w:p>
      <w:pPr>
        <w:pStyle w:val="ListBullet"/>
      </w:pPr>
      <w:r>
        <w:t>Шаблонизатор docx/pdf, CI/CD, Docker, документация.</w:t>
      </w:r>
    </w:p>
    <w:p>
      <w:pPr>
        <w:pStyle w:val="Heading1"/>
      </w:pPr>
      <w:r>
        <w:t>6. Август: реестровый номер и закупка</w:t>
      </w:r>
    </w:p>
    <w:p>
      <w:pPr>
        <w:pStyle w:val="ListBullet"/>
      </w:pPr>
      <w:r>
        <w:t>Получение реестровой записи.</w:t>
      </w:r>
    </w:p>
    <w:p>
      <w:pPr>
        <w:pStyle w:val="ListBullet"/>
      </w:pPr>
      <w:r>
        <w:t>Дополнение описания закупки: функции, реестр, без I-xx, протоколы визитов.</w:t>
      </w:r>
    </w:p>
    <w:p>
      <w:pPr>
        <w:pStyle w:val="ListBullet"/>
      </w:pPr>
      <w:r>
        <w:t>Публикация закупки в ЕИС.</w:t>
      </w:r>
    </w:p>
    <w:p>
      <w:pPr>
        <w:pStyle w:val="ListBullet"/>
      </w:pPr>
      <w:r>
        <w:t>Обоснование НМЦК.</w:t>
      </w:r>
    </w:p>
    <w:p>
      <w:pPr>
        <w:pStyle w:val="Heading1"/>
      </w:pPr>
      <w:r>
        <w:t>7. Сентябрь: торги и внедрение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417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Неделя</w:t>
            </w:r>
          </w:p>
        </w:tc>
        <w:tc>
          <w:tcPr>
            <w:tcW w:type="dxa" w:w="6803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Событие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1–2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Завершение процедуры, контракт</w:t>
            </w:r>
          </w:p>
        </w:tc>
      </w:tr>
      <w:tr>
        <w:tc>
          <w:tcPr>
            <w:tcW w:type="dxa" w:w="1417"/>
            <w:shd w:fill="F2F6FA" w:val="clear"/>
          </w:tcPr>
          <w:p>
            <w:r>
              <w:rPr>
                <w:rFonts w:ascii="Calibri" w:hAnsi="Calibri"/>
                <w:sz w:val="20"/>
              </w:rPr>
              <w:t>3</w:t>
            </w:r>
          </w:p>
        </w:tc>
        <w:tc>
          <w:tcPr>
            <w:tcW w:type="dxa" w:w="6803"/>
            <w:shd w:fill="F2F6FA" w:val="clear"/>
          </w:tcPr>
          <w:p>
            <w:r>
              <w:rPr>
                <w:rFonts w:ascii="Calibri" w:hAnsi="Calibri"/>
                <w:sz w:val="20"/>
              </w:rPr>
              <w:t>Развёртывание (Docker, PostgreSQL, Nginx)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/>
                <w:sz w:val="20"/>
              </w:rPr>
              <w:t>4</w:t>
            </w:r>
          </w:p>
        </w:tc>
        <w:tc>
          <w:tcPr>
            <w:tcW w:type="dxa" w:w="6803"/>
          </w:tcPr>
          <w:p>
            <w:r>
              <w:rPr>
                <w:rFonts w:ascii="Calibri" w:hAnsi="Calibri"/>
                <w:sz w:val="20"/>
              </w:rPr>
              <w:t>Миграция PY-04, обучение</w:t>
            </w:r>
          </w:p>
        </w:tc>
      </w:tr>
    </w:tbl>
    <w:p/>
    <w:p>
      <w:pPr>
        <w:pStyle w:val="Heading1"/>
      </w:pPr>
      <w:r>
        <w:t>8. Октябрь: приёмка (до 02.10.2026)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83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Вид испытаний</w:t>
            </w:r>
          </w:p>
        </w:tc>
        <w:tc>
          <w:tcPr>
            <w:tcW w:type="dxa" w:w="5953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Содержание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Функциональные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Все подсистемы без I-xx</w:t>
            </w:r>
          </w:p>
        </w:tc>
      </w:tr>
      <w:tr>
        <w:tc>
          <w:tcPr>
            <w:tcW w:type="dxa" w:w="2835"/>
            <w:shd w:fill="F2F6FA" w:val="clear"/>
          </w:tcPr>
          <w:p>
            <w:r>
              <w:rPr>
                <w:rFonts w:ascii="Calibri" w:hAnsi="Calibri"/>
                <w:sz w:val="20"/>
              </w:rPr>
              <w:t>Нагрузочные</w:t>
            </w:r>
          </w:p>
        </w:tc>
        <w:tc>
          <w:tcPr>
            <w:tcW w:type="dxa" w:w="5953"/>
            <w:shd w:fill="F2F6FA" w:val="clear"/>
          </w:tcPr>
          <w:p>
            <w:r>
              <w:rPr>
                <w:rFonts w:ascii="Calibri" w:hAnsi="Calibri"/>
                <w:sz w:val="20"/>
              </w:rPr>
              <w:t>50 пользователей, отклик ≤ 3 с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ИБ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JWT, TLS, журнал, 152-ФЗ</w:t>
            </w:r>
          </w:p>
        </w:tc>
      </w:tr>
      <w:tr>
        <w:tc>
          <w:tcPr>
            <w:tcW w:type="dxa" w:w="2835"/>
            <w:shd w:fill="F2F6FA" w:val="clear"/>
          </w:tcPr>
          <w:p>
            <w:r>
              <w:rPr>
                <w:rFonts w:ascii="Calibri" w:hAnsi="Calibri"/>
                <w:sz w:val="20"/>
              </w:rPr>
              <w:t>Интеграции</w:t>
            </w:r>
          </w:p>
        </w:tc>
        <w:tc>
          <w:tcPr>
            <w:tcW w:type="dxa" w:w="5953"/>
            <w:shd w:fill="F2F6FA" w:val="clear"/>
          </w:tcPr>
          <w:p>
            <w:r>
              <w:rPr>
                <w:rFonts w:ascii="Calibri" w:hAnsi="Calibri"/>
                <w:sz w:val="20"/>
              </w:rPr>
              <w:t>Не тестируются</w:t>
            </w:r>
          </w:p>
        </w:tc>
      </w:tr>
      <w:tr>
        <w:tc>
          <w:tcPr>
            <w:tcW w:type="dxa" w:w="2835"/>
          </w:tcPr>
          <w:p>
            <w:r>
              <w:rPr>
                <w:rFonts w:ascii="Calibri" w:hAnsi="Calibri"/>
                <w:sz w:val="20"/>
              </w:rPr>
              <w:t>Опытная эксплуатация</w:t>
            </w:r>
          </w:p>
        </w:tc>
        <w:tc>
          <w:tcPr>
            <w:tcW w:type="dxa" w:w="5953"/>
          </w:tcPr>
          <w:p>
            <w:r>
              <w:rPr>
                <w:rFonts w:ascii="Calibri" w:hAnsi="Calibri"/>
                <w:sz w:val="20"/>
              </w:rPr>
              <w:t>≥ 14 дней</w:t>
            </w:r>
          </w:p>
        </w:tc>
      </w:tr>
      <w:tr>
        <w:tc>
          <w:tcPr>
            <w:tcW w:type="dxa" w:w="2835"/>
            <w:shd w:fill="F2F6FA" w:val="clear"/>
          </w:tcPr>
          <w:p>
            <w:r>
              <w:rPr>
                <w:rFonts w:ascii="Calibri" w:hAnsi="Calibri"/>
                <w:sz w:val="20"/>
              </w:rPr>
              <w:t>Приёмочные</w:t>
            </w:r>
          </w:p>
        </w:tc>
        <w:tc>
          <w:tcPr>
            <w:tcW w:type="dxa" w:w="5953"/>
            <w:shd w:fill="F2F6FA" w:val="clear"/>
          </w:tcPr>
          <w:p>
            <w:r>
              <w:rPr>
                <w:rFonts w:ascii="Calibri" w:hAnsi="Calibri"/>
                <w:sz w:val="20"/>
              </w:rPr>
              <w:t>Акт приёма-передачи</w:t>
            </w:r>
          </w:p>
        </w:tc>
      </w:tr>
    </w:tbl>
    <w:p/>
    <w:p>
      <w:pPr>
        <w:pStyle w:val="Heading1"/>
      </w:pPr>
      <w:r>
        <w:t>9. Этап 2 — опциональные интеграции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1134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Код</w:t>
            </w:r>
          </w:p>
        </w:tc>
        <w:tc>
          <w:tcPr>
            <w:tcW w:type="dxa" w:w="3118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Система</w:t>
            </w:r>
          </w:p>
        </w:tc>
        <w:tc>
          <w:tcPr>
            <w:tcW w:type="dxa" w:w="3402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Когда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I-01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ГИС ЖКХ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По готовности тех. условий</w:t>
            </w:r>
          </w:p>
        </w:tc>
      </w:tr>
      <w:tr>
        <w:tc>
          <w:tcPr>
            <w:tcW w:type="dxa" w:w="1134"/>
            <w:shd w:fill="F2F6FA" w:val="clear"/>
          </w:tcPr>
          <w:p>
            <w:r>
              <w:rPr>
                <w:rFonts w:ascii="Calibri" w:hAnsi="Calibri"/>
                <w:sz w:val="20"/>
              </w:rPr>
              <w:t>I-08</w:t>
            </w:r>
          </w:p>
        </w:tc>
        <w:tc>
          <w:tcPr>
            <w:tcW w:type="dxa" w:w="3118"/>
            <w:shd w:fill="F2F6FA" w:val="clear"/>
          </w:tcPr>
          <w:p>
            <w:r>
              <w:rPr>
                <w:rFonts w:ascii="Calibri" w:hAnsi="Calibri"/>
                <w:sz w:val="20"/>
              </w:rPr>
              <w:t>Катарсис / СМЭВ</w:t>
            </w:r>
          </w:p>
        </w:tc>
        <w:tc>
          <w:tcPr>
            <w:tcW w:type="dxa" w:w="3402"/>
            <w:shd w:fill="F2F6FA" w:val="clear"/>
          </w:tcPr>
          <w:p>
            <w:r>
              <w:rPr>
                <w:rFonts w:ascii="Calibri" w:hAnsi="Calibri"/>
                <w:sz w:val="20"/>
              </w:rPr>
              <w:t>После согласования с Минтрудом КК</w:t>
            </w:r>
          </w:p>
        </w:tc>
      </w:tr>
      <w:tr>
        <w:tc>
          <w:tcPr>
            <w:tcW w:type="dxa" w:w="1134"/>
          </w:tcPr>
          <w:p>
            <w:r>
              <w:rPr>
                <w:rFonts w:ascii="Calibri" w:hAnsi="Calibri"/>
                <w:sz w:val="20"/>
              </w:rPr>
              <w:t>I-05, I-06</w:t>
            </w:r>
          </w:p>
        </w:tc>
        <w:tc>
          <w:tcPr>
            <w:tcW w:type="dxa" w:w="3118"/>
          </w:tcPr>
          <w:p>
            <w:r>
              <w:rPr>
                <w:rFonts w:ascii="Calibri" w:hAnsi="Calibri"/>
                <w:sz w:val="20"/>
              </w:rPr>
              <w:t>Госуслуги / ЕСИА</w:t>
            </w:r>
          </w:p>
        </w:tc>
        <w:tc>
          <w:tcPr>
            <w:tcW w:type="dxa" w:w="3402"/>
          </w:tcPr>
          <w:p>
            <w:r>
              <w:rPr>
                <w:rFonts w:ascii="Calibri" w:hAnsi="Calibri"/>
                <w:sz w:val="20"/>
              </w:rPr>
              <w:t>По инфраструктуре</w:t>
            </w:r>
          </w:p>
        </w:tc>
      </w:tr>
    </w:tbl>
    <w:p/>
    <w:p>
      <w:pPr>
        <w:pStyle w:val="Heading1"/>
      </w:pPr>
      <w:r>
        <w:t>10. Риски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68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Риск</w:t>
            </w:r>
          </w:p>
        </w:tc>
        <w:tc>
          <w:tcPr>
            <w:tcW w:type="dxa" w:w="4535"/>
            <w:shd w:fill="1A477A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Митигация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Ожидание интеграций как в полном ТЗ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Письменно: ТЗ (2) без I-xx</w:t>
            </w:r>
          </w:p>
        </w:tc>
      </w:tr>
      <w:tr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Срок 02.10 vs ноябрь</w:t>
            </w:r>
          </w:p>
        </w:tc>
        <w:tc>
          <w:tcPr>
            <w:tcW w:type="dxa" w:w="4535"/>
            <w:shd w:fill="F2F6FA" w:val="clear"/>
          </w:tcPr>
          <w:p>
            <w:r>
              <w:rPr>
                <w:rFonts w:ascii="Calibri" w:hAnsi="Calibri"/>
                <w:sz w:val="20"/>
              </w:rPr>
              <w:t>Согласовать в контракте</w:t>
            </w:r>
          </w:p>
        </w:tc>
      </w:tr>
      <w:tr>
        <w:tc>
          <w:tcPr>
            <w:tcW w:type="dxa" w:w="3685"/>
          </w:tcPr>
          <w:p>
            <w:r>
              <w:rPr>
                <w:rFonts w:ascii="Calibri" w:hAnsi="Calibri"/>
                <w:sz w:val="20"/>
              </w:rPr>
              <w:t>Большой объём модулей</w:t>
            </w:r>
          </w:p>
        </w:tc>
        <w:tc>
          <w:tcPr>
            <w:tcW w:type="dxa" w:w="4535"/>
          </w:tcPr>
          <w:p>
            <w:r>
              <w:rPr>
                <w:rFonts w:ascii="Calibri" w:hAnsi="Calibri"/>
                <w:sz w:val="20"/>
              </w:rPr>
              <w:t>Приоритизация на визите 4, PY</w:t>
            </w:r>
          </w:p>
        </w:tc>
      </w:tr>
      <w:tr>
        <w:tc>
          <w:tcPr>
            <w:tcW w:type="dxa" w:w="3685"/>
            <w:shd w:fill="F2F6FA" w:val="clear"/>
          </w:tcPr>
          <w:p>
            <w:r>
              <w:rPr>
                <w:rFonts w:ascii="Calibri" w:hAnsi="Calibri"/>
                <w:sz w:val="20"/>
              </w:rPr>
              <w:t>Задержка реестра</w:t>
            </w:r>
          </w:p>
        </w:tc>
        <w:tc>
          <w:tcPr>
            <w:tcW w:type="dxa" w:w="4535"/>
            <w:shd w:fill="F2F6FA" w:val="clear"/>
          </w:tcPr>
          <w:p>
            <w:r>
              <w:rPr>
                <w:rFonts w:ascii="Calibri" w:hAnsi="Calibri"/>
                <w:sz w:val="20"/>
              </w:rPr>
              <w:t>Подача в начале июля</w:t>
            </w:r>
          </w:p>
        </w:tc>
      </w:tr>
    </w:tbl>
    <w:p/>
    <w:p>
      <w:pPr>
        <w:pStyle w:val="Heading1"/>
      </w:pPr>
      <w:r>
        <w:t>11. Тезис для руководства УЖВ</w:t>
      </w:r>
    </w:p>
    <w:p>
      <w:r>
        <w:rPr>
          <w:i/>
        </w:rPr>
        <w:t>По согласованному упрощённому ТЗ создаётся АИС УЖВ с полным внутренним функционалом без подключения внешних систем на первом этапе. С мая по июнь — прототип и четыре сессии согласования; в июле — реестр; в августе — закупка; в сентябре–октябре — внедрение и приёмка до 02.10.2026. Интеграции — этап 2.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A5A5A"/>
        <w:sz w:val="18"/>
      </w:rPr>
      <w:t>АИС УЖВ · Программа реализации v2.0 · 19.05.2026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477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47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477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