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477A"/>
          <w:sz w:val="52"/>
        </w:rPr>
        <w:t>Протоколы очных сессий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АИС УЖВ · шаблоны для визитов в УЖВ</w:t>
      </w:r>
    </w:p>
    <w:p/>
    <w:p>
      <w:pPr>
        <w:jc w:val="center"/>
      </w:pPr>
      <w:r>
        <w:rPr>
          <w:color w:val="5A5A5A"/>
          <w:sz w:val="22"/>
        </w:rPr>
        <w:t>Май — июнь 2026</w:t>
      </w:r>
      <w:r>
        <w:br/>
      </w:r>
      <w:r>
        <w:rPr>
          <w:color w:val="5A5A5A"/>
          <w:sz w:val="22"/>
        </w:rPr>
        <w:t>4 рабочие сессии</w:t>
      </w:r>
      <w:r>
        <w:br/>
      </w:r>
      <w:r>
        <w:rPr>
          <w:color w:val="5A5A5A"/>
          <w:sz w:val="22"/>
        </w:rPr>
        <w:t>Версия 1.0 · 19.05.2026</w:t>
      </w:r>
    </w:p>
    <w:p>
      <w:r>
        <w:br w:type="page"/>
      </w:r>
    </w:p>
    <w:p>
      <w:pPr>
        <w:pStyle w:val="Heading1"/>
      </w:pPr>
      <w:r>
        <w:t>Визит 1 — Обследование (26–30.05.2026)</w:t>
      </w:r>
    </w:p>
    <w:p>
      <w:r>
        <w:rPr>
          <w:i w:val="0"/>
        </w:rPr>
        <w:t>Цель: Процессы «как есть», системы, приоритеты этапа 1.</w:t>
      </w:r>
    </w:p>
    <w:p>
      <w:pPr>
        <w:pStyle w:val="Heading2"/>
      </w:pPr>
      <w:r>
        <w:t>Повестка</w:t>
      </w:r>
    </w:p>
    <w:p>
      <w:pPr>
        <w:pStyle w:val="ListBullet"/>
      </w:pPr>
      <w:r>
        <w:t>Презентация целей АИС УЖВ и календаря.</w:t>
      </w:r>
    </w:p>
    <w:p>
      <w:pPr>
        <w:pStyle w:val="ListBullet"/>
      </w:pPr>
      <w:r>
        <w:t>Обход процессов: заявление → учёт → отчёт.</w:t>
      </w:r>
    </w:p>
    <w:p>
      <w:pPr>
        <w:pStyle w:val="ListBullet"/>
      </w:pPr>
      <w:r>
        <w:t>Демонстрация существующих систем.</w:t>
      </w:r>
    </w:p>
    <w:p>
      <w:pPr>
        <w:pStyle w:val="ListBullet"/>
      </w:pPr>
      <w:r>
        <w:t>Фиксация болей и KPI.</w:t>
      </w:r>
    </w:p>
    <w:p>
      <w:pPr>
        <w:pStyle w:val="Heading2"/>
      </w:pPr>
      <w:r>
        <w:t>Чек-лист материалов</w:t>
      </w:r>
    </w:p>
    <w:p>
      <w:pPr>
        <w:pStyle w:val="ListBullet"/>
      </w:pPr>
      <w:r>
        <w:t>Регламенты УЖВ — актуальные редакции</w:t>
      </w:r>
    </w:p>
    <w:p>
      <w:pPr>
        <w:pStyle w:val="ListBullet"/>
      </w:pPr>
      <w:r>
        <w:t>Образцы заявлений и заключений</w:t>
      </w:r>
    </w:p>
    <w:p>
      <w:pPr>
        <w:pStyle w:val="ListBullet"/>
      </w:pPr>
      <w:r>
        <w:t>Выгрузка из текущей ИС (обезличенная)</w:t>
      </w:r>
    </w:p>
    <w:p>
      <w:pPr>
        <w:pStyle w:val="ListBullet"/>
      </w:pPr>
      <w:r>
        <w:t>Схема сети / требования ИТ</w:t>
      </w:r>
    </w:p>
    <w:p>
      <w:pPr>
        <w:pStyle w:val="ListBullet"/>
      </w:pPr>
      <w:r>
        <w:t>Контакт по закупке и ИБ</w:t>
      </w:r>
    </w:p>
    <w:p>
      <w:pPr>
        <w:pStyle w:val="Heading2"/>
      </w:pPr>
      <w:r>
        <w:t>Решения (заполнить на месте)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402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368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Приоритет модулей на этап 1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67"/>
            <w:shd w:fill="F2F6FA" w:val="clea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402"/>
            <w:shd w:fill="F2F6FA" w:val="clear"/>
          </w:tcPr>
          <w:p>
            <w:r>
              <w:rPr>
                <w:rFonts w:ascii="Calibri" w:hAnsi="Calibri"/>
                <w:sz w:val="20"/>
              </w:rPr>
              <w:t>Контур размещения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Срок следующего визита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Визит 2 — Модули учёта (09–13.06.2026)</w:t>
      </w:r>
    </w:p>
    <w:p>
      <w:r>
        <w:rPr>
          <w:i w:val="0"/>
        </w:rPr>
        <w:t>Цель: Поля данных, расчёты, печатные формы.</w:t>
      </w:r>
    </w:p>
    <w:p>
      <w:pPr>
        <w:pStyle w:val="Heading2"/>
      </w:pPr>
      <w:r>
        <w:t>Повестка</w:t>
      </w:r>
    </w:p>
    <w:p>
      <w:pPr>
        <w:pStyle w:val="ListBullet"/>
      </w:pPr>
      <w:r>
        <w:t>Сверка карточки заявителя и семьи.</w:t>
      </w:r>
    </w:p>
    <w:p>
      <w:pPr>
        <w:pStyle w:val="ListBullet"/>
      </w:pPr>
      <w:r>
        <w:t>Алгоритм расчёта дохода (2–3 кейса).</w:t>
      </w:r>
    </w:p>
    <w:p>
      <w:pPr>
        <w:pStyle w:val="ListBullet"/>
      </w:pPr>
      <w:r>
        <w:t>Алгоритм имущества.</w:t>
      </w:r>
    </w:p>
    <w:p>
      <w:pPr>
        <w:pStyle w:val="ListBullet"/>
      </w:pPr>
      <w:r>
        <w:t>Очерёдность, снятие с учёта.</w:t>
      </w:r>
    </w:p>
    <w:p>
      <w:pPr>
        <w:pStyle w:val="ListBullet"/>
      </w:pPr>
      <w:r>
        <w:t>Перечень отчётов этапа 1.</w:t>
      </w:r>
    </w:p>
    <w:p>
      <w:pPr>
        <w:pStyle w:val="Heading2"/>
      </w:pPr>
      <w:r>
        <w:t>Кейсы для прогона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Кейс</w:t>
            </w:r>
          </w:p>
        </w:tc>
        <w:tc>
          <w:tcPr>
            <w:tcW w:type="dxa" w:w="311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368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Ожидаемый результат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Кейс А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Семья 3 чел., доход ниже прожиточного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Признание малоимущими</w:t>
            </w:r>
          </w:p>
        </w:tc>
      </w:tr>
      <w:tr>
        <w:tc>
          <w:tcPr>
            <w:tcW w:type="dxa" w:w="1417"/>
            <w:shd w:fill="F2F6FA" w:val="clear"/>
          </w:tcPr>
          <w:p>
            <w:r>
              <w:rPr>
                <w:rFonts w:ascii="Calibri" w:hAnsi="Calibri"/>
                <w:sz w:val="20"/>
              </w:rPr>
              <w:t>Кейс Б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Транспорт выше нормы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Отказ / особое заключение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Кейс В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Изменение состава семьи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Обновление учётного дела</w:t>
            </w:r>
          </w:p>
        </w:tc>
      </w:tr>
    </w:tbl>
    <w:p/>
    <w:p>
      <w:r>
        <w:br w:type="page"/>
      </w:r>
    </w:p>
    <w:p>
      <w:pPr>
        <w:pStyle w:val="Heading1"/>
      </w:pPr>
      <w:r>
        <w:t>Визит 3 — Утверждение интерфейсов (16–20.06.2026)</w:t>
      </w:r>
    </w:p>
    <w:p>
      <w:r>
        <w:rPr>
          <w:i w:val="0"/>
        </w:rPr>
        <w:t>Цель: Подписать согласованные экраны прототипа.</w:t>
      </w:r>
    </w:p>
    <w:p>
      <w:pPr>
        <w:pStyle w:val="Heading2"/>
      </w:pPr>
      <w:r>
        <w:t>Повестка</w:t>
      </w:r>
    </w:p>
    <w:p>
      <w:pPr>
        <w:pStyle w:val="ListBullet"/>
      </w:pPr>
      <w:r>
        <w:t>Рабочий стол специалиста</w:t>
      </w:r>
    </w:p>
    <w:p>
      <w:pPr>
        <w:pStyle w:val="ListBullet"/>
      </w:pPr>
      <w:r>
        <w:t>Реестр заявлений</w:t>
      </w:r>
    </w:p>
    <w:p>
      <w:pPr>
        <w:pStyle w:val="ListBullet"/>
      </w:pPr>
      <w:r>
        <w:t>Карточка заявления</w:t>
      </w:r>
    </w:p>
    <w:p>
      <w:pPr>
        <w:pStyle w:val="ListBullet"/>
      </w:pPr>
      <w:r>
        <w:t>Расчёт дохода/имущества</w:t>
      </w:r>
    </w:p>
    <w:p>
      <w:pPr>
        <w:pStyle w:val="ListBullet"/>
      </w:pPr>
      <w:r>
        <w:t>Учётное дело</w:t>
      </w:r>
    </w:p>
    <w:p>
      <w:pPr>
        <w:pStyle w:val="ListBullet"/>
      </w:pPr>
      <w:r>
        <w:t>Обращение гражданина</w:t>
      </w:r>
    </w:p>
    <w:p>
      <w:pPr>
        <w:pStyle w:val="ListBullet"/>
      </w:pPr>
      <w:r>
        <w:t>Отчёты</w:t>
      </w:r>
    </w:p>
    <w:p>
      <w:pPr>
        <w:pStyle w:val="ListBullet"/>
      </w:pPr>
      <w:r>
        <w:t>Администрирование</w:t>
      </w:r>
    </w:p>
    <w:p>
      <w:pPr>
        <w:pStyle w:val="Heading2"/>
      </w:pPr>
      <w:r>
        <w:t>Протокол утверждения интерфейса</w:t>
      </w:r>
    </w:p>
    <w:p>
      <w:pPr>
        <w:shd w:fill="E8F1FA" w:val="clear"/>
        <w:spacing w:before="160" w:after="160"/>
        <w:ind w:left="227" w:right="227"/>
      </w:pPr>
      <w:r>
        <w:rPr>
          <w:b w:val="0"/>
          <w:color w:val="1A1A1A"/>
          <w:sz w:val="21"/>
        </w:rPr>
        <w:t>Интерфейсы перечисленных экранов прототипа АИС УЖВ от «___» _________ 2026 г. согласованы для реализации в этапе 1 с замечаниями из приложения № ___.</w:t>
        <w:br/>
        <w:br/>
        <w:t>Подписи: _________________ (УЖВ)    _________________ (разработчик)</w:t>
      </w:r>
    </w:p>
    <w:p>
      <w:r>
        <w:br w:type="page"/>
      </w:r>
    </w:p>
    <w:p>
      <w:pPr>
        <w:pStyle w:val="Heading1"/>
      </w:pPr>
      <w:r>
        <w:t>Визит 4 — Итог MVP и закупка (23–27.06.2026)</w:t>
      </w:r>
    </w:p>
    <w:p>
      <w:r>
        <w:rPr>
          <w:i w:val="0"/>
        </w:rPr>
        <w:t>Цель: Закрыть MVP, согласовать этапность и график закупки.</w:t>
      </w:r>
    </w:p>
    <w:p>
      <w:pPr>
        <w:pStyle w:val="Heading2"/>
      </w:pPr>
      <w:r>
        <w:t>Повестка</w:t>
      </w:r>
    </w:p>
    <w:p>
      <w:pPr>
        <w:pStyle w:val="ListBullet"/>
      </w:pPr>
      <w:r>
        <w:t>Демонстрация прототипа по замечаниям.</w:t>
      </w:r>
    </w:p>
    <w:p>
      <w:pPr>
        <w:pStyle w:val="ListBullet"/>
      </w:pPr>
      <w:r>
        <w:t>Объём этапа 1 vs этап 2.</w:t>
      </w:r>
    </w:p>
    <w:p>
      <w:pPr>
        <w:pStyle w:val="ListBullet"/>
      </w:pPr>
      <w:r>
        <w:t>Реестр ПО и сроки.</w:t>
      </w:r>
    </w:p>
    <w:p>
      <w:pPr>
        <w:pStyle w:val="ListBullet"/>
      </w:pPr>
      <w:r>
        <w:t>Вопросы закупочного подразделения.</w:t>
      </w:r>
    </w:p>
    <w:p>
      <w:pPr>
        <w:pStyle w:val="ListBullet"/>
      </w:pPr>
      <w:r>
        <w:t>Утверждение календарного плана.</w:t>
      </w:r>
    </w:p>
    <w:p>
      <w:pPr>
        <w:pStyle w:val="Heading2"/>
      </w:pPr>
      <w:r>
        <w:t>Итоговые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226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Утвердить объём этапа 1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67"/>
            <w:shd w:fill="F2F6FA" w:val="clea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535"/>
            <w:shd w:fill="F2F6FA" w:val="clear"/>
          </w:tcPr>
          <w:p>
            <w:r>
              <w:rPr>
                <w:rFonts w:ascii="Calibri" w:hAnsi="Calibri"/>
                <w:sz w:val="20"/>
              </w:rPr>
              <w:t>Комиссия по приёмке</w:t>
            </w:r>
          </w:p>
        </w:tc>
        <w:tc>
          <w:tcPr>
            <w:tcW w:type="dxa" w:w="2268"/>
            <w:shd w:fill="F2F6FA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Данные для НМЦК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67"/>
            <w:shd w:fill="F2F6FA" w:val="clear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535"/>
            <w:shd w:fill="F2F6FA" w:val="clear"/>
          </w:tcPr>
          <w:p>
            <w:r>
              <w:rPr>
                <w:rFonts w:ascii="Calibri" w:hAnsi="Calibri"/>
                <w:sz w:val="20"/>
              </w:rPr>
              <w:t>Дата публикации закупки</w:t>
            </w:r>
          </w:p>
        </w:tc>
        <w:tc>
          <w:tcPr>
            <w:tcW w:type="dxa" w:w="2268"/>
            <w:shd w:fill="F2F6FA" w:val="clear"/>
          </w:tcPr>
          <w:p>
            <w:r>
              <w:rPr>
                <w:rFonts w:ascii="Calibri" w:hAnsi="Calibri"/>
                <w:sz w:val="20"/>
              </w:rPr>
              <w:t>август 2026</w:t>
            </w:r>
          </w:p>
        </w:tc>
      </w:tr>
    </w:tbl>
    <w:p/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АИС УЖВ · Шаблоны протоколов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