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Notice to principle is notice to agent.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Notice to agent is notice to principle.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To:                                          From:  patrick samples,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County Clerk,                                a non-corporate entity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MCLENNAN COUNTY, TX                          regarding the matter of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215 N. 5th St., Room 223-A                     case # 2014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Waco, Texas 76701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Dear Sir,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Let it be known as a matter of public record that...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i, patrick, am a natural free living man on the land in this territory called Texas. i am a natural inhabitant of the land, a Divine Child of the Creator. i do not submit to any foreign jurisdictional authority operating in the air or water under a system of Private International Law. i do not understand that law, nor its language. It is foreign to me.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i reserve all of my fundamental natural, universal, and common law rights, prejudice none, at all times in all places, and i waive no rights at any time or in any place.  i remove myself from the unjust provisions of the Uniform Commercial Code and other commercial codes which are contradictory to or not in harmony with my rights and justice.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i present the following facts and challenges: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rFonts w:ascii="Courier New" w:cs="Courier New" w:eastAsia="Courier New" w:hAnsi="Courier New"/>
          <w:sz w:val="24"/>
          <w:szCs w:val="24"/>
          <w:rtl w:val="0"/>
        </w:rPr>
        <w:t xml:space="preserve">  i am NOT the PERSON, PATRICK TIMOTHY SAMPLES, appearing on any charges. i am NOT the all-capital letter NAME as printed on the Birth Certificate. i am the Beneficiary, a living breathing soul. i am surrendering the PERSON and Birth Certificate to the Clerk of COUNTY </w:t>
      </w:r>
      <w:r w:rsidDel="00000000" w:rsidR="00000000" w:rsidRPr="00000000">
        <w:rPr>
          <w:rFonts w:ascii="Courier New" w:cs="Courier New" w:eastAsia="Courier New" w:hAnsi="Courier New"/>
          <w:sz w:val="24"/>
          <w:szCs w:val="24"/>
          <w:rtl w:val="0"/>
        </w:rPr>
        <w:t xml:space="preserve">COURT of MCLENNAN COUNTY TX, and i waive the benefits so that this matter and all others may be discharged and settled.</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i do not consent to be a commercial bond slave or indentured servant for this foreign court to register as a commodity for its investment system (C.R.I.S.).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If i am being charged with a criminal offense, there must be an injured party to show first hand proof of injury or loss to person or property. i deny any such injury or loss occurred.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Whereas the prosecuting BAR attorney (a member of a foreign union) has no firsthand knowledge of any alleged damages caused by me...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...therefore, i have committed no crime of which to be charged.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{"To establish one's standing to bring an action, a party must demonstrate: (1) that it has sustained a distinct and palpable injury, (2) that the injury was caused by the challenged conduct, and (3) that the injury is apt to be redressed by a remedy the court is prepared to give. City of Chattanooga v. Davis, 54 S.W3d 248, 280 (Tenn, 2001)}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Furthermore, as defined in  27. C.F.R. 72.11 ..Subpart B_Definitions Commercial crimes...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"Any of the following types of crimes (Federal or State): Offenses against the revenue laws; burglary; counterfeiting; forgery; kidnapping; larceny; robbery; illegal sale or possession of deadly weapons; prostitution (including soliciting, procuring, pandering, white slaving, keeping house of ill fame, and like offenses); extortion; swindling and confidence games; and attempting to commit, conspiring to commit, or compounding any of the foregoing crimes. Addiction to narcotic drugs and use of marihuana will be treated as if such were commercial crime."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Pursuant to 27. C.F.R. 72.11  all these crimes are commercial crimes.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*Whereas:  i deny that i am a commercial entity, i am not registered with any Secretary of State as a CORPORATION, but i declare that i am a living man on the land, a Divine Creation of the Creator...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*and Whereas:  i am not an employee or agent of your company, i am not a 'commercial driver for hire' and i have not contracted to do business with you...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...therefore i am not lawfully bound to your policies or statutes of commerce legislated under a corporate flag and operating under Private International commercial Law. It is not possible for me, a non-commercial entity, to commit a 'commercial crime'.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Let it also be known as a matter of public record that...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i, Patrick, a free living man on the land, do not consent to contract with your corporation, and that any contract entered into by me under duress, fraud by non-disclosure of it's true intent, coercion, or threat of violence, or any agreement made by me while in a mental or emotional state that rendered me incapable of making a sound conscious choice to do so, is hereby rescinded and is null and void of any force, without prejudice.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A lawful contract is between consenting parties agreeing to ALL terms with full disclosure, and without coercion, threats or duress.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i challenge the prosecuting attorney to produce a lawfully binding contract that i knowingly and willingly signed giving up my Natural, unalienable rights and Divine Birthrights, bestowed upon me by God the Creator, guaranteed and protected by the Constitution for the united states of America, compelling my submission to the false authority of your commercial legal system.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{Butler v. Collins, 12 Calif., 157. 463. ”Consent in law is more than mere formal act of the mind. It is an act unclouded by fraud, duress, or sometimes even mistake.”}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“The use of the highway for the purpose of travel and transportation is not a mere privilege, but a common fundamental right of which the public and individuals cannot rightfully be deprived." Chicago Motor Coach v. Chicago, 169 NE 221.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br w:type="textWrapping"/>
        <w:t xml:space="preserve">"The right of the citizen to travel upon the public highways and to transport his property thereon, either by carriage or by automobile, is not a mere privilege which a city may prohibit or permit at will, but a common law right which he has under the right to life, liberty, and the pursuit of happiness." Thompson v. Smith, 154 SE 579.</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"The state cannot diminish rights of the people." Hertado v. California, 110 US 516</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"The right of the citizen to travel upon the highway and to transport his property thereon, in the ordinary course of life and business, differs radically and obviously from that of one who makes the highway his place of business for private gain in the running of a stagecoach or omnibus."</w:t>
      </w:r>
    </w:p>
    <w:p w:rsidR="00000000" w:rsidDel="00000000" w:rsidP="00000000" w:rsidRDefault="00000000" w:rsidRPr="00000000">
      <w:pPr>
        <w:spacing w:after="0" w:line="240" w:lineRule="auto"/>
        <w:contextualSpacing w:val="0"/>
        <w:jc w:val="right"/>
      </w:pPr>
      <w:r w:rsidDel="00000000" w:rsidR="00000000" w:rsidRPr="00000000">
        <w:rPr>
          <w:rFonts w:ascii="Courier New" w:cs="Courier New" w:eastAsia="Courier New" w:hAnsi="Courier New"/>
          <w:sz w:val="24"/>
          <w:szCs w:val="24"/>
          <w:u w:val="single"/>
          <w:rtl w:val="0"/>
        </w:rPr>
        <w:t xml:space="preserve">State vs. City of Spokane</w:t>
      </w:r>
      <w:r w:rsidDel="00000000" w:rsidR="00000000" w:rsidRPr="00000000">
        <w:rPr>
          <w:rFonts w:ascii="Courier New" w:cs="Courier New" w:eastAsia="Courier New" w:hAnsi="Courier New"/>
          <w:sz w:val="24"/>
          <w:szCs w:val="24"/>
          <w:rtl w:val="0"/>
        </w:rPr>
        <w:t xml:space="preserve">, 186 P. 864</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br w:type="textWrapping"/>
        <w:t xml:space="preserve"> </w:t>
      </w:r>
      <w:r w:rsidDel="00000000" w:rsidR="00000000" w:rsidRPr="00000000">
        <w:rPr>
          <w:rFonts w:ascii="Courier New" w:cs="Courier New" w:eastAsia="Courier New" w:hAnsi="Courier New"/>
          <w:sz w:val="24"/>
          <w:szCs w:val="24"/>
          <w:u w:val="single"/>
          <w:rtl w:val="0"/>
        </w:rPr>
        <w:t xml:space="preserve">Title 18 USC 31</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"Motor vehicle" means every description or other contrivance propelled or drawn by mechanical power and used </w:t>
      </w:r>
      <w:r w:rsidDel="00000000" w:rsidR="00000000" w:rsidRPr="00000000">
        <w:rPr>
          <w:rFonts w:ascii="Courier New" w:cs="Courier New" w:eastAsia="Courier New" w:hAnsi="Courier New"/>
          <w:sz w:val="24"/>
          <w:szCs w:val="24"/>
          <w:u w:val="single"/>
          <w:rtl w:val="0"/>
        </w:rPr>
        <w:t xml:space="preserve">for commercial purposes</w:t>
      </w:r>
      <w:r w:rsidDel="00000000" w:rsidR="00000000" w:rsidRPr="00000000">
        <w:rPr>
          <w:rFonts w:ascii="Courier New" w:cs="Courier New" w:eastAsia="Courier New" w:hAnsi="Courier New"/>
          <w:sz w:val="24"/>
          <w:szCs w:val="24"/>
          <w:rtl w:val="0"/>
        </w:rPr>
        <w:t xml:space="preserve"> on the highways in the transportation of passengers, or passengers and property.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br w:type="textWrapping"/>
        <w:t xml:space="preserve">"Used for commercial purposes" means the carriage of persons or property for any fare, fee, rate, charge or other considerations, or directly or indirectly in connection with any business, or other undertaking intended for profit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"...all departments of the United States Corporation are part of the corporation." Title 28, 3002 (15) (3).32)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"...a Sovereign is not a 'PERSON'. " United Mine Workers vs. United States, 330 U.S. 258</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br w:type="textWrapping"/>
        <w:t xml:space="preserve">"The State Citizen is immune from any and all government attacks and procedure, absent contract." Dred Scott vs. Sanford, 60 U.S. (19 How.) 393.</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br w:type="textWrapping"/>
        <w:t xml:space="preserve">"A State may not impose a charge for the enjoyment of a right granted by the Federal Constitution." Murdock v. Pennsylvania, 319 U.S. 105, at 113.</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"The very meaning of 'sovereignty' is that the decree of the sovereign makes law." American Banana Co. v. United Fruit Co., 29 S.Ct. 511, 513, 213 U.S. 347, 53 L.Ed. 826, 19 Ann.Cas. 1047. </w:t>
      </w:r>
    </w:p>
    <w:p w:rsidR="00000000" w:rsidDel="00000000" w:rsidP="00000000" w:rsidRDefault="00000000" w:rsidRPr="00000000">
      <w:pPr>
        <w:spacing w:after="0" w:line="276" w:lineRule="auto"/>
        <w:contextualSpacing w:val="0"/>
      </w:pPr>
      <w:r w:rsidDel="00000000" w:rsidR="00000000" w:rsidRPr="00000000">
        <w:rPr>
          <w:rFonts w:ascii="Courier New" w:cs="Courier New" w:eastAsia="Courier New" w:hAnsi="Courier New"/>
          <w:sz w:val="24"/>
          <w:szCs w:val="24"/>
          <w:rtl w:val="0"/>
        </w:rPr>
        <w:br w:type="textWrapping"/>
        <w:t xml:space="preserve">"'Sovereignty' means that the decree of sovereign makes law, and foreign courts cannot condemn influences persuading sovereign to make the decree." Moscow Fire Ins. Co. of Moscow, Russia v. Bank of New York &amp; Trust Co., 294 N.Y.S. 648, 662, 161 Misc. 903.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“Statutes that violate the plain and obvious principles of common right and common reason are null and void.” Bennett v. Boggs, 1 Baldw 60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"Where rights secured by the Constitution are involved, there can be no rule making or legislation which would abrogate them." Miranda v. Arizona, 384 US 436, 491</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br w:type="textWrapping"/>
        <w:t xml:space="preserve">"The claim and exercise of a constitutional right cannot be converted into a crime." Miller v. US, 230 F 486, at 489.</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br w:type="textWrapping"/>
        <w:t xml:space="preserve">There can be no sanction or penalty imposed upon one because of this exercise of constitutional rights." Sherer v. Cullen, 481 F 946</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"This Constitution, and the Laws of the United States which shall be made in Pursuance thereof;...shall be the supreme Law of the Land; and the Judges in every State shall be bound thereby, any Thing in the Constitution or laws of any State to the Contrary not one word withstanding."Article 6 of the constitution</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78.1818181818182" w:lineRule="auto"/>
        <w:contextualSpacing w:val="0"/>
      </w:pPr>
      <w:r w:rsidDel="00000000" w:rsidR="00000000" w:rsidRPr="00000000">
        <w:rPr>
          <w:rFonts w:ascii="Courier New" w:cs="Courier New" w:eastAsia="Courier New" w:hAnsi="Courier New"/>
          <w:sz w:val="24"/>
          <w:szCs w:val="24"/>
          <w:rtl w:val="0"/>
        </w:rPr>
        <w:t xml:space="preserve"> Governments are corporations. </w:t>
      </w:r>
      <w:r w:rsidDel="00000000" w:rsidR="00000000" w:rsidRPr="00000000">
        <w:rPr>
          <w:rFonts w:ascii="Courier New" w:cs="Courier New" w:eastAsia="Courier New" w:hAnsi="Courier New"/>
          <w:sz w:val="24"/>
          <w:szCs w:val="24"/>
          <w:rtl w:val="0"/>
        </w:rPr>
        <w:t xml:space="preserve">Inasmuch as every government is an artificial person, an abstraction, and a creature of the mind only, a government can interface only with other artificial persons. The imaginary, having neither actuality nor substance, is foreclosed from creating and attaining parity with the tangible. The legal manifestation of this is that no government, as well as any law, agency, aspect, court, etc. can concern itself with anything other than corporate, artificial persons and the contracts between them.</w:t>
      </w:r>
    </w:p>
    <w:p w:rsidR="00000000" w:rsidDel="00000000" w:rsidP="00000000" w:rsidRDefault="00000000" w:rsidRPr="00000000">
      <w:pPr>
        <w:spacing w:after="0" w:line="278.1818181818182" w:lineRule="auto"/>
        <w:contextualSpacing w:val="0"/>
      </w:pPr>
      <w:r w:rsidDel="00000000" w:rsidR="00000000" w:rsidRPr="00000000">
        <w:rPr>
          <w:rFonts w:ascii="Courier New" w:cs="Courier New" w:eastAsia="Courier New" w:hAnsi="Courier New"/>
          <w:sz w:val="24"/>
          <w:szCs w:val="24"/>
          <w:rtl w:val="0"/>
        </w:rPr>
        <w:t xml:space="preserve">Penhallow v. Doane's Administraters 3 U.S. 54; 1 L.Ed. 57; 3 Dall. 54, (1795)</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Every man is independent of all laws, except those prescribed by nature. He is not bound by any institutions formed by his fellowmen without his consent. CRUDEN v. NEALE, 2 N.C. 338 May Term 1796.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 Delivery of this notice to the COUNTY COURT of MCLENNAN COUNTY shall not be construed as consent to jurisdiction.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With Reservation of All Rights, Remedies and Applicable Treaties, without prejudice UCC 1-308,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patrick samples,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a non-corporate entity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X_______________________________</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Signature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_______________________________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24"/>
          <w:szCs w:val="24"/>
          <w:rtl w:val="0"/>
        </w:rPr>
        <w:t xml:space="preserve">  Date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sectPr>
      <w:pgSz w:h="15840" w:w="12240"/>
      <w:pgMar w:bottom="431.99999999999994" w:top="431.99999999999994" w:left="431.99999999999994" w:right="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