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This is easy to do if you don't know too much. I didn't know too much, but I boxed them in. You must play a little ignorant.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If you are arrested and you go to court, just remember that in a criminal action, you have to understand the law or it is a reversible error for the court to try you. If you don't understand the law, they can't try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In any traffic court case or tax case you are called into court and the judge reads the law and then 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"Do you understand the charges?"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Defendant: No, (Your Honor,) I do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Judge: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Well, what's so difficult about that charge? Either you drove the wrong way on a one-way street or you didn't. You can only go one way on that street, and if you go the other way, it's a fifty dollar fine. What's so difficult about this that you don't understand?"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D: Well, Your Honor, it's not the letter of the law, but rather the nature of the law that I don't understand. The Sixth Amendment of the Constitution gives me the right to request the court to explain the nature of any action against me, and upon my request, the court has the duty to answer. I have a question about the nature of this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J: Well, what is that - what do you want to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Always! Ask them some easy questions first, as this establishes that they are answering. You 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D: Well, Your Honor, is this a Civil or Criminal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J: It is criminal. (If it were a civil action there could be no fine, so it has to be criminal).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D: Thank you, Your Honor, for telling me that. Then the record will show that this action against ___(Straw Man Name)___ is a criminal action, is that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J: 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D: I would like to ask another question about this criminal action. There are two criminal jurisdictions mentioned in the Constitution; one is under the Common Law , and the other deals with International Maritime Contracts , under an Admiralty Jurisdiction . Equity is Civil, and you said this is a Criminal action, so it seems it would have to be under either the Common Law, or Maritime Law. But what puzzles me, Your Honor, is, there is no Corpus Delicti here that gives this court a jurisdiction over my person and property under the Common Law. Therefore, it doesn't appear to me that this court is moving under the Common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J: No, I can assure you this court is not moving under the Common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D: Well, thank you, your Honor, but now you make the charge against me even more difficult to understand, the only other criminal jurisdiction would apply only if there was an International Maritime Contract involved and I was a party to it, it had been Breached, and the court was operating in an Admiralty Jurisdiction.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I don't believe I have ever been under any International Maritime Contract, so I would deny that one exists. I would have to demand that such a contract, if it does exist, be placed into evidence, so that I may contest it, but surely, this court is not operating under an Admiralty Jurisdiction.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You just put words in the judge's mouth.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J: No, I can assure you, we're not operating under an Admiralty Jurisdiction. We're not out in the ocean somewhere - we're right here in the middle of the State of Texas, No, this is not an Admiralty Jurisdiction.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D: Thank you, Your Honor, but now I am more puzzled than ever. If this/these charge/s is/are not under the Common Law, or under Admiralty - and those are the only criminal jurisdictions mentioned in the Constitution - what kind of jurisdiction could this court be operating under?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J: It's Statutory Jurisdiction.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6"/>
          <w:szCs w:val="16"/>
          <w:highlight w:val="white"/>
          <w:rtl w:val="0"/>
        </w:rPr>
        <w:t xml:space="preserve">D: Oh, thank you, Your Honor. I'm glad you told me that. But I have never heard of that jurisdiction. So, if I have to defend under that, I would need to have the Rules of Criminal Procedure for Statutory Jurisdiction. Can you provide me with the location of a copy?</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