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DED95" w14:textId="77777777" w:rsidR="00440414" w:rsidRPr="00440414" w:rsidRDefault="00440414" w:rsidP="00440414">
      <w:pPr>
        <w:rPr>
          <w:b/>
          <w:bCs/>
          <w:color w:val="FF0000"/>
          <w:sz w:val="28"/>
          <w:szCs w:val="28"/>
          <w:u w:val="single"/>
        </w:rPr>
      </w:pPr>
      <w:r w:rsidRPr="00440414">
        <w:rPr>
          <w:b/>
          <w:bCs/>
          <w:color w:val="FF0000"/>
          <w:sz w:val="28"/>
          <w:szCs w:val="28"/>
          <w:u w:val="single"/>
        </w:rPr>
        <w:t>INDEX</w:t>
      </w:r>
    </w:p>
    <w:p w14:paraId="41AEB890" w14:textId="2EBBF8B8" w:rsidR="00440414" w:rsidRPr="00440414" w:rsidRDefault="00440414" w:rsidP="00440414">
      <w:r w:rsidRPr="00440414">
        <w:t>This page allows for comprehensive management of borrower case details, enabling various checks, updates, and actions related to the loan process. Here’s an overview of the sections and options available:</w:t>
      </w:r>
    </w:p>
    <w:p w14:paraId="66EB4879" w14:textId="66ED2127" w:rsidR="00440414" w:rsidRPr="00440414" w:rsidRDefault="00440414" w:rsidP="00440414">
      <w:pPr>
        <w:rPr>
          <w:b/>
          <w:bCs/>
        </w:rPr>
      </w:pPr>
      <w:r w:rsidRPr="00440414">
        <w:rPr>
          <w:b/>
          <w:bCs/>
        </w:rPr>
        <w:t xml:space="preserve"> Current Status</w:t>
      </w:r>
    </w:p>
    <w:p w14:paraId="6B4833D4" w14:textId="77777777" w:rsidR="00440414" w:rsidRPr="00440414" w:rsidRDefault="00440414" w:rsidP="00440414">
      <w:r w:rsidRPr="00440414">
        <w:t>This section provides an overview of the current stage of the case. The stages include:</w:t>
      </w:r>
    </w:p>
    <w:p w14:paraId="4BF93F1B" w14:textId="77777777" w:rsidR="00440414" w:rsidRPr="00440414" w:rsidRDefault="00440414" w:rsidP="00440414">
      <w:pPr>
        <w:numPr>
          <w:ilvl w:val="0"/>
          <w:numId w:val="3"/>
        </w:numPr>
      </w:pPr>
      <w:r w:rsidRPr="00440414">
        <w:rPr>
          <w:b/>
          <w:bCs/>
        </w:rPr>
        <w:t>First E-sign</w:t>
      </w:r>
    </w:p>
    <w:p w14:paraId="33F6C8A6" w14:textId="77777777" w:rsidR="00440414" w:rsidRPr="00440414" w:rsidRDefault="00440414" w:rsidP="00440414">
      <w:pPr>
        <w:numPr>
          <w:ilvl w:val="0"/>
          <w:numId w:val="3"/>
        </w:numPr>
      </w:pPr>
      <w:r w:rsidRPr="00440414">
        <w:rPr>
          <w:b/>
          <w:bCs/>
        </w:rPr>
        <w:t>Sanction</w:t>
      </w:r>
    </w:p>
    <w:p w14:paraId="1D7C59FB" w14:textId="77777777" w:rsidR="00440414" w:rsidRPr="00440414" w:rsidRDefault="00440414" w:rsidP="00440414">
      <w:pPr>
        <w:numPr>
          <w:ilvl w:val="0"/>
          <w:numId w:val="3"/>
        </w:numPr>
      </w:pPr>
      <w:r w:rsidRPr="00440414">
        <w:rPr>
          <w:b/>
          <w:bCs/>
        </w:rPr>
        <w:t>Second E-sign</w:t>
      </w:r>
    </w:p>
    <w:p w14:paraId="4694A536" w14:textId="77777777" w:rsidR="00440414" w:rsidRPr="00440414" w:rsidRDefault="00440414" w:rsidP="00440414">
      <w:pPr>
        <w:numPr>
          <w:ilvl w:val="0"/>
          <w:numId w:val="3"/>
        </w:numPr>
      </w:pPr>
      <w:r w:rsidRPr="00440414">
        <w:rPr>
          <w:b/>
          <w:bCs/>
        </w:rPr>
        <w:t>Disbursed</w:t>
      </w:r>
    </w:p>
    <w:p w14:paraId="4F92D6D7" w14:textId="77777777" w:rsidR="00440414" w:rsidRPr="00440414" w:rsidRDefault="00440414" w:rsidP="00440414">
      <w:r w:rsidRPr="00440414">
        <w:t>Other key options available on this page are:</w:t>
      </w:r>
    </w:p>
    <w:p w14:paraId="4F48E838" w14:textId="77777777" w:rsidR="00440414" w:rsidRPr="00440414" w:rsidRDefault="00440414" w:rsidP="00440414">
      <w:pPr>
        <w:numPr>
          <w:ilvl w:val="0"/>
          <w:numId w:val="4"/>
        </w:numPr>
      </w:pPr>
      <w:r w:rsidRPr="00440414">
        <w:rPr>
          <w:b/>
          <w:bCs/>
        </w:rPr>
        <w:t>Download Account Opening Form</w:t>
      </w:r>
      <w:r w:rsidRPr="00440414">
        <w:t>: Retrieve the form used to open the borrower’s account.</w:t>
      </w:r>
    </w:p>
    <w:p w14:paraId="3B019EAF" w14:textId="77777777" w:rsidR="00440414" w:rsidRPr="00440414" w:rsidRDefault="00440414" w:rsidP="00440414">
      <w:pPr>
        <w:numPr>
          <w:ilvl w:val="0"/>
          <w:numId w:val="4"/>
        </w:numPr>
      </w:pPr>
      <w:r w:rsidRPr="00440414">
        <w:rPr>
          <w:b/>
          <w:bCs/>
        </w:rPr>
        <w:t>Download Signed Loan Agreement</w:t>
      </w:r>
      <w:r w:rsidRPr="00440414">
        <w:t>: Access the signed loan agreement document.</w:t>
      </w:r>
    </w:p>
    <w:p w14:paraId="48318075" w14:textId="77777777" w:rsidR="00440414" w:rsidRPr="00440414" w:rsidRDefault="00440414" w:rsidP="00440414">
      <w:pPr>
        <w:numPr>
          <w:ilvl w:val="0"/>
          <w:numId w:val="4"/>
        </w:numPr>
      </w:pPr>
      <w:r w:rsidRPr="00440414">
        <w:rPr>
          <w:b/>
          <w:bCs/>
        </w:rPr>
        <w:t>Download House Visit Form</w:t>
      </w:r>
      <w:r w:rsidRPr="00440414">
        <w:t>: Download the form related to the borrower’s house visit.</w:t>
      </w:r>
    </w:p>
    <w:p w14:paraId="2E19DD06" w14:textId="77777777" w:rsidR="00440414" w:rsidRPr="00440414" w:rsidRDefault="00440414" w:rsidP="00440414">
      <w:pPr>
        <w:numPr>
          <w:ilvl w:val="0"/>
          <w:numId w:val="4"/>
        </w:numPr>
      </w:pPr>
      <w:r w:rsidRPr="00440414">
        <w:rPr>
          <w:b/>
          <w:bCs/>
        </w:rPr>
        <w:t>Generate CRIF Report for Case</w:t>
      </w:r>
      <w:r w:rsidRPr="00440414">
        <w:t>: Generate the Credit Information Report (CRIF) for the case.</w:t>
      </w:r>
    </w:p>
    <w:p w14:paraId="314104D3" w14:textId="77777777" w:rsidR="00440414" w:rsidRPr="00440414" w:rsidRDefault="00440414" w:rsidP="00440414">
      <w:pPr>
        <w:numPr>
          <w:ilvl w:val="0"/>
          <w:numId w:val="4"/>
        </w:numPr>
      </w:pPr>
      <w:r w:rsidRPr="00440414">
        <w:rPr>
          <w:b/>
          <w:bCs/>
        </w:rPr>
        <w:t>Download CRIF Report</w:t>
      </w:r>
      <w:r w:rsidRPr="00440414">
        <w:t>: Access the CRIF report generated for the case.</w:t>
      </w:r>
    </w:p>
    <w:p w14:paraId="2662DDBB" w14:textId="77777777" w:rsidR="00440414" w:rsidRPr="00440414" w:rsidRDefault="00440414" w:rsidP="00440414">
      <w:pPr>
        <w:numPr>
          <w:ilvl w:val="0"/>
          <w:numId w:val="4"/>
        </w:numPr>
      </w:pPr>
      <w:r w:rsidRPr="00440414">
        <w:rPr>
          <w:b/>
          <w:bCs/>
        </w:rPr>
        <w:t>Get Account Aggregator Details</w:t>
      </w:r>
      <w:r w:rsidRPr="00440414">
        <w:t>: Retrieve the details related to the borrower’s account aggregator.</w:t>
      </w:r>
    </w:p>
    <w:p w14:paraId="39E128EC" w14:textId="77777777" w:rsidR="00440414" w:rsidRPr="00440414" w:rsidRDefault="00440414" w:rsidP="00440414">
      <w:pPr>
        <w:numPr>
          <w:ilvl w:val="0"/>
          <w:numId w:val="4"/>
        </w:numPr>
      </w:pPr>
      <w:r w:rsidRPr="00440414">
        <w:rPr>
          <w:b/>
          <w:bCs/>
        </w:rPr>
        <w:t>See Geo Locations for this Case</w:t>
      </w:r>
      <w:r w:rsidRPr="00440414">
        <w:t>: View the geo-location details linked to the case.</w:t>
      </w:r>
    </w:p>
    <w:p w14:paraId="0DEBC559" w14:textId="77777777" w:rsidR="00440414" w:rsidRPr="00440414" w:rsidRDefault="00440414" w:rsidP="00440414">
      <w:pPr>
        <w:numPr>
          <w:ilvl w:val="0"/>
          <w:numId w:val="4"/>
        </w:numPr>
      </w:pPr>
      <w:r w:rsidRPr="00440414">
        <w:rPr>
          <w:b/>
          <w:bCs/>
        </w:rPr>
        <w:t xml:space="preserve">Download </w:t>
      </w:r>
      <w:proofErr w:type="spellStart"/>
      <w:r w:rsidRPr="00440414">
        <w:rPr>
          <w:b/>
          <w:bCs/>
        </w:rPr>
        <w:t>Pronote</w:t>
      </w:r>
      <w:proofErr w:type="spellEnd"/>
      <w:r w:rsidRPr="00440414">
        <w:rPr>
          <w:b/>
          <w:bCs/>
        </w:rPr>
        <w:t xml:space="preserve"> or DP Note for Case</w:t>
      </w:r>
      <w:r w:rsidRPr="00440414">
        <w:t xml:space="preserve">: Access the </w:t>
      </w:r>
      <w:proofErr w:type="spellStart"/>
      <w:r w:rsidRPr="00440414">
        <w:t>Pronote</w:t>
      </w:r>
      <w:proofErr w:type="spellEnd"/>
      <w:r w:rsidRPr="00440414">
        <w:t xml:space="preserve"> or Demand Promissory Note for the case.</w:t>
      </w:r>
    </w:p>
    <w:p w14:paraId="28FE921E" w14:textId="77777777" w:rsidR="00440414" w:rsidRPr="00440414" w:rsidRDefault="00440414" w:rsidP="00440414">
      <w:pPr>
        <w:numPr>
          <w:ilvl w:val="0"/>
          <w:numId w:val="4"/>
        </w:numPr>
      </w:pPr>
      <w:r w:rsidRPr="00440414">
        <w:rPr>
          <w:b/>
          <w:bCs/>
        </w:rPr>
        <w:t>Download PDD Documents</w:t>
      </w:r>
      <w:r w:rsidRPr="00440414">
        <w:t>: Download Post-Disbursal Documents related to the case.</w:t>
      </w:r>
    </w:p>
    <w:p w14:paraId="493857DF" w14:textId="76B3E234" w:rsidR="00440414" w:rsidRPr="00440414" w:rsidRDefault="00440414" w:rsidP="00440414">
      <w:r w:rsidRPr="00440414">
        <w:rPr>
          <w:noProof/>
        </w:rPr>
        <w:drawing>
          <wp:inline distT="0" distB="0" distL="0" distR="0" wp14:anchorId="6DF9E8D6" wp14:editId="2E28E51E">
            <wp:extent cx="5731510" cy="2643505"/>
            <wp:effectExtent l="0" t="0" r="2540" b="4445"/>
            <wp:docPr id="5289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99648" name=""/>
                    <pic:cNvPicPr/>
                  </pic:nvPicPr>
                  <pic:blipFill>
                    <a:blip r:embed="rId5"/>
                    <a:stretch>
                      <a:fillRect/>
                    </a:stretch>
                  </pic:blipFill>
                  <pic:spPr>
                    <a:xfrm>
                      <a:off x="0" y="0"/>
                      <a:ext cx="5731510" cy="2643505"/>
                    </a:xfrm>
                    <a:prstGeom prst="rect">
                      <a:avLst/>
                    </a:prstGeom>
                  </pic:spPr>
                </pic:pic>
              </a:graphicData>
            </a:graphic>
          </wp:inline>
        </w:drawing>
      </w:r>
    </w:p>
    <w:p w14:paraId="3C9DFA0C" w14:textId="77777777" w:rsidR="00440414" w:rsidRDefault="00440414" w:rsidP="00440414">
      <w:pPr>
        <w:rPr>
          <w:b/>
          <w:bCs/>
        </w:rPr>
      </w:pPr>
    </w:p>
    <w:p w14:paraId="6FD9245C" w14:textId="321DCF14" w:rsidR="00440414" w:rsidRDefault="00440414" w:rsidP="00440414">
      <w:pPr>
        <w:rPr>
          <w:b/>
          <w:bCs/>
        </w:rPr>
      </w:pPr>
      <w:r w:rsidRPr="00440414">
        <w:rPr>
          <w:b/>
          <w:bCs/>
        </w:rPr>
        <w:lastRenderedPageBreak/>
        <w:t>Verification Details</w:t>
      </w:r>
    </w:p>
    <w:p w14:paraId="5A20A21F" w14:textId="5148C5CD" w:rsidR="00440414" w:rsidRPr="00440414" w:rsidRDefault="00440414" w:rsidP="00440414">
      <w:pPr>
        <w:rPr>
          <w:b/>
          <w:bCs/>
        </w:rPr>
      </w:pPr>
      <w:r w:rsidRPr="00440414">
        <w:t>This section allows you to check the verification status of the case documents and the KYC IDs associated with the borrower. It also provides the ability to verify the identity of the person and confirm whether their documents are properly validated.</w:t>
      </w:r>
    </w:p>
    <w:p w14:paraId="441CF97F" w14:textId="0BBE10B2" w:rsidR="00440414" w:rsidRPr="00440414" w:rsidRDefault="00440414" w:rsidP="00440414">
      <w:pPr>
        <w:rPr>
          <w:b/>
          <w:bCs/>
        </w:rPr>
      </w:pPr>
      <w:r w:rsidRPr="00440414">
        <w:rPr>
          <w:b/>
          <w:bCs/>
        </w:rPr>
        <w:t>Group and Branch Details</w:t>
      </w:r>
    </w:p>
    <w:p w14:paraId="269C448C" w14:textId="77777777" w:rsidR="00440414" w:rsidRPr="00440414" w:rsidRDefault="00440414" w:rsidP="00440414">
      <w:r w:rsidRPr="00440414">
        <w:t>Here, you can access details regarding the specific group and branch associated with the case. This information helps in understanding the case's organizational context.</w:t>
      </w:r>
    </w:p>
    <w:p w14:paraId="61A7A80F" w14:textId="4B657E58" w:rsidR="00440414" w:rsidRPr="00440414" w:rsidRDefault="00440414" w:rsidP="00440414">
      <w:pPr>
        <w:rPr>
          <w:b/>
          <w:bCs/>
        </w:rPr>
      </w:pPr>
      <w:r w:rsidRPr="00440414">
        <w:rPr>
          <w:b/>
          <w:bCs/>
        </w:rPr>
        <w:t>Case Progression</w:t>
      </w:r>
    </w:p>
    <w:p w14:paraId="7AA6F206" w14:textId="0FB04DD1" w:rsidR="00440414" w:rsidRPr="00440414" w:rsidRDefault="00440414" w:rsidP="00440414">
      <w:r w:rsidRPr="00440414">
        <w:t xml:space="preserve">The “Case can be Proceeded or Not” section provides an option to determine whether the case is ready to move forward. The </w:t>
      </w:r>
      <w:r w:rsidRPr="00440414">
        <w:rPr>
          <w:b/>
          <w:bCs/>
        </w:rPr>
        <w:t>Approved option</w:t>
      </w:r>
      <w:r w:rsidRPr="00440414">
        <w:t xml:space="preserve"> indicates whether the case has been approved to proceed further or not.</w:t>
      </w:r>
    </w:p>
    <w:p w14:paraId="719FC78A" w14:textId="5BB74D6C" w:rsidR="00440414" w:rsidRPr="00440414" w:rsidRDefault="00440414" w:rsidP="00440414">
      <w:pPr>
        <w:rPr>
          <w:b/>
          <w:bCs/>
        </w:rPr>
      </w:pPr>
      <w:r w:rsidRPr="00440414">
        <w:rPr>
          <w:b/>
          <w:bCs/>
        </w:rPr>
        <w:t xml:space="preserve"> Push Case for Sanction</w:t>
      </w:r>
    </w:p>
    <w:p w14:paraId="19B6E09D" w14:textId="77777777" w:rsidR="00440414" w:rsidRDefault="00440414" w:rsidP="00440414">
      <w:r w:rsidRPr="00440414">
        <w:t>This feature enables you to check the eligibility of the case for sanction. If the case qualifies, it can be pushed to a specific bank (from the listed bank dropdown) for sanctioning.</w:t>
      </w:r>
    </w:p>
    <w:p w14:paraId="709641A8" w14:textId="5148EC51" w:rsidR="00440414" w:rsidRDefault="00440414" w:rsidP="00440414">
      <w:r w:rsidRPr="00440414">
        <w:rPr>
          <w:noProof/>
        </w:rPr>
        <w:drawing>
          <wp:inline distT="0" distB="0" distL="0" distR="0" wp14:anchorId="759EB777" wp14:editId="3E95C39C">
            <wp:extent cx="5731510" cy="2045970"/>
            <wp:effectExtent l="0" t="0" r="2540" b="0"/>
            <wp:docPr id="157821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13716" name=""/>
                    <pic:cNvPicPr/>
                  </pic:nvPicPr>
                  <pic:blipFill>
                    <a:blip r:embed="rId6"/>
                    <a:stretch>
                      <a:fillRect/>
                    </a:stretch>
                  </pic:blipFill>
                  <pic:spPr>
                    <a:xfrm>
                      <a:off x="0" y="0"/>
                      <a:ext cx="5731510" cy="2045970"/>
                    </a:xfrm>
                    <a:prstGeom prst="rect">
                      <a:avLst/>
                    </a:prstGeom>
                  </pic:spPr>
                </pic:pic>
              </a:graphicData>
            </a:graphic>
          </wp:inline>
        </w:drawing>
      </w:r>
    </w:p>
    <w:p w14:paraId="028B6450" w14:textId="77777777" w:rsidR="00440414" w:rsidRPr="00440414" w:rsidRDefault="00440414" w:rsidP="00440414">
      <w:pPr>
        <w:rPr>
          <w:b/>
          <w:bCs/>
        </w:rPr>
      </w:pPr>
      <w:r w:rsidRPr="00440414">
        <w:rPr>
          <w:b/>
          <w:bCs/>
        </w:rPr>
        <w:t>Sections in the Index Page</w:t>
      </w:r>
    </w:p>
    <w:p w14:paraId="38940CEE" w14:textId="77777777" w:rsidR="00440414" w:rsidRPr="00440414" w:rsidRDefault="00440414" w:rsidP="00440414">
      <w:pPr>
        <w:numPr>
          <w:ilvl w:val="0"/>
          <w:numId w:val="5"/>
        </w:numPr>
      </w:pPr>
      <w:r w:rsidRPr="00440414">
        <w:rPr>
          <w:b/>
          <w:bCs/>
        </w:rPr>
        <w:t>General Section</w:t>
      </w:r>
      <w:r w:rsidRPr="00440414">
        <w:t>: Displays basic details about the borrower, case code, and other essential information.</w:t>
      </w:r>
    </w:p>
    <w:p w14:paraId="22C0E553" w14:textId="77777777" w:rsidR="00440414" w:rsidRPr="00440414" w:rsidRDefault="00440414" w:rsidP="00440414">
      <w:pPr>
        <w:numPr>
          <w:ilvl w:val="0"/>
          <w:numId w:val="5"/>
        </w:numPr>
      </w:pPr>
      <w:r w:rsidRPr="00440414">
        <w:rPr>
          <w:b/>
          <w:bCs/>
        </w:rPr>
        <w:t>Personal Section</w:t>
      </w:r>
      <w:r w:rsidRPr="00440414">
        <w:t>: Includes the borrower’s bank details, income and expense amounts, and KYC ID details.</w:t>
      </w:r>
    </w:p>
    <w:p w14:paraId="5D2A69FB" w14:textId="77777777" w:rsidR="00440414" w:rsidRPr="00440414" w:rsidRDefault="00440414" w:rsidP="00440414">
      <w:pPr>
        <w:numPr>
          <w:ilvl w:val="0"/>
          <w:numId w:val="5"/>
        </w:numPr>
      </w:pPr>
      <w:r w:rsidRPr="00440414">
        <w:rPr>
          <w:b/>
          <w:bCs/>
        </w:rPr>
        <w:t>FI Details</w:t>
      </w:r>
      <w:r w:rsidRPr="00440414">
        <w:t>: Displays additional information about the borrower’s living situation.</w:t>
      </w:r>
    </w:p>
    <w:p w14:paraId="3F30B14D" w14:textId="77777777" w:rsidR="00440414" w:rsidRPr="00440414" w:rsidRDefault="00440414" w:rsidP="00440414">
      <w:pPr>
        <w:numPr>
          <w:ilvl w:val="0"/>
          <w:numId w:val="5"/>
        </w:numPr>
      </w:pPr>
      <w:r w:rsidRPr="00440414">
        <w:rPr>
          <w:b/>
          <w:bCs/>
        </w:rPr>
        <w:t>Co-Borrower Details</w:t>
      </w:r>
      <w:r w:rsidRPr="00440414">
        <w:t>: Provides information about the guarantor or co-borrower associated with the loan.</w:t>
      </w:r>
    </w:p>
    <w:p w14:paraId="32C6F489" w14:textId="4F9CD62D" w:rsidR="00440414" w:rsidRDefault="00440414" w:rsidP="00440414">
      <w:pPr>
        <w:numPr>
          <w:ilvl w:val="0"/>
          <w:numId w:val="5"/>
        </w:numPr>
      </w:pPr>
      <w:r w:rsidRPr="00440414">
        <w:rPr>
          <w:b/>
          <w:bCs/>
        </w:rPr>
        <w:t>Top-Up Section</w:t>
      </w:r>
      <w:r w:rsidRPr="00440414">
        <w:t>: Allows you to view details related to any top-up loan request or additional borrowing associated with the case.</w:t>
      </w:r>
    </w:p>
    <w:p w14:paraId="32C2A52F" w14:textId="6601470D" w:rsidR="00440414" w:rsidRDefault="00440414" w:rsidP="00440414">
      <w:pPr>
        <w:ind w:left="720"/>
      </w:pPr>
      <w:r w:rsidRPr="00440414">
        <w:rPr>
          <w:noProof/>
        </w:rPr>
        <w:lastRenderedPageBreak/>
        <w:drawing>
          <wp:inline distT="0" distB="0" distL="0" distR="0" wp14:anchorId="5A0FBE39" wp14:editId="3317E10B">
            <wp:extent cx="5731510" cy="1547495"/>
            <wp:effectExtent l="0" t="0" r="2540" b="0"/>
            <wp:docPr id="29093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36590" name=""/>
                    <pic:cNvPicPr/>
                  </pic:nvPicPr>
                  <pic:blipFill>
                    <a:blip r:embed="rId7"/>
                    <a:stretch>
                      <a:fillRect/>
                    </a:stretch>
                  </pic:blipFill>
                  <pic:spPr>
                    <a:xfrm>
                      <a:off x="0" y="0"/>
                      <a:ext cx="5731510" cy="1547495"/>
                    </a:xfrm>
                    <a:prstGeom prst="rect">
                      <a:avLst/>
                    </a:prstGeom>
                  </pic:spPr>
                </pic:pic>
              </a:graphicData>
            </a:graphic>
          </wp:inline>
        </w:drawing>
      </w:r>
    </w:p>
    <w:p w14:paraId="3095AF8B" w14:textId="5C839A8B" w:rsidR="00440414" w:rsidRDefault="00440414" w:rsidP="00440414">
      <w:pPr>
        <w:ind w:left="720"/>
      </w:pPr>
      <w:r w:rsidRPr="00440414">
        <w:rPr>
          <w:noProof/>
        </w:rPr>
        <w:drawing>
          <wp:inline distT="0" distB="0" distL="0" distR="0" wp14:anchorId="3FCCA79A" wp14:editId="72BEE68B">
            <wp:extent cx="5731510" cy="1313180"/>
            <wp:effectExtent l="0" t="0" r="2540" b="1270"/>
            <wp:docPr id="67037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70270" name=""/>
                    <pic:cNvPicPr/>
                  </pic:nvPicPr>
                  <pic:blipFill>
                    <a:blip r:embed="rId8"/>
                    <a:stretch>
                      <a:fillRect/>
                    </a:stretch>
                  </pic:blipFill>
                  <pic:spPr>
                    <a:xfrm>
                      <a:off x="0" y="0"/>
                      <a:ext cx="5731510" cy="1313180"/>
                    </a:xfrm>
                    <a:prstGeom prst="rect">
                      <a:avLst/>
                    </a:prstGeom>
                  </pic:spPr>
                </pic:pic>
              </a:graphicData>
            </a:graphic>
          </wp:inline>
        </w:drawing>
      </w:r>
    </w:p>
    <w:p w14:paraId="1D246427" w14:textId="187906F5" w:rsidR="00440414" w:rsidRDefault="00440414" w:rsidP="00440414">
      <w:pPr>
        <w:ind w:left="720"/>
      </w:pPr>
      <w:r w:rsidRPr="00440414">
        <w:rPr>
          <w:noProof/>
        </w:rPr>
        <w:drawing>
          <wp:inline distT="0" distB="0" distL="0" distR="0" wp14:anchorId="760C9C39" wp14:editId="69928432">
            <wp:extent cx="5731510" cy="1252220"/>
            <wp:effectExtent l="0" t="0" r="2540" b="5080"/>
            <wp:docPr id="50373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34769" name=""/>
                    <pic:cNvPicPr/>
                  </pic:nvPicPr>
                  <pic:blipFill>
                    <a:blip r:embed="rId9"/>
                    <a:stretch>
                      <a:fillRect/>
                    </a:stretch>
                  </pic:blipFill>
                  <pic:spPr>
                    <a:xfrm>
                      <a:off x="0" y="0"/>
                      <a:ext cx="5731510" cy="1252220"/>
                    </a:xfrm>
                    <a:prstGeom prst="rect">
                      <a:avLst/>
                    </a:prstGeom>
                  </pic:spPr>
                </pic:pic>
              </a:graphicData>
            </a:graphic>
          </wp:inline>
        </w:drawing>
      </w:r>
    </w:p>
    <w:p w14:paraId="05966AA8" w14:textId="0104AC38" w:rsidR="00440414" w:rsidRPr="00440414" w:rsidRDefault="00440414" w:rsidP="00440414">
      <w:pPr>
        <w:ind w:left="720"/>
      </w:pPr>
      <w:r w:rsidRPr="00440414">
        <w:rPr>
          <w:noProof/>
        </w:rPr>
        <w:drawing>
          <wp:inline distT="0" distB="0" distL="0" distR="0" wp14:anchorId="2B4F8F07" wp14:editId="5201F398">
            <wp:extent cx="5731510" cy="1902460"/>
            <wp:effectExtent l="0" t="0" r="2540" b="2540"/>
            <wp:docPr id="75020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06139" name=""/>
                    <pic:cNvPicPr/>
                  </pic:nvPicPr>
                  <pic:blipFill>
                    <a:blip r:embed="rId10"/>
                    <a:stretch>
                      <a:fillRect/>
                    </a:stretch>
                  </pic:blipFill>
                  <pic:spPr>
                    <a:xfrm>
                      <a:off x="0" y="0"/>
                      <a:ext cx="5731510" cy="1902460"/>
                    </a:xfrm>
                    <a:prstGeom prst="rect">
                      <a:avLst/>
                    </a:prstGeom>
                  </pic:spPr>
                </pic:pic>
              </a:graphicData>
            </a:graphic>
          </wp:inline>
        </w:drawing>
      </w:r>
    </w:p>
    <w:p w14:paraId="159FF14E" w14:textId="77777777" w:rsidR="00440414" w:rsidRPr="00440414" w:rsidRDefault="00440414" w:rsidP="00440414">
      <w:pPr>
        <w:rPr>
          <w:b/>
          <w:bCs/>
        </w:rPr>
      </w:pPr>
      <w:r w:rsidRPr="00440414">
        <w:rPr>
          <w:b/>
          <w:bCs/>
        </w:rPr>
        <w:t>Case Management Actions</w:t>
      </w:r>
    </w:p>
    <w:p w14:paraId="33F90664" w14:textId="77777777" w:rsidR="00440414" w:rsidRPr="00440414" w:rsidRDefault="00440414" w:rsidP="00440414">
      <w:pPr>
        <w:numPr>
          <w:ilvl w:val="0"/>
          <w:numId w:val="6"/>
        </w:numPr>
      </w:pPr>
      <w:r w:rsidRPr="00440414">
        <w:rPr>
          <w:b/>
          <w:bCs/>
        </w:rPr>
        <w:t>Add Button</w:t>
      </w:r>
      <w:r w:rsidRPr="00440414">
        <w:t>: By clicking the Add button, you can create a new Financial Institution (FI) with the same details.</w:t>
      </w:r>
    </w:p>
    <w:p w14:paraId="737707FC" w14:textId="77777777" w:rsidR="00440414" w:rsidRPr="00440414" w:rsidRDefault="00440414" w:rsidP="00440414">
      <w:pPr>
        <w:numPr>
          <w:ilvl w:val="0"/>
          <w:numId w:val="6"/>
        </w:numPr>
      </w:pPr>
      <w:r w:rsidRPr="00440414">
        <w:rPr>
          <w:b/>
          <w:bCs/>
        </w:rPr>
        <w:t>Update Group</w:t>
      </w:r>
      <w:r w:rsidRPr="00440414">
        <w:t>: You have the ability to update the group associated with the case.</w:t>
      </w:r>
    </w:p>
    <w:p w14:paraId="387A50B3" w14:textId="77777777" w:rsidR="00440414" w:rsidRDefault="00440414" w:rsidP="00440414">
      <w:pPr>
        <w:numPr>
          <w:ilvl w:val="0"/>
          <w:numId w:val="6"/>
        </w:numPr>
      </w:pPr>
      <w:r w:rsidRPr="00440414">
        <w:rPr>
          <w:b/>
          <w:bCs/>
        </w:rPr>
        <w:t>Update Case Details</w:t>
      </w:r>
      <w:r w:rsidRPr="00440414">
        <w:t>: This allows you to make necessary updates to case details before sanctioning.</w:t>
      </w:r>
    </w:p>
    <w:p w14:paraId="64D4D697" w14:textId="62BE4A5E" w:rsidR="00440414" w:rsidRPr="00440414" w:rsidRDefault="00440414" w:rsidP="00440414">
      <w:pPr>
        <w:ind w:left="720"/>
      </w:pPr>
      <w:r w:rsidRPr="00440414">
        <w:rPr>
          <w:noProof/>
        </w:rPr>
        <w:lastRenderedPageBreak/>
        <w:drawing>
          <wp:inline distT="0" distB="0" distL="0" distR="0" wp14:anchorId="3937EE03" wp14:editId="109AE73D">
            <wp:extent cx="5731510" cy="1453515"/>
            <wp:effectExtent l="0" t="0" r="2540" b="0"/>
            <wp:docPr id="135413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36921" name=""/>
                    <pic:cNvPicPr/>
                  </pic:nvPicPr>
                  <pic:blipFill>
                    <a:blip r:embed="rId11"/>
                    <a:stretch>
                      <a:fillRect/>
                    </a:stretch>
                  </pic:blipFill>
                  <pic:spPr>
                    <a:xfrm>
                      <a:off x="0" y="0"/>
                      <a:ext cx="5731510" cy="1453515"/>
                    </a:xfrm>
                    <a:prstGeom prst="rect">
                      <a:avLst/>
                    </a:prstGeom>
                  </pic:spPr>
                </pic:pic>
              </a:graphicData>
            </a:graphic>
          </wp:inline>
        </w:drawing>
      </w:r>
    </w:p>
    <w:p w14:paraId="4776AA22" w14:textId="4ED16EB0" w:rsidR="00440414" w:rsidRPr="00440414" w:rsidRDefault="00440414" w:rsidP="00440414"/>
    <w:p w14:paraId="2E69C2A7" w14:textId="77777777" w:rsidR="00440414" w:rsidRPr="00440414" w:rsidRDefault="00440414" w:rsidP="00440414">
      <w:r w:rsidRPr="00440414">
        <w:t>This page centralizes all relevant borrower data and case status, providing the tools to manage the case's progression from application to disbursal. It also ensures that documents are verified and that the case can be appropriately pushed forward for sanction.</w:t>
      </w:r>
    </w:p>
    <w:p w14:paraId="0875ABA5" w14:textId="77777777" w:rsidR="00440414" w:rsidRPr="00440414" w:rsidRDefault="00440414" w:rsidP="00440414"/>
    <w:p w14:paraId="1A557DFD" w14:textId="3521BF1E" w:rsidR="00FE482B" w:rsidRPr="00440414" w:rsidRDefault="00FE482B" w:rsidP="00440414"/>
    <w:sectPr w:rsidR="00FE482B" w:rsidRPr="00440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74E1F"/>
    <w:multiLevelType w:val="multilevel"/>
    <w:tmpl w:val="64A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313A7"/>
    <w:multiLevelType w:val="multilevel"/>
    <w:tmpl w:val="343A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86D35"/>
    <w:multiLevelType w:val="multilevel"/>
    <w:tmpl w:val="A1A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20ECA"/>
    <w:multiLevelType w:val="hybridMultilevel"/>
    <w:tmpl w:val="242AA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B10148"/>
    <w:multiLevelType w:val="hybridMultilevel"/>
    <w:tmpl w:val="B0C04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A021B9"/>
    <w:multiLevelType w:val="multilevel"/>
    <w:tmpl w:val="BD7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681451">
    <w:abstractNumId w:val="4"/>
  </w:num>
  <w:num w:numId="2" w16cid:durableId="2141265376">
    <w:abstractNumId w:val="3"/>
  </w:num>
  <w:num w:numId="3" w16cid:durableId="1597597378">
    <w:abstractNumId w:val="0"/>
  </w:num>
  <w:num w:numId="4" w16cid:durableId="1635060408">
    <w:abstractNumId w:val="5"/>
  </w:num>
  <w:num w:numId="5" w16cid:durableId="1410038159">
    <w:abstractNumId w:val="1"/>
  </w:num>
  <w:num w:numId="6" w16cid:durableId="1618676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54"/>
    <w:rsid w:val="000B6CC2"/>
    <w:rsid w:val="001C47E9"/>
    <w:rsid w:val="002F5B95"/>
    <w:rsid w:val="00440414"/>
    <w:rsid w:val="005D5854"/>
    <w:rsid w:val="00A92CF9"/>
    <w:rsid w:val="00E13D3C"/>
    <w:rsid w:val="00F148C4"/>
    <w:rsid w:val="00FB0EFA"/>
    <w:rsid w:val="00FE4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AB8"/>
  <w15:chartTrackingRefBased/>
  <w15:docId w15:val="{128637C3-6719-4436-AE37-A5A74300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72537">
      <w:bodyDiv w:val="1"/>
      <w:marLeft w:val="0"/>
      <w:marRight w:val="0"/>
      <w:marTop w:val="0"/>
      <w:marBottom w:val="0"/>
      <w:divBdr>
        <w:top w:val="none" w:sz="0" w:space="0" w:color="auto"/>
        <w:left w:val="none" w:sz="0" w:space="0" w:color="auto"/>
        <w:bottom w:val="none" w:sz="0" w:space="0" w:color="auto"/>
        <w:right w:val="none" w:sz="0" w:space="0" w:color="auto"/>
      </w:divBdr>
    </w:div>
    <w:div w:id="554781788">
      <w:bodyDiv w:val="1"/>
      <w:marLeft w:val="0"/>
      <w:marRight w:val="0"/>
      <w:marTop w:val="0"/>
      <w:marBottom w:val="0"/>
      <w:divBdr>
        <w:top w:val="none" w:sz="0" w:space="0" w:color="auto"/>
        <w:left w:val="none" w:sz="0" w:space="0" w:color="auto"/>
        <w:bottom w:val="none" w:sz="0" w:space="0" w:color="auto"/>
        <w:right w:val="none" w:sz="0" w:space="0" w:color="auto"/>
      </w:divBdr>
    </w:div>
    <w:div w:id="880551508">
      <w:bodyDiv w:val="1"/>
      <w:marLeft w:val="0"/>
      <w:marRight w:val="0"/>
      <w:marTop w:val="0"/>
      <w:marBottom w:val="0"/>
      <w:divBdr>
        <w:top w:val="none" w:sz="0" w:space="0" w:color="auto"/>
        <w:left w:val="none" w:sz="0" w:space="0" w:color="auto"/>
        <w:bottom w:val="none" w:sz="0" w:space="0" w:color="auto"/>
        <w:right w:val="none" w:sz="0" w:space="0" w:color="auto"/>
      </w:divBdr>
    </w:div>
    <w:div w:id="1117531793">
      <w:bodyDiv w:val="1"/>
      <w:marLeft w:val="0"/>
      <w:marRight w:val="0"/>
      <w:marTop w:val="0"/>
      <w:marBottom w:val="0"/>
      <w:divBdr>
        <w:top w:val="none" w:sz="0" w:space="0" w:color="auto"/>
        <w:left w:val="none" w:sz="0" w:space="0" w:color="auto"/>
        <w:bottom w:val="none" w:sz="0" w:space="0" w:color="auto"/>
        <w:right w:val="none" w:sz="0" w:space="0" w:color="auto"/>
      </w:divBdr>
    </w:div>
    <w:div w:id="1216355702">
      <w:bodyDiv w:val="1"/>
      <w:marLeft w:val="0"/>
      <w:marRight w:val="0"/>
      <w:marTop w:val="0"/>
      <w:marBottom w:val="0"/>
      <w:divBdr>
        <w:top w:val="none" w:sz="0" w:space="0" w:color="auto"/>
        <w:left w:val="none" w:sz="0" w:space="0" w:color="auto"/>
        <w:bottom w:val="none" w:sz="0" w:space="0" w:color="auto"/>
        <w:right w:val="none" w:sz="0" w:space="0" w:color="auto"/>
      </w:divBdr>
    </w:div>
    <w:div w:id="1346588713">
      <w:bodyDiv w:val="1"/>
      <w:marLeft w:val="0"/>
      <w:marRight w:val="0"/>
      <w:marTop w:val="0"/>
      <w:marBottom w:val="0"/>
      <w:divBdr>
        <w:top w:val="none" w:sz="0" w:space="0" w:color="auto"/>
        <w:left w:val="none" w:sz="0" w:space="0" w:color="auto"/>
        <w:bottom w:val="none" w:sz="0" w:space="0" w:color="auto"/>
        <w:right w:val="none" w:sz="0" w:space="0" w:color="auto"/>
      </w:divBdr>
    </w:div>
    <w:div w:id="1375235615">
      <w:bodyDiv w:val="1"/>
      <w:marLeft w:val="0"/>
      <w:marRight w:val="0"/>
      <w:marTop w:val="0"/>
      <w:marBottom w:val="0"/>
      <w:divBdr>
        <w:top w:val="none" w:sz="0" w:space="0" w:color="auto"/>
        <w:left w:val="none" w:sz="0" w:space="0" w:color="auto"/>
        <w:bottom w:val="none" w:sz="0" w:space="0" w:color="auto"/>
        <w:right w:val="none" w:sz="0" w:space="0" w:color="auto"/>
      </w:divBdr>
    </w:div>
    <w:div w:id="1902012541">
      <w:bodyDiv w:val="1"/>
      <w:marLeft w:val="0"/>
      <w:marRight w:val="0"/>
      <w:marTop w:val="0"/>
      <w:marBottom w:val="0"/>
      <w:divBdr>
        <w:top w:val="none" w:sz="0" w:space="0" w:color="auto"/>
        <w:left w:val="none" w:sz="0" w:space="0" w:color="auto"/>
        <w:bottom w:val="none" w:sz="0" w:space="0" w:color="auto"/>
        <w:right w:val="none" w:sz="0" w:space="0" w:color="auto"/>
      </w:divBdr>
    </w:div>
    <w:div w:id="1909415138">
      <w:bodyDiv w:val="1"/>
      <w:marLeft w:val="0"/>
      <w:marRight w:val="0"/>
      <w:marTop w:val="0"/>
      <w:marBottom w:val="0"/>
      <w:divBdr>
        <w:top w:val="none" w:sz="0" w:space="0" w:color="auto"/>
        <w:left w:val="none" w:sz="0" w:space="0" w:color="auto"/>
        <w:bottom w:val="none" w:sz="0" w:space="0" w:color="auto"/>
        <w:right w:val="none" w:sz="0" w:space="0" w:color="auto"/>
      </w:divBdr>
    </w:div>
    <w:div w:id="1915621499">
      <w:bodyDiv w:val="1"/>
      <w:marLeft w:val="0"/>
      <w:marRight w:val="0"/>
      <w:marTop w:val="0"/>
      <w:marBottom w:val="0"/>
      <w:divBdr>
        <w:top w:val="none" w:sz="0" w:space="0" w:color="auto"/>
        <w:left w:val="none" w:sz="0" w:space="0" w:color="auto"/>
        <w:bottom w:val="none" w:sz="0" w:space="0" w:color="auto"/>
        <w:right w:val="none" w:sz="0" w:space="0" w:color="auto"/>
      </w:divBdr>
    </w:div>
    <w:div w:id="2003317125">
      <w:bodyDiv w:val="1"/>
      <w:marLeft w:val="0"/>
      <w:marRight w:val="0"/>
      <w:marTop w:val="0"/>
      <w:marBottom w:val="0"/>
      <w:divBdr>
        <w:top w:val="none" w:sz="0" w:space="0" w:color="auto"/>
        <w:left w:val="none" w:sz="0" w:space="0" w:color="auto"/>
        <w:bottom w:val="none" w:sz="0" w:space="0" w:color="auto"/>
        <w:right w:val="none" w:sz="0" w:space="0" w:color="auto"/>
      </w:divBdr>
    </w:div>
    <w:div w:id="21161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2024-11-20T12:01:00Z</dcterms:created>
  <dcterms:modified xsi:type="dcterms:W3CDTF">2024-11-20T12:01:00Z</dcterms:modified>
</cp:coreProperties>
</file>