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spacing w:after="120" w:before="0"/>
        <w:jc w:val="center"/>
      </w:pPr>
      <w:r>
        <w:rPr>
          <w:rFonts w:ascii="Calibri" w:cs="Calibri" w:eastAsia="Calibri" w:hAnsi="Calibri"/>
          <w:b/>
          <w:bCs/>
          <w:color w:val="1F4E79"/>
          <w:spacing w:val="40"/>
          <w:sz w:val="52"/>
          <w:szCs w:val="52"/>
        </w:rPr>
        <w:t xml:space="preserve">DIARIO CYBERSECURITY</w:t>
      </w:r>
    </w:p>
    <w:p>
      <w:pPr>
        <w:spacing w:after="60" w:before="0"/>
        <w:jc w:val="center"/>
      </w:pPr>
      <w:r>
        <w:rPr>
          <w:rFonts w:ascii="Calibri" w:cs="Calibri" w:eastAsia="Calibri" w:hAnsi="Calibri"/>
          <w:i/>
          <w:iCs/>
          <w:color w:val="4472C4"/>
          <w:sz w:val="26"/>
          <w:szCs w:val="26"/>
        </w:rPr>
        <w:t xml:space="preserve">Briefing settimanale · Enterprise &amp; Mid-market</w:t>
      </w:r>
    </w:p>
    <w:p>
      <w:pPr>
        <w:pBdr>
          <w:bottom w:val="single" w:color="1F4E79" w:sz="12" w:space="1"/>
        </w:pBdr>
        <w:spacing w:after="120" w:before="120"/>
      </w:pPr>
      <w:r>
        <w:t xml:space="preserve"/>
      </w:r>
    </w:p>
    <w:p>
      <w:pPr>
        <w:spacing w:after="60" w:before="60"/>
        <w:jc w:val="center"/>
      </w:pPr>
      <w:r>
        <w:rPr>
          <w:rFonts w:ascii="Calibri" w:cs="Calibri" w:eastAsia="Calibri" w:hAnsi="Calibri"/>
          <w:color w:val="595959"/>
          <w:sz w:val="22"/>
          <w:szCs w:val="22"/>
        </w:rPr>
        <w:t xml:space="preserve">Marco Taglienti  ·  2026</w:t>
      </w:r>
    </w:p>
    <w:p>
      <w:pPr>
        <w:spacing w:after="0" w:before="720"/>
      </w:pPr>
    </w:p>
    <w:p>
      <w:pPr>
        <w:pStyle w:val="Heading1"/>
      </w:pPr>
      <w:bookmarkStart w:name="bm_indice" w:id="1"/>
      <w:r>
        <w:rPr>
          <w:rFonts w:ascii="Calibri" w:cs="Calibri" w:eastAsia="Calibri" w:hAnsi="Calibri"/>
          <w:b/>
          <w:bCs/>
          <w:color w:val="1F4E79"/>
          <w:sz w:val="28"/>
          <w:szCs w:val="28"/>
        </w:rPr>
        <w:t xml:space="preserve">Indice dei briefing</w:t>
      </w:r>
      <w:bookmarkEnd w:id="1"/>
    </w:p>
    <w:p>
      <w:pPr>
        <w:spacing w:after="60" w:before="60"/>
      </w:pPr>
      <w:r>
        <w:rPr>
          <w:rFonts w:ascii="Calibri" w:cs="Calibri" w:eastAsia="Calibri" w:hAnsi="Calibri"/>
          <w:i/>
          <w:iCs/>
          <w:color w:val="595959"/>
          <w:sz w:val="22"/>
          <w:szCs w:val="22"/>
        </w:rPr>
        <w:t xml:space="preserve">Il documento si aggiorna ogni settimana con una nuova sezione in cima. Usa il pannello di navigazione di Word (Visualizza → Riquadro di spostamento) per saltare direttamente a un briefing specifico.</w:t>
      </w:r>
    </w:p>
    <w:p>
      <w:pPr>
        <w:spacing w:after="60" w:before="120"/>
      </w:pPr>
      <w:hyperlink w:history="1" w:anchor="bm_w21_24mag">
        <w:r>
          <w:rPr>
            <w:rStyle w:val="Hyperlink"/>
            <w:rFonts w:ascii="Calibri" w:cs="Calibri" w:eastAsia="Calibri" w:hAnsi="Calibri"/>
            <w:sz w:val="22"/>
            <w:szCs w:val="22"/>
          </w:rPr>
          <w:t xml:space="preserve">W21 · 24 maggio 2026 — Idira (PANW) · Sysdig Sage CNAPP · Akamai Guardicore Platform</w:t>
        </w:r>
      </w:hyperlink>
    </w:p>
    <w:p>
      <w:pPr>
        <w:spacing w:after="60" w:before="120"/>
      </w:pPr>
      <w:hyperlink w:history="1" w:anchor="bm_w21">
        <w:r>
          <w:rPr>
            <w:rStyle w:val="Hyperlink"/>
            <w:rFonts w:ascii="Calibri" w:cs="Calibri" w:eastAsia="Calibri" w:hAnsi="Calibri"/>
            <w:sz w:val="22"/>
            <w:szCs w:val="22"/>
          </w:rPr>
          <w:t xml:space="preserve">W21 · 21 maggio 2026 — Idira (PANW) · Sysdig Headless Cloud Security · Dragos Platform 3.1</w:t>
        </w:r>
      </w:hyperlink>
    </w:p>
    <w:p>
      <w:r>
        <w:br w:type="page"/>
      </w:r>
    </w:p>
    <w:p>
      <w:pPr>
        <w:pStyle w:val="Heading1"/>
      </w:pPr>
      <w:bookmarkStart w:name="bm_w21_24mag" w:id="50"/>
      <w:r>
        <w:rPr>
          <w:rFonts w:ascii="Calibri" w:cs="Calibri" w:eastAsia="Calibri" w:hAnsi="Calibri"/>
          <w:b/>
          <w:bCs/>
          <w:color w:val="1F4E79"/>
          <w:sz w:val="28"/>
          <w:szCs w:val="28"/>
        </w:rPr>
        <w:t xml:space="preserve">W21 · 24 maggio 2026</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Data</w:t>
            </w:r>
          </w:p>
          <w:p>
            <w:pPr>
              <w:spacing w:after="0" w:before="0"/>
            </w:pPr>
            <w:r>
              <w:rPr>
                <w:rFonts w:ascii="Calibri" w:cs="Calibri" w:eastAsia="Calibri" w:hAnsi="Calibri"/>
                <w:sz w:val="22"/>
                <w:szCs w:val="22"/>
              </w:rPr>
              <w:t>24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Settimana ISO</w:t>
            </w:r>
          </w:p>
          <w:p>
            <w:pPr>
              <w:spacing w:after="0" w:before="0"/>
            </w:pPr>
            <w:r>
              <w:rPr>
                <w:rFonts w:ascii="Calibri" w:cs="Calibri" w:eastAsia="Calibri" w:hAnsi="Calibri"/>
                <w:sz w:val="22"/>
                <w:szCs w:val="22"/>
              </w:rPr>
              <w:t>W21 /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Ambiti</w:t>
            </w:r>
          </w:p>
          <w:p>
            <w:pPr>
              <w:spacing w:after="0" w:before="0"/>
            </w:pPr>
            <w:r>
              <w:rPr>
                <w:rFonts w:ascii="Calibri" w:cs="Calibri" w:eastAsia="Calibri" w:hAnsi="Calibri"/>
                <w:sz w:val="22"/>
                <w:szCs w:val="22"/>
              </w:rPr>
              <w:t>5 su 5</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Target</w:t>
            </w:r>
          </w:p>
          <w:p>
            <w:pPr>
              <w:spacing w:after="0" w:before="0"/>
            </w:pPr>
            <w:r>
              <w:rPr>
                <w:rFonts w:ascii="Calibri" w:cs="Calibri" w:eastAsia="Calibri" w:hAnsi="Calibri"/>
                <w:sz w:val="22"/>
                <w:szCs w:val="22"/>
              </w:rPr>
              <w:t xml:space="preserve">Enterprise, Mid-market &amp; PA Centrale</w:t>
            </w:r>
          </w:p>
        </w:tc>
      </w:tr>
    </w:tbl>
    <w:p>
      <w:pPr>
        <w:spacing w:after="60" w:before="240"/>
      </w:pPr>
    </w:p>
    <w:p>
      <w:pPr>
        <w:pStyle w:val="Heading2"/>
      </w:pPr>
      <w:r>
        <w:rPr>
          <w:rFonts w:ascii="Calibri" w:cs="Calibri" w:eastAsia="Calibri" w:hAnsi="Calibri"/>
          <w:b/>
          <w:bCs/>
          <w:color w:val="4472C4"/>
          <w:sz w:val="24"/>
          <w:szCs w:val="24"/>
        </w:rPr>
        <w:t>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Endpoint &amp; Identity (PAM, ITDR,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Piattaforma PAM di nuova generazione lanciata il 12 maggio 2026. Unifica gestione degli accessi privilegiati (PAM) con ITDR per ogni tipo di identità: umana, macchina e agente AI. Basata sulla tecnologia CyberArk (acquisita per $25 miliardi), la estende all’ecosistema AI agente.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NIS2 e PSNC richiedono controlli PAM rigorosi per infrastrutture critiche. Idira colma il gap sulle identità agentiche, nuovo vettore di attacco nell’era AI. Rilevante per PA Centrale con qualificazione ACN Cloud.</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CNAPP con Sysdig Sage</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Cloud &amp; Infrastructure Security (CNAPP, CSPM, CWPP)</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Leader Forrester Wave CNAPP Q1 2026. Piattaforma cloud-native unificata (CSPM, CWPP, CIEM, runtime) con Sysdig Sage: primo analista AI agente integrato che indaga alert autonomamente, riduce MTTR del 76% e risparmia 80h/settimana di triage manuale.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Headless Cloud Security: la security diventa nativa nel ciclo AI. Per PA Centrale con PSN e cloud ACN, soddisfa requisiti NIS2 (43 misure soggetti essenziali, scadenza ottobre 2026) con visibility continua e audit trail automatizzati.</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Akamai — Guardicore Platform</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Network Security &amp; Microsegmentazione (ZTNA,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Unica piattaforma che unifica ZTNA + microsegmentazione + MFA adattiva + DNS firewall. Da marzo 2026 con AI policy enforcement: l’AI analizza il comportamento applicativo e genera policy di segmentazione pronte all’enforcement in linguaggio naturale.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 reti PA italiane sono storicamente piatte. NIS2 (ottobre 2026) impone segmentazione. Guardicore riduce l’implementazione da mesi a giorni tramite AI. Rilevante per enti che migrano al PSN e per compliance ACN su infrastrutture critiche.</w:t>
            </w:r>
          </w:p>
        </w:tc>
      </w:tr>
    </w:tbl>
    <w:p>
      <w:pPr>
        <w:spacing w:after="120" w:before="240"/>
      </w:pPr>
      <w:r>
        <w:rPr>
          <w:rFonts w:ascii="Calibri" w:cs="Calibri" w:eastAsia="Calibri" w:hAnsi="Calibri"/>
          <w:i/>
          <w:iCs/>
          <w:color w:val="595959"/>
          <w:sz w:val="18"/>
          <w:szCs w:val="18"/>
        </w:rPr>
        <w:t xml:space="preserve">Prossimo briefing: 31 maggio 2026 · Generato automaticamente da Claude · Cowork</w:t>
      </w:r>
    </w:p>
    <w:p>
      <w:r>
        <w:br w:type="page"/>
      </w:r>
    </w:p>
    <w:p>
      <w:pPr>
        <w:pStyle w:val="Heading1"/>
      </w:pPr>
      <w:bookmarkStart w:name="bm_w21" w:id="2"/>
      <w:r>
        <w:rPr>
          <w:rFonts w:ascii="Calibri" w:cs="Calibri" w:eastAsia="Calibri" w:hAnsi="Calibri"/>
          <w:b/>
          <w:bCs/>
          <w:color w:val="1F4E79"/>
          <w:sz w:val="28"/>
          <w:szCs w:val="28"/>
        </w:rPr>
        <w:t xml:space="preserve">W21 · 21 maggio 2026</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Data</w:t>
            </w:r>
          </w:p>
          <w:p>
            <w:pPr>
              <w:spacing w:after="0" w:before="0"/>
            </w:pPr>
            <w:r>
              <w:rPr>
                <w:rFonts w:ascii="Calibri" w:cs="Calibri" w:eastAsia="Calibri" w:hAnsi="Calibri"/>
                <w:sz w:val="22"/>
                <w:szCs w:val="22"/>
              </w:rPr>
              <w:t xml:space="preserve">21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Settimana ISO</w:t>
            </w:r>
          </w:p>
          <w:p>
            <w:pPr>
              <w:spacing w:after="0" w:before="0"/>
            </w:pPr>
            <w:r>
              <w:rPr>
                <w:rFonts w:ascii="Calibri" w:cs="Calibri" w:eastAsia="Calibri" w:hAnsi="Calibri"/>
                <w:sz w:val="22"/>
                <w:szCs w:val="22"/>
              </w:rPr>
              <w:t xml:space="preserve">W21 /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Ambiti</w:t>
            </w:r>
          </w:p>
          <w:p>
            <w:pPr>
              <w:spacing w:after="0" w:before="0"/>
            </w:pPr>
            <w:r>
              <w:rPr>
                <w:rFonts w:ascii="Calibri" w:cs="Calibri" w:eastAsia="Calibri" w:hAnsi="Calibri"/>
                <w:sz w:val="22"/>
                <w:szCs w:val="22"/>
              </w:rPr>
              <w:t xml:space="preserve">5 su 5</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p>
            <w:pPr>
              <w:spacing w:after="0" w:before="0"/>
            </w:pPr>
            <w:r>
              <w:rPr>
                <w:rFonts w:ascii="Calibri" w:cs="Calibri" w:eastAsia="Calibri" w:hAnsi="Calibri"/>
                <w:sz w:val="22"/>
                <w:szCs w:val="22"/>
              </w:rPr>
              <w:t xml:space="preserve">Enterprise &amp; Mid-market</w:t>
            </w:r>
          </w:p>
        </w:tc>
      </w:tr>
    </w:tbl>
    <w:p>
      <w:pPr>
        <w:spacing w:after="60" w:before="240"/>
      </w:pPr>
    </w:p>
    <w:p>
      <w:pPr>
        <w:pStyle w:val="Heading2"/>
      </w:pPr>
      <w:r>
        <w:rPr>
          <w:rFonts w:ascii="Calibri" w:cs="Calibri" w:eastAsia="Calibri" w:hAnsi="Calibri"/>
          <w:b/>
          <w:bCs/>
          <w:color w:val="4472C4"/>
          <w:sz w:val="24"/>
          <w:szCs w:val="24"/>
        </w:rPr>
        <w:t xml:space="preserve">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 xml:space="preserve">Endpoint &amp; Identity · PAM · ITDR · Agentic Identity Security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spacing w:after="0" w:before="0"/>
            </w:pPr>
            <w:r>
              <w:rPr>
                <w:rFonts w:ascii="Calibri" w:cs="Calibri" w:eastAsia="Calibri" w:hAnsi="Calibri"/>
                <w:sz w:val="22"/>
                <w:szCs w:val="22"/>
              </w:rPr>
              <w:t xml:space="preserve">Piattaforma di identity security lanciata il 12 maggio 2026, nata dall'integrazione della tecnologia CyberArk (acquisita per 25 miliardi di dollari). Unifica PAM, protezione identità macchina e controllo delle identità agentiche (AI agent) in un'unica piattaforma cloud-native, con enforcement dei privilegi just-in-time.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Funzionali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Discover Identity Risk: discovery continua di identità, entitlement e percorsi di accesso con remediation AI-guidata</w:t>
            </w:r>
          </w:p>
          <w:p>
            <w:pPr>
              <w:pStyle w:val="ListParagraph"/>
              <w:numPr>
                <w:ilvl w:val="0"/>
                <w:numId w:val="2"/>
              </w:numPr>
              <w:spacing w:after="30" w:before="30"/>
            </w:pPr>
            <w:r>
              <w:rPr>
                <w:rFonts w:ascii="Calibri" w:cs="Calibri" w:eastAsia="Calibri" w:hAnsi="Calibri"/>
                <w:sz w:val="22"/>
                <w:szCs w:val="22"/>
              </w:rPr>
              <w:t xml:space="preserve">Control Every Privilege: Zero Standing Privilege (ZSP) con accesso just-in-time per identità umane, macchine e AI agent</w:t>
            </w:r>
          </w:p>
          <w:p>
            <w:pPr>
              <w:pStyle w:val="ListParagraph"/>
              <w:numPr>
                <w:ilvl w:val="0"/>
                <w:numId w:val="2"/>
              </w:numPr>
              <w:spacing w:after="30" w:before="30"/>
            </w:pPr>
            <w:r>
              <w:rPr>
                <w:rFonts w:ascii="Calibri" w:cs="Calibri" w:eastAsia="Calibri" w:hAnsi="Calibri"/>
                <w:sz w:val="22"/>
                <w:szCs w:val="22"/>
              </w:rPr>
              <w:t xml:space="preserve">Automate Governance: automatizzazione dell'intero ciclo di vita delle identità con policy AI-driven</w:t>
            </w:r>
          </w:p>
          <w:p>
            <w:pPr>
              <w:pStyle w:val="ListParagraph"/>
              <w:numPr>
                <w:ilvl w:val="0"/>
                <w:numId w:val="2"/>
              </w:numPr>
              <w:spacing w:after="30" w:before="30"/>
            </w:pPr>
            <w:r>
              <w:rPr>
                <w:rFonts w:ascii="Calibri" w:cs="Calibri" w:eastAsia="Calibri" w:hAnsi="Calibri"/>
                <w:sz w:val="22"/>
                <w:szCs w:val="22"/>
              </w:rPr>
              <w:t xml:space="preserve">ITDR integrato con Cortex XDR per rilevamento e risposta alle minacce identitarie</w:t>
            </w:r>
          </w:p>
          <w:p>
            <w:pPr>
              <w:pStyle w:val="ListParagraph"/>
              <w:numPr>
                <w:ilvl w:val="0"/>
                <w:numId w:val="2"/>
              </w:numPr>
              <w:spacing w:after="30" w:before="30"/>
            </w:pPr>
            <w:r>
              <w:rPr>
                <w:rFonts w:ascii="Calibri" w:cs="Calibri" w:eastAsia="Calibri" w:hAnsi="Calibri"/>
                <w:sz w:val="22"/>
                <w:szCs w:val="22"/>
              </w:rPr>
              <w:t xml:space="preserve">Supporto nativo per identità agentiche (AI agent, service account, workload identity)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Infrastruttura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Deployment: SaaS cloud-native con opzione hybrid per ambienti on-prem critici</w:t>
            </w:r>
          </w:p>
          <w:p>
            <w:pPr>
              <w:pStyle w:val="ListParagraph"/>
              <w:numPr>
                <w:ilvl w:val="0"/>
                <w:numId w:val="2"/>
              </w:numPr>
              <w:spacing w:after="30" w:before="30"/>
            </w:pPr>
            <w:r>
              <w:rPr>
                <w:rFonts w:ascii="Calibri" w:cs="Calibri" w:eastAsia="Calibri" w:hAnsi="Calibri"/>
                <w:sz w:val="22"/>
                <w:szCs w:val="22"/>
              </w:rPr>
              <w:t xml:space="preserve">Architettura API-first, eredita l'infrastruttura vault di CyberArk con layer AI proprietario</w:t>
            </w:r>
          </w:p>
          <w:p>
            <w:pPr>
              <w:pStyle w:val="ListParagraph"/>
              <w:numPr>
                <w:ilvl w:val="0"/>
                <w:numId w:val="2"/>
              </w:numPr>
              <w:spacing w:after="30" w:before="30"/>
            </w:pPr>
            <w:r>
              <w:rPr>
                <w:rFonts w:ascii="Calibri" w:cs="Calibri" w:eastAsia="Calibri" w:hAnsi="Calibri"/>
                <w:sz w:val="22"/>
                <w:szCs w:val="22"/>
              </w:rPr>
              <w:t xml:space="preserve">Agent leggero per endpoint; agentless per discovery cloud e SaaS</w:t>
            </w:r>
          </w:p>
          <w:p>
            <w:pPr>
              <w:pStyle w:val="ListParagraph"/>
              <w:numPr>
                <w:ilvl w:val="0"/>
                <w:numId w:val="2"/>
              </w:numPr>
              <w:spacing w:after="30" w:before="30"/>
            </w:pPr>
            <w:r>
              <w:rPr>
                <w:rFonts w:ascii="Calibri" w:cs="Calibri" w:eastAsia="Calibri" w:hAnsi="Calibri"/>
                <w:sz w:val="22"/>
                <w:szCs w:val="22"/>
              </w:rPr>
              <w:t xml:space="preserve">Integrazioni native: Cortex XDR, XSIAM, Palo Alto NGFW, Prisma SASE; connettori per AWS, Azure, GCP, Okta, Entra ID, SAP</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Target</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Dimensione: Enterprise (500+ dipendenti), ideale con infrastruttura ibrida e ambienti AI/agentic</w:t>
            </w:r>
          </w:p>
          <w:p>
            <w:pPr>
              <w:pStyle w:val="ListParagraph"/>
              <w:numPr>
                <w:ilvl w:val="0"/>
                <w:numId w:val="2"/>
              </w:numPr>
              <w:spacing w:after="30" w:before="30"/>
            </w:pPr>
            <w:r>
              <w:rPr>
                <w:rFonts w:ascii="Calibri" w:cs="Calibri" w:eastAsia="Calibri" w:hAnsi="Calibri"/>
                <w:sz w:val="22"/>
                <w:szCs w:val="22"/>
              </w:rPr>
              <w:t xml:space="preserve">Settori consigliati: Finanza, PA, Manifatturiero avanzato, Healthcare</w:t>
            </w:r>
          </w:p>
          <w:p>
            <w:pPr>
              <w:pStyle w:val="ListParagraph"/>
              <w:numPr>
                <w:ilvl w:val="0"/>
                <w:numId w:val="2"/>
              </w:numPr>
              <w:spacing w:after="30" w:before="30"/>
            </w:pPr>
            <w:r>
              <w:rPr>
                <w:rFonts w:ascii="Calibri" w:cs="Calibri" w:eastAsia="Calibri" w:hAnsi="Calibri"/>
                <w:sz w:val="22"/>
                <w:szCs w:val="22"/>
              </w:rPr>
              <w:t xml:space="preserve">ROI massimo per chi è già cliente Cortex o CyberArk</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Perché ora</w:t>
            </w:r>
          </w:p>
        </w:tc>
        <w:tc>
          <w:tcPr>
            <w:tcW w:type="dxa" w:w="7026"/>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tcPr>
          <w:p>
            <w:pPr>
              <w:spacing w:after="0" w:before="0"/>
            </w:pPr>
            <w:r>
              <w:rPr>
                <w:rFonts w:ascii="Calibri" w:cs="Calibri" w:eastAsia="Calibri" w:hAnsi="Calibri"/>
                <w:sz w:val="22"/>
                <w:szCs w:val="22"/>
              </w:rPr>
              <w:t xml:space="preserve">Il perimetro dell'identità si è esteso ben oltre gli utenti umani: AI agent e workload identity rappresentano oggi la superficie d'attacco più sottovalutata. Idira è la prima piattaforma commerciale a trattarle con lo stesso rigore del PAM tradizionale, anticipando i requisiti NIS2 e DORA. La convergenza PAM+ITDR in un'unica console riduce drasticamente il tempo di risposta agli attacchi identity-based, che rappresentano oltre il 70% degli initial access nei breach enterprise.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Approfondimenti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hyperlink w:history="1" r:id="rId4oclznvsw_hniursvxaxf">
              <w:r>
                <w:rPr>
                  <w:rStyle w:val="Hyperlink"/>
                  <w:rFonts w:ascii="Calibri" w:cs="Calibri" w:eastAsia="Calibri" w:hAnsi="Calibri"/>
                  <w:sz w:val="22"/>
                  <w:szCs w:val="22"/>
                </w:rPr>
                <w:t xml:space="preserve">Pagina ufficiale Idira — Palo Alto Networks</w:t>
              </w:r>
            </w:hyperlink>
          </w:p>
          <w:p>
            <w:pPr>
              <w:pStyle w:val="ListParagraph"/>
              <w:numPr>
                <w:ilvl w:val="0"/>
                <w:numId w:val="2"/>
              </w:numPr>
              <w:spacing w:after="30" w:before="30"/>
            </w:pPr>
            <w:hyperlink w:history="1" r:id="rIdhfxcdrg1jx_8syo8xcsa2">
              <w:r>
                <w:rPr>
                  <w:rStyle w:val="Hyperlink"/>
                  <w:rFonts w:ascii="Calibri" w:cs="Calibri" w:eastAsia="Calibri" w:hAnsi="Calibri"/>
                  <w:sz w:val="22"/>
                  <w:szCs w:val="22"/>
                </w:rPr>
                <w:t xml:space="preserve">Press release lancio Idira (12 maggio 2026)</w:t>
              </w:r>
            </w:hyperlink>
          </w:p>
          <w:p>
            <w:pPr>
              <w:pStyle w:val="ListParagraph"/>
              <w:numPr>
                <w:ilvl w:val="0"/>
                <w:numId w:val="2"/>
              </w:numPr>
              <w:spacing w:after="30" w:before="30"/>
            </w:pPr>
            <w:hyperlink w:history="1" r:id="rIdjkxhlfgv1d2evnn9rnthc">
              <w:r>
                <w:rPr>
                  <w:rStyle w:val="Hyperlink"/>
                  <w:rFonts w:ascii="Calibri" w:cs="Calibri" w:eastAsia="Calibri" w:hAnsi="Calibri"/>
                  <w:sz w:val="22"/>
                  <w:szCs w:val="22"/>
                </w:rPr>
                <w:t xml:space="preserve">Analisi SiliconANGLE: Idira e le identità agentiche</w:t>
              </w:r>
            </w:hyperlink>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Headless Cloud Security</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Cloud &amp; Infrastructure Security · CNAPP · CWPP · AI-Native Security</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annuncia in maggio 2026 la prima piattaforma cloud security headless, progettata per l’era degli agenti AI. Consente di usare agenti AI come operatori primari della difesa con Sysdig Sage come motore centrale. La security diventa machine-speed e data-driven, non piu’ human-driven.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Sage AI Analyst: agente AI agentico con multi-step reasoning su minacce cloud in tempo reale. Runtime-first prioritization tramite eBPF: riduzione del 95% del noise sulle vulnerabilita’. Verified Exploit Paths: connette misconfigurazioni, identita’ cloud, vulnerabilita’ e comportamenti runtime. AI Pipeline Security: protegge modelli LLM e pipeline AI da injection e data exfiltration. Headless API per integrazione con agenti AI custom.</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SaaS multi-tenant con eBPF agent per runtime on-premise. Architettura: sensor eBPF per runtime, motore agentless per posture via cloud API. Integrazioni: Kubernetes, EKS, AKS, GKE, AWS, Azure, GCP, GitHub Actions, ServiceNow, Slack, PagerDuty. Forrester Wave Leader Q1 2026 per CNAPP.</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Mid-market e Enterprise cloud-native (da 200 dipendenti con Kubernetes o multi-cloud). Settori: Fintech, SaaS, e-commerce, healthcare digitale, media. Prerequisiti: ambienti containerizzati; maturita’ DevSecOps per le funzionalita’ headless.</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Il report Sysdig 2026 dichiara che la security guidata dagli umani sta finendo: velocita’ di attacco cloud di 5-10 minuti dall’accesso iniziale all’exfiltration rendono la risposta manuale impossibile. Il paradigma headless — security governata da agenti AI — e’ la risposta a questa realta’. Risultati gia’ documentati: riduzione MTTR del 76%, risparmio di 80+ ore/settimana di triage manuale.</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https://www.sysdig.com/press-releases/sysdig-headless-cloud-security · https://www.sysdig.com/press-releases/2026-usage-report</w:t>
            </w:r>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Dragos — Platform 3.1 AI per OT</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OT/IoT &amp; Infrastrutture Critiche · ICS Security · Critical Infrastructure Protection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Dragos ha rilasciato Platform 3.1 (LTS) che introduce AI nel cuore della piattaforma OT/ICS. Il rilascio arriva con il report 2026 che registra 119 gruppi ransomware attivi contro infrastrutture industriali (+49% rispetto al 2024) e con CIRCIA a pieno regime da maggio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AI-Powered Analyst Workflows: triage automatizzato degli alert OT che distingue anomalie operative da minacce reali. Asset Lifecycle Management: traccia ogni dispositivo industriale inclusi quelli end-of-support (CISA BOD 26-02). Control Loop Mapping: rileva avversari che mappano loop di controllo fisici. Threat Intelligence OT-specifica per Purdue levels e protocolli Modbus, DNP3, EtherNet/IP. Compliance CIRCIA 72h reporting e IEC 62443.</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on-premise (air-gapped) o ibrido con cloud management plane opzionale. Architettura: passive network monitoring senza agent su PLC/RTU, sensori per reti IT/OT convergenti. Integrazioni: Splunk, Microsoft Sentinel, IBM QRadar, ServiceNow, firewall Fortinet e Cisco. Supporta ambienti completamente isolati da Internet.</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Enterprise con infrastrutture OT/ICS (da 500 dipendenti con reti industriali). Settori: Energia (oil &amp; gas, utilities), manifatturiero, trasporti, sanita’ con dispositivi medici connessi. Rilevante per il mercato italiano: ENI, Enel, Snam, Leonardo, grandi ospedali con SCADA. Leader nel Gartner MQ per CPS Protection Platforms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Maggio 2026: CIRCIA entra a pieno regime con finestra 72h per reporting (benchmark per NIS2 europea e ACN italiana). Il report Dragos 2026 e’ allarmante: gli avversari non si limitano piu’ a pre-posizionarsi nelle reti OT ma mappano attivamente i control loop fisici — salto qualitativo che prelude ad attacchi con danni fisici reali. Manufacturing: 28% di tutti gli attacchi cyber nel 2025.</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https://www.dragos.com/blog/dragos-platform-ai-ot-security-visibility · https://www.dragos.com/ot-cybersecurity-year-in-review</w:t>
            </w:r>
          </w:p>
        </w:tc>
      </w:tr>
    </w:tbl>
    <w:p>
      <w:pPr>
        <w:spacing w:after="60" w:before="360"/>
      </w:pPr>
    </w:p>
    <w:p>
      <w:pPr>
        <w:pStyle w:val="Heading2"/>
      </w:pPr>
      <w:r>
        <w:rPr>
          <w:rFonts w:ascii="Calibri" w:cs="Calibri" w:eastAsia="Calibri" w:hAnsi="Calibri"/>
          <w:b/>
          <w:bCs/>
          <w:color w:val="4472C4"/>
          <w:sz w:val="24"/>
          <w:szCs w:val="24"/>
        </w:rPr>
        <w:t xml:space="preserve">Segnali dal mercato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Ambito</w:t>
            </w:r>
          </w:p>
        </w:tc>
        <w:tc>
          <w:tcPr>
            <w:tcW w:type="dxa" w:w="6226"/>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Segnale della settimana</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Endpoint &amp; Identity</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Le identita' agentiche sono il nuovo campo di battaglia: con Idira, Palo Alto formalizza una categoria che nei prossimi 12 mesi vedra' tutti i vendor posizionarsi. La convergenza PAM+ITDR diventa requisito emergente nelle gare enterprise.</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Cloud Security</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Forrester Wave CNAPP Q1 2026 ha certificato la fine della frammentazione. Chi ha ancora tool separati per CSPM, CWPP e CIEM ha 12-18 mesi per consolidare prima che NIS2 renda obbligatoria la tracciabilita' della postura cloud.</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AI &amp; Threat Intelligence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L'inaugurazione del Gartner MQ CTI e' un evento di mercato strutturale. Nei prossimi 12 mesi assisteremo ad acquisizioni di vendor CTI niche da parte di player di piattaforma.</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OT/IoT</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report Dragos 2026 segnala che il 96% degli incidenti OT origina da compromissioni IT-side: non esiste piu' separazione sicura tra IT e OT. Opportunita' per chi investe in network segmentation OT-aware.</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Network &amp; Microsegmentazione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Convergenza ZTNA+SASE come modello di riferimento. Illumio e Akamai Guardicore restano le soluzioni piu' citate per microsegmentazione workload-level. Da monitorare Universal ZTNA come layer unificante.</w:t>
            </w:r>
          </w:p>
        </w:tc>
      </w:tr>
    </w:tbl>
    <w:p>
      <w:pPr>
        <w:spacing w:after="60" w:before="360"/>
      </w:pPr>
    </w:p>
    <w:p>
      <w:pPr>
        <w:pBdr>
          <w:bottom w:val="single" w:color="1F4E79" w:sz="4" w:space="1"/>
        </w:pBdr>
        <w:spacing w:after="120" w:before="120"/>
      </w:pPr>
      <w:r>
        <w:t xml:space="preserve"/>
      </w:r>
    </w:p>
    <w:p>
      <w:pPr>
        <w:spacing w:after="60" w:before="100"/>
        <w:jc w:val="center"/>
      </w:pPr>
      <w:r>
        <w:rPr>
          <w:rFonts w:ascii="Calibri" w:cs="Calibri" w:eastAsia="Calibri" w:hAnsi="Calibri"/>
          <w:i/>
          <w:iCs/>
          <w:color w:val="595959"/>
          <w:sz w:val="18"/>
          <w:szCs w:val="18"/>
        </w:rPr>
        <w:t xml:space="preserve">Prossimo briefing: 28 maggio 2026  ·  Generato automaticamente da Claude  ·  Cowork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spacing w:before="0"/>
      <w:jc w:val="center"/>
    </w:pPr>
    <w:r>
      <w:rPr>
        <w:rFonts w:ascii="Calibri" w:cs="Calibri" w:eastAsia="Calibri" w:hAnsi="Calibri"/>
        <w:color w:val="595959"/>
        <w:sz w:val="16"/>
        <w:szCs w:val="16"/>
      </w:rPr>
      <w:t xml:space="preserve">Generato automaticamente da Claude · Cowork  |  Pagina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spacing w:after="0"/>
    </w:pPr>
    <w:r>
      <w:rPr>
        <w:rFonts w:ascii="Calibri" w:cs="Calibri" w:eastAsia="Calibri" w:hAnsi="Calibri"/>
        <w:color w:val="595959"/>
        <w:sz w:val="18"/>
        <w:szCs w:val="18"/>
      </w:rPr>
      <w:t xml:space="preserve">Diario Cybersecurity · Marco Taglienti</w:t>
    </w:r>
    <w:r>
      <w:rPr>
        <w:rFonts w:ascii="Calibri" w:cs="Calibri" w:eastAsia="Calibri" w:hAnsi="Calibri"/>
        <w:color w:val="595959"/>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80" w:before="240"/>
      <w:outlineLvl w:val="1"/>
    </w:pPr>
    <w:rPr>
      <w:rFonts w:ascii="Calibri" w:cs="Calibri" w:eastAsia="Calibri" w:hAnsi="Calibri"/>
      <w:b/>
      <w:bCs/>
      <w:color w:val="4472C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oclznvsw_hniursvxaxf" Type="http://schemas.openxmlformats.org/officeDocument/2006/relationships/hyperlink" Target="https://www.paloaltonetworks.com/idira" TargetMode="External"/><Relationship Id="rIdhfxcdrg1jx_8syo8xcsa2" Type="http://schemas.openxmlformats.org/officeDocument/2006/relationships/hyperlink" Target="https://www.paloaltonetworks.com/company/press/2026/palo-alto-networks-introduces-idira--the-next-generation-identity-security-platform-built-for-the-ai-enterprise" TargetMode="External"/><Relationship Id="rIdjkxhlfgv1d2evnn9rnthc" Type="http://schemas.openxmlformats.org/officeDocument/2006/relationships/hyperlink" Target="https://siliconangle.com/2026/05/12/idira-launches-palo-alto-networks-extends-cyberark-tech-machine-agentic-identities" TargetMode="External"/><Relationship Id="rIdj0hxdgjxauv6in7rql60b" Type="http://schemas.openxmlformats.org/officeDocument/2006/relationships/hyperlink" Target="https://www.crowdstrike.com/en-us/products/threat-intelligence/" TargetMode="External"/><Relationship Id="rId-qf62qpzpvd5yb3nmh7sg" Type="http://schemas.openxmlformats.org/officeDocument/2006/relationships/hyperlink" Target="https://www.crowdstrike.com/en-us/press-releases/crowdstrike-named-a-leader-2026-gartner-magic-quadrant-for-cyberthreat-intelligence-technologies/" TargetMode="External"/><Relationship Id="rIdsy5qymgrpn2ieqrla76pd" Type="http://schemas.openxmlformats.org/officeDocument/2006/relationships/hyperlink" Target="https://techcoffeehouse.com/2026/05/06/crowdstrike-leads-inaugural-gartner-cyberthreat-intelligence-magic-quadrant/" TargetMode="External"/><Relationship Id="rIdq72n_ifa2ilnhcei47jsl" Type="http://schemas.openxmlformats.org/officeDocument/2006/relationships/hyperlink" Target="https://www.wiz.io/platform" TargetMode="External"/><Relationship Id="rIdotmpk5waggb6sbh0a0olq" Type="http://schemas.openxmlformats.org/officeDocument/2006/relationships/hyperlink" Target="https://www.wiz.io/blog/forrester-wave-cnapp-2026" TargetMode="External"/><Relationship Id="rIdka0tfnbuot47pziil0ieg" Type="http://schemas.openxmlformats.org/officeDocument/2006/relationships/hyperlink" Target="https://tamnoon.io/blog/cnapps-you-need-to-know-in-2026/"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2026-05-21T09:57:17.955Z</dcterms:created>
  <dcterms:modified xsi:type="dcterms:W3CDTF">2026-05-21T09:57:17.956Z</dcterms:modified>
</cp:coreProperties>
</file>

<file path=docProps/custom.xml><?xml version="1.0" encoding="utf-8"?>
<Properties xmlns="http://schemas.openxmlformats.org/officeDocument/2006/custom-properties" xmlns:vt="http://schemas.openxmlformats.org/officeDocument/2006/docPropsVTypes"/>
</file>