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40"/>
      </w:pPr>
    </w:p>
    <w:p>
      <w:pPr>
        <w:spacing w:after="120" w:before="0"/>
        <w:jc w:val="center"/>
      </w:pPr>
      <w:r>
        <w:rPr>
          <w:rFonts w:ascii="Calibri" w:cs="Calibri" w:eastAsia="Calibri" w:hAnsi="Calibri"/>
          <w:b/>
          <w:bCs/>
          <w:color w:val="1F4E79"/>
          <w:spacing w:val="40"/>
          <w:sz w:val="52"/>
          <w:szCs w:val="52"/>
        </w:rPr>
        <w:t xml:space="preserve">DIARIO CYBERSECURITY</w:t>
      </w:r>
    </w:p>
    <w:p>
      <w:pPr>
        <w:spacing w:after="60" w:before="0"/>
        <w:jc w:val="center"/>
      </w:pPr>
      <w:r>
        <w:rPr>
          <w:rFonts w:ascii="Calibri" w:cs="Calibri" w:eastAsia="Calibri" w:hAnsi="Calibri"/>
          <w:i/>
          <w:iCs/>
          <w:color w:val="4472C4"/>
          <w:sz w:val="26"/>
          <w:szCs w:val="26"/>
        </w:rPr>
        <w:t xml:space="preserve">Briefing settimanale · Enterprise &amp; Mid-market</w:t>
      </w:r>
    </w:p>
    <w:p>
      <w:pPr>
        <w:pBdr>
          <w:bottom w:val="single" w:color="1F4E79" w:sz="12" w:space="1"/>
        </w:pBdr>
        <w:spacing w:after="120" w:before="120"/>
      </w:pPr>
      <w:r>
        <w:t xml:space="preserve"/>
      </w:r>
    </w:p>
    <w:p>
      <w:pPr>
        <w:spacing w:after="60" w:before="60"/>
        <w:jc w:val="center"/>
      </w:pPr>
      <w:r>
        <w:rPr>
          <w:rFonts w:ascii="Calibri" w:cs="Calibri" w:eastAsia="Calibri" w:hAnsi="Calibri"/>
          <w:color w:val="595959"/>
          <w:sz w:val="22"/>
          <w:szCs w:val="22"/>
        </w:rPr>
        <w:t xml:space="preserve">Marco Taglienti  ·  2026</w:t>
      </w:r>
    </w:p>
    <w:p>
      <w:pPr>
        <w:spacing w:after="0" w:before="720"/>
      </w:pPr>
    </w:p>
    <w:p>
      <w:pPr>
        <w:pStyle w:val="Heading1"/>
      </w:pPr>
      <w:bookmarkStart w:name="bm_indice" w:id="1"/>
      <w:r>
        <w:rPr>
          <w:rFonts w:ascii="Calibri" w:cs="Calibri" w:eastAsia="Calibri" w:hAnsi="Calibri"/>
          <w:b/>
          <w:bCs/>
          <w:color w:val="1F4E79"/>
          <w:sz w:val="28"/>
          <w:szCs w:val="28"/>
        </w:rPr>
        <w:t xml:space="preserve">Indice dei briefing</w:t>
      </w:r>
      <w:bookmarkEnd w:id="1"/>
    </w:p>
    <w:p>
      <w:pPr>
        <w:spacing w:after="60" w:before="60"/>
      </w:pPr>
      <w:r>
        <w:rPr>
          <w:rFonts w:ascii="Calibri" w:cs="Calibri" w:eastAsia="Calibri" w:hAnsi="Calibri"/>
          <w:i/>
          <w:iCs/>
          <w:color w:val="595959"/>
          <w:sz w:val="22"/>
          <w:szCs w:val="22"/>
        </w:rPr>
        <w:t xml:space="preserve">Il documento si aggiorna ogni settimana con una nuova sezione in cima. Usa il pannello di navigazione di Word (Visualizza → Riquadro di spostamento) per saltare direttamente a un briefing specifico.</w:t>
      </w:r>
    </w:p>
    <w:p>
      <w:pPr>
        <w:spacing w:after="60" w:before="120"/>
      </w:pPr>
      <w:hyperlink w:history="1" w:anchor="bm_w22">
        <w:r>
          <w:rPr>
            <w:rStyle w:val="Hyperlink"/>
            <w:rFonts w:ascii="Calibri" w:cs="Calibri" w:eastAsia="Calibri" w:hAnsi="Calibri"/>
            <w:sz w:val="22"/>
            <w:szCs w:val="22"/>
          </w:rPr>
          <w:t xml:space="preserve">W22 · 31 maggio 2026 — Databricks Lakewatch · ManageEngine Log360 SOAR · Forescout OT/IoT</w:t>
        </w:r>
      </w:hyperlink>
    </w:p>
    <w:p>
      <w:pPr>
        <w:spacing w:after="60" w:before="120"/>
      </w:pPr>
      <w:hyperlink w:history="1" w:anchor="bm_w21_24mag">
        <w:r>
          <w:rPr>
            <w:rStyle w:val="Hyperlink"/>
            <w:rFonts w:ascii="Calibri" w:cs="Calibri" w:eastAsia="Calibri" w:hAnsi="Calibri"/>
            <w:sz w:val="22"/>
            <w:szCs w:val="22"/>
          </w:rPr>
          <w:t xml:space="preserve">W21 · 24 maggio 2026 — Idira (PANW) · Sysdig Sage CNAPP · Akamai Guardicore Platform</w:t>
        </w:r>
      </w:hyperlink>
    </w:p>
    <w:p>
      <w:pPr>
        <w:spacing w:after="60" w:before="120"/>
      </w:pPr>
      <w:hyperlink w:history="1" w:anchor="bm_w21">
        <w:r>
          <w:rPr>
            <w:rStyle w:val="Hyperlink"/>
            <w:rFonts w:ascii="Calibri" w:cs="Calibri" w:eastAsia="Calibri" w:hAnsi="Calibri"/>
            <w:sz w:val="22"/>
            <w:szCs w:val="22"/>
          </w:rPr>
          <w:t xml:space="preserve">W21 · 21 maggio 2026 — Idira (PANW) · Sysdig Headless Cloud Security · Dragos Platform 3.1</w:t>
        </w:r>
      </w:hyperlink>
    </w:p>
    <w:p>
      <w:r>
        <w:br w:type="page"/>
      </w:r>
    </w:p>
    <w:p>
      <w:pPr>
        <w:pStyle w:val="Heading1"/>
      </w:pPr>
      <w:bookmarkStart w:name="bm_w22" w:id="200"/>
      <w:r>
        <w:rPr>
          <w:rFonts w:ascii="Calibri" w:cs="Calibri" w:eastAsia="Calibri" w:hAnsi="Calibri"/>
          <w:b/>
          <w:bCs/>
          <w:color w:val="1F4E79"/>
          <w:sz w:val="28"/>
          <w:szCs w:val="28"/>
        </w:rPr>
        <w:t xml:space="preserve">W22 · 31 maggio 2026</w:t>
      </w:r>
      <w:bookmarkEnd w:id="20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2"/>
        <w:gridCol w:w="2252"/>
        <w:gridCol w:w="2251"/>
        <w:gridCol w:w="2271"/>
      </w:tblGrid>
      <w:tr>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color w:val="1F4E79"/>
                <w:sz w:val="20"/>
              </w:rPr>
              <w:t>Data</w:t>
            </w:r>
          </w:p>
          <w:p>
            <w:r>
              <w:rPr>
                <w:rFonts w:ascii="Calibri" w:cs="Calibri" w:eastAsia="Calibri" w:hAnsi="Calibri"/>
                <w:sz w:val="20"/>
              </w:rPr>
              <w:t>31 maggio 2026</w:t>
            </w:r>
          </w:p>
        </w:tc>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color w:val="1F4E79"/>
                <w:sz w:val="20"/>
              </w:rPr>
              <w:t>Settimana</w:t>
            </w:r>
          </w:p>
          <w:p>
            <w:r>
              <w:rPr>
                <w:rFonts w:ascii="Calibri" w:cs="Calibri" w:eastAsia="Calibri" w:hAnsi="Calibri"/>
                <w:sz w:val="20"/>
              </w:rPr>
              <w:t>W22 2026</w:t>
            </w:r>
          </w:p>
        </w:tc>
        <w:tc>
          <w:tcPr>
            <w:tcW w:type="dxa" w:w="2251"/>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color w:val="1F4E79"/>
                <w:sz w:val="20"/>
              </w:rPr>
              <w:t>Ambiti</w:t>
            </w:r>
          </w:p>
          <w:p>
            <w:r>
              <w:rPr>
                <w:rFonts w:ascii="Calibri" w:cs="Calibri" w:eastAsia="Calibri" w:hAnsi="Calibri"/>
                <w:sz w:val="20"/>
              </w:rPr>
              <w:t>AI/SIEM · OT/IoT · Network</w:t>
            </w:r>
          </w:p>
        </w:tc>
        <w:tc>
          <w:tcPr>
            <w:tcW w:type="dxa" w:w="2271"/>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color w:val="1F4E79"/>
                <w:sz w:val="20"/>
              </w:rPr>
              <w:t>Target</w:t>
            </w:r>
          </w:p>
          <w:p>
            <w:r>
              <w:rPr>
                <w:rFonts w:ascii="Calibri" w:cs="Calibri" w:eastAsia="Calibri" w:hAnsi="Calibri"/>
                <w:sz w:val="20"/>
              </w:rPr>
              <w:t>Enterprise · Mid-market · PA Centrale</w:t>
            </w:r>
          </w:p>
        </w:tc>
      </w:tr>
    </w:tbl>
    <w:p>
      <w:pPr>
        <w:spacing w:after="120" w:before="240"/>
      </w:pPr>
    </w:p>
    <w:p>
      <w:pPr>
        <w:pStyle w:val="Heading2"/>
      </w:pPr>
      <w:r>
        <w:rPr>
          <w:rFonts w:ascii="Calibri" w:cs="Calibri" w:eastAsia="Calibri" w:hAnsi="Calibri"/>
          <w:b/>
          <w:color w:val="1F4E79"/>
          <w:sz w:val="24"/>
        </w:rPr>
        <w:t>1. Databricks Lakewatch — SIEM Open Agentico</w:t>
      </w:r>
    </w:p>
    <w:tbl>
      <w:tblPr>
        <w:tblW w:type="dxa" w:w="9026"/>
        <w:tblBorders>
          <w:top w:val="single" w:color="C9C9C9" w:sz="1"/>
          <w:left w:val="single" w:color="C9C9C9" w:sz="1"/>
          <w:bottom w:val="single" w:color="C9C9C9" w:sz="1"/>
          <w:right w:val="single" w:color="C9C9C9" w:sz="1"/>
          <w:insideH w:val="single" w:color="C9C9C9" w:sz="1"/>
          <w:insideV w:val="single" w:color="C9C9C9" w:sz="1"/>
        </w:tblBorders>
      </w:tblPr>
      <w:tblGrid>
        <w:gridCol w:w="2000"/>
        <w:gridCol w:w="7026"/>
      </w:tblGrid>
      <w:tr>
        <w:tc>
          <w:tcPr>
            <w:tcW w:type="dxa" w:w="2000"/>
            <w:shd w:fill="1F4E79" w:val="clear"/>
            <w:tcMar>
              <w:top w:type="dxa" w:w="80"/>
              <w:left w:type="dxa" w:w="120"/>
              <w:bottom w:type="dxa" w:w="80"/>
              <w:right w:type="dxa" w:w="120"/>
            </w:tcMar>
          </w:tcPr>
          <w:p>
            <w:r>
              <w:rPr>
                <w:rFonts w:ascii="Calibri" w:cs="Calibri" w:hAnsi="Calibri"/>
                <w:b/>
                <w:color w:val="FFFFFF"/>
                <w:sz w:val="20"/>
              </w:rPr>
              <w:t>Vendor</w:t>
            </w:r>
          </w:p>
        </w:tc>
        <w:tc>
          <w:tcPr>
            <w:tcW w:type="dxa" w:w="7026"/>
            <w:shd w:fill="DEEAF1" w:val="clear"/>
            <w:tcMar>
              <w:top w:type="dxa" w:w="80"/>
              <w:left w:type="dxa" w:w="120"/>
              <w:bottom w:type="dxa" w:w="80"/>
              <w:right w:type="dxa" w:w="120"/>
            </w:tcMar>
          </w:tcPr>
          <w:p>
            <w:r>
              <w:rPr>
                <w:rFonts w:ascii="Calibri" w:cs="Calibri" w:hAnsi="Calibri"/>
                <w:sz w:val="20"/>
              </w:rPr>
              <w:t>Databricks (USA) · Annuncio: 24 marzo 2026, Private Preview</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Ambito</w:t>
            </w:r>
          </w:p>
        </w:tc>
        <w:tc>
          <w:tcPr>
            <w:tcW w:type="dxa" w:w="7026"/>
            <w:shd w:fill="FFFFFF" w:val="clear"/>
            <w:tcMar>
              <w:top w:type="dxa" w:w="80"/>
              <w:left w:type="dxa" w:w="120"/>
              <w:bottom w:type="dxa" w:w="80"/>
              <w:right w:type="dxa" w:w="120"/>
            </w:tcMar>
          </w:tcPr>
          <w:p>
            <w:r>
              <w:rPr>
                <w:rFonts w:ascii="Calibri" w:cs="Calibri" w:hAnsi="Calibri"/>
                <w:sz w:val="20"/>
              </w:rPr>
              <w:t>AI &amp; Threat Intelligence / SIEM next-gen</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Cosa fa</w:t>
            </w:r>
          </w:p>
        </w:tc>
        <w:tc>
          <w:tcPr>
            <w:tcW w:type="dxa" w:w="7026"/>
            <w:shd w:fill="DEEAF1" w:val="clear"/>
            <w:tcMar>
              <w:top w:type="dxa" w:w="80"/>
              <w:left w:type="dxa" w:w="120"/>
              <w:bottom w:type="dxa" w:w="80"/>
              <w:right w:type="dxa" w:w="120"/>
            </w:tcMar>
          </w:tcPr>
          <w:p>
            <w:r>
              <w:rPr>
                <w:rFonts w:ascii="Calibri" w:cs="Calibri" w:hAnsi="Calibri"/>
                <w:sz w:val="20"/>
              </w:rPr>
              <w:t xml:space="preserve">SIEM di nuova generazione basato su lakehouse. Unifica dati sicurezza, IT e business per rilevamento minacce a scala petabyte con agenti AI personalizzabili. TCO dichiarato -80% vs SIEM legacy. Powered by Anthropic Claude per correlazione cross-domain.</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Infrastruttura</w:t>
            </w:r>
          </w:p>
        </w:tc>
        <w:tc>
          <w:tcPr>
            <w:tcW w:type="dxa" w:w="7026"/>
            <w:shd w:fill="FFFFFF" w:val="clear"/>
            <w:tcMar>
              <w:top w:type="dxa" w:w="80"/>
              <w:left w:type="dxa" w:w="120"/>
              <w:bottom w:type="dxa" w:w="80"/>
              <w:right w:type="dxa" w:w="120"/>
            </w:tcMar>
          </w:tcPr>
          <w:p>
            <w:r>
              <w:rPr>
                <w:rFonts w:ascii="Calibri" w:cs="Calibri" w:hAnsi="Calibri"/>
                <w:sz w:val="20"/>
              </w:rPr>
              <w:t xml:space="preserve">Cloud-native SaaS su Databricks Unity Catalog. Architettura Delta Lake + AI. Open OCSF, no vendor lock-in. Lakeflow Connect per ingestione automatizzata (AWS, Okta, Zscaler). Long-term retention su object storage.</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Target &amp; PA</w:t>
            </w:r>
          </w:p>
        </w:tc>
        <w:tc>
          <w:tcPr>
            <w:tcW w:type="dxa" w:w="7026"/>
            <w:shd w:fill="DEEAF1" w:val="clear"/>
            <w:tcMar>
              <w:top w:type="dxa" w:w="80"/>
              <w:left w:type="dxa" w:w="120"/>
              <w:bottom w:type="dxa" w:w="80"/>
              <w:right w:type="dxa" w:w="120"/>
            </w:tcMar>
          </w:tcPr>
          <w:p>
            <w:r>
              <w:rPr>
                <w:rFonts w:ascii="Calibri" w:cs="Calibri" w:hAnsi="Calibri"/>
                <w:sz w:val="20"/>
              </w:rPr>
              <w:t xml:space="preserve">Enterprise e large mid-market. PA Centrale con cloud ibrido: conformità NIS2/DORA nativa, audit trail immutabile. Richiede qualificazione ACN Cloud PA (da verificare). Non adatto a PA solo on-premise.</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Perché ora</w:t>
            </w:r>
          </w:p>
        </w:tc>
        <w:tc>
          <w:tcPr>
            <w:tcW w:type="dxa" w:w="7026"/>
            <w:shd w:fill="FFFFFF" w:val="clear"/>
            <w:tcMar>
              <w:top w:type="dxa" w:w="80"/>
              <w:left w:type="dxa" w:w="120"/>
              <w:bottom w:type="dxa" w:w="80"/>
              <w:right w:type="dxa" w:w="120"/>
            </w:tcMar>
          </w:tcPr>
          <w:p>
            <w:r>
              <w:rPr>
                <w:rFonts w:ascii="Calibri" w:cs="Calibri" w:hAnsi="Calibri"/>
                <w:sz w:val="20"/>
              </w:rPr>
              <w:t xml:space="preserve">Crisi di costi SIEM (Splunk post-Cisco). La scadenza NIS2 ACN del 31 maggio impone dimostrazione di capacità monitoring incidenti. Disruption diretta su Splunk, IBM QRadar e Microsoft Sentinel per volumi elevati.</w:t>
            </w:r>
          </w:p>
        </w:tc>
      </w:tr>
    </w:tbl>
    <w:p>
      <w:pPr>
        <w:spacing w:after="120" w:before="120"/>
      </w:pPr>
    </w:p>
    <w:p>
      <w:pPr>
        <w:pStyle w:val="Heading2"/>
      </w:pPr>
      <w:r>
        <w:rPr>
          <w:rFonts w:ascii="Calibri" w:cs="Calibri" w:eastAsia="Calibri" w:hAnsi="Calibri"/>
          <w:b/>
          <w:color w:val="1F4E79"/>
          <w:sz w:val="24"/>
        </w:rPr>
        <w:t>2. ManageEngine Log360 Cloud — SIEM con Native SOAR</w:t>
      </w:r>
    </w:p>
    <w:tbl>
      <w:tblPr>
        <w:tblW w:type="dxa" w:w="9026"/>
        <w:tblBorders>
          <w:top w:val="single" w:color="C9C9C9" w:sz="1"/>
          <w:left w:val="single" w:color="C9C9C9" w:sz="1"/>
          <w:bottom w:val="single" w:color="C9C9C9" w:sz="1"/>
          <w:right w:val="single" w:color="C9C9C9" w:sz="1"/>
          <w:insideH w:val="single" w:color="C9C9C9" w:sz="1"/>
          <w:insideV w:val="single" w:color="C9C9C9" w:sz="1"/>
        </w:tblBorders>
      </w:tblPr>
      <w:tblGrid>
        <w:gridCol w:w="2000"/>
        <w:gridCol w:w="7026"/>
      </w:tblGrid>
      <w:tr>
        <w:tc>
          <w:tcPr>
            <w:tcW w:type="dxa" w:w="2000"/>
            <w:shd w:fill="1F4E79" w:val="clear"/>
            <w:tcMar>
              <w:top w:type="dxa" w:w="80"/>
              <w:left w:type="dxa" w:w="120"/>
              <w:bottom w:type="dxa" w:w="80"/>
              <w:right w:type="dxa" w:w="120"/>
            </w:tcMar>
          </w:tcPr>
          <w:p>
            <w:r>
              <w:rPr>
                <w:rFonts w:ascii="Calibri" w:cs="Calibri" w:hAnsi="Calibri"/>
                <w:b/>
                <w:color w:val="FFFFFF"/>
                <w:sz w:val="20"/>
              </w:rPr>
              <w:t>Vendor</w:t>
            </w:r>
          </w:p>
        </w:tc>
        <w:tc>
          <w:tcPr>
            <w:tcW w:type="dxa" w:w="7026"/>
            <w:shd w:fill="DEEAF1" w:val="clear"/>
            <w:tcMar>
              <w:top w:type="dxa" w:w="80"/>
              <w:left w:type="dxa" w:w="120"/>
              <w:bottom w:type="dxa" w:w="80"/>
              <w:right w:type="dxa" w:w="120"/>
            </w:tcMar>
          </w:tcPr>
          <w:p>
            <w:r>
              <w:rPr>
                <w:rFonts w:ascii="Calibri" w:cs="Calibri" w:hAnsi="Calibri"/>
                <w:sz w:val="20"/>
              </w:rPr>
              <w:t>ManageEngine / Zoho Corporation (India) · Annuncio: 12 maggio 2026, GA immediata</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Ambito</w:t>
            </w:r>
          </w:p>
        </w:tc>
        <w:tc>
          <w:tcPr>
            <w:tcW w:type="dxa" w:w="7026"/>
            <w:shd w:fill="FFFFFF" w:val="clear"/>
            <w:tcMar>
              <w:top w:type="dxa" w:w="80"/>
              <w:left w:type="dxa" w:w="120"/>
              <w:bottom w:type="dxa" w:w="80"/>
              <w:right w:type="dxa" w:w="120"/>
            </w:tcMar>
          </w:tcPr>
          <w:p>
            <w:r>
              <w:rPr>
                <w:rFonts w:ascii="Calibri" w:cs="Calibri" w:hAnsi="Calibri"/>
                <w:sz w:val="20"/>
              </w:rPr>
              <w:t>AI &amp; Threat Intelligence / SIEM+SOAR</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Cosa fa</w:t>
            </w:r>
          </w:p>
        </w:tc>
        <w:tc>
          <w:tcPr>
            <w:tcW w:type="dxa" w:w="7026"/>
            <w:shd w:fill="DEEAF1" w:val="clear"/>
            <w:tcMar>
              <w:top w:type="dxa" w:w="80"/>
              <w:left w:type="dxa" w:w="120"/>
              <w:bottom w:type="dxa" w:w="80"/>
              <w:right w:type="dxa" w:w="120"/>
            </w:tcMar>
          </w:tcPr>
          <w:p>
            <w:r>
              <w:rPr>
                <w:rFonts w:ascii="Calibri" w:cs="Calibri" w:hAnsi="Calibri"/>
                <w:sz w:val="20"/>
              </w:rPr>
              <w:t xml:space="preserve">SOAR nativo integrato nel SIEM senza modulo separato. Visual playbook builder low-code, 7 nuove integrazioni EDR/identity/threat intel, orchestration engine Zoho Qntrl Circuit. Chiude il gap detection-to-response senza costi aggiuntivi.</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Target &amp; PA</w:t>
            </w:r>
          </w:p>
        </w:tc>
        <w:tc>
          <w:tcPr>
            <w:tcW w:type="dxa" w:w="7026"/>
            <w:shd w:fill="FFFFFF" w:val="clear"/>
            <w:tcMar>
              <w:top w:type="dxa" w:w="80"/>
              <w:left w:type="dxa" w:w="120"/>
              <w:bottom w:type="dxa" w:w="80"/>
              <w:right w:type="dxa" w:w="120"/>
            </w:tcMar>
          </w:tcPr>
          <w:p>
            <w:r>
              <w:rPr>
                <w:rFonts w:ascii="Calibri" w:cs="Calibri" w:hAnsi="Calibri"/>
                <w:sz w:val="20"/>
              </w:rPr>
              <w:t xml:space="preserve">Mid-market e PA di medie dimensioni. Versione on-premise matura per ministeri senza cloud pubblico. NIS2 art. 21 (gestione incidenti): playbook documentabili soddisfano requisiti ACN. Ottimo rapporto qualità/prezzo.</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Perché ora</w:t>
            </w:r>
          </w:p>
        </w:tc>
        <w:tc>
          <w:tcPr>
            <w:tcW w:type="dxa" w:w="7026"/>
            <w:shd w:fill="DEEAF1" w:val="clear"/>
            <w:tcMar>
              <w:top w:type="dxa" w:w="80"/>
              <w:left w:type="dxa" w:w="120"/>
              <w:bottom w:type="dxa" w:w="80"/>
              <w:right w:type="dxa" w:w="120"/>
            </w:tcMar>
          </w:tcPr>
          <w:p>
            <w:r>
              <w:rPr>
                <w:rFonts w:ascii="Calibri" w:cs="Calibri" w:hAnsi="Calibri"/>
                <w:sz w:val="20"/>
              </w:rPr>
              <w:t xml:space="preserve">Scadenza ottobre 2026 NIS2: misure di sicurezza di base operative e documentate obbligatorie. Il SOAR nativo abbatte la barriera economica per SOC italiani con budget limitato. Risposta diretta ai requisiti D.Lgs. 138/2024.</w:t>
            </w:r>
          </w:p>
        </w:tc>
      </w:tr>
    </w:tbl>
    <w:p>
      <w:pPr>
        <w:spacing w:after="120" w:before="120"/>
      </w:pPr>
    </w:p>
    <w:p>
      <w:pPr>
        <w:pStyle w:val="Heading2"/>
      </w:pPr>
      <w:r>
        <w:rPr>
          <w:rFonts w:ascii="Calibri" w:cs="Calibri" w:eastAsia="Calibri" w:hAnsi="Calibri"/>
          <w:b/>
          <w:color w:val="1F4E79"/>
          <w:sz w:val="24"/>
        </w:rPr>
        <w:t>3. Forescout eyeInspect — Visibilità OT/IoT Infrastrutture Critiche</w:t>
      </w:r>
    </w:p>
    <w:tbl>
      <w:tblPr>
        <w:tblW w:type="dxa" w:w="9026"/>
        <w:tblBorders>
          <w:top w:val="single" w:color="C9C9C9" w:sz="1"/>
          <w:left w:val="single" w:color="C9C9C9" w:sz="1"/>
          <w:bottom w:val="single" w:color="C9C9C9" w:sz="1"/>
          <w:right w:val="single" w:color="C9C9C9" w:sz="1"/>
          <w:insideH w:val="single" w:color="C9C9C9" w:sz="1"/>
          <w:insideV w:val="single" w:color="C9C9C9" w:sz="1"/>
        </w:tblBorders>
      </w:tblPr>
      <w:tblGrid>
        <w:gridCol w:w="2000"/>
        <w:gridCol w:w="7026"/>
      </w:tblGrid>
      <w:tr>
        <w:tc>
          <w:tcPr>
            <w:tcW w:type="dxa" w:w="2000"/>
            <w:shd w:fill="1F4E79" w:val="clear"/>
            <w:tcMar>
              <w:top w:type="dxa" w:w="80"/>
              <w:left w:type="dxa" w:w="120"/>
              <w:bottom w:type="dxa" w:w="80"/>
              <w:right w:type="dxa" w:w="120"/>
            </w:tcMar>
          </w:tcPr>
          <w:p>
            <w:r>
              <w:rPr>
                <w:rFonts w:ascii="Calibri" w:cs="Calibri" w:hAnsi="Calibri"/>
                <w:b/>
                <w:color w:val="FFFFFF"/>
                <w:sz w:val="20"/>
              </w:rPr>
              <w:t>Vendor</w:t>
            </w:r>
          </w:p>
        </w:tc>
        <w:tc>
          <w:tcPr>
            <w:tcW w:type="dxa" w:w="7026"/>
            <w:shd w:fill="DEEAF1" w:val="clear"/>
            <w:tcMar>
              <w:top w:type="dxa" w:w="80"/>
              <w:left w:type="dxa" w:w="120"/>
              <w:bottom w:type="dxa" w:w="80"/>
              <w:right w:type="dxa" w:w="120"/>
            </w:tcMar>
          </w:tcPr>
          <w:p>
            <w:r>
              <w:rPr>
                <w:rFonts w:ascii="Calibri" w:cs="Calibri" w:hAnsi="Calibri"/>
                <w:sz w:val="20"/>
              </w:rPr>
              <w:t>Forescout Technologies (USA) · Report: 23 marzo 2026 · FedRAMP High ATO 2026</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Ambito</w:t>
            </w:r>
          </w:p>
        </w:tc>
        <w:tc>
          <w:tcPr>
            <w:tcW w:type="dxa" w:w="7026"/>
            <w:shd w:fill="FFFFFF" w:val="clear"/>
            <w:tcMar>
              <w:top w:type="dxa" w:w="80"/>
              <w:left w:type="dxa" w:w="120"/>
              <w:bottom w:type="dxa" w:w="80"/>
              <w:right w:type="dxa" w:w="120"/>
            </w:tcMar>
          </w:tcPr>
          <w:p>
            <w:r>
              <w:rPr>
                <w:rFonts w:ascii="Calibri" w:cs="Calibri" w:hAnsi="Calibri"/>
                <w:sz w:val="20"/>
              </w:rPr>
              <w:t>OT/IoT &amp; Infrastrutture Critiche</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Cosa fa</w:t>
            </w:r>
          </w:p>
        </w:tc>
        <w:tc>
          <w:tcPr>
            <w:tcW w:type="dxa" w:w="7026"/>
            <w:shd w:fill="DEEAF1" w:val="clear"/>
            <w:tcMar>
              <w:top w:type="dxa" w:w="80"/>
              <w:left w:type="dxa" w:w="120"/>
              <w:bottom w:type="dxa" w:w="80"/>
              <w:right w:type="dxa" w:w="120"/>
            </w:tcMar>
          </w:tcPr>
          <w:p>
            <w:r>
              <w:rPr>
                <w:rFonts w:ascii="Calibri" w:cs="Calibri" w:hAnsi="Calibri"/>
                <w:sz w:val="20"/>
              </w:rPr>
              <w:t xml:space="preserve">Visibilità agentless su reti IT/OT/IoT convergenti. Report 2026: 11 nuovi tipi di device a rischio (PDU, I/O module, BACnet router, RFID reader). L’infrastruttura di rete ha superato gli endpoint come categoria più rischiosa.</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Infrastruttura</w:t>
            </w:r>
          </w:p>
        </w:tc>
        <w:tc>
          <w:tcPr>
            <w:tcW w:type="dxa" w:w="7026"/>
            <w:shd w:fill="FFFFFF" w:val="clear"/>
            <w:tcMar>
              <w:top w:type="dxa" w:w="80"/>
              <w:left w:type="dxa" w:w="120"/>
              <w:bottom w:type="dxa" w:w="80"/>
              <w:right w:type="dxa" w:w="120"/>
            </w:tcMar>
          </w:tcPr>
          <w:p>
            <w:r>
              <w:rPr>
                <w:rFonts w:ascii="Calibri" w:cs="Calibri" w:hAnsi="Calibri"/>
                <w:sz w:val="20"/>
              </w:rPr>
              <w:t xml:space="preserve">On-premise (appliance fisica/virtuale) per reti OT air-gap + cloud connector per visibilità centralizzata. Monitoring passivo senza agenti sui device OT. Integrazione SIEM, CMDB, firewall. FedRAMP High ATO.</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Target &amp; PA</w:t>
            </w:r>
          </w:p>
        </w:tc>
        <w:tc>
          <w:tcPr>
            <w:tcW w:type="dxa" w:w="7026"/>
            <w:shd w:fill="DEEAF1" w:val="clear"/>
            <w:tcMar>
              <w:top w:type="dxa" w:w="80"/>
              <w:left w:type="dxa" w:w="120"/>
              <w:bottom w:type="dxa" w:w="80"/>
              <w:right w:type="dxa" w:w="120"/>
            </w:tcMar>
          </w:tcPr>
          <w:p>
            <w:r>
              <w:rPr>
                <w:rFonts w:ascii="Calibri" w:cs="Calibri" w:hAnsi="Calibri"/>
                <w:sz w:val="20"/>
              </w:rPr>
              <w:t xml:space="preserve">PA Centrale con edifici BMS/BACnet (ministeri, sedi istituzionali), utilities, sanità, difesa. I BACnet router degli edifici governativi italiani sono nella top-5 OT più rischiosi e quasi universalmente non monitorati.</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Perché ora</w:t>
            </w:r>
          </w:p>
        </w:tc>
        <w:tc>
          <w:tcPr>
            <w:tcW w:type="dxa" w:w="7026"/>
            <w:shd w:fill="FFFFFF" w:val="clear"/>
            <w:tcMar>
              <w:top w:type="dxa" w:w="80"/>
              <w:left w:type="dxa" w:w="120"/>
              <w:bottom w:type="dxa" w:w="80"/>
              <w:right w:type="dxa" w:w="120"/>
            </w:tcMar>
          </w:tcPr>
          <w:p>
            <w:r>
              <w:rPr>
                <w:rFonts w:ascii="Calibri" w:cs="Calibri" w:hAnsi="Calibri"/>
                <w:sz w:val="20"/>
              </w:rPr>
              <w:t xml:space="preserve">NIS2 Allegato I: energia e infrastrutture digitali tra settori critici. PSNC identifica convergenza IT/OT come priorità. ACN richiede asset inventory OT. Un attacco BACnet può compromettere fisicamente edifici governativi (HVAC, badge, antincendio) senza toccare le reti IT.</w:t>
            </w:r>
          </w:p>
        </w:tc>
      </w:tr>
    </w:tbl>
    <w:p>
      <w:pPr>
        <w:spacing w:after="120" w:before="120"/>
      </w:pPr>
    </w:p>
    <w:p>
      <w:pPr>
        <w:pStyle w:val="Heading2"/>
      </w:pPr>
      <w:r>
        <w:rPr>
          <w:rFonts w:ascii="Calibri" w:cs="Calibri" w:eastAsia="Calibri" w:hAnsi="Calibri"/>
          <w:b/>
          <w:color w:val="1F4E79"/>
          <w:sz w:val="24"/>
        </w:rPr>
        <w:t>Segnali della settimana</w:t>
      </w:r>
    </w:p>
    <w:tbl>
      <w:tblPr>
        <w:tblW w:type="dxa" w:w="9026"/>
        <w:tblBorders>
          <w:top w:val="single" w:color="C9C9C9" w:sz="1"/>
          <w:left w:val="single" w:color="C9C9C9" w:sz="1"/>
          <w:bottom w:val="single" w:color="C9C9C9" w:sz="1"/>
          <w:right w:val="single" w:color="C9C9C9" w:sz="1"/>
          <w:insideH w:val="single" w:color="C9C9C9" w:sz="1"/>
          <w:insideV w:val="single" w:color="C9C9C9" w:sz="1"/>
        </w:tblBorders>
      </w:tblPr>
      <w:tblGrid>
        <w:gridCol w:w="6000"/>
        <w:gridCol w:w="3026"/>
      </w:tblGrid>
      <w:tr>
        <w:tc>
          <w:tcPr>
            <w:tcW w:type="dxa" w:w="6000"/>
            <w:shd w:fill="1F4E79" w:val="clear"/>
            <w:tcMar>
              <w:top w:type="dxa" w:w="80"/>
              <w:left w:type="dxa" w:w="120"/>
              <w:bottom w:type="dxa" w:w="80"/>
              <w:right w:type="dxa" w:w="120"/>
            </w:tcMar>
          </w:tcPr>
          <w:p>
            <w:r>
              <w:rPr>
                <w:rFonts w:ascii="Calibri" w:cs="Calibri" w:hAnsi="Calibri"/>
                <w:b/>
                <w:color w:val="FFFFFF"/>
                <w:sz w:val="20"/>
              </w:rPr>
              <w:t>Segnale</w:t>
            </w:r>
          </w:p>
        </w:tc>
        <w:tc>
          <w:tcPr>
            <w:tcW w:type="dxa" w:w="3026"/>
            <w:shd w:fill="1F4E79" w:val="clear"/>
            <w:tcMar>
              <w:top w:type="dxa" w:w="80"/>
              <w:left w:type="dxa" w:w="120"/>
              <w:bottom w:type="dxa" w:w="80"/>
              <w:right w:type="dxa" w:w="120"/>
            </w:tcMar>
          </w:tcPr>
          <w:p>
            <w:r>
              <w:rPr>
                <w:rFonts w:ascii="Calibri" w:cs="Calibri" w:hAnsi="Calibri"/>
                <w:b/>
                <w:color w:val="FFFFFF"/>
                <w:sz w:val="20"/>
              </w:rPr>
              <w:t>Impatto</w:t>
            </w:r>
          </w:p>
        </w:tc>
      </w:tr>
      <w:tr>
        <w:tc>
          <w:tcPr>
            <w:tcW w:type="dxa" w:w="6000"/>
            <w:shd w:fill="DEEAF1" w:val="clear"/>
            <w:tcMar>
              <w:top w:type="dxa" w:w="80"/>
              <w:left w:type="dxa" w:w="120"/>
              <w:bottom w:type="dxa" w:w="80"/>
              <w:right w:type="dxa" w:w="120"/>
            </w:tcMar>
          </w:tcPr>
          <w:p>
            <w:r>
              <w:rPr>
                <w:rFonts w:ascii="Calibri" w:cs="Calibri" w:hAnsi="Calibri"/>
                <w:sz w:val="20"/>
              </w:rPr>
              <w:t>Scadenza NIS2 ACN 31 maggio 2026: aggiornamento portale e registrazione</w:t>
            </w:r>
          </w:p>
        </w:tc>
        <w:tc>
          <w:tcPr>
            <w:tcW w:type="dxa" w:w="3026"/>
            <w:shd w:fill="DEEAF1" w:val="clear"/>
            <w:tcMar>
              <w:top w:type="dxa" w:w="80"/>
              <w:left w:type="dxa" w:w="120"/>
              <w:bottom w:type="dxa" w:w="80"/>
              <w:right w:type="dxa" w:w="120"/>
            </w:tcMar>
          </w:tcPr>
          <w:p>
            <w:r>
              <w:rPr>
                <w:rFonts w:ascii="Calibri" w:cs="Calibri" w:hAnsi="Calibri"/>
                <w:sz w:val="20"/>
              </w:rPr>
              <w:t>Critico · PA e operatori essenziali</w:t>
            </w:r>
          </w:p>
        </w:tc>
      </w:tr>
      <w:tr>
        <w:tc>
          <w:tcPr>
            <w:tcW w:type="dxa" w:w="6000"/>
            <w:shd w:fill="FFFFFF" w:val="clear"/>
            <w:tcMar>
              <w:top w:type="dxa" w:w="80"/>
              <w:left w:type="dxa" w:w="120"/>
              <w:bottom w:type="dxa" w:w="80"/>
              <w:right w:type="dxa" w:w="120"/>
            </w:tcMar>
          </w:tcPr>
          <w:p>
            <w:r>
              <w:rPr>
                <w:rFonts w:ascii="Calibri" w:cs="Calibri" w:hAnsi="Calibri"/>
                <w:sz w:val="20"/>
              </w:rPr>
              <w:t>Databricks Lakewatch Private Preview: SIEM agentico a -80% TCO</w:t>
            </w:r>
          </w:p>
        </w:tc>
        <w:tc>
          <w:tcPr>
            <w:tcW w:type="dxa" w:w="3026"/>
            <w:shd w:fill="FFFFFF" w:val="clear"/>
            <w:tcMar>
              <w:top w:type="dxa" w:w="80"/>
              <w:left w:type="dxa" w:w="120"/>
              <w:bottom w:type="dxa" w:w="80"/>
              <w:right w:type="dxa" w:w="120"/>
            </w:tcMar>
          </w:tcPr>
          <w:p>
            <w:r>
              <w:rPr>
                <w:rFonts w:ascii="Calibri" w:cs="Calibri" w:hAnsi="Calibri"/>
                <w:sz w:val="20"/>
              </w:rPr>
              <w:t>Alto · Disruption mercato SIEM enterprise</w:t>
            </w:r>
          </w:p>
        </w:tc>
      </w:tr>
      <w:tr>
        <w:tc>
          <w:tcPr>
            <w:tcW w:type="dxa" w:w="6000"/>
            <w:shd w:fill="DEEAF1" w:val="clear"/>
            <w:tcMar>
              <w:top w:type="dxa" w:w="80"/>
              <w:left w:type="dxa" w:w="120"/>
              <w:bottom w:type="dxa" w:w="80"/>
              <w:right w:type="dxa" w:w="120"/>
            </w:tcMar>
          </w:tcPr>
          <w:p>
            <w:r>
              <w:rPr>
                <w:rFonts w:ascii="Calibri" w:cs="Calibri" w:hAnsi="Calibri"/>
                <w:sz w:val="20"/>
              </w:rPr>
              <w:t>ManageEngine Log360 SOAR nativo: risposta incidenti senza costi aggiuntivi</w:t>
            </w:r>
          </w:p>
        </w:tc>
        <w:tc>
          <w:tcPr>
            <w:tcW w:type="dxa" w:w="3026"/>
            <w:shd w:fill="DEEAF1" w:val="clear"/>
            <w:tcMar>
              <w:top w:type="dxa" w:w="80"/>
              <w:left w:type="dxa" w:w="120"/>
              <w:bottom w:type="dxa" w:w="80"/>
              <w:right w:type="dxa" w:w="120"/>
            </w:tcMar>
          </w:tcPr>
          <w:p>
            <w:r>
              <w:rPr>
                <w:rFonts w:ascii="Calibri" w:cs="Calibri" w:hAnsi="Calibri"/>
                <w:sz w:val="20"/>
              </w:rPr>
              <w:t>Alto · Mid-market e PA budget-limited</w:t>
            </w:r>
          </w:p>
        </w:tc>
      </w:tr>
      <w:tr>
        <w:tc>
          <w:tcPr>
            <w:tcW w:type="dxa" w:w="6000"/>
            <w:shd w:fill="FFFFFF" w:val="clear"/>
            <w:tcMar>
              <w:top w:type="dxa" w:w="80"/>
              <w:left w:type="dxa" w:w="120"/>
              <w:bottom w:type="dxa" w:w="80"/>
              <w:right w:type="dxa" w:w="120"/>
            </w:tcMar>
          </w:tcPr>
          <w:p>
            <w:r>
              <w:rPr>
                <w:rFonts w:ascii="Calibri" w:cs="Calibri" w:hAnsi="Calibri"/>
                <w:sz w:val="20"/>
              </w:rPr>
              <w:t>Forescout: 11 nuovi device OT rischiosi, BACnet router in top-5</w:t>
            </w:r>
          </w:p>
        </w:tc>
        <w:tc>
          <w:tcPr>
            <w:tcW w:type="dxa" w:w="3026"/>
            <w:shd w:fill="FFFFFF" w:val="clear"/>
            <w:tcMar>
              <w:top w:type="dxa" w:w="80"/>
              <w:left w:type="dxa" w:w="120"/>
              <w:bottom w:type="dxa" w:w="80"/>
              <w:right w:type="dxa" w:w="120"/>
            </w:tcMar>
          </w:tcPr>
          <w:p>
            <w:r>
              <w:rPr>
                <w:rFonts w:ascii="Calibri" w:cs="Calibri" w:hAnsi="Calibri"/>
                <w:sz w:val="20"/>
              </w:rPr>
              <w:t>Alto · PA, energia, sanità</w:t>
            </w:r>
          </w:p>
        </w:tc>
      </w:tr>
      <w:tr>
        <w:tc>
          <w:tcPr>
            <w:tcW w:type="dxa" w:w="6000"/>
            <w:shd w:fill="DEEAF1" w:val="clear"/>
            <w:tcMar>
              <w:top w:type="dxa" w:w="80"/>
              <w:left w:type="dxa" w:w="120"/>
              <w:bottom w:type="dxa" w:w="80"/>
              <w:right w:type="dxa" w:w="120"/>
            </w:tcMar>
          </w:tcPr>
          <w:p>
            <w:r>
              <w:rPr>
                <w:rFonts w:ascii="Calibri" w:cs="Calibri" w:hAnsi="Calibri"/>
                <w:sz w:val="20"/>
              </w:rPr>
              <w:t>ZTNA: microsegmentazione fallisce senza governance continua delle policy</w:t>
            </w:r>
          </w:p>
        </w:tc>
        <w:tc>
          <w:tcPr>
            <w:tcW w:type="dxa" w:w="3026"/>
            <w:shd w:fill="DEEAF1" w:val="clear"/>
            <w:tcMar>
              <w:top w:type="dxa" w:w="80"/>
              <w:left w:type="dxa" w:w="120"/>
              <w:bottom w:type="dxa" w:w="80"/>
              <w:right w:type="dxa" w:w="120"/>
            </w:tcMar>
          </w:tcPr>
          <w:p>
            <w:r>
              <w:rPr>
                <w:rFonts w:ascii="Calibri" w:cs="Calibri" w:hAnsi="Calibri"/>
                <w:sz w:val="20"/>
              </w:rPr>
              <w:t>Medio · Implicazioni operative per ZTA</w:t>
            </w:r>
          </w:p>
        </w:tc>
      </w:tr>
    </w:tbl>
    <w:p>
      <w:pPr>
        <w:spacing w:after="120" w:before="240"/>
      </w:pPr>
      <w:r>
        <w:rPr>
          <w:rFonts w:ascii="Calibri" w:cs="Calibri" w:eastAsia="Calibri" w:hAnsi="Calibri"/>
          <w:i/>
          <w:color w:val="595959"/>
          <w:sz w:val="18"/>
        </w:rPr>
        <w:t xml:space="preserve">Prossimo briefing: 7 giugno 2026 · Generato automaticamente da Claude · Cowork</w:t>
      </w:r>
    </w:p>
    <w:p>
      <w:r>
        <w:br w:type="page"/>
      </w:r>
    </w:p>
    <w:p>
      <w:pPr>
        <w:pStyle w:val="Heading1"/>
      </w:pPr>
      <w:bookmarkStart w:name="bm_w21_24mag" w:id="50"/>
      <w:r>
        <w:rPr>
          <w:rFonts w:ascii="Calibri" w:cs="Calibri" w:eastAsia="Calibri" w:hAnsi="Calibri"/>
          <w:b/>
          <w:bCs/>
          <w:color w:val="1F4E79"/>
          <w:sz w:val="28"/>
          <w:szCs w:val="28"/>
        </w:rPr>
        <w:t xml:space="preserve">W21 · 24 maggio 2026</w:t>
      </w:r>
      <w:bookmarkEnd w:id="5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2"/>
        <w:gridCol w:w="2252"/>
        <w:gridCol w:w="2251"/>
        <w:gridCol w:w="2271"/>
      </w:tblGrid>
      <w:tr>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Data</w:t>
            </w:r>
          </w:p>
          <w:p>
            <w:pPr>
              <w:spacing w:after="0" w:before="0"/>
            </w:pPr>
            <w:r>
              <w:rPr>
                <w:rFonts w:ascii="Calibri" w:cs="Calibri" w:eastAsia="Calibri" w:hAnsi="Calibri"/>
                <w:sz w:val="22"/>
                <w:szCs w:val="22"/>
              </w:rPr>
              <w:t>24 maggio 2026</w:t>
            </w:r>
          </w:p>
        </w:tc>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Settimana ISO</w:t>
            </w:r>
          </w:p>
          <w:p>
            <w:pPr>
              <w:spacing w:after="0" w:before="0"/>
            </w:pPr>
            <w:r>
              <w:rPr>
                <w:rFonts w:ascii="Calibri" w:cs="Calibri" w:eastAsia="Calibri" w:hAnsi="Calibri"/>
                <w:sz w:val="22"/>
                <w:szCs w:val="22"/>
              </w:rPr>
              <w:t>W21 / 2026</w:t>
            </w:r>
          </w:p>
        </w:tc>
        <w:tc>
          <w:tcPr>
            <w:tcW w:type="dxa" w:w="2251"/>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Ambiti</w:t>
            </w:r>
          </w:p>
          <w:p>
            <w:pPr>
              <w:spacing w:after="0" w:before="0"/>
            </w:pPr>
            <w:r>
              <w:rPr>
                <w:rFonts w:ascii="Calibri" w:cs="Calibri" w:eastAsia="Calibri" w:hAnsi="Calibri"/>
                <w:sz w:val="22"/>
                <w:szCs w:val="22"/>
              </w:rPr>
              <w:t>5 su 5</w:t>
            </w:r>
          </w:p>
        </w:tc>
        <w:tc>
          <w:tcPr>
            <w:tcW w:type="dxa" w:w="2271"/>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Target</w:t>
            </w:r>
          </w:p>
          <w:p>
            <w:pPr>
              <w:spacing w:after="0" w:before="0"/>
            </w:pPr>
            <w:r>
              <w:rPr>
                <w:rFonts w:ascii="Calibri" w:cs="Calibri" w:eastAsia="Calibri" w:hAnsi="Calibri"/>
                <w:sz w:val="22"/>
                <w:szCs w:val="22"/>
              </w:rPr>
              <w:t xml:space="preserve">Enterprise, Mid-market &amp; PA Centrale</w:t>
            </w:r>
          </w:p>
        </w:tc>
      </w:tr>
    </w:tbl>
    <w:p>
      <w:pPr>
        <w:spacing w:after="60" w:before="240"/>
      </w:pPr>
    </w:p>
    <w:p>
      <w:pPr>
        <w:pStyle w:val="Heading2"/>
      </w:pPr>
      <w:r>
        <w:rPr>
          <w:rFonts w:ascii="Calibri" w:cs="Calibri" w:eastAsia="Calibri" w:hAnsi="Calibri"/>
          <w:b/>
          <w:bCs/>
          <w:color w:val="4472C4"/>
          <w:sz w:val="24"/>
          <w:szCs w:val="24"/>
        </w:rPr>
        <w:t>Le 3 soluzioni della settimana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gridSpan w:val="2"/>
            <w:tcBorders>
              <w:top w:val="single" w:color="C9C9C9" w:sz="1"/>
              <w:left w:val="single" w:color="C9C9C9" w:sz="1"/>
              <w:bottom w:val="single" w:color="C9C9C9" w:sz="1"/>
              <w:right w:val="single" w:color="C9C9C9" w:sz="1"/>
            </w:tcBorders>
            <w:shd w:fill="1F4E79" w:val="clear"/>
            <w:tcMar>
              <w:top w:type="dxa" w:w="100"/>
              <w:left w:type="dxa" w:w="160"/>
              <w:bottom w:type="dxa" w:w="100"/>
              <w:right w:type="dxa" w:w="160"/>
            </w:tcMar>
          </w:tcPr>
          <w:p>
            <w:r>
              <w:rPr>
                <w:rFonts w:ascii="Calibri" w:cs="Calibri" w:eastAsia="Calibri" w:hAnsi="Calibri"/>
                <w:b/>
                <w:bCs/>
                <w:color w:val="FFFFFF"/>
                <w:sz w:val="26"/>
                <w:szCs w:val="26"/>
              </w:rPr>
              <w:t xml:space="preserve">1. Palo Alto Networks — Idira</w:t>
            </w:r>
            <w:r>
              <w:rPr>
                <w:rFonts w:ascii="Calibri" w:cs="Calibri" w:eastAsia="Calibri" w:hAnsi="Calibri"/>
                <w:color w:val="BDD7EE"/>
                <w:sz w:val="20"/>
                <w:szCs w:val="20"/>
              </w:rPr>
              <w:t xml:space="preserve">  ·  Internazionale (USA)</w:t>
            </w:r>
          </w:p>
        </w:tc>
      </w:tr>
      <w:tr>
        <w:tc>
          <w:tcPr>
            <w:gridSpan w:val="2"/>
            <w:tcBorders>
              <w:top w:val="single" w:color="C9C9C9" w:sz="1"/>
              <w:left w:val="single" w:color="C9C9C9" w:sz="1"/>
              <w:bottom w:val="single" w:color="C9C9C9" w:sz="1"/>
              <w:right w:val="single" w:color="C9C9C9" w:sz="1"/>
            </w:tcBorders>
            <w:shd w:fill="DEEAF1" w:val="clear"/>
            <w:tcMar>
              <w:top w:type="dxa" w:w="60"/>
              <w:left w:type="dxa" w:w="160"/>
              <w:bottom w:type="dxa" w:w="60"/>
              <w:right w:type="dxa" w:w="160"/>
            </w:tcMar>
          </w:tcPr>
          <w:p>
            <w:r>
              <w:rPr>
                <w:rFonts w:ascii="Calibri" w:cs="Calibri" w:eastAsia="Calibri" w:hAnsi="Calibri"/>
                <w:b/>
                <w:bCs/>
                <w:color w:val="1F4E79"/>
                <w:sz w:val="22"/>
                <w:szCs w:val="22"/>
              </w:rPr>
              <w:t xml:space="preserve">Ambito: </w:t>
            </w:r>
            <w:r>
              <w:rPr>
                <w:rFonts w:ascii="Calibri" w:cs="Calibri" w:eastAsia="Calibri" w:hAnsi="Calibri"/>
                <w:i/>
                <w:iCs/>
                <w:sz w:val="22"/>
                <w:szCs w:val="22"/>
              </w:rPr>
              <w:t>Endpoint &amp; Identity (PAM, ITDR, Zero Trust)</w:t>
            </w:r>
          </w:p>
        </w:tc>
      </w:tr>
      <w:tr>
        <w:tc>
          <w:tcPr>
            <w:tcW w:type="dxa" w:w="2000"/>
            <w:tcBorders>
              <w:top w:val="single" w:color="C9C9C9" w:sz="1"/>
              <w:left w:val="single" w:color="C9C9C9" w:sz="1"/>
              <w:bottom w:val="single" w:color="C9C9C9" w:sz="1"/>
              <w:right w:val="single" w:color="C9C9C9" w:sz="1"/>
            </w:tcBorders>
            <w:shd w:fill="2E75B6" w:val="clear"/>
            <w:tcMar>
              <w:top w:type="dxa" w:w="80"/>
              <w:left w:type="dxa" w:w="160"/>
              <w:bottom w:type="dxa" w:w="80"/>
              <w:right w:type="dxa" w:w="160"/>
            </w:tcMar>
          </w:tcPr>
          <w:p>
            <w:r>
              <w:rPr>
                <w:rFonts w:ascii="Calibri" w:cs="Calibri" w:eastAsia="Calibri" w:hAnsi="Calibri"/>
                <w:b/>
                <w:bCs/>
                <w:color w:val="FFFFFF"/>
                <w:sz w:val="20"/>
                <w:szCs w:val="20"/>
              </w:rPr>
              <w:t>Cosa fa</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r>
              <w:rPr>
                <w:rFonts w:ascii="Calibri" w:cs="Calibri" w:eastAsia="Calibri" w:hAnsi="Calibri"/>
                <w:sz w:val="22"/>
                <w:szCs w:val="22"/>
              </w:rPr>
              <w:t xml:space="preserve">Piattaforma PAM di nuova generazione lanciata il 12 maggio 2026. Unifica gestione degli accessi privilegiati (PAM) con ITDR per ogni tipo di identità: umana, macchina e agente AI. Basata sulla tecnologia CyberArk (acquisita per $25 miliardi), la estende all’ecosistema AI agente.</w:t>
            </w:r>
          </w:p>
        </w:tc>
      </w:tr>
      <w:tr>
        <w:tc>
          <w:tcPr>
            <w:tcW w:type="dxa" w:w="2000"/>
            <w:tcBorders>
              <w:top w:val="single" w:color="C9C9C9" w:sz="1"/>
              <w:left w:val="single" w:color="C9C9C9" w:sz="1"/>
              <w:bottom w:val="single" w:color="C9C9C9" w:sz="1"/>
              <w:right w:val="single" w:color="C9C9C9" w:sz="1"/>
            </w:tcBorders>
            <w:shd w:fill="2E75B6" w:val="clear"/>
            <w:tcMar>
              <w:top w:type="dxa" w:w="80"/>
              <w:left w:type="dxa" w:w="160"/>
              <w:bottom w:type="dxa" w:w="80"/>
              <w:right w:type="dxa" w:w="160"/>
            </w:tcMar>
          </w:tcPr>
          <w:p>
            <w:r>
              <w:rPr>
                <w:rFonts w:ascii="Calibri" w:cs="Calibri" w:eastAsia="Calibri" w:hAnsi="Calibri"/>
                <w:b/>
                <w:bCs/>
                <w:color w:val="FFFFFF"/>
                <w:sz w:val="20"/>
                <w:szCs w:val="20"/>
              </w:rPr>
              <w:t>Perché ora</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r>
              <w:rPr>
                <w:rFonts w:ascii="Calibri" w:cs="Calibri" w:eastAsia="Calibri" w:hAnsi="Calibri"/>
                <w:sz w:val="22"/>
                <w:szCs w:val="22"/>
              </w:rPr>
              <w:t xml:space="preserve">NIS2 e PSNC richiedono controlli PAM rigorosi per infrastrutture critiche. Idira colma il gap sulle identità agentiche, nuovo vettore di attacco nell’era AI. Rilevante per PA Centrale con qualificazione ACN Cloud.</w:t>
            </w:r>
          </w:p>
        </w:tc>
      </w:tr>
      <w:tr>
        <w:tc>
          <w:tcPr>
            <w:gridSpan w:val="2"/>
            <w:tcBorders>
              <w:top w:val="single" w:color="C9C9C9" w:sz="1"/>
              <w:left w:val="single" w:color="C9C9C9" w:sz="1"/>
              <w:bottom w:val="single" w:color="C9C9C9" w:sz="1"/>
              <w:right w:val="single" w:color="C9C9C9" w:sz="1"/>
            </w:tcBorders>
            <w:shd w:fill="1F4E79" w:val="clear"/>
            <w:tcMar>
              <w:top w:type="dxa" w:w="100"/>
              <w:left w:type="dxa" w:w="160"/>
              <w:bottom w:type="dxa" w:w="100"/>
              <w:right w:type="dxa" w:w="160"/>
            </w:tcMar>
          </w:tcPr>
          <w:p>
            <w:r>
              <w:rPr>
                <w:rFonts w:ascii="Calibri" w:cs="Calibri" w:eastAsia="Calibri" w:hAnsi="Calibri"/>
                <w:b/>
                <w:bCs/>
                <w:color w:val="FFFFFF"/>
                <w:sz w:val="26"/>
                <w:szCs w:val="26"/>
              </w:rPr>
              <w:t xml:space="preserve">2. Sysdig — CNAPP con Sysdig Sage</w:t>
            </w:r>
            <w:r>
              <w:rPr>
                <w:rFonts w:ascii="Calibri" w:cs="Calibri" w:eastAsia="Calibri" w:hAnsi="Calibri"/>
                <w:color w:val="BDD7EE"/>
                <w:sz w:val="20"/>
                <w:szCs w:val="20"/>
              </w:rPr>
              <w:t xml:space="preserve">  ·  Internazionale (USA)</w:t>
            </w:r>
          </w:p>
        </w:tc>
      </w:tr>
      <w:tr>
        <w:tc>
          <w:tcPr>
            <w:gridSpan w:val="2"/>
            <w:tcBorders>
              <w:top w:val="single" w:color="C9C9C9" w:sz="1"/>
              <w:left w:val="single" w:color="C9C9C9" w:sz="1"/>
              <w:bottom w:val="single" w:color="C9C9C9" w:sz="1"/>
              <w:right w:val="single" w:color="C9C9C9" w:sz="1"/>
            </w:tcBorders>
            <w:shd w:fill="DEEAF1" w:val="clear"/>
            <w:tcMar>
              <w:top w:type="dxa" w:w="60"/>
              <w:left w:type="dxa" w:w="160"/>
              <w:bottom w:type="dxa" w:w="60"/>
              <w:right w:type="dxa" w:w="160"/>
            </w:tcMar>
          </w:tcPr>
          <w:p>
            <w:r>
              <w:rPr>
                <w:rFonts w:ascii="Calibri" w:cs="Calibri" w:eastAsia="Calibri" w:hAnsi="Calibri"/>
                <w:b/>
                <w:bCs/>
                <w:color w:val="1F4E79"/>
                <w:sz w:val="22"/>
                <w:szCs w:val="22"/>
              </w:rPr>
              <w:t xml:space="preserve">Ambito: </w:t>
            </w:r>
            <w:r>
              <w:rPr>
                <w:rFonts w:ascii="Calibri" w:cs="Calibri" w:eastAsia="Calibri" w:hAnsi="Calibri"/>
                <w:i/>
                <w:iCs/>
                <w:sz w:val="22"/>
                <w:szCs w:val="22"/>
              </w:rPr>
              <w:t>Cloud &amp; Infrastructure Security (CNAPP, CSPM, CWPP)</w:t>
            </w:r>
          </w:p>
        </w:tc>
      </w:tr>
      <w:tr>
        <w:tc>
          <w:tcPr>
            <w:tcW w:type="dxa" w:w="2000"/>
            <w:tcBorders>
              <w:top w:val="single" w:color="C9C9C9" w:sz="1"/>
              <w:left w:val="single" w:color="C9C9C9" w:sz="1"/>
              <w:bottom w:val="single" w:color="C9C9C9" w:sz="1"/>
              <w:right w:val="single" w:color="C9C9C9" w:sz="1"/>
            </w:tcBorders>
            <w:shd w:fill="2E75B6" w:val="clear"/>
            <w:tcMar>
              <w:top w:type="dxa" w:w="80"/>
              <w:left w:type="dxa" w:w="160"/>
              <w:bottom w:type="dxa" w:w="80"/>
              <w:right w:type="dxa" w:w="160"/>
            </w:tcMar>
          </w:tcPr>
          <w:p>
            <w:r>
              <w:rPr>
                <w:rFonts w:ascii="Calibri" w:cs="Calibri" w:eastAsia="Calibri" w:hAnsi="Calibri"/>
                <w:b/>
                <w:bCs/>
                <w:color w:val="FFFFFF"/>
                <w:sz w:val="20"/>
                <w:szCs w:val="20"/>
              </w:rPr>
              <w:t>Cosa fa</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r>
              <w:rPr>
                <w:rFonts w:ascii="Calibri" w:cs="Calibri" w:eastAsia="Calibri" w:hAnsi="Calibri"/>
                <w:sz w:val="22"/>
                <w:szCs w:val="22"/>
              </w:rPr>
              <w:t xml:space="preserve">Leader Forrester Wave CNAPP Q1 2026. Piattaforma cloud-native unificata (CSPM, CWPP, CIEM, runtime) con Sysdig Sage: primo analista AI agente integrato che indaga alert autonomamente, riduce MTTR del 76% e risparmia 80h/settimana di triage manuale.</w:t>
            </w:r>
          </w:p>
        </w:tc>
      </w:tr>
      <w:tr>
        <w:tc>
          <w:tcPr>
            <w:tcW w:type="dxa" w:w="2000"/>
            <w:tcBorders>
              <w:top w:val="single" w:color="C9C9C9" w:sz="1"/>
              <w:left w:val="single" w:color="C9C9C9" w:sz="1"/>
              <w:bottom w:val="single" w:color="C9C9C9" w:sz="1"/>
              <w:right w:val="single" w:color="C9C9C9" w:sz="1"/>
            </w:tcBorders>
            <w:shd w:fill="2E75B6" w:val="clear"/>
            <w:tcMar>
              <w:top w:type="dxa" w:w="80"/>
              <w:left w:type="dxa" w:w="160"/>
              <w:bottom w:type="dxa" w:w="80"/>
              <w:right w:type="dxa" w:w="160"/>
            </w:tcMar>
          </w:tcPr>
          <w:p>
            <w:r>
              <w:rPr>
                <w:rFonts w:ascii="Calibri" w:cs="Calibri" w:eastAsia="Calibri" w:hAnsi="Calibri"/>
                <w:b/>
                <w:bCs/>
                <w:color w:val="FFFFFF"/>
                <w:sz w:val="20"/>
                <w:szCs w:val="20"/>
              </w:rPr>
              <w:t>Perché ora</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r>
              <w:rPr>
                <w:rFonts w:ascii="Calibri" w:cs="Calibri" w:eastAsia="Calibri" w:hAnsi="Calibri"/>
                <w:sz w:val="22"/>
                <w:szCs w:val="22"/>
              </w:rPr>
              <w:t xml:space="preserve">Headless Cloud Security: la security diventa nativa nel ciclo AI. Per PA Centrale con PSN e cloud ACN, soddisfa requisiti NIS2 (43 misure soggetti essenziali, scadenza ottobre 2026) con visibility continua e audit trail automatizzati.</w:t>
            </w:r>
          </w:p>
        </w:tc>
      </w:tr>
      <w:tr>
        <w:tc>
          <w:tcPr>
            <w:gridSpan w:val="2"/>
            <w:tcBorders>
              <w:top w:val="single" w:color="C9C9C9" w:sz="1"/>
              <w:left w:val="single" w:color="C9C9C9" w:sz="1"/>
              <w:bottom w:val="single" w:color="C9C9C9" w:sz="1"/>
              <w:right w:val="single" w:color="C9C9C9" w:sz="1"/>
            </w:tcBorders>
            <w:shd w:fill="1F4E79" w:val="clear"/>
            <w:tcMar>
              <w:top w:type="dxa" w:w="100"/>
              <w:left w:type="dxa" w:w="160"/>
              <w:bottom w:type="dxa" w:w="100"/>
              <w:right w:type="dxa" w:w="160"/>
            </w:tcMar>
          </w:tcPr>
          <w:p>
            <w:r>
              <w:rPr>
                <w:rFonts w:ascii="Calibri" w:cs="Calibri" w:eastAsia="Calibri" w:hAnsi="Calibri"/>
                <w:b/>
                <w:bCs/>
                <w:color w:val="FFFFFF"/>
                <w:sz w:val="26"/>
                <w:szCs w:val="26"/>
              </w:rPr>
              <w:t xml:space="preserve">3. Akamai — Guardicore Platform</w:t>
            </w:r>
            <w:r>
              <w:rPr>
                <w:rFonts w:ascii="Calibri" w:cs="Calibri" w:eastAsia="Calibri" w:hAnsi="Calibri"/>
                <w:color w:val="BDD7EE"/>
                <w:sz w:val="20"/>
                <w:szCs w:val="20"/>
              </w:rPr>
              <w:t xml:space="preserve">  ·  Internazionale (USA)</w:t>
            </w:r>
          </w:p>
        </w:tc>
      </w:tr>
      <w:tr>
        <w:tc>
          <w:tcPr>
            <w:gridSpan w:val="2"/>
            <w:tcBorders>
              <w:top w:val="single" w:color="C9C9C9" w:sz="1"/>
              <w:left w:val="single" w:color="C9C9C9" w:sz="1"/>
              <w:bottom w:val="single" w:color="C9C9C9" w:sz="1"/>
              <w:right w:val="single" w:color="C9C9C9" w:sz="1"/>
            </w:tcBorders>
            <w:shd w:fill="DEEAF1" w:val="clear"/>
            <w:tcMar>
              <w:top w:type="dxa" w:w="60"/>
              <w:left w:type="dxa" w:w="160"/>
              <w:bottom w:type="dxa" w:w="60"/>
              <w:right w:type="dxa" w:w="160"/>
            </w:tcMar>
          </w:tcPr>
          <w:p>
            <w:r>
              <w:rPr>
                <w:rFonts w:ascii="Calibri" w:cs="Calibri" w:eastAsia="Calibri" w:hAnsi="Calibri"/>
                <w:b/>
                <w:bCs/>
                <w:color w:val="1F4E79"/>
                <w:sz w:val="22"/>
                <w:szCs w:val="22"/>
              </w:rPr>
              <w:t xml:space="preserve">Ambito: </w:t>
            </w:r>
            <w:r>
              <w:rPr>
                <w:rFonts w:ascii="Calibri" w:cs="Calibri" w:eastAsia="Calibri" w:hAnsi="Calibri"/>
                <w:i/>
                <w:iCs/>
                <w:sz w:val="22"/>
                <w:szCs w:val="22"/>
              </w:rPr>
              <w:t>Network Security &amp; Microsegmentazione (ZTNA, Zero Trust)</w:t>
            </w:r>
          </w:p>
        </w:tc>
      </w:tr>
      <w:tr>
        <w:tc>
          <w:tcPr>
            <w:tcW w:type="dxa" w:w="2000"/>
            <w:tcBorders>
              <w:top w:val="single" w:color="C9C9C9" w:sz="1"/>
              <w:left w:val="single" w:color="C9C9C9" w:sz="1"/>
              <w:bottom w:val="single" w:color="C9C9C9" w:sz="1"/>
              <w:right w:val="single" w:color="C9C9C9" w:sz="1"/>
            </w:tcBorders>
            <w:shd w:fill="2E75B6" w:val="clear"/>
            <w:tcMar>
              <w:top w:type="dxa" w:w="80"/>
              <w:left w:type="dxa" w:w="160"/>
              <w:bottom w:type="dxa" w:w="80"/>
              <w:right w:type="dxa" w:w="160"/>
            </w:tcMar>
          </w:tcPr>
          <w:p>
            <w:r>
              <w:rPr>
                <w:rFonts w:ascii="Calibri" w:cs="Calibri" w:eastAsia="Calibri" w:hAnsi="Calibri"/>
                <w:b/>
                <w:bCs/>
                <w:color w:val="FFFFFF"/>
                <w:sz w:val="20"/>
                <w:szCs w:val="20"/>
              </w:rPr>
              <w:t>Cosa fa</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r>
              <w:rPr>
                <w:rFonts w:ascii="Calibri" w:cs="Calibri" w:eastAsia="Calibri" w:hAnsi="Calibri"/>
                <w:sz w:val="22"/>
                <w:szCs w:val="22"/>
              </w:rPr>
              <w:t xml:space="preserve">Unica piattaforma che unifica ZTNA + microsegmentazione + MFA adattiva + DNS firewall. Da marzo 2026 con AI policy enforcement: l’AI analizza il comportamento applicativo e genera policy di segmentazione pronte all’enforcement in linguaggio naturale.</w:t>
            </w:r>
          </w:p>
        </w:tc>
      </w:tr>
      <w:tr>
        <w:tc>
          <w:tcPr>
            <w:tcW w:type="dxa" w:w="2000"/>
            <w:tcBorders>
              <w:top w:val="single" w:color="C9C9C9" w:sz="1"/>
              <w:left w:val="single" w:color="C9C9C9" w:sz="1"/>
              <w:bottom w:val="single" w:color="C9C9C9" w:sz="1"/>
              <w:right w:val="single" w:color="C9C9C9" w:sz="1"/>
            </w:tcBorders>
            <w:shd w:fill="2E75B6" w:val="clear"/>
            <w:tcMar>
              <w:top w:type="dxa" w:w="80"/>
              <w:left w:type="dxa" w:w="160"/>
              <w:bottom w:type="dxa" w:w="80"/>
              <w:right w:type="dxa" w:w="160"/>
            </w:tcMar>
          </w:tcPr>
          <w:p>
            <w:r>
              <w:rPr>
                <w:rFonts w:ascii="Calibri" w:cs="Calibri" w:eastAsia="Calibri" w:hAnsi="Calibri"/>
                <w:b/>
                <w:bCs/>
                <w:color w:val="FFFFFF"/>
                <w:sz w:val="20"/>
                <w:szCs w:val="20"/>
              </w:rPr>
              <w:t>Perché ora</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r>
              <w:rPr>
                <w:rFonts w:ascii="Calibri" w:cs="Calibri" w:eastAsia="Calibri" w:hAnsi="Calibri"/>
                <w:sz w:val="22"/>
                <w:szCs w:val="22"/>
              </w:rPr>
              <w:t xml:space="preserve">Le reti PA italiane sono storicamente piatte. NIS2 (ottobre 2026) impone segmentazione. Guardicore riduce l’implementazione da mesi a giorni tramite AI. Rilevante per enti che migrano al PSN e per compliance ACN su infrastrutture critiche.</w:t>
            </w:r>
          </w:p>
        </w:tc>
      </w:tr>
    </w:tbl>
    <w:p>
      <w:pPr>
        <w:spacing w:after="120" w:before="240"/>
      </w:pPr>
      <w:r>
        <w:rPr>
          <w:rFonts w:ascii="Calibri" w:cs="Calibri" w:eastAsia="Calibri" w:hAnsi="Calibri"/>
          <w:i/>
          <w:iCs/>
          <w:color w:val="595959"/>
          <w:sz w:val="18"/>
          <w:szCs w:val="18"/>
        </w:rPr>
        <w:t xml:space="preserve">Prossimo briefing: 31 maggio 2026 · Generato automaticamente da Claude · Cowork</w:t>
      </w:r>
    </w:p>
    <w:p>
      <w:r>
        <w:br w:type="page"/>
      </w:r>
    </w:p>
    <w:p>
      <w:pPr>
        <w:pStyle w:val="Heading1"/>
      </w:pPr>
      <w:bookmarkStart w:name="bm_w21" w:id="2"/>
      <w:r>
        <w:rPr>
          <w:rFonts w:ascii="Calibri" w:cs="Calibri" w:eastAsia="Calibri" w:hAnsi="Calibri"/>
          <w:b/>
          <w:bCs/>
          <w:color w:val="1F4E79"/>
          <w:sz w:val="28"/>
          <w:szCs w:val="28"/>
        </w:rPr>
        <w:t xml:space="preserve">W21 · 21 maggio 2026</w:t>
      </w:r>
      <w:bookmarkEnd w:id="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2"/>
        <w:gridCol w:w="2252"/>
        <w:gridCol w:w="2251"/>
        <w:gridCol w:w="2271"/>
      </w:tblGrid>
      <w:tr>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Data</w:t>
            </w:r>
          </w:p>
          <w:p>
            <w:pPr>
              <w:spacing w:after="0" w:before="0"/>
            </w:pPr>
            <w:r>
              <w:rPr>
                <w:rFonts w:ascii="Calibri" w:cs="Calibri" w:eastAsia="Calibri" w:hAnsi="Calibri"/>
                <w:sz w:val="22"/>
                <w:szCs w:val="22"/>
              </w:rPr>
              <w:t xml:space="preserve">21 maggio 2026</w:t>
            </w:r>
          </w:p>
        </w:tc>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Settimana ISO</w:t>
            </w:r>
          </w:p>
          <w:p>
            <w:pPr>
              <w:spacing w:after="0" w:before="0"/>
            </w:pPr>
            <w:r>
              <w:rPr>
                <w:rFonts w:ascii="Calibri" w:cs="Calibri" w:eastAsia="Calibri" w:hAnsi="Calibri"/>
                <w:sz w:val="22"/>
                <w:szCs w:val="22"/>
              </w:rPr>
              <w:t xml:space="preserve">W21 / 2026</w:t>
            </w:r>
          </w:p>
        </w:tc>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Ambiti</w:t>
            </w:r>
          </w:p>
          <w:p>
            <w:pPr>
              <w:spacing w:after="0" w:before="0"/>
            </w:pPr>
            <w:r>
              <w:rPr>
                <w:rFonts w:ascii="Calibri" w:cs="Calibri" w:eastAsia="Calibri" w:hAnsi="Calibri"/>
                <w:sz w:val="22"/>
                <w:szCs w:val="22"/>
              </w:rPr>
              <w:t xml:space="preserve">5 su 5</w:t>
            </w:r>
          </w:p>
        </w:tc>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Target</w:t>
            </w:r>
          </w:p>
          <w:p>
            <w:pPr>
              <w:spacing w:after="0" w:before="0"/>
            </w:pPr>
            <w:r>
              <w:rPr>
                <w:rFonts w:ascii="Calibri" w:cs="Calibri" w:eastAsia="Calibri" w:hAnsi="Calibri"/>
                <w:sz w:val="22"/>
                <w:szCs w:val="22"/>
              </w:rPr>
              <w:t xml:space="preserve">Enterprise &amp; Mid-market</w:t>
            </w:r>
          </w:p>
        </w:tc>
      </w:tr>
    </w:tbl>
    <w:p>
      <w:pPr>
        <w:spacing w:after="60" w:before="240"/>
      </w:pPr>
    </w:p>
    <w:p>
      <w:pPr>
        <w:pStyle w:val="Heading2"/>
      </w:pPr>
      <w:r>
        <w:rPr>
          <w:rFonts w:ascii="Calibri" w:cs="Calibri" w:eastAsia="Calibri" w:hAnsi="Calibri"/>
          <w:b/>
          <w:bCs/>
          <w:color w:val="4472C4"/>
          <w:sz w:val="24"/>
          <w:szCs w:val="24"/>
        </w:rPr>
        <w:t xml:space="preserve">Le 3 soluzioni della settimana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gridSpan w:val="2"/>
            <w:tcBorders>
              <w:top w:val="single" w:color="C9C9C9" w:sz="1"/>
              <w:left w:val="single" w:color="C9C9C9" w:sz="1"/>
              <w:bottom w:val="single" w:color="C9C9C9" w:sz="1"/>
              <w:right w:val="single" w:color="C9C9C9" w:sz="1"/>
            </w:tcBorders>
            <w:shd w:fill="1F4E79" w:val="clear"/>
            <w:tcMar>
              <w:top w:type="dxa" w:w="100"/>
              <w:left w:type="dxa" w:w="160"/>
              <w:bottom w:type="dxa" w:w="100"/>
              <w:right w:type="dxa" w:w="160"/>
            </w:tcMar>
          </w:tcPr>
          <w:p>
            <w:r>
              <w:rPr>
                <w:rFonts w:ascii="Calibri" w:cs="Calibri" w:eastAsia="Calibri" w:hAnsi="Calibri"/>
                <w:b/>
                <w:bCs/>
                <w:color w:val="FFFFFF"/>
                <w:sz w:val="26"/>
                <w:szCs w:val="26"/>
              </w:rPr>
              <w:t>1. Palo Alto Networks — Idira</w:t>
            </w:r>
            <w:r>
              <w:rPr>
                <w:rFonts w:ascii="Calibri" w:cs="Calibri" w:eastAsia="Calibri" w:hAnsi="Calibri"/>
                <w:color w:val="BDD7EE"/>
                <w:sz w:val="20"/>
                <w:szCs w:val="20"/>
              </w:rPr>
              <w:t xml:space="preserve">  ·  Internazionale (USA)</w:t>
            </w:r>
          </w:p>
        </w:tc>
      </w:tr>
      <w:tr>
        <w:tc>
          <w:tcPr>
            <w:gridSpan w:val="2"/>
            <w:tcBorders>
              <w:top w:val="single" w:color="C9C9C9" w:sz="1"/>
              <w:left w:val="single" w:color="C9C9C9" w:sz="1"/>
              <w:bottom w:val="single" w:color="C9C9C9" w:sz="1"/>
              <w:right w:val="single" w:color="C9C9C9" w:sz="1"/>
            </w:tcBorders>
            <w:shd w:fill="DEEAF1" w:val="clear"/>
            <w:tcMar>
              <w:top w:type="dxa" w:w="60"/>
              <w:left w:type="dxa" w:w="160"/>
              <w:bottom w:type="dxa" w:w="60"/>
              <w:right w:type="dxa" w:w="160"/>
            </w:tcMar>
          </w:tcPr>
          <w:p>
            <w:r>
              <w:rPr>
                <w:rFonts w:ascii="Calibri" w:cs="Calibri" w:eastAsia="Calibri" w:hAnsi="Calibri"/>
                <w:b/>
                <w:bCs/>
                <w:color w:val="1F4E79"/>
                <w:sz w:val="22"/>
                <w:szCs w:val="22"/>
              </w:rPr>
              <w:t xml:space="preserve">Ambito: </w:t>
            </w:r>
            <w:r>
              <w:rPr>
                <w:rFonts w:ascii="Calibri" w:cs="Calibri" w:eastAsia="Calibri" w:hAnsi="Calibri"/>
                <w:i/>
                <w:iCs/>
                <w:sz w:val="22"/>
                <w:szCs w:val="22"/>
              </w:rPr>
              <w:t xml:space="preserve">Endpoint &amp; Identity · PAM · ITDR · Agentic Identity Security</w:t>
            </w:r>
          </w:p>
        </w:tc>
      </w:tr>
      <w:tr>
        <w:tc>
          <w:tcPr>
            <w:tcW w:type="dxa" w:w="2000"/>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vAlign w:val="top"/>
          </w:tcPr>
          <w:p>
            <w:r>
              <w:rPr>
                <w:rFonts w:ascii="Calibri" w:cs="Calibri" w:eastAsia="Calibri" w:hAnsi="Calibri"/>
                <w:b/>
                <w:bCs/>
                <w:color w:val="1F4E79"/>
                <w:sz w:val="22"/>
                <w:szCs w:val="22"/>
              </w:rPr>
              <w:t xml:space="preserve">Cosa fa</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pPr>
              <w:spacing w:after="0" w:before="0"/>
            </w:pPr>
            <w:r>
              <w:rPr>
                <w:rFonts w:ascii="Calibri" w:cs="Calibri" w:eastAsia="Calibri" w:hAnsi="Calibri"/>
                <w:sz w:val="22"/>
                <w:szCs w:val="22"/>
              </w:rPr>
              <w:t xml:space="preserve">Piattaforma di identity security lanciata il 12 maggio 2026, nata dall'integrazione della tecnologia CyberArk (acquisita per 25 miliardi di dollari). Unifica PAM, protezione identità macchina e controllo delle identità agentiche (AI agent) in un'unica piattaforma cloud-native, con enforcement dei privilegi just-in-time.</w:t>
            </w:r>
          </w:p>
        </w:tc>
      </w:tr>
      <w:tr>
        <w:tc>
          <w:tcPr>
            <w:tcW w:type="dxa" w:w="2000"/>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vAlign w:val="top"/>
          </w:tcPr>
          <w:p>
            <w:r>
              <w:rPr>
                <w:rFonts w:ascii="Calibri" w:cs="Calibri" w:eastAsia="Calibri" w:hAnsi="Calibri"/>
                <w:b/>
                <w:bCs/>
                <w:color w:val="1F4E79"/>
                <w:sz w:val="22"/>
                <w:szCs w:val="22"/>
              </w:rPr>
              <w:t xml:space="preserve">Funzionali</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pPr>
              <w:pStyle w:val="ListParagraph"/>
              <w:numPr>
                <w:ilvl w:val="0"/>
                <w:numId w:val="2"/>
              </w:numPr>
              <w:spacing w:after="30" w:before="30"/>
            </w:pPr>
            <w:r>
              <w:rPr>
                <w:rFonts w:ascii="Calibri" w:cs="Calibri" w:eastAsia="Calibri" w:hAnsi="Calibri"/>
                <w:sz w:val="22"/>
                <w:szCs w:val="22"/>
              </w:rPr>
              <w:t xml:space="preserve">Discover Identity Risk: discovery continua di identità, entitlement e percorsi di accesso con remediation AI-guidata</w:t>
            </w:r>
          </w:p>
          <w:p>
            <w:pPr>
              <w:pStyle w:val="ListParagraph"/>
              <w:numPr>
                <w:ilvl w:val="0"/>
                <w:numId w:val="2"/>
              </w:numPr>
              <w:spacing w:after="30" w:before="30"/>
            </w:pPr>
            <w:r>
              <w:rPr>
                <w:rFonts w:ascii="Calibri" w:cs="Calibri" w:eastAsia="Calibri" w:hAnsi="Calibri"/>
                <w:sz w:val="22"/>
                <w:szCs w:val="22"/>
              </w:rPr>
              <w:t xml:space="preserve">Control Every Privilege: Zero Standing Privilege (ZSP) con accesso just-in-time per identità umane, macchine e AI agent</w:t>
            </w:r>
          </w:p>
          <w:p>
            <w:pPr>
              <w:pStyle w:val="ListParagraph"/>
              <w:numPr>
                <w:ilvl w:val="0"/>
                <w:numId w:val="2"/>
              </w:numPr>
              <w:spacing w:after="30" w:before="30"/>
            </w:pPr>
            <w:r>
              <w:rPr>
                <w:rFonts w:ascii="Calibri" w:cs="Calibri" w:eastAsia="Calibri" w:hAnsi="Calibri"/>
                <w:sz w:val="22"/>
                <w:szCs w:val="22"/>
              </w:rPr>
              <w:t xml:space="preserve">Automate Governance: automatizzazione dell'intero ciclo di vita delle identità con policy AI-driven</w:t>
            </w:r>
          </w:p>
          <w:p>
            <w:pPr>
              <w:pStyle w:val="ListParagraph"/>
              <w:numPr>
                <w:ilvl w:val="0"/>
                <w:numId w:val="2"/>
              </w:numPr>
              <w:spacing w:after="30" w:before="30"/>
            </w:pPr>
            <w:r>
              <w:rPr>
                <w:rFonts w:ascii="Calibri" w:cs="Calibri" w:eastAsia="Calibri" w:hAnsi="Calibri"/>
                <w:sz w:val="22"/>
                <w:szCs w:val="22"/>
              </w:rPr>
              <w:t xml:space="preserve">ITDR integrato con Cortex XDR per rilevamento e risposta alle minacce identitarie</w:t>
            </w:r>
          </w:p>
          <w:p>
            <w:pPr>
              <w:pStyle w:val="ListParagraph"/>
              <w:numPr>
                <w:ilvl w:val="0"/>
                <w:numId w:val="2"/>
              </w:numPr>
              <w:spacing w:after="30" w:before="30"/>
            </w:pPr>
            <w:r>
              <w:rPr>
                <w:rFonts w:ascii="Calibri" w:cs="Calibri" w:eastAsia="Calibri" w:hAnsi="Calibri"/>
                <w:sz w:val="22"/>
                <w:szCs w:val="22"/>
              </w:rPr>
              <w:t xml:space="preserve">Supporto nativo per identità agentiche (AI agent, service account, workload identity)</w:t>
            </w:r>
          </w:p>
        </w:tc>
      </w:tr>
      <w:tr>
        <w:tc>
          <w:tcPr>
            <w:tcW w:type="dxa" w:w="2000"/>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vAlign w:val="top"/>
          </w:tcPr>
          <w:p>
            <w:r>
              <w:rPr>
                <w:rFonts w:ascii="Calibri" w:cs="Calibri" w:eastAsia="Calibri" w:hAnsi="Calibri"/>
                <w:b/>
                <w:bCs/>
                <w:color w:val="1F4E79"/>
                <w:sz w:val="22"/>
                <w:szCs w:val="22"/>
              </w:rPr>
              <w:t xml:space="preserve">Infrastruttura</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pPr>
              <w:pStyle w:val="ListParagraph"/>
              <w:numPr>
                <w:ilvl w:val="0"/>
                <w:numId w:val="2"/>
              </w:numPr>
              <w:spacing w:after="30" w:before="30"/>
            </w:pPr>
            <w:r>
              <w:rPr>
                <w:rFonts w:ascii="Calibri" w:cs="Calibri" w:eastAsia="Calibri" w:hAnsi="Calibri"/>
                <w:sz w:val="22"/>
                <w:szCs w:val="22"/>
              </w:rPr>
              <w:t xml:space="preserve">Deployment: SaaS cloud-native con opzione hybrid per ambienti on-prem critici</w:t>
            </w:r>
          </w:p>
          <w:p>
            <w:pPr>
              <w:pStyle w:val="ListParagraph"/>
              <w:numPr>
                <w:ilvl w:val="0"/>
                <w:numId w:val="2"/>
              </w:numPr>
              <w:spacing w:after="30" w:before="30"/>
            </w:pPr>
            <w:r>
              <w:rPr>
                <w:rFonts w:ascii="Calibri" w:cs="Calibri" w:eastAsia="Calibri" w:hAnsi="Calibri"/>
                <w:sz w:val="22"/>
                <w:szCs w:val="22"/>
              </w:rPr>
              <w:t xml:space="preserve">Architettura API-first, eredita l'infrastruttura vault di CyberArk con layer AI proprietario</w:t>
            </w:r>
          </w:p>
          <w:p>
            <w:pPr>
              <w:pStyle w:val="ListParagraph"/>
              <w:numPr>
                <w:ilvl w:val="0"/>
                <w:numId w:val="2"/>
              </w:numPr>
              <w:spacing w:after="30" w:before="30"/>
            </w:pPr>
            <w:r>
              <w:rPr>
                <w:rFonts w:ascii="Calibri" w:cs="Calibri" w:eastAsia="Calibri" w:hAnsi="Calibri"/>
                <w:sz w:val="22"/>
                <w:szCs w:val="22"/>
              </w:rPr>
              <w:t xml:space="preserve">Agent leggero per endpoint; agentless per discovery cloud e SaaS</w:t>
            </w:r>
          </w:p>
          <w:p>
            <w:pPr>
              <w:pStyle w:val="ListParagraph"/>
              <w:numPr>
                <w:ilvl w:val="0"/>
                <w:numId w:val="2"/>
              </w:numPr>
              <w:spacing w:after="30" w:before="30"/>
            </w:pPr>
            <w:r>
              <w:rPr>
                <w:rFonts w:ascii="Calibri" w:cs="Calibri" w:eastAsia="Calibri" w:hAnsi="Calibri"/>
                <w:sz w:val="22"/>
                <w:szCs w:val="22"/>
              </w:rPr>
              <w:t xml:space="preserve">Integrazioni native: Cortex XDR, XSIAM, Palo Alto NGFW, Prisma SASE; connettori per AWS, Azure, GCP, Okta, Entra ID, SAP</w:t>
            </w:r>
          </w:p>
        </w:tc>
      </w:tr>
      <w:tr>
        <w:tc>
          <w:tcPr>
            <w:tcW w:type="dxa" w:w="2000"/>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vAlign w:val="top"/>
          </w:tcPr>
          <w:p>
            <w:r>
              <w:rPr>
                <w:rFonts w:ascii="Calibri" w:cs="Calibri" w:eastAsia="Calibri" w:hAnsi="Calibri"/>
                <w:b/>
                <w:bCs/>
                <w:color w:val="1F4E79"/>
                <w:sz w:val="22"/>
                <w:szCs w:val="22"/>
              </w:rPr>
              <w:t xml:space="preserve">Target</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pPr>
              <w:pStyle w:val="ListParagraph"/>
              <w:numPr>
                <w:ilvl w:val="0"/>
                <w:numId w:val="2"/>
              </w:numPr>
              <w:spacing w:after="30" w:before="30"/>
            </w:pPr>
            <w:r>
              <w:rPr>
                <w:rFonts w:ascii="Calibri" w:cs="Calibri" w:eastAsia="Calibri" w:hAnsi="Calibri"/>
                <w:sz w:val="22"/>
                <w:szCs w:val="22"/>
              </w:rPr>
              <w:t xml:space="preserve">Dimensione: Enterprise (500+ dipendenti), ideale con infrastruttura ibrida e ambienti AI/agentic</w:t>
            </w:r>
          </w:p>
          <w:p>
            <w:pPr>
              <w:pStyle w:val="ListParagraph"/>
              <w:numPr>
                <w:ilvl w:val="0"/>
                <w:numId w:val="2"/>
              </w:numPr>
              <w:spacing w:after="30" w:before="30"/>
            </w:pPr>
            <w:r>
              <w:rPr>
                <w:rFonts w:ascii="Calibri" w:cs="Calibri" w:eastAsia="Calibri" w:hAnsi="Calibri"/>
                <w:sz w:val="22"/>
                <w:szCs w:val="22"/>
              </w:rPr>
              <w:t xml:space="preserve">Settori consigliati: Finanza, PA, Manifatturiero avanzato, Healthcare</w:t>
            </w:r>
          </w:p>
          <w:p>
            <w:pPr>
              <w:pStyle w:val="ListParagraph"/>
              <w:numPr>
                <w:ilvl w:val="0"/>
                <w:numId w:val="2"/>
              </w:numPr>
              <w:spacing w:after="30" w:before="30"/>
            </w:pPr>
            <w:r>
              <w:rPr>
                <w:rFonts w:ascii="Calibri" w:cs="Calibri" w:eastAsia="Calibri" w:hAnsi="Calibri"/>
                <w:sz w:val="22"/>
                <w:szCs w:val="22"/>
              </w:rPr>
              <w:t xml:space="preserve">ROI massimo per chi è già cliente Cortex o CyberArk</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60"/>
              <w:bottom w:type="dxa" w:w="80"/>
              <w:right w:type="dxa" w:w="160"/>
            </w:tcMar>
            <w:vAlign w:val="top"/>
          </w:tcPr>
          <w:p>
            <w:r>
              <w:rPr>
                <w:rFonts w:ascii="Calibri" w:cs="Calibri" w:eastAsia="Calibri" w:hAnsi="Calibri"/>
                <w:b/>
                <w:bCs/>
                <w:color w:val="1F4E79"/>
                <w:sz w:val="22"/>
                <w:szCs w:val="22"/>
              </w:rPr>
              <w:t xml:space="preserve">Perché ora</w:t>
            </w:r>
          </w:p>
        </w:tc>
        <w:tc>
          <w:tcPr>
            <w:tcW w:type="dxa" w:w="7026"/>
            <w:tcBorders>
              <w:top w:val="single" w:color="C9C9C9" w:sz="1"/>
              <w:left w:val="single" w:color="C9C9C9" w:sz="1"/>
              <w:bottom w:val="single" w:color="C9C9C9" w:sz="1"/>
              <w:right w:val="single" w:color="C9C9C9" w:sz="1"/>
            </w:tcBorders>
            <w:shd w:fill="DEEAF1" w:val="clear"/>
            <w:tcMar>
              <w:top w:type="dxa" w:w="80"/>
              <w:left w:type="dxa" w:w="160"/>
              <w:bottom w:type="dxa" w:w="80"/>
              <w:right w:type="dxa" w:w="160"/>
            </w:tcMar>
          </w:tcPr>
          <w:p>
            <w:pPr>
              <w:spacing w:after="0" w:before="0"/>
            </w:pPr>
            <w:r>
              <w:rPr>
                <w:rFonts w:ascii="Calibri" w:cs="Calibri" w:eastAsia="Calibri" w:hAnsi="Calibri"/>
                <w:sz w:val="22"/>
                <w:szCs w:val="22"/>
              </w:rPr>
              <w:t xml:space="preserve">Il perimetro dell'identità si è esteso ben oltre gli utenti umani: AI agent e workload identity rappresentano oggi la superficie d'attacco più sottovalutata. Idira è la prima piattaforma commerciale a trattarle con lo stesso rigore del PAM tradizionale, anticipando i requisiti NIS2 e DORA. La convergenza PAM+ITDR in un'unica console riduce drasticamente il tempo di risposta agli attacchi identity-based, che rappresentano oltre il 70% degli initial access nei breach enterprise.</w:t>
            </w:r>
          </w:p>
        </w:tc>
      </w:tr>
      <w:tr>
        <w:tc>
          <w:tcPr>
            <w:tcW w:type="dxa" w:w="2000"/>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vAlign w:val="top"/>
          </w:tcPr>
          <w:p>
            <w:r>
              <w:rPr>
                <w:rFonts w:ascii="Calibri" w:cs="Calibri" w:eastAsia="Calibri" w:hAnsi="Calibri"/>
                <w:b/>
                <w:bCs/>
                <w:color w:val="1F4E79"/>
                <w:sz w:val="22"/>
                <w:szCs w:val="22"/>
              </w:rPr>
              <w:t xml:space="preserve">Approfondimenti</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pPr>
              <w:pStyle w:val="ListParagraph"/>
              <w:numPr>
                <w:ilvl w:val="0"/>
                <w:numId w:val="2"/>
              </w:numPr>
              <w:spacing w:after="30" w:before="30"/>
            </w:pPr>
            <w:hyperlink w:history="1" r:id="rId4oclznvsw_hniursvxaxf">
              <w:r>
                <w:rPr>
                  <w:rStyle w:val="Hyperlink"/>
                  <w:rFonts w:ascii="Calibri" w:cs="Calibri" w:eastAsia="Calibri" w:hAnsi="Calibri"/>
                  <w:sz w:val="22"/>
                  <w:szCs w:val="22"/>
                </w:rPr>
                <w:t xml:space="preserve">Pagina ufficiale Idira — Palo Alto Networks</w:t>
              </w:r>
            </w:hyperlink>
          </w:p>
          <w:p>
            <w:pPr>
              <w:pStyle w:val="ListParagraph"/>
              <w:numPr>
                <w:ilvl w:val="0"/>
                <w:numId w:val="2"/>
              </w:numPr>
              <w:spacing w:after="30" w:before="30"/>
            </w:pPr>
            <w:hyperlink w:history="1" r:id="rIdhfxcdrg1jx_8syo8xcsa2">
              <w:r>
                <w:rPr>
                  <w:rStyle w:val="Hyperlink"/>
                  <w:rFonts w:ascii="Calibri" w:cs="Calibri" w:eastAsia="Calibri" w:hAnsi="Calibri"/>
                  <w:sz w:val="22"/>
                  <w:szCs w:val="22"/>
                </w:rPr>
                <w:t xml:space="preserve">Press release lancio Idira (12 maggio 2026)</w:t>
              </w:r>
            </w:hyperlink>
          </w:p>
          <w:p>
            <w:pPr>
              <w:pStyle w:val="ListParagraph"/>
              <w:numPr>
                <w:ilvl w:val="0"/>
                <w:numId w:val="2"/>
              </w:numPr>
              <w:spacing w:after="30" w:before="30"/>
            </w:pPr>
            <w:hyperlink w:history="1" r:id="rIdjkxhlfgv1d2evnn9rnthc">
              <w:r>
                <w:rPr>
                  <w:rStyle w:val="Hyperlink"/>
                  <w:rFonts w:ascii="Calibri" w:cs="Calibri" w:eastAsia="Calibri" w:hAnsi="Calibri"/>
                  <w:sz w:val="22"/>
                  <w:szCs w:val="22"/>
                </w:rPr>
                <w:t xml:space="preserve">Analisi SiliconANGLE: Idira e le identità agentiche</w:t>
              </w:r>
            </w:hyperlink>
          </w:p>
        </w:tc>
      </w:tr>
    </w:tbl>
    <w:p>
      <w:pPr>
        <w:spacing w:after="0" w:before="2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9026"/>
            <w:tcBorders>
              <w:top w:val="single" w:color="C9C9C9" w:sz="1"/>
              <w:left w:val="single" w:color="C9C9C9" w:sz="1"/>
              <w:bottom w:val="single" w:color="C9C9C9" w:sz="1"/>
              <w:right w:val="single" w:color="C9C9C9" w:sz="1"/>
            </w:tcBorders>
            <w:shd w:fill="1F4E79" w:val="clear"/>
            <w:tcMar>
              <w:top w:type="dxa" w:w="100"/>
              <w:left w:type="dxa" w:w="160"/>
              <w:bottom w:type="dxa" w:w="100"/>
              <w:right w:type="dxa" w:w="160"/>
            </w:tcMar>
          </w:tcPr>
          <w:p>
            <w:r>
              <w:rPr>
                <w:rFonts w:ascii="Calibri" w:cs="Calibri" w:eastAsia="Calibri" w:hAnsi="Calibri"/>
                <w:b/>
                <w:bCs/>
                <w:color w:val="FFFFFF"/>
                <w:sz w:val="26"/>
                <w:szCs w:val="26"/>
              </w:rPr>
              <w:t xml:space="preserve">2. Sysdig — Headless Cloud Security</w:t>
            </w:r>
            <w:r>
              <w:rPr>
                <w:rFonts w:ascii="Calibri" w:cs="Calibri" w:eastAsia="Calibri" w:hAnsi="Calibri"/>
                <w:color w:val="BDD7EE"/>
                <w:sz w:val="20"/>
                <w:szCs w:val="20"/>
              </w:rPr>
              <w:t xml:space="preserve">  ·  Internazionale (USA)</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Ambito</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Cloud &amp; Infrastructure Security · CNAPP · CWPP · AI-Native Security</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Cosa fa</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Sysdig annuncia in maggio 2026 la prima piattaforma cloud security headless, progettata per l’era degli agenti AI. Consente di usare agenti AI come operatori primari della difesa con Sysdig Sage come motore centrale. La security diventa machine-speed e data-driven, non piu’ human-driven.</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Funzionali</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Sysdig Sage AI Analyst: agente AI agentico con multi-step reasoning su minacce cloud in tempo reale. Runtime-first prioritization tramite eBPF: riduzione del 95% del noise sulle vulnerabilita’. Verified Exploit Paths: connette misconfigurazioni, identita’ cloud, vulnerabilita’ e comportamenti runtime. AI Pipeline Security: protegge modelli LLM e pipeline AI da injection e data exfiltration. Headless API per integrazione con agenti AI custom.</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Infrastruttura</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Deployment: SaaS multi-tenant con eBPF agent per runtime on-premise. Architettura: sensor eBPF per runtime, motore agentless per posture via cloud API. Integrazioni: Kubernetes, EKS, AKS, GKE, AWS, Azure, GCP, GitHub Actions, ServiceNow, Slack, PagerDuty. Forrester Wave Leader Q1 2026 per CNAPP.</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Target</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Dimensione: Mid-market e Enterprise cloud-native (da 200 dipendenti con Kubernetes o multi-cloud). Settori: Fintech, SaaS, e-commerce, healthcare digitale, media. Prerequisiti: ambienti containerizzati; maturita’ DevSecOps per le funzionalita’ headless.</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Perche’ ora</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Il report Sysdig 2026 dichiara che la security guidata dagli umani sta finendo: velocita’ di attacco cloud di 5-10 minuti dall’accesso iniziale all’exfiltration rendono la risposta manuale impossibile. Il paradigma headless — security governata da agenti AI — e’ la risposta a questa realta’. Risultati gia’ documentati: riduzione MTTR del 76%, risparmio di 80+ ore/settimana di triage manuale.</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Approfondimenti</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https://www.sysdig.com/press-releases/sysdig-headless-cloud-security · https://www.sysdig.com/press-releases/2026-usage-report</w:t>
            </w:r>
          </w:p>
        </w:tc>
      </w:tr>
    </w:tbl>
    <w:p>
      <w:pPr>
        <w:spacing w:after="0" w:before="2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9026"/>
            <w:tcBorders>
              <w:top w:val="single" w:color="C9C9C9" w:sz="1"/>
              <w:left w:val="single" w:color="C9C9C9" w:sz="1"/>
              <w:bottom w:val="single" w:color="C9C9C9" w:sz="1"/>
              <w:right w:val="single" w:color="C9C9C9" w:sz="1"/>
            </w:tcBorders>
            <w:shd w:fill="1F4E79" w:val="clear"/>
            <w:tcMar>
              <w:top w:type="dxa" w:w="100"/>
              <w:left w:type="dxa" w:w="160"/>
              <w:bottom w:type="dxa" w:w="100"/>
              <w:right w:type="dxa" w:w="160"/>
            </w:tcMar>
          </w:tcPr>
          <w:p>
            <w:r>
              <w:rPr>
                <w:rFonts w:ascii="Calibri" w:cs="Calibri" w:eastAsia="Calibri" w:hAnsi="Calibri"/>
                <w:b/>
                <w:bCs/>
                <w:color w:val="FFFFFF"/>
                <w:sz w:val="26"/>
                <w:szCs w:val="26"/>
              </w:rPr>
              <w:t xml:space="preserve">3. Dragos — Platform 3.1 AI per OT</w:t>
            </w:r>
            <w:r>
              <w:rPr>
                <w:rFonts w:ascii="Calibri" w:cs="Calibri" w:eastAsia="Calibri" w:hAnsi="Calibri"/>
                <w:color w:val="BDD7EE"/>
                <w:sz w:val="20"/>
                <w:szCs w:val="20"/>
              </w:rPr>
              <w:t xml:space="preserve">  ·  Internazionale (USA)</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Ambito</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OT/IoT &amp; Infrastrutture Critiche · ICS Security · Critical Infrastructure Protection</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Cosa fa</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Dragos ha rilasciato Platform 3.1 (LTS) che introduce AI nel cuore della piattaforma OT/ICS. Il rilascio arriva con il report 2026 che registra 119 gruppi ransomware attivi contro infrastrutture industriali (+49% rispetto al 2024) e con CIRCIA a pieno regime da maggio 2026.</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Funzionali</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AI-Powered Analyst Workflows: triage automatizzato degli alert OT che distingue anomalie operative da minacce reali. Asset Lifecycle Management: traccia ogni dispositivo industriale inclusi quelli end-of-support (CISA BOD 26-02). Control Loop Mapping: rileva avversari che mappano loop di controllo fisici. Threat Intelligence OT-specifica per Purdue levels e protocolli Modbus, DNP3, EtherNet/IP. Compliance CIRCIA 72h reporting e IEC 62443.</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Infrastruttura</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Deployment: on-premise (air-gapped) o ibrido con cloud management plane opzionale. Architettura: passive network monitoring senza agent su PLC/RTU, sensori per reti IT/OT convergenti. Integrazioni: Splunk, Microsoft Sentinel, IBM QRadar, ServiceNow, firewall Fortinet e Cisco. Supporta ambienti completamente isolati da Internet.</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Target</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Dimensione: Enterprise con infrastrutture OT/ICS (da 500 dipendenti con reti industriali). Settori: Energia (oil &amp; gas, utilities), manifatturiero, trasporti, sanita’ con dispositivi medici connessi. Rilevante per il mercato italiano: ENI, Enel, Snam, Leonardo, grandi ospedali con SCADA. Leader nel Gartner MQ per CPS Protection Platforms 2026.</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Perche’ ora</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Maggio 2026: CIRCIA entra a pieno regime con finestra 72h per reporting (benchmark per NIS2 europea e ACN italiana). Il report Dragos 2026 e’ allarmante: gli avversari non si limitano piu’ a pre-posizionarsi nelle reti OT ma mappano attivamente i control loop fisici — salto qualitativo che prelude ad attacchi con danni fisici reali. Manufacturing: 28% di tutti gli attacchi cyber nel 2025.</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Approfondimenti</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https://www.dragos.com/blog/dragos-platform-ai-ot-security-visibility · https://www.dragos.com/ot-cybersecurity-year-in-review</w:t>
            </w:r>
          </w:p>
        </w:tc>
      </w:tr>
    </w:tbl>
    <w:p>
      <w:pPr>
        <w:spacing w:after="60" w:before="360"/>
      </w:pPr>
    </w:p>
    <w:p>
      <w:pPr>
        <w:pStyle w:val="Heading2"/>
      </w:pPr>
      <w:r>
        <w:rPr>
          <w:rFonts w:ascii="Calibri" w:cs="Calibri" w:eastAsia="Calibri" w:hAnsi="Calibri"/>
          <w:b/>
          <w:bCs/>
          <w:color w:val="4472C4"/>
          <w:sz w:val="24"/>
          <w:szCs w:val="24"/>
        </w:rPr>
        <w:t xml:space="preserve">Segnali dal mercato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9C9C9" w:sz="1"/>
              <w:left w:val="single" w:color="C9C9C9" w:sz="1"/>
              <w:bottom w:val="single" w:color="C9C9C9" w:sz="1"/>
              <w:right w:val="single" w:color="C9C9C9" w:sz="1"/>
            </w:tcBorders>
            <w:shd w:fill="1F4E79" w:val="clear"/>
            <w:tcMar>
              <w:top w:type="dxa" w:w="80"/>
              <w:left w:type="dxa" w:w="160"/>
              <w:bottom w:type="dxa" w:w="80"/>
              <w:right w:type="dxa" w:w="160"/>
            </w:tcMar>
          </w:tcPr>
          <w:p>
            <w:r>
              <w:rPr>
                <w:rFonts w:ascii="Calibri" w:cs="Calibri" w:eastAsia="Calibri" w:hAnsi="Calibri"/>
                <w:b/>
                <w:bCs/>
                <w:color w:val="FFFFFF"/>
                <w:sz w:val="22"/>
                <w:szCs w:val="22"/>
              </w:rPr>
              <w:t xml:space="preserve">Ambito</w:t>
            </w:r>
          </w:p>
        </w:tc>
        <w:tc>
          <w:tcPr>
            <w:tcW w:type="dxa" w:w="6226"/>
            <w:tcBorders>
              <w:top w:val="single" w:color="C9C9C9" w:sz="1"/>
              <w:left w:val="single" w:color="C9C9C9" w:sz="1"/>
              <w:bottom w:val="single" w:color="C9C9C9" w:sz="1"/>
              <w:right w:val="single" w:color="C9C9C9" w:sz="1"/>
            </w:tcBorders>
            <w:shd w:fill="1F4E79" w:val="clear"/>
            <w:tcMar>
              <w:top w:type="dxa" w:w="80"/>
              <w:left w:type="dxa" w:w="160"/>
              <w:bottom w:type="dxa" w:w="80"/>
              <w:right w:type="dxa" w:w="160"/>
            </w:tcMar>
          </w:tcPr>
          <w:p>
            <w:r>
              <w:rPr>
                <w:rFonts w:ascii="Calibri" w:cs="Calibri" w:eastAsia="Calibri" w:hAnsi="Calibri"/>
                <w:b/>
                <w:bCs/>
                <w:color w:val="FFFFFF"/>
                <w:sz w:val="22"/>
                <w:szCs w:val="22"/>
              </w:rPr>
              <w:t xml:space="preserve">Segnale della settimana</w:t>
            </w:r>
          </w:p>
        </w:tc>
      </w:tr>
      <w:tr>
        <w:tc>
          <w:tcPr>
            <w:tcW w:type="dxa" w:w="2800"/>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tcPr>
          <w:p>
            <w:r>
              <w:rPr>
                <w:rFonts w:ascii="Calibri" w:cs="Calibri" w:eastAsia="Calibri" w:hAnsi="Calibri"/>
                <w:b/>
                <w:bCs/>
                <w:color w:val="1F4E79"/>
                <w:sz w:val="22"/>
                <w:szCs w:val="22"/>
              </w:rPr>
              <w:t xml:space="preserve">Endpoint &amp; Identity</w:t>
            </w:r>
          </w:p>
        </w:tc>
        <w:tc>
          <w:tcPr>
            <w:tcW w:type="dxa" w:w="6226"/>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tcPr>
          <w:p>
            <w:pPr>
              <w:spacing w:after="0" w:before="0"/>
            </w:pPr>
            <w:r>
              <w:rPr>
                <w:rFonts w:ascii="Calibri" w:cs="Calibri" w:eastAsia="Calibri" w:hAnsi="Calibri"/>
                <w:sz w:val="22"/>
                <w:szCs w:val="22"/>
              </w:rPr>
              <w:t xml:space="preserve">Le identita' agentiche sono il nuovo campo di battaglia: con Idira, Palo Alto formalizza una categoria che nei prossimi 12 mesi vedra' tutti i vendor posizionarsi. La convergenza PAM+ITDR diventa requisito emergente nelle gare enterprise.</w:t>
            </w:r>
          </w:p>
        </w:tc>
      </w:tr>
      <w:tr>
        <w:tc>
          <w:tcPr>
            <w:tcW w:type="dxa" w:w="2800"/>
            <w:tcBorders>
              <w:top w:val="single" w:color="C9C9C9" w:sz="1"/>
              <w:left w:val="single" w:color="C9C9C9" w:sz="1"/>
              <w:bottom w:val="single" w:color="C9C9C9" w:sz="1"/>
              <w:right w:val="single" w:color="C9C9C9" w:sz="1"/>
            </w:tcBorders>
            <w:shd w:fill="FFFFFF" w:val="clear"/>
            <w:tcMar>
              <w:top w:type="dxa" w:w="80"/>
              <w:left w:type="dxa" w:w="160"/>
              <w:bottom w:type="dxa" w:w="80"/>
              <w:right w:type="dxa" w:w="160"/>
            </w:tcMar>
          </w:tcPr>
          <w:p>
            <w:r>
              <w:rPr>
                <w:rFonts w:ascii="Calibri" w:cs="Calibri" w:eastAsia="Calibri" w:hAnsi="Calibri"/>
                <w:b/>
                <w:bCs/>
                <w:color w:val="1F4E79"/>
                <w:sz w:val="22"/>
                <w:szCs w:val="22"/>
              </w:rPr>
              <w:t xml:space="preserve">Cloud Security</w:t>
            </w:r>
          </w:p>
        </w:tc>
        <w:tc>
          <w:tcPr>
            <w:tcW w:type="dxa" w:w="6226"/>
            <w:tcBorders>
              <w:top w:val="single" w:color="C9C9C9" w:sz="1"/>
              <w:left w:val="single" w:color="C9C9C9" w:sz="1"/>
              <w:bottom w:val="single" w:color="C9C9C9" w:sz="1"/>
              <w:right w:val="single" w:color="C9C9C9" w:sz="1"/>
            </w:tcBorders>
            <w:shd w:fill="FFFFFF" w:val="clear"/>
            <w:tcMar>
              <w:top w:type="dxa" w:w="80"/>
              <w:left w:type="dxa" w:w="160"/>
              <w:bottom w:type="dxa" w:w="80"/>
              <w:right w:type="dxa" w:w="160"/>
            </w:tcMar>
          </w:tcPr>
          <w:p>
            <w:pPr>
              <w:spacing w:after="0" w:before="0"/>
            </w:pPr>
            <w:r>
              <w:rPr>
                <w:rFonts w:ascii="Calibri" w:cs="Calibri" w:eastAsia="Calibri" w:hAnsi="Calibri"/>
                <w:sz w:val="22"/>
                <w:szCs w:val="22"/>
              </w:rPr>
              <w:t xml:space="preserve">Il Forrester Wave CNAPP Q1 2026 ha certificato la fine della frammentazione. Chi ha ancora tool separati per CSPM, CWPP e CIEM ha 12-18 mesi per consolidare prima che NIS2 renda obbligatoria la tracciabilita' della postura cloud.</w:t>
            </w:r>
          </w:p>
        </w:tc>
      </w:tr>
      <w:tr>
        <w:tc>
          <w:tcPr>
            <w:tcW w:type="dxa" w:w="2800"/>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tcPr>
          <w:p>
            <w:r>
              <w:rPr>
                <w:rFonts w:ascii="Calibri" w:cs="Calibri" w:eastAsia="Calibri" w:hAnsi="Calibri"/>
                <w:b/>
                <w:bCs/>
                <w:color w:val="1F4E79"/>
                <w:sz w:val="22"/>
                <w:szCs w:val="22"/>
              </w:rPr>
              <w:t xml:space="preserve">AI &amp; Threat Intelligence</w:t>
            </w:r>
          </w:p>
        </w:tc>
        <w:tc>
          <w:tcPr>
            <w:tcW w:type="dxa" w:w="6226"/>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tcPr>
          <w:p>
            <w:pPr>
              <w:spacing w:after="0" w:before="0"/>
            </w:pPr>
            <w:r>
              <w:rPr>
                <w:rFonts w:ascii="Calibri" w:cs="Calibri" w:eastAsia="Calibri" w:hAnsi="Calibri"/>
                <w:sz w:val="22"/>
                <w:szCs w:val="22"/>
              </w:rPr>
              <w:t xml:space="preserve">L'inaugurazione del Gartner MQ CTI e' un evento di mercato strutturale. Nei prossimi 12 mesi assisteremo ad acquisizioni di vendor CTI niche da parte di player di piattaforma.</w:t>
            </w:r>
          </w:p>
        </w:tc>
      </w:tr>
      <w:tr>
        <w:tc>
          <w:tcPr>
            <w:tcW w:type="dxa" w:w="2800"/>
            <w:tcBorders>
              <w:top w:val="single" w:color="C9C9C9" w:sz="1"/>
              <w:left w:val="single" w:color="C9C9C9" w:sz="1"/>
              <w:bottom w:val="single" w:color="C9C9C9" w:sz="1"/>
              <w:right w:val="single" w:color="C9C9C9" w:sz="1"/>
            </w:tcBorders>
            <w:shd w:fill="FFFFFF" w:val="clear"/>
            <w:tcMar>
              <w:top w:type="dxa" w:w="80"/>
              <w:left w:type="dxa" w:w="160"/>
              <w:bottom w:type="dxa" w:w="80"/>
              <w:right w:type="dxa" w:w="160"/>
            </w:tcMar>
          </w:tcPr>
          <w:p>
            <w:r>
              <w:rPr>
                <w:rFonts w:ascii="Calibri" w:cs="Calibri" w:eastAsia="Calibri" w:hAnsi="Calibri"/>
                <w:b/>
                <w:bCs/>
                <w:color w:val="1F4E79"/>
                <w:sz w:val="22"/>
                <w:szCs w:val="22"/>
              </w:rPr>
              <w:t xml:space="preserve">OT/IoT</w:t>
            </w:r>
          </w:p>
        </w:tc>
        <w:tc>
          <w:tcPr>
            <w:tcW w:type="dxa" w:w="6226"/>
            <w:tcBorders>
              <w:top w:val="single" w:color="C9C9C9" w:sz="1"/>
              <w:left w:val="single" w:color="C9C9C9" w:sz="1"/>
              <w:bottom w:val="single" w:color="C9C9C9" w:sz="1"/>
              <w:right w:val="single" w:color="C9C9C9" w:sz="1"/>
            </w:tcBorders>
            <w:shd w:fill="FFFFFF" w:val="clear"/>
            <w:tcMar>
              <w:top w:type="dxa" w:w="80"/>
              <w:left w:type="dxa" w:w="160"/>
              <w:bottom w:type="dxa" w:w="80"/>
              <w:right w:type="dxa" w:w="160"/>
            </w:tcMar>
          </w:tcPr>
          <w:p>
            <w:pPr>
              <w:spacing w:after="0" w:before="0"/>
            </w:pPr>
            <w:r>
              <w:rPr>
                <w:rFonts w:ascii="Calibri" w:cs="Calibri" w:eastAsia="Calibri" w:hAnsi="Calibri"/>
                <w:sz w:val="22"/>
                <w:szCs w:val="22"/>
              </w:rPr>
              <w:t xml:space="preserve">Il report Dragos 2026 segnala che il 96% degli incidenti OT origina da compromissioni IT-side: non esiste piu' separazione sicura tra IT e OT. Opportunita' per chi investe in network segmentation OT-aware.</w:t>
            </w:r>
          </w:p>
        </w:tc>
      </w:tr>
      <w:tr>
        <w:tc>
          <w:tcPr>
            <w:tcW w:type="dxa" w:w="2800"/>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tcPr>
          <w:p>
            <w:r>
              <w:rPr>
                <w:rFonts w:ascii="Calibri" w:cs="Calibri" w:eastAsia="Calibri" w:hAnsi="Calibri"/>
                <w:b/>
                <w:bCs/>
                <w:color w:val="1F4E79"/>
                <w:sz w:val="22"/>
                <w:szCs w:val="22"/>
              </w:rPr>
              <w:t xml:space="preserve">Network &amp; Microsegmentazione</w:t>
            </w:r>
          </w:p>
        </w:tc>
        <w:tc>
          <w:tcPr>
            <w:tcW w:type="dxa" w:w="6226"/>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tcPr>
          <w:p>
            <w:pPr>
              <w:spacing w:after="0" w:before="0"/>
            </w:pPr>
            <w:r>
              <w:rPr>
                <w:rFonts w:ascii="Calibri" w:cs="Calibri" w:eastAsia="Calibri" w:hAnsi="Calibri"/>
                <w:sz w:val="22"/>
                <w:szCs w:val="22"/>
              </w:rPr>
              <w:t xml:space="preserve">Convergenza ZTNA+SASE come modello di riferimento. Illumio e Akamai Guardicore restano le soluzioni piu' citate per microsegmentazione workload-level. Da monitorare Universal ZTNA come layer unificante.</w:t>
            </w:r>
          </w:p>
        </w:tc>
      </w:tr>
    </w:tbl>
    <w:p>
      <w:pPr>
        <w:spacing w:after="60" w:before="360"/>
      </w:pPr>
    </w:p>
    <w:p>
      <w:pPr>
        <w:pBdr>
          <w:bottom w:val="single" w:color="1F4E79" w:sz="4" w:space="1"/>
        </w:pBdr>
        <w:spacing w:after="120" w:before="120"/>
      </w:pPr>
      <w:r>
        <w:t xml:space="preserve"/>
      </w:r>
    </w:p>
    <w:p>
      <w:pPr>
        <w:spacing w:after="60" w:before="100"/>
        <w:jc w:val="center"/>
      </w:pPr>
      <w:r>
        <w:rPr>
          <w:rFonts w:ascii="Calibri" w:cs="Calibri" w:eastAsia="Calibri" w:hAnsi="Calibri"/>
          <w:i/>
          <w:iCs/>
          <w:color w:val="595959"/>
          <w:sz w:val="18"/>
          <w:szCs w:val="18"/>
        </w:rPr>
        <w:t xml:space="preserve">Prossimo briefing: 28 maggio 2026  ·  Generato automaticamente da Claude  ·  Cowork</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1"/>
      </w:pBdr>
      <w:spacing w:before="0"/>
      <w:jc w:val="center"/>
    </w:pPr>
    <w:r>
      <w:rPr>
        <w:rFonts w:ascii="Calibri" w:cs="Calibri" w:eastAsia="Calibri" w:hAnsi="Calibri"/>
        <w:color w:val="595959"/>
        <w:sz w:val="16"/>
        <w:szCs w:val="16"/>
      </w:rPr>
      <w:t xml:space="preserve">Generato automaticamente da Claude · Cowork  |  Pagina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1"/>
      </w:pBdr>
      <w:tabs>
        <w:tab w:val="right" w:pos="9026"/>
      </w:tabs>
      <w:spacing w:after="0"/>
    </w:pPr>
    <w:r>
      <w:rPr>
        <w:rFonts w:ascii="Calibri" w:cs="Calibri" w:eastAsia="Calibri" w:hAnsi="Calibri"/>
        <w:color w:val="595959"/>
        <w:sz w:val="18"/>
        <w:szCs w:val="18"/>
      </w:rPr>
      <w:t xml:space="preserve">Diario Cybersecurity · Marco Taglienti</w:t>
    </w:r>
    <w:r>
      <w:rPr>
        <w:rFonts w:ascii="Calibri" w:cs="Calibri" w:eastAsia="Calibri" w:hAnsi="Calibri"/>
        <w:color w:val="595959"/>
        <w:sz w:val="18"/>
        <w:szCs w:val="18"/>
      </w:rPr>
      <w:t xml:space="preserv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color w:val="1F4E79"/>
      <w:sz w:val="28"/>
      <w:szCs w:val="28"/>
    </w:rPr>
  </w:style>
  <w:style w:type="paragraph" w:styleId="Heading2">
    <w:name w:val="Heading 2"/>
    <w:basedOn w:val="Normal"/>
    <w:next w:val="Normal"/>
    <w:qFormat/>
    <w:pPr>
      <w:spacing w:after="80" w:before="240"/>
      <w:outlineLvl w:val="1"/>
    </w:pPr>
    <w:rPr>
      <w:rFonts w:ascii="Calibri" w:cs="Calibri" w:eastAsia="Calibri" w:hAnsi="Calibri"/>
      <w:b/>
      <w:bCs/>
      <w:color w:val="4472C4"/>
      <w:sz w:val="24"/>
      <w:szCs w:val="24"/>
    </w:rPr>
  </w:style>
  <w:style w:type="paragraph" w:styleId="Heading3">
    <w:name w:val="Heading 3"/>
    <w:basedOn w:val="Normal"/>
    <w:next w:val="Normal"/>
    <w:qFormat/>
    <w:pPr>
      <w:spacing w:after="60" w:before="160"/>
      <w:outlineLvl w:val="2"/>
    </w:pPr>
    <w:rPr>
      <w:rFonts w:ascii="Calibri" w:cs="Calibri" w:eastAsia="Calibri" w:hAnsi="Calibri"/>
      <w:b/>
      <w:bCs/>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4oclznvsw_hniursvxaxf" Type="http://schemas.openxmlformats.org/officeDocument/2006/relationships/hyperlink" Target="https://www.paloaltonetworks.com/idira" TargetMode="External"/><Relationship Id="rIdhfxcdrg1jx_8syo8xcsa2" Type="http://schemas.openxmlformats.org/officeDocument/2006/relationships/hyperlink" Target="https://www.paloaltonetworks.com/company/press/2026/palo-alto-networks-introduces-idira--the-next-generation-identity-security-platform-built-for-the-ai-enterprise" TargetMode="External"/><Relationship Id="rIdjkxhlfgv1d2evnn9rnthc" Type="http://schemas.openxmlformats.org/officeDocument/2006/relationships/hyperlink" Target="https://siliconangle.com/2026/05/12/idira-launches-palo-alto-networks-extends-cyberark-tech-machine-agentic-identities" TargetMode="External"/><Relationship Id="rIdj0hxdgjxauv6in7rql60b" Type="http://schemas.openxmlformats.org/officeDocument/2006/relationships/hyperlink" Target="https://www.crowdstrike.com/en-us/products/threat-intelligence/" TargetMode="External"/><Relationship Id="rId-qf62qpzpvd5yb3nmh7sg" Type="http://schemas.openxmlformats.org/officeDocument/2006/relationships/hyperlink" Target="https://www.crowdstrike.com/en-us/press-releases/crowdstrike-named-a-leader-2026-gartner-magic-quadrant-for-cyberthreat-intelligence-technologies/" TargetMode="External"/><Relationship Id="rIdsy5qymgrpn2ieqrla76pd" Type="http://schemas.openxmlformats.org/officeDocument/2006/relationships/hyperlink" Target="https://techcoffeehouse.com/2026/05/06/crowdstrike-leads-inaugural-gartner-cyberthreat-intelligence-magic-quadrant/" TargetMode="External"/><Relationship Id="rIdq72n_ifa2ilnhcei47jsl" Type="http://schemas.openxmlformats.org/officeDocument/2006/relationships/hyperlink" Target="https://www.wiz.io/platform" TargetMode="External"/><Relationship Id="rIdotmpk5waggb6sbh0a0olq" Type="http://schemas.openxmlformats.org/officeDocument/2006/relationships/hyperlink" Target="https://www.wiz.io/blog/forrester-wave-cnapp-2026" TargetMode="External"/><Relationship Id="rIdka0tfnbuot47pziil0ieg" Type="http://schemas.openxmlformats.org/officeDocument/2006/relationships/hyperlink" Target="https://tamnoon.io/blog/cnapps-you-need-to-know-in-2026/" TargetMode="External"/><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2026-05-21T09:57:17.955Z</dcterms:created>
  <dcterms:modified xsi:type="dcterms:W3CDTF">2026-05-21T09:57:17.956Z</dcterms:modified>
</cp:coreProperties>
</file>

<file path=docProps/custom.xml><?xml version="1.0" encoding="utf-8"?>
<Properties xmlns="http://schemas.openxmlformats.org/officeDocument/2006/custom-properties" xmlns:vt="http://schemas.openxmlformats.org/officeDocument/2006/docPropsVTypes"/>
</file>