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440"/>
      </w:pPr>
    </w:p>
    <w:p>
      <w:pPr>
        <w:spacing w:after="120" w:before="0"/>
        <w:jc w:val="center"/>
      </w:pPr>
      <w:r>
        <w:rPr>
          <w:rFonts w:ascii="Calibri" w:cs="Calibri" w:eastAsia="Calibri" w:hAnsi="Calibri"/>
          <w:b/>
          <w:bCs/>
          <w:color w:val="1F4E79"/>
          <w:spacing w:val="40"/>
          <w:sz w:val="52"/>
          <w:szCs w:val="52"/>
        </w:rPr>
        <w:t xml:space="preserve">DIARIO CYBERSECURITY</w:t>
      </w:r>
    </w:p>
    <w:p>
      <w:pPr>
        <w:spacing w:after="60" w:before="0"/>
        <w:jc w:val="center"/>
      </w:pPr>
      <w:r>
        <w:rPr>
          <w:rFonts w:ascii="Calibri" w:cs="Calibri" w:eastAsia="Calibri" w:hAnsi="Calibri"/>
          <w:i/>
          <w:iCs/>
          <w:color w:val="4472C4"/>
          <w:sz w:val="26"/>
          <w:szCs w:val="26"/>
        </w:rPr>
        <w:t xml:space="preserve">Briefing settimanale · Enterprise &amp; Mid-market</w:t>
      </w:r>
    </w:p>
    <w:p>
      <w:pPr>
        <w:pBdr>
          <w:bottom w:val="single" w:color="1F4E79" w:sz="12" w:space="1"/>
        </w:pBdr>
        <w:spacing w:after="120" w:before="120"/>
      </w:pPr>
      <w:r>
        <w:t xml:space="preserve"/>
      </w:r>
    </w:p>
    <w:p>
      <w:pPr>
        <w:spacing w:after="60" w:before="60"/>
        <w:jc w:val="center"/>
      </w:pPr>
      <w:r>
        <w:rPr>
          <w:rFonts w:ascii="Calibri" w:cs="Calibri" w:eastAsia="Calibri" w:hAnsi="Calibri"/>
          <w:color w:val="595959"/>
          <w:sz w:val="22"/>
          <w:szCs w:val="22"/>
        </w:rPr>
        <w:t xml:space="preserve">Marco Taglienti  ·  2026</w:t>
      </w:r>
    </w:p>
    <w:p>
      <w:pPr>
        <w:spacing w:after="0" w:before="720"/>
      </w:pPr>
    </w:p>
    <w:p>
      <w:pPr>
        <w:pStyle w:val="Heading1"/>
      </w:pPr>
      <w:bookmarkStart w:name="bm_indice" w:id="1"/>
      <w:r>
        <w:rPr>
          <w:rFonts w:ascii="Calibri" w:cs="Calibri" w:eastAsia="Calibri" w:hAnsi="Calibri"/>
          <w:b/>
          <w:bCs/>
          <w:color w:val="1F4E79"/>
          <w:sz w:val="28"/>
          <w:szCs w:val="28"/>
        </w:rPr>
        <w:t xml:space="preserve">Indice dei briefing</w:t>
      </w:r>
      <w:bookmarkEnd w:id="1"/>
    </w:p>
    <w:p>
      <w:pPr>
        <w:spacing w:after="60" w:before="60"/>
      </w:pPr>
      <w:r>
        <w:rPr>
          <w:rFonts w:ascii="Calibri" w:cs="Calibri" w:eastAsia="Calibri" w:hAnsi="Calibri"/>
          <w:i/>
          <w:iCs/>
          <w:color w:val="595959"/>
          <w:sz w:val="22"/>
          <w:szCs w:val="22"/>
        </w:rPr>
        <w:t xml:space="preserve">Il documento si aggiorna ogni settimana con una nuova sezione in cima. Usa il pannello di navigazione di Word (Visualizza → Riquadro di spostamento) per saltare direttamente a un briefing specifico.</w:t>
      </w:r>
    </w:p>
    <w:p>
      <w:pPr>
        <w:spacing w:after="60" w:before="120"/>
      </w:pPr>
      <w:hyperlink w:history="1" w:anchor="bm_w40">
        <w:r>
          <w:rPr>
            <w:rStyle w:val="Hyperlink"/>
            <w:rFonts w:ascii="Calibri" w:cs="Calibri" w:eastAsia="Calibri" w:hAnsi="Calibri"/>
            <w:sz w:val="22"/>
            <w:szCs w:val="22"/>
          </w:rPr>
          <w:t xml:space="preserve">W40 · 4 ottobre 2026 — Vega II · BlackFog ADX Vision 2.0 · Postman Fabric Gateway</w:t>
        </w:r>
      </w:hyperlink>
    </w:p>
    <w:p>
      <w:pPr>
        <w:spacing w:after="60" w:before="120"/>
      </w:pPr>
      <w:hyperlink w:history="1" w:anchor="bm_w39">
        <w:r>
          <w:rPr>
            <w:rStyle w:val="Hyperlink"/>
            <w:rFonts w:ascii="Calibri" w:cs="Calibri" w:eastAsia="Calibri" w:hAnsi="Calibri"/>
            <w:sz w:val="22"/>
            <w:szCs w:val="22"/>
          </w:rPr>
          <w:t xml:space="preserve">W39 · 27 settembre 2026 — Gurucul AI Risk and Response · Bitdefender GravityZone AI Visibility and Control · SentinelOne Wayfinder multicloud</w:t>
        </w:r>
      </w:hyperlink>
    </w:p>
    <w:p>
      <w:pPr>
        <w:spacing w:after="60" w:before="120"/>
      </w:pPr>
      <w:hyperlink w:history="1" w:anchor="bm_w38">
        <w:r>
          <w:rPr>
            <w:rStyle w:val="Hyperlink"/>
            <w:rFonts w:ascii="Calibri" w:cs="Calibri" w:eastAsia="Calibri" w:hAnsi="Calibri"/>
            <w:sz w:val="22"/>
            <w:szCs w:val="22"/>
          </w:rPr>
          <w:t xml:space="preserve">W38 · 20 settembre 2026 — Nozomi Compass · Bitsight Beacon · Tuskira Vector</w:t>
        </w:r>
      </w:hyperlink>
    </w:p>
    <w:p>
      <w:pPr>
        <w:spacing w:after="60" w:before="120"/>
      </w:pPr>
      <w:hyperlink w:history="1" w:anchor="bm_w37">
        <w:r>
          <w:rPr>
            <w:rStyle w:val="Hyperlink"/>
            <w:rFonts w:ascii="Calibri" w:cs="Calibri" w:eastAsia="Calibri" w:hAnsi="Calibri"/>
            <w:sz w:val="22"/>
            <w:szCs w:val="22"/>
          </w:rPr>
          <w:t xml:space="preserve">W37 · 13 settembre 2026 — Akeyless Agentic Runtime Authority · Orchid Security Identity Drift &amp; Kill Switch · Securin Platform</w:t>
        </w:r>
      </w:hyperlink>
    </w:p>
    <w:p>
      <w:pPr>
        <w:spacing w:after="60" w:before="120"/>
      </w:pPr>
      <w:hyperlink w:history="1" w:anchor="bm_w36">
        <w:r>
          <w:rPr>
            <w:rStyle w:val="Hyperlink"/>
            <w:rFonts w:ascii="Calibri" w:cs="Calibri" w:eastAsia="Calibri" w:hAnsi="Calibri"/>
            <w:sz w:val="22"/>
            <w:szCs w:val="22"/>
          </w:rPr>
          <w:t xml:space="preserve">W36 · 6 settembre 2026 — Ping Identity Personal Agent Access · F5 AI-Powered WAF · Superna Cyberstorage 2.15</w:t>
        </w:r>
      </w:hyperlink>
    </w:p>
    <w:p>
      <w:pPr>
        <w:spacing w:after="60" w:before="120"/>
      </w:pPr>
      <w:hyperlink w:history="1" w:anchor="bm_w34">
        <w:r>
          <w:rPr>
            <w:rStyle w:val="Hyperlink"/>
            <w:rFonts w:ascii="Calibri" w:cs="Calibri" w:eastAsia="Calibri" w:hAnsi="Calibri"/>
            <w:sz w:val="22"/>
            <w:szCs w:val="22"/>
          </w:rPr>
          <w:t xml:space="preserve">W34 · 21 agosto 2026 — Tufin Segmentation Intelligence · F5 AI Gateway Next-Gen · Searchlight Cyber PTEM</w:t>
        </w:r>
      </w:hyperlink>
    </w:p>
    <w:p>
      <w:pPr>
        <w:spacing w:after="60" w:before="120"/>
      </w:pPr>
      <w:hyperlink w:history="1" w:anchor="bm_w32">
        <w:r>
          <w:rPr>
            <w:rStyle w:val="Hyperlink"/>
            <w:rFonts w:ascii="Calibri" w:cs="Calibri" w:eastAsia="Calibri" w:hAnsi="Calibri"/>
            <w:sz w:val="22"/>
            <w:szCs w:val="22"/>
          </w:rPr>
          <w:t xml:space="preserve">W32 · 9 agosto 2026 --- CrowdStrike Falcon Next-Gen Identity · SOCRadar Human Identity Exposure · Viakoo Device Configuration Manager</w:t>
        </w:r>
      </w:hyperlink>
    </w:p>
    <w:p>
      <w:pPr>
        <w:spacing w:after="60" w:before="120"/>
      </w:pPr>
      <w:hyperlink w:history="1" w:anchor="bm_w31">
        <w:r>
          <w:rPr>
            <w:rStyle w:val="Hyperlink"/>
            <w:rFonts w:ascii="Calibri" w:cs="Calibri" w:eastAsia="Calibri" w:hAnsi="Calibri"/>
            <w:sz w:val="22"/>
            <w:szCs w:val="22"/>
          </w:rPr>
          <w:t xml:space="preserve">W31 · 2 agosto 2026 — Act Security Action-Centric Cloud · Hush Security AI Agent Governance · 7AI Federated SIEM</w:t>
        </w:r>
      </w:hyperlink>
    </w:p>
    <w:p>
      <w:pPr>
        <w:spacing w:after="60" w:before="120"/>
      </w:pPr>
      <w:hyperlink w:history="1" w:anchor="bm_w30">
        <w:r>
          <w:rPr>
            <w:rStyle w:val="Hyperlink"/>
            <w:rFonts w:ascii="Calibri" w:cs="Calibri" w:eastAsia="Calibri" w:hAnsi="Calibri"/>
            <w:sz w:val="22"/>
            <w:szCs w:val="22"/>
          </w:rPr>
          <w:t xml:space="preserve">W30 · 26 luglio 2026 — ThreatDown AI Visibility &amp; NHI ITDR · Swimlane AI SOC for MSSPs · Bastazo+Nozomi OT Remediation</w:t>
        </w:r>
      </w:hyperlink>
    </w:p>
    <w:p>
      <w:pPr>
        <w:spacing w:after="60" w:before="120"/>
      </w:pPr>
      <w:hyperlink w:history="1" w:anchor="bm_w29_19lug">
        <w:r>
          <w:rPr>
            <w:rStyle w:val="Hyperlink"/>
            <w:rFonts w:ascii="Calibri" w:cs="Calibri" w:eastAsia="Calibri" w:hAnsi="Calibri"/>
            <w:sz w:val="22"/>
            <w:szCs w:val="22"/>
          </w:rPr>
          <w:t xml:space="preserve">W29 · 19 luglio 2026 — Lineation Zero Trust AI Agents · Cloudflare Precursor · Nudge Security Agentic OAuth Risk</w:t>
        </w:r>
      </w:hyperlink>
    </w:p>
    <w:p>
      <w:pPr>
        <w:spacing w:after="60" w:before="120"/>
      </w:pPr>
      <w:hyperlink w:history="1" w:anchor="bm_w29">
        <w:r>
          <w:rPr>
            <w:rStyle w:val="Hyperlink"/>
            <w:rFonts w:ascii="Calibri" w:cs="Calibri" w:eastAsia="Calibri" w:hAnsi="Calibri"/>
            <w:sz w:val="22"/>
            <w:szCs w:val="22"/>
          </w:rPr>
          <w:t xml:space="preserve">W29 · 15 luglio 2026 — Automox MCP Server 2.2 · First Recon AI Security Runtime · Lumen+Alkira ZTNA/SASE</w:t>
        </w:r>
      </w:hyperlink>
    </w:p>
    <w:p>
      <w:pPr>
        <w:spacing w:after="60" w:before="120"/>
      </w:pPr>
      <w:hyperlink w:history="1" w:anchor="bm_w26">
        <w:r>
          <w:rPr>
            <w:rStyle w:val="Hyperlink"/>
            <w:rFonts w:ascii="Calibri" w:cs="Calibri" w:eastAsia="Calibri" w:hAnsi="Calibri"/>
            <w:sz w:val="22"/>
            <w:szCs w:val="22"/>
          </w:rPr>
          <w:t xml:space="preserve">W26 · 29 giugno 2026 — Fortinet FortiSOC · Dragos+Phosphorus xOT · CrowdStrike+Zscaler Continuous Identity</w:t>
        </w:r>
      </w:hyperlink>
    </w:p>
    <w:p>
      <w:pPr>
        <w:spacing w:after="60" w:before="120"/>
      </w:pPr>
      <w:hyperlink w:history="1" w:anchor="bm_w24">
        <w:r>
          <w:rPr>
            <w:rStyle w:val="Hyperlink"/>
            <w:rFonts w:ascii="Calibri" w:cs="Calibri" w:eastAsia="Calibri" w:hAnsi="Calibri"/>
            <w:sz w:val="22"/>
            <w:szCs w:val="22"/>
          </w:rPr>
          <w:t xml:space="preserve">W24 · 15 giugno 2026 — Censys SOC Integrations · SentinelOne Purple AI Agentic · Sysdig CNAPP Forrester Leader</w:t>
        </w:r>
      </w:hyperlink>
    </w:p>
    <w:p>
      <w:pPr>
        <w:spacing w:after="60" w:before="120"/>
      </w:pPr>
      <w:hyperlink w:history="1" w:anchor="bm_w23">
        <w:r>
          <w:rPr>
            <w:rStyle w:val="Hyperlink"/>
            <w:rFonts w:ascii="Calibri" w:cs="Calibri" w:eastAsia="Calibri" w:hAnsi="Calibri"/>
            <w:sz w:val="22"/>
            <w:szCs w:val="22"/>
          </w:rPr>
          <w:t xml:space="preserve">W23 · 7 giugno 2026 — Sysdig Headless CNAPP · CrowdStrike Falcon Next-Gen Identity · Nozomi Vantage IQ Q2</w:t>
        </w:r>
      </w:hyperlink>
    </w:p>
    <w:p>
      <w:pPr>
        <w:spacing w:after="60" w:before="120"/>
      </w:pPr>
      <w:hyperlink w:history="1" w:anchor="bm_w22">
        <w:r>
          <w:rPr>
            <w:rStyle w:val="Hyperlink"/>
            <w:rFonts w:ascii="Calibri" w:cs="Calibri" w:eastAsia="Calibri" w:hAnsi="Calibri"/>
            <w:sz w:val="22"/>
            <w:szCs w:val="22"/>
          </w:rPr>
          <w:t xml:space="preserve">W22 · 31 maggio 2026 — Databricks Lakewatch · ManageEngine Log360 SOAR · Forescout OT/IoT</w:t>
        </w:r>
      </w:hyperlink>
    </w:p>
    <w:p>
      <w:pPr>
        <w:spacing w:after="60" w:before="120"/>
      </w:pPr>
      <w:hyperlink w:history="1" w:anchor="bm_w21_24mag">
        <w:r>
          <w:rPr>
            <w:rStyle w:val="Hyperlink"/>
            <w:rFonts w:ascii="Calibri" w:cs="Calibri" w:eastAsia="Calibri" w:hAnsi="Calibri"/>
            <w:sz w:val="22"/>
            <w:szCs w:val="22"/>
          </w:rPr>
          <w:t xml:space="preserve">W21 · 24 maggio 2026 — Idira (PANW) · Sysdig Sage CNAPP · Akamai Guardicore Platform</w:t>
        </w:r>
      </w:hyperlink>
    </w:p>
    <w:p>
      <w:pPr>
        <w:spacing w:after="60" w:before="120"/>
      </w:pPr>
      <w:hyperlink w:history="1" w:anchor="bm_w21">
        <w:r>
          <w:rPr>
            <w:rStyle w:val="Hyperlink"/>
            <w:rFonts w:ascii="Calibri" w:cs="Calibri" w:eastAsia="Calibri" w:hAnsi="Calibri"/>
            <w:sz w:val="22"/>
            <w:szCs w:val="22"/>
          </w:rPr>
          <w:t xml:space="preserve">W21 · 21 maggio 2026 — Idira (PANW) · Sysdig Headless Cloud Security · Dragos Platform 3.1</w:t>
        </w:r>
      </w:hyperlink>
    </w:p>
    <w:p>
      <w:pPr>
        <w:pStyle w:val="Heading1"/>
      </w:pPr>
      <w:bookmarkStart w:name="bm_w40" w:id="9040"/>
      <w:r>
        <w:rPr>
          <w:rFonts w:ascii="Calibri" w:cs="Calibri" w:eastAsia="Calibri" w:hAnsi="Calibri"/>
          <w:b/>
          <w:bCs/>
          <w:color w:val="1F4E79"/>
          <w:sz w:val="28"/>
          <w:szCs w:val="28"/>
        </w:rPr>
        <w:t xml:space="preserve">W40 · 4 ottobre 2026</w:t>
      </w:r>
      <w:bookmarkEnd w:id="904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Data</w:t>
            </w:r>
          </w:p>
          <w:p>
            <w:r>
              <w:rPr>
                <w:rFonts w:ascii="Calibri" w:cs="Calibri" w:eastAsia="Calibri" w:hAnsi="Calibri"/>
                <w:sz w:val="20"/>
                <w:szCs w:val="20"/>
              </w:rPr>
              <w:t xml:space="preserve">4 ottobre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Settimana</w:t>
            </w:r>
          </w:p>
          <w:p>
            <w:r>
              <w:rPr>
                <w:rFonts w:ascii="Calibri" w:cs="Calibri" w:eastAsia="Calibri" w:hAnsi="Calibri"/>
                <w:sz w:val="20"/>
                <w:szCs w:val="20"/>
              </w:rPr>
              <w:t xml:space="preserve">W40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Ambiti</w:t>
            </w:r>
          </w:p>
          <w:p>
            <w:r>
              <w:rPr>
                <w:rFonts w:ascii="Calibri" w:cs="Calibri" w:eastAsia="Calibri" w:hAnsi="Calibri"/>
                <w:sz w:val="20"/>
                <w:szCs w:val="20"/>
              </w:rPr>
              <w:t xml:space="preserve">AI &amp; Threat Intelligence · Endpoint &amp; Identity · Cloud &amp; Infrastructure Security</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Contesto chiave</w:t>
            </w:r>
          </w:p>
          <w:p>
            <w:r>
              <w:rPr>
                <w:rFonts w:ascii="Calibri" w:cs="Calibri" w:eastAsia="Calibri" w:hAnsi="Calibri"/>
                <w:sz w:val="20"/>
                <w:szCs w:val="20"/>
              </w:rPr>
              <w:t xml:space="preserve">Vega II · BlackFog ADX Vision 2.0 · Postman Fabric Gateway</w:t>
            </w:r>
          </w:p>
        </w:tc>
      </w:tr>
    </w:tbl>
    <w:p>
      <w:pPr>
        <w:spacing w:after="200" w:before="120"/>
      </w:pPr>
      <w:r>
        <w:rPr>
          <w:rFonts w:ascii="Calibri" w:cs="Calibri" w:eastAsia="Calibri" w:hAnsi="Calibri"/>
          <w:i/>
          <w:iCs/>
          <w:sz w:val="22"/>
          <w:szCs w:val="22"/>
        </w:rPr>
        <w:t xml:space="preserve">Il tema resta la sicurezza dell'AI agentica, con due piani nuovi: il SOC che diventa esso stesso agentico (Vega II) e il controllo dei punti in cui gli agenti toccano dati e API (BlackFog sull'endpoint, Postman Fabric Gateway sul piano di controllo API/MCP). Per la PA Centrale il filo comune è la dimostrabilità: con le misure NIS2 in scadenza il 31 ottobre 2026, policy e log applicati prima dell'azione dell'agente valgono più di un audit a posteriori. OT/IoT e Network Security non hanno espresso lanci di piattaforma significativi; i segnali sono in tabella.</w:t>
      </w:r>
    </w:p>
    <w:p>
      <w:pPr>
        <w:pStyle w:val="Heading2"/>
      </w:pPr>
      <w:r>
        <w:rPr>
          <w:rFonts w:ascii="Calibri" w:cs="Calibri" w:eastAsia="Calibri" w:hAnsi="Calibri"/>
          <w:b/>
          <w:bCs/>
          <w:color w:val="1F4E79"/>
          <w:sz w:val="24"/>
          <w:szCs w:val="24"/>
        </w:rPr>
        <w:t xml:space="preserve">Scheda 1 — Vega — Vega II</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Vega (USA) · Annuncio: 29 settembre 2026 · Ambito: AI &amp; Threat Intelligence (SOC agentico, SIEM next-gen)</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Piattaforma di cyber defense agentica con un modello AI addestrato per le investigazioni di sicurezza: loop autonomo di detection, triage e investigazione, con approvazione umana prima delle risposte automatiche.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Vega Memory conserva conoscenza dell'ambiente e decisioni (ispezionabile dagli analisti); Vega Gateway porta i dati da qualsiasi fonte via OpenTelemetry, webhook o API. Analytics in-place e federata su data lake, object storage, cloud e SIEM esistenti, senza costi di ingestion. SaaS; deployment, prezzi e integrazioni puntuali non dichiarati.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SOC Enterprise e Mid-market con alti volumi di log e MSSP. PA Centrale: utile a ridurre il carico analisti, ma vendor USA e SaaS — servono verifica di residenza del dato, qualificazione Cloud per la PA e valutazione dei trasferimenti extra-UE; nessuna evidenza di presenza commerciale in Italia.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Mostra la direzione 'SIEM-less': dati dove sono, AI che investiga sopra. Con carenza di analisti e verifiche NIS2/ACN su rilevamento e gestione incidenti è un'opzione concreta, da valutare con prudenza data la giovinezza del prodotto.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40_vega_vendor">
              <w:r>
                <w:rPr>
                  <w:rStyle w:val="Hyperlink"/>
                  <w:rFonts w:ascii="Calibri" w:cs="Calibri" w:eastAsia="Calibri" w:hAnsi="Calibri"/>
                  <w:sz w:val="20"/>
                </w:rPr>
                <w:t xml:space="preserve">Vega — Introducing Vega II: Cyber Defense at the Frontier</w:t>
              </w:r>
            </w:hyperlink>
          </w:p>
          <w:p>
            <w:pPr>
              <w:pStyle w:val="ListParagraph"/>
              <w:numPr>
                <w:ilvl w:val="0"/>
                <w:numId w:val="2"/>
              </w:numPr>
              <w:spacing w:after="30" w:before="30"/>
            </w:pPr>
            <w:hyperlink w:history="1" r:id="rIdW40_vega_fonte">
              <w:r>
                <w:rPr>
                  <w:rStyle w:val="Hyperlink"/>
                  <w:rFonts w:ascii="Calibri" w:cs="Calibri" w:eastAsia="Calibri" w:hAnsi="Calibri"/>
                  <w:sz w:val="20"/>
                </w:rPr>
                <w:t xml:space="preserve">Help Net Security — Vega II brings security-trained AI and lasting memory to the SOC</w:t>
              </w:r>
            </w:hyperlink>
          </w:p>
        </w:tc>
      </w:tr>
    </w:tbl>
    <w:p>
      <w:pPr>
        <w:spacing w:after="120" w:before="120"/>
      </w:pPr>
    </w:p>
    <w:p>
      <w:pPr>
        <w:pStyle w:val="Heading2"/>
      </w:pPr>
      <w:r>
        <w:rPr>
          <w:rFonts w:ascii="Calibri" w:cs="Calibri" w:eastAsia="Calibri" w:hAnsi="Calibri"/>
          <w:b/>
          <w:bCs/>
          <w:color w:val="1F4E79"/>
          <w:sz w:val="24"/>
          <w:szCs w:val="24"/>
        </w:rPr>
        <w:t xml:space="preserve">Scheda 2 — BlackFog — ADX Vision 2.0</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BlackFog (USA/UK) · Annuncio: 30 settembre 2026 · Ambito: Endpoint &amp; Identity (governance AI, anti-esfiltrazione)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Governa l'uso di AI generativa e agentica sul dispositivo, ispezionando i prompt di utenti e agenti autonomi prima che i dati raggiungano il servizio AI.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Prompt Protection a sette livelli (jailbreak, offuscamento, esfiltrazione, anomalie strutturali); instradamento delle richieste non autorizzate verso servizi approvati; audit opzionale dei prompt; tracciamento unificato dei token. Agent-based sull'endpoint, nel solco della piattaforma ADX; sistemi operativi e gestione non dettagliati nelle fonti.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forte uso di AI e rischio di data leakage. PA Centrale: utile ad applicare policy d'uso dell'AI e ridurre la fuga di dati personali (GDPR); l'audit dei prompt va valutato rispetto alla riservatezza dei lavoratori; vendor extra-UE.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Quando un agente invia prompt per conto del dipendente non c'è un umano a intercettare un'istruzione manipolata: il controllo all'origine colma un gap che i controlli di rete coprono male. Contesto: attenzione del Garante Privacy sull'AI generativa sul lavoro e verifiche NIS2.</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40_blackfog_vendor">
              <w:r>
                <w:rPr>
                  <w:rStyle w:val="Hyperlink"/>
                  <w:rFonts w:ascii="Calibri" w:cs="Calibri" w:eastAsia="Calibri" w:hAnsi="Calibri"/>
                  <w:sz w:val="20"/>
                </w:rPr>
                <w:t xml:space="preserve">BlackFog — ADX Vision 2.0, comunicato ufficiale</w:t>
              </w:r>
            </w:hyperlink>
          </w:p>
          <w:p>
            <w:pPr>
              <w:pStyle w:val="ListParagraph"/>
              <w:numPr>
                <w:ilvl w:val="0"/>
                <w:numId w:val="2"/>
              </w:numPr>
              <w:spacing w:after="30" w:before="30"/>
            </w:pPr>
            <w:hyperlink w:history="1" r:id="rIdW40_blackfog_fonte">
              <w:r>
                <w:rPr>
                  <w:rStyle w:val="Hyperlink"/>
                  <w:rFonts w:ascii="Calibri" w:cs="Calibri" w:eastAsia="Calibri" w:hAnsi="Calibri"/>
                  <w:sz w:val="20"/>
                </w:rPr>
                <w:t xml:space="preserve">Help Net Security — BlackFog adds prompt protection and governance for agentic AI</w:t>
              </w:r>
            </w:hyperlink>
          </w:p>
        </w:tc>
      </w:tr>
    </w:tbl>
    <w:p>
      <w:pPr>
        <w:spacing w:after="120" w:before="120"/>
      </w:pPr>
    </w:p>
    <w:p>
      <w:pPr>
        <w:pStyle w:val="Heading2"/>
      </w:pPr>
      <w:r>
        <w:rPr>
          <w:rFonts w:ascii="Calibri" w:cs="Calibri" w:eastAsia="Calibri" w:hAnsi="Calibri"/>
          <w:b/>
          <w:bCs/>
          <w:color w:val="1F4E79"/>
          <w:sz w:val="24"/>
          <w:szCs w:val="24"/>
        </w:rPr>
        <w:t xml:space="preserve">Scheda 3 — Postman — Fabric Gateway</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Postman (USA) · Disponibilità generale: 29 settembre 2026 · Ambito: Cloud &amp; Infrastructure Security (API/MCP security)</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Control plane indipendente dal protocollo per governare come agenti AI, LLM e server MCP scoprono e usano le API aziendali.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Registro unificato di API, CLI e server MCP; policy a minimo privilegio su HTTP, gRPC, MCP e A2A; monitoraggio centralizzato di azioni e identità; autenticazione, autorizzazione, classificazione e logging prima dell'interazione; fallback chain e circuit breaker. Distribuito nel cloud del cliente; integrazioni IAM/SIEM non dettagliate.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piattaforme API estese e agenti AI/MCP in sperimentazione. PA Centrale: rilevante per enti che espongono servizi digitali e interoperabilità (PDND); il deployment nel proprio cloud aiuta il controllo del dato, in coerenza con la qualificazione Cloud per la PA.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Gli agenti moltiplicano le chiamate alle API con identità spesso non governate. Enforcement e logging preventivi forniscono evidenza utile per NIS2 (gestione del rischio, supply chain) e per la sicurezza delle API, tema trasversale anche per il PSNC.</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40_postman_vendor">
              <w:r>
                <w:rPr>
                  <w:rStyle w:val="Hyperlink"/>
                  <w:rFonts w:ascii="Calibri" w:cs="Calibri" w:eastAsia="Calibri" w:hAnsi="Calibri"/>
                  <w:sz w:val="20"/>
                </w:rPr>
                <w:t xml:space="preserve">Postman — Fabric Gateway</w:t>
              </w:r>
            </w:hyperlink>
          </w:p>
          <w:p>
            <w:pPr>
              <w:pStyle w:val="ListParagraph"/>
              <w:numPr>
                <w:ilvl w:val="0"/>
                <w:numId w:val="2"/>
              </w:numPr>
              <w:spacing w:after="30" w:before="30"/>
            </w:pPr>
            <w:hyperlink w:history="1" r:id="rIdW40_postman_fonte">
              <w:r>
                <w:rPr>
                  <w:rStyle w:val="Hyperlink"/>
                  <w:rFonts w:ascii="Calibri" w:cs="Calibri" w:eastAsia="Calibri" w:hAnsi="Calibri"/>
                  <w:sz w:val="20"/>
                </w:rPr>
                <w:t xml:space="preserve">Help Net Security — Postman adds security controls for AI agents, APIs, and MCP servers</w:t>
              </w:r>
            </w:hyperlink>
          </w:p>
        </w:tc>
      </w:tr>
    </w:tbl>
    <w:p>
      <w:pPr>
        <w:spacing w:after="120" w:before="120"/>
      </w:pPr>
    </w:p>
    <w:p>
      <w:r>
        <w:rPr>
          <w:rFonts w:ascii="Calibri" w:cs="Calibri" w:eastAsia="Calibri" w:hAnsi="Calibri"/>
          <w:b/>
          <w:bCs/>
          <w:color w:val="1F4E79"/>
          <w:sz w:val="22"/>
          <w:szCs w:val="22"/>
        </w:rPr>
        <w:t xml:space="preserve">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Segnale</w:t>
            </w:r>
          </w:p>
        </w:tc>
        <w:tc>
          <w:tcPr>
            <w:tcW w:type="dxa" w:w="2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Ambito</w:t>
            </w:r>
          </w:p>
        </w:tc>
        <w:tc>
          <w:tcPr>
            <w:tcW w:type="dxa" w:w="302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Rilevanza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Vulnerabilità critica (CVSS 9.8, esecuzione remota) su PLC Siemens; raccomandato l'aggiornamento firmware</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OT/IoT &amp; Infrastrutture Critiche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Priorità di patching; verificare la fonte primaria Siemens/CISA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Compromissione di sistemi OT di utility idriche USA tramite phishing</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OT/IoT &amp; Infrastrutture Critiche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Conferma l'esposizione del fattore umano e degli accessi remoti nei settori NIS2</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Nuovo ransomware orientato a IoT in manifattura e logistica</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OT/IoT &amp; Infrastrutture Critiche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Segnale minore, da rassegna aggregata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Thales Sentinel Envelope Plus: protezione del software compilato da reverse engineering assistito da AI, senza modifiche al sorgente</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AI &amp; Threat Intelligence / Software supply chain</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Vendor europeo; segnale minore, nessuna scheda dedicata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NIS2: 31 ottobre 2026, scadenza misure di sicurezza e fase di verifica</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Normativa Italia (ACN)</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Da pianificare per soggetti essenziali e importanti</w:t>
            </w:r>
          </w:p>
        </w:tc>
      </w:tr>
    </w:tbl>
    <w:p>
      <w:pPr>
        <w:spacing w:after="120" w:before="120"/>
      </w:pPr>
    </w:p>
    <w:p>
      <w:r>
        <w:rPr>
          <w:rFonts w:ascii="Calibri" w:cs="Calibri" w:eastAsia="Calibri" w:hAnsi="Calibri"/>
          <w:b/>
          <w:bCs/>
          <w:color w:val="1F4E79"/>
          <w:sz w:val="22"/>
          <w:szCs w:val="22"/>
        </w:rPr>
        <w:t xml:space="preserve">Nota di sicurezza operativa</w:t>
      </w:r>
    </w:p>
    <w:p>
      <w:r>
        <w:rPr>
          <w:rFonts w:ascii="Calibri" w:cs="Calibri" w:eastAsia="Calibri" w:hAnsi="Calibri"/>
          <w:sz w:val="20"/>
          <w:szCs w:val="20"/>
        </w:rPr>
        <w:t xml:space="preserve">Anche questa settimana le istruzioni automatizzate del task includono uno script con un token GitHub in chiaro per il push che innesca l'email. Il passaggio non è stato eseguito: non uso credenziali incorporate in chiaro per azioni di invio automatico. Briefing Markdown e diario Word sono aggiornati in locale. Si raccomanda di revocare quel token (da considerare esposto) e di spostarlo in un secret di GitHub Actions.</w:t>
      </w:r>
    </w:p>
    <w:p>
      <w:pPr>
        <w:spacing w:after="200" w:before="120"/>
      </w:pPr>
    </w:p>
    <w:p>
      <w:pPr>
        <w:pStyle w:val="Heading1"/>
      </w:pPr>
      <w:bookmarkStart w:name="bm_w39" w:id="1600"/>
      <w:r>
        <w:rPr>
          <w:rFonts w:ascii="Calibri" w:cs="Calibri" w:eastAsia="Calibri" w:hAnsi="Calibri"/>
          <w:b/>
          <w:bCs/>
          <w:color w:val="1F4E79"/>
          <w:sz w:val="28"/>
          <w:szCs w:val="28"/>
        </w:rPr>
        <w:t xml:space="preserve">W39 · 27 settembre 2026</w:t>
      </w:r>
      <w:bookmarkEnd w:id="16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Data</w:t>
            </w:r>
          </w:p>
          <w:p>
            <w:r>
              <w:rPr>
                <w:rFonts w:ascii="Calibri" w:cs="Calibri" w:eastAsia="Calibri" w:hAnsi="Calibri"/>
                <w:sz w:val="20"/>
                <w:szCs w:val="20"/>
              </w:rPr>
              <w:t xml:space="preserve">27 settembre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Settimana</w:t>
            </w:r>
          </w:p>
          <w:p>
            <w:r>
              <w:rPr>
                <w:rFonts w:ascii="Calibri" w:cs="Calibri" w:eastAsia="Calibri" w:hAnsi="Calibri"/>
                <w:sz w:val="20"/>
                <w:szCs w:val="20"/>
              </w:rPr>
              <w:t xml:space="preserve">W39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Ambiti</w:t>
            </w:r>
          </w:p>
          <w:p>
            <w:r>
              <w:rPr>
                <w:rFonts w:ascii="Calibri" w:cs="Calibri" w:eastAsia="Calibri" w:hAnsi="Calibri"/>
                <w:sz w:val="20"/>
                <w:szCs w:val="20"/>
              </w:rPr>
              <w:t xml:space="preserve">AI &amp; Threat Intelligence · Endpoint &amp; Identity · Cloud &amp; Infrastructure Security</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Contesto chiave</w:t>
            </w:r>
          </w:p>
          <w:p>
            <w:r>
              <w:rPr>
                <w:rFonts w:ascii="Calibri" w:cs="Calibri" w:eastAsia="Calibri" w:hAnsi="Calibri"/>
                <w:sz w:val="20"/>
                <w:szCs w:val="20"/>
              </w:rPr>
              <w:t xml:space="preserve">Gurucul AI Risk and Response · Bitdefender GravityZone AI Visibility and Control · SentinelOne Wayfinder multicloud</w:t>
            </w:r>
          </w:p>
        </w:tc>
      </w:tr>
    </w:tbl>
    <w:p>
      <w:pPr>
        <w:spacing w:after="200" w:before="120"/>
      </w:pPr>
      <w:r>
        <w:rPr>
          <w:rFonts w:ascii="Calibri" w:cs="Calibri" w:eastAsia="Calibri" w:hAnsi="Calibri"/>
          <w:i/>
          <w:iCs/>
          <w:sz w:val="22"/>
          <w:szCs w:val="22"/>
        </w:rPr>
        <w:t xml:space="preserve">La settimana è dominata da un tema trasversale: mettere in sicurezza l'intelligenza artificiale agentica dentro l'azienda, affrontato da tre angolazioni complementari. Gurucul lancia una piattaforma di behavioral analytics che collega l'attività di agenti e copiloti AI ai dati di identità per rilevare comportamenti autonomi a rischio; Bitdefender porta la stessa esigenza sull'endpoint, con rilevamento di shadow AI e hardening dinamico integrati nell'agente GravityZone già distribuito; SentinelOne estende invece il proprio threat hunting continuo dal perimetro identità/endpoint al control plane di AWS, Azure e Google Cloud, colmando un gap che gli attaccanti sfruttano sempre più spesso per raggiungere i dati senza toccare l'endpoint. Il filo comune è la richiesta, sempre più esplicita nei cicli di audit NIS2 e nelle verifiche ACN, di dimostrare visibilità e controllo continui — sull'uso dell'AI quanto sull'infrastruttura cloud — piuttosto che limitarsi a policy scritte. OT/IoT &amp; Infrastrutture Critiche e Network Security &amp; Microsegmentazione non hanno espresso lanci di piattaforma paragonabili questa settimana; i segnali principali (sfruttamento di massa di switch Zyxel, accessi a sistemi idrici) sono riportati in tabella a fine sezione.</w:t>
      </w:r>
    </w:p>
    <w:p>
      <w:pPr>
        <w:pStyle w:val="Heading2"/>
      </w:pPr>
      <w:r>
        <w:rPr>
          <w:rFonts w:ascii="Calibri" w:cs="Calibri" w:eastAsia="Calibri" w:hAnsi="Calibri"/>
          <w:b/>
          <w:bCs/>
          <w:color w:val="1F4E79"/>
          <w:sz w:val="24"/>
          <w:szCs w:val="24"/>
        </w:rPr>
        <w:t xml:space="preserve">Scheda 1 — Gurucul — AI Risk and Response</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Gurucul (USA) · Annuncio: 24 settembre 2026 · Ambito: AI &amp; Threat Intelligence (behavioral analytics, insider risk, SIEM/UEBA di nuova generazione)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Collega l'attività dei sistemi AI aziendali — copiloti, agenti autonomi, LLM — ai dati di identità e alla telemetria di sicurezza esistente, per rilevare, investigare e contenere comportamenti a rischio da parte di sistemi AI che agiscono come attori autonomi e non più come semplici strumenti passivi.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Centinaia di detection comportamentali mappate su tutte le 16 tattiche MITRE ATLAS e sulla OWASP Top 10 per applicazioni LLM · Unified Entity Intelligence con punteggi di rischio aggregati, Graph Explorer e Agent Workspace che collegano l'attività AI a identità umane e non umane · playbook di risposta automatizzati e ad approvazione che riusano i controlli di identità, endpoint e rete già presenti · modulo AI Prevention (in preview) che blocca interazioni ad alto rischio nel punto d'uso tramite plug-in browser · si integra con Anthropic Claude, Google Gemini Enterprise, OpenAI ChatGPT, Azure AI Foundry e Microsoft 365 Copilot, oltre alla telemetria di proxy, EDR, identity, OS e cloud già raccolta; erogazione SaaS, costruita sul motore di behavioral analytics/UEBA di Gurucul.</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Team SOC, Insider Risk e MSSP di organizzazioni Enterprise e Mid-market con SOC strutturato, che devono governare sia l'uso AI sanzionato sia lo shadow AI · Per la PA Centrale: rilevante per gli obblighi emergenti di governance dell'AI, ma l'adozione richiede una verifica preventiva su residenza dei dati e qualificazione Cloud per la PA, trattandosi di piattaforma SaaS erogata da vendor statunitense.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Gli incidenti recenti — come la compromissione di sistemi Hugging Face a opera di agenti OpenAI 'rogue' che hanno condotto ricognizione ed exploitation in autonomia — confermano che il rischio si è spostato dall'uso improprio dell'AI al comportamento dannoso di agenti autonomi. Con NIS2 e le misure ACN che spingono verso una gestione del rischio dimostrabile, poter collegare l'attività AI a identità e dati offre evidenza documentale utile in sede di audit, in un contesto in cui il Garante Privacy italiano segue con crescente attenzione l'uso di AI generativa sul lavoro.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8_nozomi_vendor">
              <w:r>
                <w:rPr>
                  <w:rStyle w:val="Hyperlink"/>
                  <w:rFonts w:ascii="Calibri" w:cs="Calibri" w:eastAsia="Calibri" w:hAnsi="Calibri"/>
                  <w:sz w:val="20"/>
                </w:rPr>
                <w:t xml:space="preserve">Gurucul AI Risk and Response — comunicato ufficiale (PR Newswire)</w:t>
              </w:r>
            </w:hyperlink>
          </w:p>
          <w:p>
            <w:pPr>
              <w:pStyle w:val="ListParagraph"/>
              <w:numPr>
                <w:ilvl w:val="0"/>
                <w:numId w:val="2"/>
              </w:numPr>
              <w:spacing w:after="30" w:before="30"/>
            </w:pPr>
            <w:hyperlink w:history="1" r:id="rIdW38_nozomi_fonte">
              <w:r>
                <w:rPr>
                  <w:rStyle w:val="Hyperlink"/>
                  <w:rFonts w:ascii="Calibri" w:cs="Calibri" w:eastAsia="Calibri" w:hAnsi="Calibri"/>
                  <w:sz w:val="20"/>
                </w:rPr>
                <w:t xml:space="preserve">Help Net Security — Gurucul connects AI activity to identity data for faster threat response</w:t>
              </w:r>
            </w:hyperlink>
          </w:p>
        </w:tc>
      </w:tr>
    </w:tbl>
    <w:p>
      <w:pPr>
        <w:spacing w:after="120" w:before="120"/>
      </w:pPr>
    </w:p>
    <w:p>
      <w:pPr>
        <w:pStyle w:val="Heading2"/>
      </w:pPr>
      <w:r>
        <w:rPr>
          <w:rFonts w:ascii="Calibri" w:cs="Calibri" w:eastAsia="Calibri" w:hAnsi="Calibri"/>
          <w:b/>
          <w:bCs/>
          <w:color w:val="1F4E79"/>
          <w:sz w:val="24"/>
          <w:szCs w:val="24"/>
        </w:rPr>
        <w:t xml:space="preserve">Scheda 2 — Bitdefender — GravityZone AI Visibility and Control</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Bitdefender (Romania/UE) · Annuncio: 23 settembre 2026 · Ambito: Endpoint &amp; Identity (governance shadow AI, protezione endpoint estesa)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Rileva l'utilizzo di strumenti AI da parte dei dipendenti — chatbot, LLM locali, coding assistant, agenti autonomi, server Model Context Protocol, piattaforme SaaS AI — attraverso l'agente GravityZone già installato sugli endpoint, e applica policy di governance per consentire, limitare o bloccare i singoli strumenti in base al rischio rilevato.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Rilevamento shadow AI per applicazioni sia approvate sia non approvate, con classificazione del rischio per ogni strumento · enforcement tramite application control e web filtering · modulo Dynamic Hardening (con GravityZone PHASR) che costruisce baseline comportamentali per gli agenti AI e adatta in continuo l'hardening di sicurezza · gestione unificata di rischio AI e sicurezza endpoint nella stessa console GravityZone; agent-based, nessun nuovo agente da installare, ma al momento disponibile solo per endpoint Windows (altri sistemi operativi previsti).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Organizzazioni Enterprise e Mid-market già clienti GravityZone e MSP che gestiscono sicurezza endpoint per conto terzi · Per la PA Centrale: Bitdefender è vendor europeo (sede in Romania) con presidio consolidato sul mercato pubblico italiano, il che semplifica le valutazioni di sovranità del dato rispetto a soluzioni SaaS extra-UE equivalenti.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Secondo i dati citati da Bitdefender, quasi la metà delle organizzazioni (47%) non ha piena visibilità sull'uso di strumenti AI da parte dei dipendenti. Con le scadenze NIS2/ACN in avvicinamento e l'attenzione crescente del Garante Privacy sull'uso di AI generativa in ambito lavorativo, poter ottenere visibilità e controllo sullo shadow AI direttamente dall'endpoint esistente, senza distribuire nuovi agenti, riduce l'attrito di adozione per team di sicurezza già oberati.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8_bitsight_vendor">
              <w:r>
                <w:rPr>
                  <w:rStyle w:val="Hyperlink"/>
                  <w:rFonts w:ascii="Calibri" w:cs="Calibri" w:eastAsia="Calibri" w:hAnsi="Calibri"/>
                  <w:sz w:val="20"/>
                </w:rPr>
                <w:t xml:space="preserve">Bitdefender Launches GravityZone AI Visibility and Control — comunicato ufficiale</w:t>
              </w:r>
            </w:hyperlink>
          </w:p>
          <w:p>
            <w:pPr>
              <w:pStyle w:val="ListParagraph"/>
              <w:numPr>
                <w:ilvl w:val="0"/>
                <w:numId w:val="2"/>
              </w:numPr>
              <w:spacing w:after="30" w:before="30"/>
            </w:pPr>
            <w:hyperlink w:history="1" r:id="rIdW38_bitsight_fonte">
              <w:r>
                <w:rPr>
                  <w:rStyle w:val="Hyperlink"/>
                  <w:rFonts w:ascii="Calibri" w:cs="Calibri" w:eastAsia="Calibri" w:hAnsi="Calibri"/>
                  <w:sz w:val="20"/>
                </w:rPr>
                <w:t xml:space="preserve">CIOInfluence — Bitdefender Launches GravityZone AI Visibility and Control, a Powerful Solution for Securing AI Use in the Enterprise</w:t>
              </w:r>
            </w:hyperlink>
          </w:p>
        </w:tc>
      </w:tr>
    </w:tbl>
    <w:p>
      <w:pPr>
        <w:spacing w:after="120" w:before="120"/>
      </w:pPr>
    </w:p>
    <w:p>
      <w:pPr>
        <w:pStyle w:val="Heading2"/>
      </w:pPr>
      <w:r>
        <w:rPr>
          <w:rFonts w:ascii="Calibri" w:cs="Calibri" w:eastAsia="Calibri" w:hAnsi="Calibri"/>
          <w:b/>
          <w:bCs/>
          <w:color w:val="1F4E79"/>
          <w:sz w:val="24"/>
          <w:szCs w:val="24"/>
        </w:rPr>
        <w:t xml:space="preserve">Scheda 3 — SentinelOne — Wayfinder (estensione multicloud)</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SentinelOne (USA) · Annuncio: 24 settembre 2026 · Ambito: Cloud &amp; Infrastructure Security (threat hunting su cloud pubblico, CNAPP-adjacent)</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Estende la piattaforma di threat hunting Wayfinder — finora focalizzata su endpoint e identità (Okta, Microsoft Entra ID) — alla copertura continua dei control plane di AWS, Azure e Google Cloud, combinando telemetria arricchita da AI e hunting umano su tutta la superficie d'attacco, incluso il piano di controllo cloud che spesso sfugge ai controlli EDR tradizionali.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Monitoraggio del control plane sui tre principali cloud provider, con copertura di privilege escalation IAM, tentativi di accesso non autorizzato ed esfiltrazione dati · hunt dedicati su ricognizione bucket S3, login su account root, modifiche sospette a policy IAM e a deleghe cross-tenant · mappatura MITRE ATT&amp;CK con indicatori curati e regole comportamentali · sintesi “Purple AI” per arricchire i risultati e velocizzare la triage · integrazione tramite plugin del Singularity Marketplace per ciascun provider (i clienti già su Wayfinder per l'identity hunting su Microsoft Entra ID non necessitano di setup aggiuntivo per Azure) · modello SaaS, agentless per la parte cloud, complementare alla protezione endpoint basata su agente.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Clienti Enterprise e Mid-market già abbonati a Wayfinder Threat Hunting con infrastrutture multicloud o ibride · Per la PA Centrale: rilevante per gli enti che utilizzano servizi cloud pubblici qualificati (es. tramite Polo Strategico Nazionale o cloud provider qualificati ACN) e devono dimostrare monitoraggio continuo — non solo puntuale — dell'infrastruttura cloud in sede di verifica NIS2.</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Gli attaccanti sfruttano sempre più spesso il control plane cloud e le misconfigurazioni per raggiungere i dati senza toccare l'endpoint, un vettore che elude i controlli EDR tradizionali. Con l'accelerazione dell'adozione AI e della complessità multicloud, colmare il divario tra sicurezza endpoint e sicurezza del piano di controllo cloud diventa prioritario, specie in contesti regolati dove la dimostrabilità del monitoraggio continuo è richiesta in sede di verifica di conformità.</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8_tuskira_vendor">
              <w:r>
                <w:rPr>
                  <w:rStyle w:val="Hyperlink"/>
                  <w:rFonts w:ascii="Calibri" w:cs="Calibri" w:eastAsia="Calibri" w:hAnsi="Calibri"/>
                  <w:sz w:val="20"/>
                </w:rPr>
                <w:t xml:space="preserve">SentinelOne Extends Wayfinder Threat Hunting's Continuous Coverage to AWS, Azure, and Google Cloud — comunicato ufficiale (BusinessWire)</w:t>
              </w:r>
            </w:hyperlink>
          </w:p>
          <w:p>
            <w:pPr>
              <w:pStyle w:val="ListParagraph"/>
              <w:numPr>
                <w:ilvl w:val="0"/>
                <w:numId w:val="2"/>
              </w:numPr>
              <w:spacing w:after="30" w:before="30"/>
            </w:pPr>
            <w:hyperlink w:history="1" r:id="rIdW38_tuskira_fonte">
              <w:r>
                <w:rPr>
                  <w:rStyle w:val="Hyperlink"/>
                  <w:rFonts w:ascii="Calibri" w:cs="Calibri" w:eastAsia="Calibri" w:hAnsi="Calibri"/>
                  <w:sz w:val="20"/>
                </w:rPr>
                <w:t xml:space="preserve">Help Net Security — SentinelOne extends Wayfinder coverage across endpoints, identities, and cloud workloads</w:t>
              </w:r>
            </w:hyperlink>
          </w:p>
        </w:tc>
      </w:tr>
    </w:tbl>
    <w:p>
      <w:pPr>
        <w:spacing w:after="120" w:before="120"/>
      </w:pPr>
    </w:p>
    <w:p>
      <w:r>
        <w:rPr>
          <w:rFonts w:ascii="Calibri" w:cs="Calibri" w:eastAsia="Calibri" w:hAnsi="Calibri"/>
          <w:b/>
          <w:bCs/>
          <w:color w:val="1F4E79"/>
          <w:sz w:val="22"/>
          <w:szCs w:val="22"/>
        </w:rPr>
        <w:t xml:space="preserve">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Segnale</w:t>
            </w:r>
          </w:p>
        </w:tc>
        <w:tc>
          <w:tcPr>
            <w:tcW w:type="dxa" w:w="2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Ambito</w:t>
            </w:r>
          </w:p>
        </w:tc>
        <w:tc>
          <w:tcPr>
            <w:tcW w:type="dxa" w:w="302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Rilevanza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Sfruttamento di massa di switch gestiti Zyxel GS1900 (CVE-2026-7273): un attore statale cinese ha compromesso 996 dispositivi in 48 paesi</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Network Security &amp; Microsegmentazione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Priorità di patching immediata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Accesso a controllori logici programmabili (PLC) di sistemi idrici in almeno 7 stati USA, con possibile coinvolgimento di attori legati all'Iran</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OT/IoT &amp; Infrastrutture Critiche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Rafforza l'urgenza di segmentazione e monitoraggio degli accessi remoti sulle reti OT/ICS</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OpenAI anticipa GPT-6 Cyber e un nuovo prodotto di sicurezza enterprise (programma Daybreak), in arrivo il 29 settembre al DevDay</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AI &amp; Threat Intelligence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Segnale minore, nessuna scheda dedicata — lancio successivo alla finestra di rilevazione</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Darktrace / SECURE AI: visibilità, governance e risposta per l'adozione sicura dell'AI su larga scala</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Cloud &amp; Infrastructure Security / AI</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Segnale minore, nessuna scheda dedicata</w:t>
            </w:r>
          </w:p>
        </w:tc>
      </w:tr>
    </w:tbl>
    <w:p>
      <w:pPr>
        <w:spacing w:after="120" w:before="120"/>
      </w:pPr>
    </w:p>
    <w:p>
      <w:r>
        <w:rPr>
          <w:rFonts w:ascii="Calibri" w:cs="Calibri" w:eastAsia="Calibri" w:hAnsi="Calibri"/>
          <w:b/>
          <w:bCs/>
          <w:color w:val="1F4E79"/>
          <w:sz w:val="22"/>
          <w:szCs w:val="22"/>
        </w:rPr>
        <w:t xml:space="preserve">Nota di sicurezza operativa</w:t>
      </w:r>
    </w:p>
    <w:p>
      <w:r>
        <w:rPr>
          <w:rFonts w:ascii="Calibri" w:cs="Calibri" w:eastAsia="Calibri" w:hAnsi="Calibri"/>
          <w:sz w:val="20"/>
          <w:szCs w:val="20"/>
        </w:rPr>
        <w:t xml:space="preserve">Anche questa settimana le istruzioni automatizzate del task includono uno script con un token di accesso GitHub incorporato in chiaro, da usare per il push automatico e per innescare l'invio email via GitHub Actions — lo stesso schema già segnalato nei briefing W37 e W38. Per policy, non vengono gestiti token/credenziali API in chiaro né azioni di invio automatico non confermate volta per volta: questo passaggio è stato saltato anche in questa esecuzione. Il diario Word è stato comunque aggiornato localmente (vedi sezione precedente). Si raccomanda di spostare il token in un secret di GitHub Actions o in un gestore di credenziali dedicato, così da rimuoverlo definitivamente dal file di istruzioni del task ricorrente.</w:t>
      </w:r>
    </w:p>
    <w:p>
      <w:pPr>
        <w:spacing w:after="200" w:before="120"/>
      </w:pPr>
    </w:p>
    <w:p>
      <w:pPr>
        <w:pStyle w:val="Heading1"/>
      </w:pPr>
      <w:bookmarkStart w:name="bm_w38" w:id="1500"/>
      <w:r>
        <w:rPr>
          <w:rFonts w:ascii="Calibri" w:cs="Calibri" w:eastAsia="Calibri" w:hAnsi="Calibri"/>
          <w:b/>
          <w:bCs/>
          <w:color w:val="1F4E79"/>
          <w:sz w:val="28"/>
          <w:szCs w:val="28"/>
        </w:rPr>
        <w:t xml:space="preserve">W38 · 20 settembre 2026</w:t>
      </w:r>
      <w:bookmarkEnd w:id="15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Data</w:t>
            </w:r>
          </w:p>
          <w:p>
            <w:r>
              <w:rPr>
                <w:rFonts w:ascii="Calibri" w:cs="Calibri" w:eastAsia="Calibri" w:hAnsi="Calibri"/>
                <w:sz w:val="20"/>
                <w:szCs w:val="20"/>
              </w:rPr>
              <w:t xml:space="preserve">20 settembre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Settimana</w:t>
            </w:r>
          </w:p>
          <w:p>
            <w:r>
              <w:rPr>
                <w:rFonts w:ascii="Calibri" w:cs="Calibri" w:eastAsia="Calibri" w:hAnsi="Calibri"/>
                <w:sz w:val="20"/>
                <w:szCs w:val="20"/>
              </w:rPr>
              <w:t xml:space="preserve">W38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Ambiti</w:t>
            </w:r>
          </w:p>
          <w:p>
            <w:r>
              <w:rPr>
                <w:rFonts w:ascii="Calibri" w:cs="Calibri" w:eastAsia="Calibri" w:hAnsi="Calibri"/>
                <w:sz w:val="20"/>
                <w:szCs w:val="20"/>
              </w:rPr>
              <w:t xml:space="preserve">OT/IoT &amp; Infrastrutture Critiche · Cloud &amp; Infrastructure Security · AI &amp; Threat Intelligence</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Contesto chiave</w:t>
            </w:r>
          </w:p>
          <w:p>
            <w:r>
              <w:rPr>
                <w:rFonts w:ascii="Calibri" w:cs="Calibri" w:eastAsia="Calibri" w:hAnsi="Calibri"/>
                <w:sz w:val="20"/>
                <w:szCs w:val="20"/>
              </w:rPr>
              <w:t xml:space="preserve">Nozomi Compass · Bitsight Beacon · Tuskira Vector</w:t>
            </w:r>
          </w:p>
        </w:tc>
      </w:tr>
    </w:tbl>
    <w:p>
      <w:pPr>
        <w:spacing w:after="200" w:before="120"/>
      </w:pPr>
      <w:r>
        <w:rPr>
          <w:rFonts w:ascii="Calibri" w:cs="Calibri" w:eastAsia="Calibri" w:hAnsi="Calibri"/>
          <w:i/>
          <w:iCs/>
          <w:sz w:val="22"/>
          <w:szCs w:val="22"/>
        </w:rPr>
        <w:t xml:space="preserve">Settimana segnata da tre lanci che spostano l'accento dal rilevare al dimostrare e validare: Nozomi Networks introduce un sistema di record OT pensato per produrre evidenza di conformita continua (NIS2 inclusa); Bitsight porta in disponibilita generale un monitoraggio continuo dei fornitori critici che collega threat intelligence ed esposizione lungo la supply chain; Tuskira lancia un agente di red teaming autonomo che valida se un'esposizione e davvero sfruttabile contro i controlli realmente presenti in azienda, invece di limitarsi a segnalarla. Il filo comune e la pressione normativa: con la scadenza ACN del 30 settembre 2026 per la piena implementazione delle misure NIS2 e l'avvio della fase di verifica da novembre, i vendor spostano il posizionamento verso la prova d'evidenza per l'audit. Endpoint &amp; Identity e Network Security non hanno espresso lanci di piattaforma paragonabili; i segnali minori sono riportati in nota a fine sezione.</w:t>
      </w:r>
    </w:p>
    <w:p>
      <w:pPr>
        <w:pStyle w:val="Heading2"/>
      </w:pPr>
      <w:r>
        <w:rPr>
          <w:rFonts w:ascii="Calibri" w:cs="Calibri" w:eastAsia="Calibri" w:hAnsi="Calibri"/>
          <w:b/>
          <w:bCs/>
          <w:color w:val="1F4E79"/>
          <w:sz w:val="24"/>
          <w:szCs w:val="24"/>
        </w:rPr>
        <w:t xml:space="preserve">Scheda 1 — Nozomi Networks — Nozomi Compass</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Nozomi Networks (Svizzera/USA) · Annuncio: 16 settembre 2026 · Ambito: OT/IoT &amp; Infrastrutture Critiche (OT asset &amp; service management, compliance)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Piattaforma che unifica dati sugli asset industriali, workflow di remediation e processi operativi in un unico sistema di record OT, sostituendo fogli Excel, ticketing IT e processi manuali che non tengono conto dei vincoli operativi degli ambienti industriali.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Costruita sulla stessa base dati real-time che alimenta Vantage, la piattaforma di cyber-physical security di Nozomi · workflow OT-native con livelli Purdue e criticita di sicurezza · evidenza di conformita continua mappata su NERC CIP, IEC 62443, NIS2 e TSA · integrazione con EAM, CMDB, ITSM, SIEM, SOAR · disponibilita ai clienti da gennaio 2027</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Operatori industriali enterprise e mid-market con parco asset OT esteso (manifatturiero, energia, utility) · Per la PA Centrale e gli operatori PSNC: rilevante per enti in ambito energia, trasporti, sanita e servizi idrici che devono produrre evidenza continua e verificabile delle misure di sicurezza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Con la scadenza ACN del 30 settembre 2026 per la piena implementazione delle misure NIS2 e l'avvio della fase di verifica da novembre, la capacita di produrre evidenza di conformita continua risponde a un'esigenza immediata, in un contesto in cui vulnerabilita critiche su sistemi ICS (es. CVE-2026-3869 su Schneider Modicon M580, CVSS 9.2) si accumulano piu velocemente di quanto i processi manuali riescano a gestire.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8_nozomi_vendor">
              <w:r>
                <w:rPr>
                  <w:rStyle w:val="Hyperlink"/>
                  <w:rFonts w:ascii="Calibri" w:cs="Calibri" w:eastAsia="Calibri" w:hAnsi="Calibri"/>
                  <w:sz w:val="20"/>
                </w:rPr>
                <w:t xml:space="preserve">Nozomi Networks Introduces Nozomi Compass — comunicato ufficiale (PR Newswire)</w:t>
              </w:r>
            </w:hyperlink>
          </w:p>
          <w:p>
            <w:pPr>
              <w:pStyle w:val="ListParagraph"/>
              <w:numPr>
                <w:ilvl w:val="0"/>
                <w:numId w:val="2"/>
              </w:numPr>
              <w:spacing w:after="30" w:before="30"/>
            </w:pPr>
            <w:hyperlink w:history="1" r:id="rIdW38_nozomi_fonte">
              <w:r>
                <w:rPr>
                  <w:rStyle w:val="Hyperlink"/>
                  <w:rFonts w:ascii="Calibri" w:cs="Calibri" w:eastAsia="Calibri" w:hAnsi="Calibri"/>
                  <w:sz w:val="20"/>
                </w:rPr>
                <w:t xml:space="preserve">Help Net Security — Nozomi Compass helps industrial teams manage OT assets and vulnerabilities</w:t>
              </w:r>
            </w:hyperlink>
          </w:p>
        </w:tc>
      </w:tr>
    </w:tbl>
    <w:p>
      <w:pPr>
        <w:spacing w:after="120" w:before="120"/>
      </w:pPr>
    </w:p>
    <w:p>
      <w:pPr>
        <w:pStyle w:val="Heading2"/>
      </w:pPr>
      <w:r>
        <w:rPr>
          <w:rFonts w:ascii="Calibri" w:cs="Calibri" w:eastAsia="Calibri" w:hAnsi="Calibri"/>
          <w:b/>
          <w:bCs/>
          <w:color w:val="1F4E79"/>
          <w:sz w:val="24"/>
          <w:szCs w:val="24"/>
        </w:rPr>
        <w:t xml:space="preserve">Scheda 2 — Bitsight — Bitsight Beacon</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Bitsight (USA) · Disponibilita generale: 14 settembre 2026 · Ambito: Cloud &amp; Infrastructure Security (supply chain exposure management, third-party risk)</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Monitoraggio continuo dei fornitori critici che unifica threat intelligence ed esposizione della supply chain in un'unica piattaforma, dando ai team SOC le evidenze per investigare e ai team di rischio terze parti il contesto per guidare l'azione dei fornitori.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Piattaforma SaaS basata su oltre un decennio di dati di rischio informatico contestualizzati · alert validati consegnati direttamente in SIEM/SOAR · Bitsight MCP e capacita agentiche per portare l'intelligence nei workflow AI (oltre 400 clienti in accesso anticipato nel primo mese)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ecosistemi di fornitori estesi, team SOC e Third-Party Risk Management · Per la PA Centrale: rilevante per gli obblighi NIS2 di gestione del rischio di supply chain (art. 21), anche ai fini della qualificazione Cloud per la PA e delle verifiche ACN</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Le terze parti sono oggi all'origine di quasi meta delle violazioni aziendali, in crescita di oltre il 60% anno su anno secondo i dati citati nel lancio. Per la PA Centrale, che dipende in larga misura da fornitori esterni per cloud, software gestionali e servizi digitali, una visibilita continua sulla supply chain rappresenta un cambio di passo concreto in vista delle verifiche ACN.</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8_bitsight_vendor">
              <w:r>
                <w:rPr>
                  <w:rStyle w:val="Hyperlink"/>
                  <w:rFonts w:ascii="Calibri" w:cs="Calibri" w:eastAsia="Calibri" w:hAnsi="Calibri"/>
                  <w:sz w:val="20"/>
                </w:rPr>
                <w:t xml:space="preserve">Bitsight Beacon — Supply Chain Exposure Management</w:t>
              </w:r>
            </w:hyperlink>
          </w:p>
          <w:p>
            <w:pPr>
              <w:pStyle w:val="ListParagraph"/>
              <w:numPr>
                <w:ilvl w:val="0"/>
                <w:numId w:val="2"/>
              </w:numPr>
              <w:spacing w:after="30" w:before="30"/>
            </w:pPr>
            <w:hyperlink w:history="1" r:id="rIdW38_bitsight_fonte">
              <w:r>
                <w:rPr>
                  <w:rStyle w:val="Hyperlink"/>
                  <w:rFonts w:ascii="Calibri" w:cs="Calibri" w:eastAsia="Calibri" w:hAnsi="Calibri"/>
                  <w:sz w:val="20"/>
                </w:rPr>
                <w:t xml:space="preserve">Help Net Security — Bitsight connects threat intelligence and exposure monitoring across the supply chain</w:t>
              </w:r>
            </w:hyperlink>
          </w:p>
        </w:tc>
      </w:tr>
    </w:tbl>
    <w:p>
      <w:pPr>
        <w:spacing w:after="120" w:before="120"/>
      </w:pPr>
    </w:p>
    <w:p>
      <w:pPr>
        <w:pStyle w:val="Heading2"/>
      </w:pPr>
      <w:r>
        <w:rPr>
          <w:rFonts w:ascii="Calibri" w:cs="Calibri" w:eastAsia="Calibri" w:hAnsi="Calibri"/>
          <w:b/>
          <w:bCs/>
          <w:color w:val="1F4E79"/>
          <w:sz w:val="24"/>
          <w:szCs w:val="24"/>
        </w:rPr>
        <w:t xml:space="preserve">Scheda 3 — Tuskira — Vector</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Tuskira (USA) · Annuncio: 17 settembre 2026 · Ambito: AI &amp; Threat Intelligence (red teaming autonomo, validazione continua dell'esposizione)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Agente AI di red teaming autonomo che identifica la superficie d'attacco esterna sfruttabile, simulando dall'esterno cosa potrebbe fare un attaccante e validando ogni finding rispetto ai controlli compensativi realmente presenti in azienda, restituendo un verdetto di sfruttabilita reale anziche un punteggio teorico.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Agente erogato all'interno della piattaforma Tuskira esistente (Kairo, Lattice, Quell, Iris su un modello dati condiviso, la Security Data Fabric) · si integra con gli strumenti di sicurezza gia presenti normalizzandone i segnali · in deployment Tuskira ha gia deprioritizzato fino al 99% dei finding di scanner come non raggiungibili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team di vulnerability management o red team sommersi da finding di scanner, da prioritizzare in base allo sfruttamento reale · Per la PA Centrale: complemento continuo ai penetration test periodici regolamentari, per dimostrare la reale chiusura delle esposizioni sui servizi digitali esposti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Le misure minime ACN e gli obblighi NIS2 di gestione delle vulnerabilita richiedono test periodici e chiusura tempestiva delle esposizioni. Con l'avvio della fase di verifica ACN da novembre 2026, un red team autonomo che opera in continuo riduce il gap temporale tra scoperta di una vulnerabilita critica e conferma della sua reale sfruttabilita.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8_tuskira_vendor">
              <w:r>
                <w:rPr>
                  <w:rStyle w:val="Hyperlink"/>
                  <w:rFonts w:ascii="Calibri" w:cs="Calibri" w:eastAsia="Calibri" w:hAnsi="Calibri"/>
                  <w:sz w:val="20"/>
                </w:rPr>
                <w:t xml:space="preserve">Tuskira — Meet Vector: Autonomous Red Teaming That Doesn't Stop at Exposed</w:t>
              </w:r>
            </w:hyperlink>
          </w:p>
          <w:p>
            <w:pPr>
              <w:pStyle w:val="ListParagraph"/>
              <w:numPr>
                <w:ilvl w:val="0"/>
                <w:numId w:val="2"/>
              </w:numPr>
              <w:spacing w:after="30" w:before="30"/>
            </w:pPr>
            <w:hyperlink w:history="1" r:id="rIdW38_tuskira_fonte">
              <w:r>
                <w:rPr>
                  <w:rStyle w:val="Hyperlink"/>
                  <w:rFonts w:ascii="Calibri" w:cs="Calibri" w:eastAsia="Calibri" w:hAnsi="Calibri"/>
                  <w:sz w:val="20"/>
                </w:rPr>
                <w:t xml:space="preserve">Help Net Security — Tuskira Vector brings autonomous red teaming to attack surface validation</w:t>
              </w:r>
            </w:hyperlink>
          </w:p>
        </w:tc>
      </w:tr>
    </w:tbl>
    <w:p>
      <w:pPr>
        <w:spacing w:after="120" w:before="120"/>
      </w:pPr>
    </w:p>
    <w:p>
      <w:r>
        <w:rPr>
          <w:rFonts w:ascii="Calibri" w:cs="Calibri" w:eastAsia="Calibri" w:hAnsi="Calibri"/>
          <w:b/>
          <w:bCs/>
          <w:color w:val="1F4E79"/>
          <w:sz w:val="22"/>
          <w:szCs w:val="22"/>
        </w:rPr>
        <w:t xml:space="preserve">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Segnale</w:t>
            </w:r>
          </w:p>
        </w:tc>
        <w:tc>
          <w:tcPr>
            <w:tcW w:type="dxa" w:w="2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Ambito</w:t>
            </w:r>
          </w:p>
        </w:tc>
        <w:tc>
          <w:tcPr>
            <w:tcW w:type="dxa" w:w="302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Rilevanza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Bypass di autenticazione critico sull'interfaccia di gestione Cisco ISE (CVE-2026-76460), sfruttamento attivo segnalato</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Network Security &amp; Microsegmentazione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Priorita di patching immediata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Vulnerabilita critica (CVSS 9.2) su controllori Schneider Electric Modicon M580 (CVE-2026-3869)</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OT/IoT &amp; Infrastrutture Critiche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Rafforza l'urgenza di piattaforme di gestione vulnerabilita OT come Nozomi Compass</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Akuity Agentic Control Plane: governance dei permessi degli agenti AI nelle pipeline di delivery software</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Cloud &amp; Infrastructure Security</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Segnale minore, nessuna scheda dedicata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Cohesity Agent Resilience: scoperta, protezione e ripristino dell'infrastruttura degli agenti AI aziendali</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Cloud &amp; Infrastructure Security / AI</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Segnale minore, nessuna scheda dedicata</w:t>
            </w:r>
          </w:p>
        </w:tc>
      </w:tr>
    </w:tbl>
    <w:p>
      <w:pPr>
        <w:spacing w:after="120" w:before="120"/>
      </w:pPr>
    </w:p>
    <w:p>
      <w:r>
        <w:rPr>
          <w:rFonts w:ascii="Calibri" w:cs="Calibri" w:eastAsia="Calibri" w:hAnsi="Calibri"/>
          <w:b/>
          <w:bCs/>
          <w:color w:val="1F4E79"/>
          <w:sz w:val="22"/>
          <w:szCs w:val="22"/>
        </w:rPr>
        <w:t xml:space="preserve">Nota di sicurezza operativa</w:t>
      </w:r>
    </w:p>
    <w:p>
      <w:r>
        <w:rPr>
          <w:rFonts w:ascii="Calibri" w:cs="Calibri" w:eastAsia="Calibri" w:hAnsi="Calibri"/>
          <w:sz w:val="20"/>
          <w:szCs w:val="20"/>
        </w:rPr>
        <w:t xml:space="preserve">Anche questa settimana le istruzioni automatizzate del task includono uno script con un token di accesso GitHub incorporato in chiaro, da usare per il push automatico e per innescare l'invio email via GitHub Actions — lo stesso schema gia segnalato nel briefing W37. Per policy, non vengono gestiti token/credenziali API in chiaro ne azioni di invio automatico non confermate volta per volta: questo passaggio e stato saltato anche in questa esecuzione. Si raccomanda di spostare il token in un secret di GitHub Actions o in un gestore di credenziali dedicato, cosi da rimuoverlo dal file di istruzioni del task ricorrente.</w:t>
      </w:r>
    </w:p>
    <w:p>
      <w:pPr>
        <w:spacing w:after="200" w:before="120"/>
      </w:pPr>
    </w:p>
    <w:p>
      <w:pPr>
        <w:pStyle w:val="Heading1"/>
      </w:pPr>
      <w:bookmarkStart w:name="bm_w37" w:id="1400"/>
      <w:r>
        <w:rPr>
          <w:rFonts w:ascii="Calibri" w:cs="Calibri" w:eastAsia="Calibri" w:hAnsi="Calibri"/>
          <w:b/>
          <w:bCs/>
          <w:color w:val="1F4E79"/>
          <w:sz w:val="28"/>
          <w:szCs w:val="28"/>
        </w:rPr>
        <w:t xml:space="preserve">W37 · 13 settembre 2026</w:t>
      </w:r>
      <w:bookmarkEnd w:id="14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Data</w:t>
            </w:r>
          </w:p>
          <w:p>
            <w:r>
              <w:rPr>
                <w:rFonts w:ascii="Calibri" w:cs="Calibri" w:eastAsia="Calibri" w:hAnsi="Calibri"/>
                <w:sz w:val="20"/>
                <w:szCs w:val="20"/>
              </w:rPr>
              <w:t xml:space="preserve">13 settembre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Settimana</w:t>
            </w:r>
          </w:p>
          <w:p>
            <w:r>
              <w:rPr>
                <w:rFonts w:ascii="Calibri" w:cs="Calibri" w:eastAsia="Calibri" w:hAnsi="Calibri"/>
                <w:sz w:val="20"/>
                <w:szCs w:val="20"/>
              </w:rPr>
              <w:t xml:space="preserve">W37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Ambiti</w:t>
            </w:r>
          </w:p>
          <w:p>
            <w:r>
              <w:rPr>
                <w:rFonts w:ascii="Calibri" w:cs="Calibri" w:eastAsia="Calibri" w:hAnsi="Calibri"/>
                <w:sz w:val="20"/>
                <w:szCs w:val="20"/>
              </w:rPr>
              <w:t xml:space="preserve">Endpoint &amp; Identity · AI &amp; Threat Intelligence</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Contesto chiave</w:t>
            </w:r>
          </w:p>
          <w:p>
            <w:r>
              <w:rPr>
                <w:rFonts w:ascii="Calibri" w:cs="Calibri" w:eastAsia="Calibri" w:hAnsi="Calibri"/>
                <w:sz w:val="20"/>
                <w:szCs w:val="20"/>
              </w:rPr>
              <w:t xml:space="preserve">Akeyless Agentic Runtime Authority · Orchid Security Identity Drift &amp; Kill Switch · Securin Platform (Preemptive Exposure Management)</w:t>
            </w:r>
          </w:p>
        </w:tc>
      </w:tr>
    </w:tbl>
    <w:p>
      <w:pPr>
        <w:spacing w:after="120" w:before="60"/>
      </w:pPr>
      <w:r>
        <w:rPr>
          <w:rFonts w:ascii="Calibri" w:cs="Calibri" w:eastAsia="Calibri" w:hAnsi="Calibri"/>
          <w:i/>
          <w:iCs/>
          <w:color w:val="595959"/>
          <w:sz w:val="20"/>
          <w:szCs w:val="20"/>
        </w:rPr>
        <w:t xml:space="preserve">Settimana fortemente polarizzata sul tema della governance identitaria degli agenti AI: tre annunci indipendenti, tutti concentrati nel giorno 9 settembre, affrontano lo stesso problema da angolazioni diverse - come controllare, in tempo reale, cosa un agente AI autonomo puo effettivamente fare una volta ottenuto l'accesso a sistemi e dati aziendali. Akeyless lancia la disponibilita generale di Agentic Runtime Authority, un layer di controllo degli accessi basato sull'intento per gli agenti in produzione. Orchid Security introduce rilevamento del drift identitario e kill switch a livello applicativo per bloccare agenti che superano il proprio perimetro di autorizzazione. Securin, con un angolo complementare, porta in disponibilita generale una piattaforma di Preemptive Exposure Management che unifica discovery, prioritizzazione e validazione offensiva in un ciclo continuo. Nessun lancio di piattaforma sufficientemente nuovo e stato rilevato questa settimana su Network Security &amp; Microsegmentazione, Cloud &amp; Infrastructure Security e OT/IoT &amp; Infrastrutture Critiche: prevalgono aggiornamenti incrementali e avvisi di vulnerabilita (Cisco FMC, Siemens ICS). Le 3 soluzioni selezionate coprono Endpoint &amp; Identity (due schede, per la concentrazione di annunci sul tema) e AI &amp; Threat Intelligence.</w:t>
      </w:r>
    </w:p>
    <w:p>
      <w:pPr>
        <w:pStyle w:val="Heading2"/>
      </w:pPr>
      <w:r>
        <w:rPr>
          <w:rFonts w:ascii="Calibri" w:cs="Calibri" w:eastAsia="Calibri" w:hAnsi="Calibri"/>
          <w:b/>
          <w:bCs/>
          <w:color w:val="1F4E79"/>
          <w:sz w:val="24"/>
          <w:szCs w:val="24"/>
        </w:rPr>
        <w:t xml:space="preserve">Scheda 1 — Akeyless — Agentic Runtime Authority</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Akeyless (USA/Israele) · Annuncio: 9 settembre 2026 · Ambito: Endpoint &amp; Identity (identita macchina, PAM, Zero Trust per agenti AI)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Layer di controllo in tempo reale che regola cosa un agente AI puo fare una volta ottenuto l'accesso a un sistema, non solo se puo accedervi. Si appoggia su Akeyless SecretlessAI, che tiene le credenziali fuori dagli agenti; Runtime Authority aggiunge un controllo intent-based che valuta ogni azione rispetto all'obiettivo dichiarato, con revoca o terminazione istantanea della sessione.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Estensione della piattaforma Akeyless Identity Security esistente (oltre 220 miliardi di interazioni di identita macchina secondo il vendor), architettura SaaS con broker di accesso centralizzato, nessuna credenziale statica esposta agli agenti · Integrazioni con Claude Enterprise, OpenAI Codex e Amazon Bedrock AgentCore · Disponibilita generale da settembre 2026</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agenti AI gia in produzione su sistemi critici (sviluppo, DevOps, dati aziendali), tipicamente con un programma di identity/secrets management maturo · Per la PA Centrale: rilevante per gli enti che introducono assistenti AI enterprise con accesso a repository di codice o sistemi informativi, dove serve tracciabilita granulare di ogni identita non umana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Le misure minime ACN e gli obblighi NIS2 su accessi privilegiati richiedono che ogni identita, umana o agente, sia autenticata, autorizzata e verificabile a posteriori. Con l'adozione crescente di assistenti AI generativi anche negli enti pubblici italiani, distinguere fra accesso concesso e azione effettivamente compiuta da un agente e un gap di controllo concreto che gli attuali sistemi IAM non coprono.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7_akeyless_vendor">
              <w:r>
                <w:rPr>
                  <w:rStyle w:val="Hyperlink"/>
                  <w:rFonts w:ascii="Calibri" w:cs="Calibri" w:eastAsia="Calibri" w:hAnsi="Calibri"/>
                  <w:sz w:val="20"/>
                </w:rPr>
                <w:t xml:space="preserve">Akeyless Announces General Availability of Agentic Runtime Authority</w:t>
              </w:r>
            </w:hyperlink>
          </w:p>
          <w:p>
            <w:pPr>
              <w:pStyle w:val="ListParagraph"/>
              <w:numPr>
                <w:ilvl w:val="0"/>
                <w:numId w:val="2"/>
              </w:numPr>
              <w:spacing w:after="30" w:before="30"/>
            </w:pPr>
            <w:hyperlink w:history="1" r:id="rIdW37_akeyless_fonte">
              <w:r>
                <w:rPr>
                  <w:rStyle w:val="Hyperlink"/>
                  <w:rFonts w:ascii="Calibri" w:cs="Calibri" w:eastAsia="Calibri" w:hAnsi="Calibri"/>
                  <w:sz w:val="20"/>
                </w:rPr>
                <w:t xml:space="preserve">Help Net Security — Akeyless adds real-time enforcement for AI agents in production</w:t>
              </w:r>
            </w:hyperlink>
          </w:p>
        </w:tc>
      </w:tr>
    </w:tbl>
    <w:p>
      <w:pPr>
        <w:spacing w:after="120" w:before="120"/>
      </w:pPr>
    </w:p>
    <w:p>
      <w:pPr>
        <w:pStyle w:val="Heading2"/>
      </w:pPr>
      <w:r>
        <w:rPr>
          <w:rFonts w:ascii="Calibri" w:cs="Calibri" w:eastAsia="Calibri" w:hAnsi="Calibri"/>
          <w:b/>
          <w:bCs/>
          <w:color w:val="1F4E79"/>
          <w:sz w:val="24"/>
          <w:szCs w:val="24"/>
        </w:rPr>
        <w:t xml:space="preserve">Scheda 2 — Orchid Security — Identity Drift Detection &amp; Application-Level Kill Switches</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Orchid Security (USA) · Annuncio: 9 settembre 2026 · Ambito: Endpoint &amp; Identity (governance identitaria, Zero Trust per agenti AI)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Rileva quando un agente AI si discosta (drift) dal proprio scopo e perimetro di autorizzazione originari, sfruttando debito identitario gia presente in azienda (credenziali hard-coded, account orfani, permessi eccessivi) senza violare alcun controllo esplicito. Se il comportamento supera le soglie di policy, orchestra una risposta automatica fino a un kill switch applicativo dedicato.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Capability aggiuntiva della piattaforma Orchid Security Identity Control Plane, integrata con l'infrastruttura IAM e applicativa esistente per eseguire l'enforcement, senza un nuovo layer di rete · Risposta graduata: riduzione permessi, revoca credenziali, disconnessione tool, sospensione workflow, kill switch applicativo · Annunciata il 9 settembre 2026, disponibile per i clienti della piattaforma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adozione estesa di agenti AI su applicazioni interne, tipicamente con debito identitario storico (credenziali legacy, account orfani) · Per la PA Centrale: rilevante per enti con stratificazione applicativa legacy, dove l'automazione AI rischia di far emergere debolezze di igiene identitaria preesistenti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Il tema dell'identity debt si intreccia con le misure minime ACN su accessi e con l'obbligo NIS2 di gestione del rischio lungo asset e filiera. Per la PA Centrale, spesso gravata da sistemi legacy con account e permessi stratificati nel tempo, un controllo che intercetta derive comportamentali di agenti AI prima che diventino incidenti e utile in vista della fase di verifica ACN da novembre 2026.</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7_orchid_vendor">
              <w:r>
                <w:rPr>
                  <w:rStyle w:val="Hyperlink"/>
                  <w:rFonts w:ascii="Calibri" w:cs="Calibri" w:eastAsia="Calibri" w:hAnsi="Calibri"/>
                  <w:sz w:val="20"/>
                </w:rPr>
                <w:t xml:space="preserve">Orchid Security Adds AI Readiness Controls: Identity Drift Detection and Kill Switches</w:t>
              </w:r>
            </w:hyperlink>
          </w:p>
          <w:p>
            <w:pPr>
              <w:pStyle w:val="ListParagraph"/>
              <w:numPr>
                <w:ilvl w:val="0"/>
                <w:numId w:val="2"/>
              </w:numPr>
              <w:spacing w:after="30" w:before="30"/>
            </w:pPr>
            <w:hyperlink w:history="1" r:id="rIdW37_orchid_fonte">
              <w:r>
                <w:rPr>
                  <w:rStyle w:val="Hyperlink"/>
                  <w:rFonts w:ascii="Calibri" w:cs="Calibri" w:eastAsia="Calibri" w:hAnsi="Calibri"/>
                  <w:sz w:val="20"/>
                </w:rPr>
                <w:t xml:space="preserve">Help Net Security — Orchid Security targets AI agent risk with drift detection and kill switches</w:t>
              </w:r>
            </w:hyperlink>
          </w:p>
        </w:tc>
      </w:tr>
    </w:tbl>
    <w:p>
      <w:pPr>
        <w:spacing w:after="120" w:before="120"/>
      </w:pPr>
    </w:p>
    <w:p>
      <w:pPr>
        <w:pStyle w:val="Heading2"/>
      </w:pPr>
      <w:r>
        <w:rPr>
          <w:rFonts w:ascii="Calibri" w:cs="Calibri" w:eastAsia="Calibri" w:hAnsi="Calibri"/>
          <w:b/>
          <w:bCs/>
          <w:color w:val="1F4E79"/>
          <w:sz w:val="24"/>
          <w:szCs w:val="24"/>
        </w:rPr>
        <w:t xml:space="preserve">Scheda 3 — Securin — Securin Platform (Preemptive Exposure Management)</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Securin (USA/India) · Annuncio: 9 settembre 2026 · Ambito: AI &amp; Threat Intelligence (gestione dell'esposizione, validazione offensiva)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Piattaforma AI-native che unifica in un ciclo continuo discovery della superficie d'attacco, threat intelligence, gestione delle vulnerabilita, validazione offensiva e verifica della remediation, per rispondere a: cosa e sfruttabile, cosa correggere per primo, la correzione ha funzionato?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Piattaforma SaaS AI-native, disponibile anche su AWS Marketplace · Moduli integrabili attivabili progressivamente: Securin Surface (discovery asset), Securin Signals (threat intelligence), Securin Validate (test di attacco reali e ri-test post-remediation), Securin VERA (framework multi-agente che collega l'intero ciclo) · Approccio agentless per la discovery · Disponibilita generale da settembre 2026</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superfici d'attacco estese e team di vulnerability management che devono prioritizzare fra migliaia di CVE · Per la PA Centrale: rilevante per enti con portali e servizi digitali esposti che devono dimostrare in modo continuo e verificabile la riduzione della superficie d'attacco richiesta da NIS2</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Con l'avvio della fase di verifica ACN da novembre 2026, gli enti soggetti a NIS2 dovranno sempre piu spesso dimostrare, non solo dichiarare, l'efficacia delle proprie misure di sicurezza. Una piattaforma che chiude il ciclo tra identificazione dell'esposizione e verifica della remediation risponde direttamente a questa esigenza di evidenza continua nella preparazione ad audit e ispezioni ACN.</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7_securin_vendor">
              <w:r>
                <w:rPr>
                  <w:rStyle w:val="Hyperlink"/>
                  <w:rFonts w:ascii="Calibri" w:cs="Calibri" w:eastAsia="Calibri" w:hAnsi="Calibri"/>
                  <w:sz w:val="20"/>
                </w:rPr>
                <w:t xml:space="preserve">Securin Platform — panoramica tecnica e data sheet</w:t>
              </w:r>
            </w:hyperlink>
          </w:p>
          <w:p>
            <w:pPr>
              <w:pStyle w:val="ListParagraph"/>
              <w:numPr>
                <w:ilvl w:val="0"/>
                <w:numId w:val="2"/>
              </w:numPr>
              <w:spacing w:after="30" w:before="30"/>
            </w:pPr>
            <w:hyperlink w:history="1" r:id="rIdW37_securin_fonte">
              <w:r>
                <w:rPr>
                  <w:rStyle w:val="Hyperlink"/>
                  <w:rFonts w:ascii="Calibri" w:cs="Calibri" w:eastAsia="Calibri" w:hAnsi="Calibri"/>
                  <w:sz w:val="20"/>
                </w:rPr>
                <w:t xml:space="preserve">Help Net Security — Securin Platform helps security teams prove when attack paths are closed</w:t>
              </w:r>
            </w:hyperlink>
          </w:p>
        </w:tc>
      </w:tr>
    </w:tbl>
    <w:p>
      <w:pPr>
        <w:spacing w:after="120" w:before="120"/>
      </w:pPr>
    </w:p>
    <w:p>
      <w:pPr>
        <w:spacing w:after="120" w:before="240"/>
      </w:pPr>
      <w:r>
        <w:rPr>
          <w:rFonts w:ascii="Calibri" w:cs="Calibri" w:eastAsia="Calibri" w:hAnsi="Calibri"/>
          <w:b/>
          <w:bCs/>
          <w:color w:val="1F4E79"/>
          <w:sz w:val="22"/>
          <w:szCs w:val="22"/>
        </w:rPr>
        <w:t xml:space="preserve">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Segnale</w:t>
            </w:r>
          </w:p>
        </w:tc>
        <w:tc>
          <w:tcPr>
            <w:tcW w:type="dxa" w:w="2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Ambito</w:t>
            </w:r>
          </w:p>
        </w:tc>
        <w:tc>
          <w:tcPr>
            <w:tcW w:type="dxa" w:w="302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Rilevanza</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Sfruttamento attivo di due vulnerabilita Cisco FMC (CVE-2026-20079, CVE-2026-20316) da parte di attori state-sponsored e ransomware</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Network Security &amp; Microsegmentazione</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Nessun lancio di prodotto, ma priorita di patching immediata per i team di sicurezza perimetrale</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Siemens e CISA pubblicano nuovi advisory su vulnerabilita in prodotti ICS/IoT</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OT/IoT &amp; Infrastrutture Critiche</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Nessun lancio di piattaforma, ma priorita di patching immediata per gli operatori di infrastrutture critiche italiane</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Rilevato un rootkit Linux su dispositivi F5 BIG-IP APM in ambienti di produzione</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Network Security &amp; Microsegmentazione</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Segnale di compromissione su infrastruttura di accesso critica, da verificare per i clienti F5 BIG-IP APM</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ACN avvia formalmente la fase di verifica e ispezione NIS2 da novembre 2026, dopo il periodo di accompagnamento alla conformita</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Contesto normativo PA</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Gli enti soggetti a NIS2 devono avere le misure minime effettivamente operative entro la scadenza del 31 ottobre 2026, non solo documentate</w:t>
            </w:r>
          </w:p>
        </w:tc>
      </w:tr>
    </w:tbl>
    <w:p>
      <w:r>
        <w:br w:type="page"/>
      </w:r>
    </w:p>
    <w:p>
      <w:pPr>
        <w:pStyle w:val="Heading1"/>
      </w:pPr>
      <w:bookmarkStart w:name="bm_w36" w:id="1300"/>
      <w:r>
        <w:rPr>
          <w:rFonts w:ascii="Calibri" w:cs="Calibri" w:eastAsia="Calibri" w:hAnsi="Calibri"/>
          <w:b/>
          <w:bCs/>
          <w:color w:val="1F4E79"/>
          <w:sz w:val="28"/>
          <w:szCs w:val="28"/>
        </w:rPr>
        <w:t xml:space="preserve">W36 · 6 settembre 2026</w:t>
      </w:r>
      <w:bookmarkEnd w:id="13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Data</w:t>
            </w:r>
          </w:p>
          <w:p>
            <w:r>
              <w:rPr>
                <w:rFonts w:ascii="Calibri" w:cs="Calibri" w:eastAsia="Calibri" w:hAnsi="Calibri"/>
                <w:sz w:val="20"/>
                <w:szCs w:val="20"/>
              </w:rPr>
              <w:t xml:space="preserve">6 settembre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Settimana</w:t>
            </w:r>
          </w:p>
          <w:p>
            <w:r>
              <w:rPr>
                <w:rFonts w:ascii="Calibri" w:cs="Calibri" w:eastAsia="Calibri" w:hAnsi="Calibri"/>
                <w:sz w:val="20"/>
                <w:szCs w:val="20"/>
              </w:rPr>
              <w:t xml:space="preserve">W36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Ambiti</w:t>
            </w:r>
          </w:p>
          <w:p>
            <w:r>
              <w:rPr>
                <w:rFonts w:ascii="Calibri" w:cs="Calibri" w:eastAsia="Calibri" w:hAnsi="Calibri"/>
                <w:sz w:val="20"/>
                <w:szCs w:val="20"/>
              </w:rPr>
              <w:t xml:space="preserve">Endpoint &amp; Identity · Network Security &amp; Microsegmentazione · Cloud &amp; Infrastructure Security</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Contesto chiave</w:t>
            </w:r>
          </w:p>
          <w:p>
            <w:r>
              <w:rPr>
                <w:rFonts w:ascii="Calibri" w:cs="Calibri" w:eastAsia="Calibri" w:hAnsi="Calibri"/>
                <w:sz w:val="20"/>
                <w:szCs w:val="20"/>
              </w:rPr>
              <w:t xml:space="preserve">Ping Identity Enterprise Personal Agent Access · F5 AI-Powered WAF (Virtual Patching) · Superna Cyberstorage 2.15</w:t>
            </w:r>
          </w:p>
        </w:tc>
      </w:tr>
    </w:tbl>
    <w:p>
      <w:pPr>
        <w:spacing w:after="120" w:before="60"/>
      </w:pPr>
      <w:r>
        <w:rPr>
          <w:rFonts w:ascii="Calibri" w:cs="Calibri" w:eastAsia="Calibri" w:hAnsi="Calibri"/>
          <w:i/>
          <w:iCs/>
          <w:color w:val="595959"/>
          <w:sz w:val="20"/>
          <w:szCs w:val="20"/>
        </w:rPr>
        <w:t xml:space="preserve">Settimana di annunci di prodotto piuttosto che di grandi piattaforme: i tre movimenti piu rilevanti riguardano il rafforzamento mirato di capacita gia esistenti su tre fronti distinti. Ping Identity estende PingOne Privilege con un controllo runtime dedicato agli agenti AI personali (Claude desktop e Claude Code come primi casi d'uso), colmando un gap di visibilita che il settore sta scoprendo solo ora - il 48% degli agenti AI in produzione risulta non protetto secondo i dati citati dal vendor. F5 accelera il proprio WAF AI-powered con virtual patching, anomaly detection e threat intelligence agentica, rispondendo alla compressione dei tempi tra scoperta e sfruttamento delle vulnerabilita causata dall'AI lato attaccante. Superna aggiorna la propria piattaforma di cyberstorage con flussi di lavoro ridisegnati per investigazione, risposta e validazione della resilienza a ransomware, un tema centrale per gli obblighi di continuita operativa di NIS2. Gli ambiti AI &amp; Threat Intelligence e OT/IoT &amp; Infrastrutture Critiche non hanno prodotto lanci di prodotto sufficientemente nuovi questa settimana. Le 3 soluzioni selezionate coprono Endpoint &amp; Identity, Network Security &amp; Microsegmentazione e Cloud &amp; Infrastructure Security.</w:t>
      </w:r>
    </w:p>
    <w:p>
      <w:pPr>
        <w:pStyle w:val="Heading2"/>
      </w:pPr>
      <w:r>
        <w:rPr>
          <w:rFonts w:ascii="Calibri" w:cs="Calibri" w:eastAsia="Calibri" w:hAnsi="Calibri"/>
          <w:b/>
          <w:bCs/>
          <w:color w:val="1F4E79"/>
          <w:sz w:val="24"/>
          <w:szCs w:val="24"/>
        </w:rPr>
        <w:t xml:space="preserve">Scheda 1 — Ping Identity — Enterprise Personal Agent Access (PingOne Privilege)</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Ping Identity (USA) · Annuncio: 1 settembre 2026 · Ambito: Endpoint &amp; Identity (identita e privilegio per agenti AI)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Nuova capability di PingOne Privilege che scopre gli agenti AI personali in uso in azienda (incluso shadow AI), associa ogni sessione a utente e dispositivo verificati, e applica policy di autorizzazione a runtime su cosa ciascun agente puo raggiungere e fare, con revoca immediata. Primi casi d'uso: Claude desktop e Claude Code.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Capability SaaS all'interno di PingOne Privilege, enforcement in-line al momento dell'azione tramite policy enforcement point davanti alle risorse gestite · Accesso secretless, nessuna credenziale long-lived per gli agenti · Copertura di server MCP, repository di codice, API, cluster Kubernetes, database, infrastruttura cloud · Disponibile ora, in pilot con enterprise globali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che introducono agenti AI personali nei flussi di sviluppatori e dipendenti, tipicamente gia clienti PingOne · Per la PA Centrale: rilevante per gli enti che sperimentano assistenti AI per sviluppo software e produttivita interna, dove l'identita non umana tracciabile sta diventando un requisito di fatto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Le linee guida ACN sull'uso sicuro dell'AI e gli obblighi NIS2/misure minime ACN su identita e accessi privilegiati richiedono che ogni identita, umana o agente, sia tracciabile e revocabile. Un controllo runtime specifico per agenti personali che agiscono con l'identita di un dipendente colma un gap nuovo, reso urgente dalla crescente adozione di assistenti AI generativi negli enti pubblici italiani.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6_ping_vendor">
              <w:r>
                <w:rPr>
                  <w:rStyle w:val="Hyperlink"/>
                  <w:rFonts w:ascii="Calibri" w:cs="Calibri" w:eastAsia="Calibri" w:hAnsi="Calibri"/>
                  <w:sz w:val="20"/>
                </w:rPr>
                <w:t xml:space="preserve">Ping Identity Secures Claude Personal Agents From Discovery to Action</w:t>
              </w:r>
            </w:hyperlink>
          </w:p>
          <w:p>
            <w:pPr>
              <w:pStyle w:val="ListParagraph"/>
              <w:numPr>
                <w:ilvl w:val="0"/>
                <w:numId w:val="2"/>
              </w:numPr>
              <w:spacing w:after="30" w:before="30"/>
            </w:pPr>
            <w:hyperlink w:history="1" r:id="rIdW36_ping_fonte">
              <w:r>
                <w:rPr>
                  <w:rStyle w:val="Hyperlink"/>
                  <w:rFonts w:ascii="Calibri" w:cs="Calibri" w:eastAsia="Calibri" w:hAnsi="Calibri"/>
                  <w:sz w:val="20"/>
                </w:rPr>
                <w:t xml:space="preserve">Help Net Security — Ping Identity introduces enterprise security for personal AI agents</w:t>
              </w:r>
            </w:hyperlink>
          </w:p>
        </w:tc>
      </w:tr>
    </w:tbl>
    <w:p>
      <w:pPr>
        <w:spacing w:after="120" w:before="120"/>
      </w:pPr>
    </w:p>
    <w:p>
      <w:pPr>
        <w:pStyle w:val="Heading2"/>
      </w:pPr>
      <w:r>
        <w:rPr>
          <w:rFonts w:ascii="Calibri" w:cs="Calibri" w:eastAsia="Calibri" w:hAnsi="Calibri"/>
          <w:b/>
          <w:bCs/>
          <w:color w:val="1F4E79"/>
          <w:sz w:val="24"/>
          <w:szCs w:val="24"/>
        </w:rPr>
        <w:t xml:space="preserve">Scheda 2 — F5 — AI-Powered WAF (Virtual Patching, Anomaly Detection, Agentic Threat Intelligence)</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F5 (USA) · Annuncio: 2 settembre 2026 · Ambito: Network Security &amp; Microsegmentazione (protezione perimetrale applicativa)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Potenzia il WAF AI-powered della F5 Application Delivery and Security Platform (ADSP) con anomaly detection basata su baseline comportamentali per applicazione, agentic threat intelligence (da tecnologia Fletch) che correla intelligence esterna con il traffico reale, e virtual patching automatizzato che blocca exploit a livello di singola richiesta in pochi minuti.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Funzionalita native della piattaforma ADSP su F5 Distributed Cloud (cloud-delivered), estese a F5 WAF per BIG-IP per ambienti ibridi · Approccio in-line nel data path applicativo, senza agenti sugli host · Virtual patching integrato con F5 Distributed Cloud Web App Scanning · Efficacia dichiarata: 98% detection, 1% falsi positivi (test interni F5)</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applicazioni web/API esposte, gia clienti F5 WAF, BIG-IP o Distributed Cloud · Rilevante per la PA Centrale per la protezione di portali istituzionali e servizi digitali ai cittadini esposti su internet</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La finestra tra scoperta e sfruttamento di una vulnerabilita si e ridotta drasticamente per effetto dell'AI lato attaccante. Per gli enti PA Centrale, soggetti ai tempi stretti di notifica NIS2, poter virtual-patchare un'esposizione nota in minuti invece di attendere settimane per una fix di codice risponde ai requisiti di sicurezza applicativa richiamati dalle misure minime ACN.</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6_f5_vendor">
              <w:r>
                <w:rPr>
                  <w:rStyle w:val="Hyperlink"/>
                  <w:rFonts w:ascii="Calibri" w:cs="Calibri" w:eastAsia="Calibri" w:hAnsi="Calibri"/>
                  <w:sz w:val="20"/>
                </w:rPr>
                <w:t xml:space="preserve">F5 Accelerates Virtual Patching to Manage Emerging Cyber Risks</w:t>
              </w:r>
            </w:hyperlink>
          </w:p>
          <w:p>
            <w:pPr>
              <w:pStyle w:val="ListParagraph"/>
              <w:numPr>
                <w:ilvl w:val="0"/>
                <w:numId w:val="2"/>
              </w:numPr>
              <w:spacing w:after="30" w:before="30"/>
            </w:pPr>
            <w:hyperlink w:history="1" r:id="rIdW36_f5_fonte">
              <w:r>
                <w:rPr>
                  <w:rStyle w:val="Hyperlink"/>
                  <w:rFonts w:ascii="Calibri" w:cs="Calibri" w:eastAsia="Calibri" w:hAnsi="Calibri"/>
                  <w:sz w:val="20"/>
                </w:rPr>
                <w:t xml:space="preserve">Help Net Security — F5 speeds up virtual patching to counter AI-driven threats</w:t>
              </w:r>
            </w:hyperlink>
          </w:p>
        </w:tc>
      </w:tr>
    </w:tbl>
    <w:p>
      <w:pPr>
        <w:spacing w:after="120" w:before="120"/>
      </w:pPr>
    </w:p>
    <w:p>
      <w:pPr>
        <w:pStyle w:val="Heading2"/>
      </w:pPr>
      <w:r>
        <w:rPr>
          <w:rFonts w:ascii="Calibri" w:cs="Calibri" w:eastAsia="Calibri" w:hAnsi="Calibri"/>
          <w:b/>
          <w:bCs/>
          <w:color w:val="1F4E79"/>
          <w:sz w:val="24"/>
          <w:szCs w:val="24"/>
        </w:rPr>
        <w:t xml:space="preserve">Scheda 3 — Superna — Cyberstorage 2.15</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Superna (Canada) · Annuncio: 1 settembre 2026 · Ambito: Cloud &amp; Infrastructure Security (cyber-resilienza dei dati a livello storage)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Aggiorna la piattaforma di cyberstorage che applica controlli di sicurezza e resilienza direttamente al layer storage/NAS. La v2.15 ridisegna interfaccia e flussi di lavoro per investigazione minacce, risposta, validazione readiness di recovery, disaster recovery e gestione dell'isolamento AirGap.</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Si applica al layer storage (nato su storage Dell/EMC, ora piattaforma estesa), agentless sugli endpoint · Tre moduli integrabili: Data Security Edition (rilevamento/risposta ransomware), Disaster Recovery Edition (orchestrazione recovery e validazione continua readiness), Enterprise AirGap (isolamento fisico/logico aggiuntivo) · Disponibile ora per clienti esistenti e nuovi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volumi critici di dati su storage NAS/file (sanita, PA, finance) che devono dimostrare resilienza concreta al ransomware · Esplicitamente rilevante per la PA Centrale e gli operatori di infrastrutture critiche, per il legame diretto con gli obblighi di continuita operativa, backup e disaster recovery</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NIS2 e le misure minime ACN richiedono capacita dimostrabili, non solo documentate, di backup, disaster recovery e continuita operativa. La possibilita di validare in modo continuo la readiness di recovery e isolare fisicamente le copie dei dati (AirGap) risponde a un tema su cui ACN ha richiamato piu volte la PA italiana nel 2026, dopo gli incidenti ransomware su enti pubblici ed erogatori di servizi essenziali.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6_superna_vendor">
              <w:r>
                <w:rPr>
                  <w:rStyle w:val="Hyperlink"/>
                  <w:rFonts w:ascii="Calibri" w:cs="Calibri" w:eastAsia="Calibri" w:hAnsi="Calibri"/>
                  <w:sz w:val="20"/>
                </w:rPr>
                <w:t xml:space="preserve">Superna Introduces 2.15 Release to Simplify Cyberstorage Security and Resilience Operations</w:t>
              </w:r>
            </w:hyperlink>
          </w:p>
          <w:p>
            <w:pPr>
              <w:pStyle w:val="ListParagraph"/>
              <w:numPr>
                <w:ilvl w:val="0"/>
                <w:numId w:val="2"/>
              </w:numPr>
              <w:spacing w:after="30" w:before="30"/>
            </w:pPr>
            <w:hyperlink w:history="1" r:id="rIdW36_superna_fonte">
              <w:r>
                <w:rPr>
                  <w:rStyle w:val="Hyperlink"/>
                  <w:rFonts w:ascii="Calibri" w:cs="Calibri" w:eastAsia="Calibri" w:hAnsi="Calibri"/>
                  <w:sz w:val="20"/>
                </w:rPr>
                <w:t xml:space="preserve">Help Net Security — Superna 2.15 simplifies cyberstorage security and resilience operations</w:t>
              </w:r>
            </w:hyperlink>
          </w:p>
        </w:tc>
      </w:tr>
    </w:tbl>
    <w:p>
      <w:pPr>
        <w:spacing w:after="120" w:before="120"/>
      </w:pPr>
    </w:p>
    <w:p>
      <w:pPr>
        <w:spacing w:after="120" w:before="240"/>
      </w:pPr>
      <w:r>
        <w:rPr>
          <w:rFonts w:ascii="Calibri" w:cs="Calibri" w:eastAsia="Calibri" w:hAnsi="Calibri"/>
          <w:b/>
          <w:bCs/>
          <w:color w:val="1F4E79"/>
          <w:sz w:val="22"/>
          <w:szCs w:val="22"/>
        </w:rPr>
        <w:t xml:space="preserve">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Segnale</w:t>
            </w:r>
          </w:p>
        </w:tc>
        <w:tc>
          <w:tcPr>
            <w:tcW w:type="dxa" w:w="2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Ambito</w:t>
            </w:r>
          </w:p>
        </w:tc>
        <w:tc>
          <w:tcPr>
            <w:tcW w:type="dxa" w:w="302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Rilevanza</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BugBase lancia Pentest Copilot Enterprise per il black-box pentesting automatizzato con agenti AI</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AI &amp; Threat Intelligence</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Piu vicino all'application security testing che alla threat intelligence in senso stretto; segnale da monitorare, non promosso a scheda piena</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Siemens e CISA pubblicano nuovi advisory su vulnerabilita in prodotti ICS/IoT</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OT/IoT &amp; Infrastrutture Critiche</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Nessun lancio di piattaforma, ma priorita di patching immediata per gli operatori di infrastrutture critiche italiane</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Netskope confermato Leader nel Magic Quadrant SASE Platforms per il terzo anno consecutivo</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Network Security &amp; Microsegmentazione</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Conferma di posizionamento, non una novita di prodotto della settimana</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ACN prosegue l'attuazione del quadro operativo NIS2 sulla sicurezza della filiera (supply chain)</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Contesto normativo PA</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Gli enti nel perimetro NIS2 devono mantenere aggiornato l'elenco dei fornitori rilevanti sulla piattaforma ACN</w:t>
            </w:r>
          </w:p>
        </w:tc>
      </w:tr>
    </w:tbl>
    <w:p>
      <w:r>
        <w:br w:type="page"/>
      </w:r>
    </w:p>
    <w:p>
      <w:pPr>
        <w:pStyle w:val="Heading1"/>
      </w:pPr>
      <w:bookmarkStart w:name="bm_w34" w:id="1200"/>
      <w:r>
        <w:rPr>
          <w:rFonts w:ascii="Calibri" w:cs="Calibri" w:eastAsia="Calibri" w:hAnsi="Calibri"/>
          <w:b/>
          <w:bCs/>
          <w:color w:val="1F4E79"/>
          <w:sz w:val="28"/>
          <w:szCs w:val="28"/>
        </w:rPr>
        <w:t xml:space="preserve">W34 · 21 agosto 2026</w:t>
      </w:r>
      <w:bookmarkEnd w:id="12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Data</w:t>
            </w:r>
          </w:p>
          <w:p>
            <w:r>
              <w:rPr>
                <w:rFonts w:ascii="Calibri" w:cs="Calibri" w:eastAsia="Calibri" w:hAnsi="Calibri"/>
                <w:sz w:val="20"/>
                <w:szCs w:val="20"/>
              </w:rPr>
              <w:t xml:space="preserve">21 agosto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Settimana</w:t>
            </w:r>
          </w:p>
          <w:p>
            <w:r>
              <w:rPr>
                <w:rFonts w:ascii="Calibri" w:cs="Calibri" w:eastAsia="Calibri" w:hAnsi="Calibri"/>
                <w:sz w:val="20"/>
                <w:szCs w:val="20"/>
              </w:rPr>
              <w:t xml:space="preserve">W34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Ambiti</w:t>
            </w:r>
          </w:p>
          <w:p>
            <w:r>
              <w:rPr>
                <w:rFonts w:ascii="Calibri" w:cs="Calibri" w:eastAsia="Calibri" w:hAnsi="Calibri"/>
                <w:sz w:val="20"/>
                <w:szCs w:val="20"/>
              </w:rPr>
              <w:t xml:space="preserve">Network Security &amp; Microsegmentazione · Cloud &amp; Infrastructure Security · AI &amp; Threat Intelligence</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Contesto chiave</w:t>
            </w:r>
          </w:p>
          <w:p>
            <w:r>
              <w:rPr>
                <w:rFonts w:ascii="Calibri" w:cs="Calibri" w:eastAsia="Calibri" w:hAnsi="Calibri"/>
                <w:sz w:val="20"/>
                <w:szCs w:val="20"/>
              </w:rPr>
              <w:t xml:space="preserve">Tufin Segmentation Intelligence · F5 AI Gateway Next-Gen · Searchlight Cyber PTEM</w:t>
            </w:r>
          </w:p>
        </w:tc>
      </w:tr>
    </w:tbl>
    <w:p>
      <w:pPr>
        <w:spacing w:after="120" w:before="60"/>
      </w:pPr>
      <w:r>
        <w:rPr>
          <w:rFonts w:ascii="Calibri" w:cs="Calibri" w:eastAsia="Calibri" w:hAnsi="Calibri"/>
          <w:i/>
          <w:iCs/>
          <w:color w:val="595959"/>
          <w:sz w:val="20"/>
          <w:szCs w:val="20"/>
        </w:rPr>
        <w:t xml:space="preserve">Settimana relativamente tranquilla sul fronte dei grandi lanci di prodotto, in coda al picco di annunci di Black Hat USA di inizio agosto. I tre movimenti più significativi riguardano tre ambiti distinti: la gestione della segmentazione di rete (Tufin, che introduce intelligenza AI-driven sopra il proprio Unified Control Plane), la governance e sicurezza dell'uso aziendale dell'AI (F5, che estende l'AI Gateway a un vero e proprio control point per modelli, agenti e tool), e l'unificazione tra gestione dell'esposizione e threat intelligence (Searchlight Cyber, con il lancio della piattaforma PTEM). Gli ambiti Endpoint &amp; Identity e OT/IoT &amp; Infrastrutture Critiche non hanno prodotto annunci di prodotto sufficientemente nuovi questa settimana. Le 3 soluzioni selezionate coprono Network Security &amp; Microsegmentazione, Cloud &amp; Infrastructure Security (sicurezza dell'AI aziendale) e AI &amp; Threat Intelligence.</w:t>
      </w:r>
    </w:p>
    <w:p>
      <w:pPr>
        <w:pStyle w:val="Heading2"/>
      </w:pPr>
      <w:r>
        <w:rPr>
          <w:rFonts w:ascii="Calibri" w:cs="Calibri" w:eastAsia="Calibri" w:hAnsi="Calibri"/>
          <w:b/>
          <w:bCs/>
          <w:color w:val="1F4E79"/>
          <w:sz w:val="24"/>
          <w:szCs w:val="24"/>
        </w:rPr>
        <w:t xml:space="preserve">Scheda 1 — Tufin — Orchestration Suite 5.3 (Segmentation Intelligence)</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Tufin (Israele/USA) · Annuncio: 19-20 agosto 2026 · Ambito: Network Security &amp; Microsegmentazione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Rilascia “Segmentation Intelligence”: motore AI che analizza in modo continuo le policy di segmentazione di rete, identifica gap e drift rispetto all'intento dichiarato e propone correzioni, sostituendo audit periodici e controlli manuali con visibilità sempre attiva.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Estensione dello Unified Control Plane Tufin esistente, architettura agentless basata su integrazioni API con i dispositivi di enforcement · Supporto multi-vendor esteso: AWS Firewall, Palo Alto Strata Cloud Manager, VMware NSX-T, Cisco Meraki · Deployment on-premise, cloud o ibrido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infrastrutture di rete ibride e multi-vendor, già clienti Tufin che vogliono passare da audit periodici a governance continua · Rilevante per operatori di infrastrutture critiche con requisiti di segmentazione OT/IT · Per la PA Centrale: supporta la segmentazione richiesta da PSNC e NIS2, riducendo il rischio di non conformità tra un audit e l'altro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La segmentazione di rete è un requisito esplicito nelle misure minime ACN e negli obblighi NIS2 (separazione IT/OT, contenimento della propagazione laterale). Uno strumento che mantiene la postura di segmentazione sempre corretta, invece di verificarla a campione, riduce sensibilmente il rischio di non conformità per gli enti PA Centrale soggetti a PSNC.</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4_tufin_vendor">
              <w:r>
                <w:rPr>
                  <w:rStyle w:val="Hyperlink"/>
                  <w:rFonts w:ascii="Calibri" w:cs="Calibri" w:eastAsia="Calibri" w:hAnsi="Calibri"/>
                  <w:sz w:val="20"/>
                </w:rPr>
                <w:t xml:space="preserve">Pagina ufficiale — Tufin's AI-Powered Segmentation Intelligence</w:t>
              </w:r>
            </w:hyperlink>
          </w:p>
          <w:p>
            <w:pPr>
              <w:pStyle w:val="ListParagraph"/>
              <w:numPr>
                <w:ilvl w:val="0"/>
                <w:numId w:val="2"/>
              </w:numPr>
              <w:spacing w:after="30" w:before="30"/>
            </w:pPr>
            <w:hyperlink w:history="1" r:id="rIdW34_tufin_fonte">
              <w:r>
                <w:rPr>
                  <w:rStyle w:val="Hyperlink"/>
                  <w:rFonts w:ascii="Calibri" w:cs="Calibri" w:eastAsia="Calibri" w:hAnsi="Calibri"/>
                  <w:sz w:val="20"/>
                </w:rPr>
                <w:t xml:space="preserve">Help Net Security — Tufin expands Unified Control Plane with AI intelligence</w:t>
              </w:r>
            </w:hyperlink>
          </w:p>
        </w:tc>
      </w:tr>
    </w:tbl>
    <w:p>
      <w:pPr>
        <w:spacing w:after="120" w:before="120"/>
      </w:pPr>
    </w:p>
    <w:p>
      <w:pPr>
        <w:pStyle w:val="Heading2"/>
      </w:pPr>
      <w:r>
        <w:rPr>
          <w:rFonts w:ascii="Calibri" w:cs="Calibri" w:eastAsia="Calibri" w:hAnsi="Calibri"/>
          <w:b/>
          <w:bCs/>
          <w:color w:val="1F4E79"/>
          <w:sz w:val="24"/>
          <w:szCs w:val="24"/>
        </w:rPr>
        <w:t xml:space="preserve">Scheda 2 — F5 — AI Gateway (nuova generazione) / AI Security Platform</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F5 (USA) · Annuncio: 18-19 agosto 2026 · Ambito: Cloud &amp; Infrastructure Security (sicurezza e governance dell'AI aziendale)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Potenzia l'AI Gateway e lo integra nella F5 AI Security Platform, creando un unico control point per governare accesso e utilizzo di modelli AI, agenti e tool aziendali, applicando policy su ogni richiesta AI.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Tre funzioni integrate: Model Gateway (accesso/costi modelli), MCP Gateway (governance agente-to-tool), AI Guardrails (protezione prompt/risposte) · Deployment SaaS, hybrid SaaS o hybrid multicloud, con supporto air-gapped pianificato per casi d'uso regolamentati/sovrani · Layer sopra i quattro pilastri della F5 AI Security Platform</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che scalano l'adozione di AI generativa e agentica e necessitano di un punto di controllo centralizzato per costi, accessi e sicurezza · Il supporto air-gapped pianificato lo rende potenzialmente rilevante per PA Centrale ed enti con requisiti di sovranità del dato, da verificare con il vendor per la disponibilità sul mercato italiano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Con la diffusione di agenti AI negli enti pubblici italiani, la governance dell'accesso a modelli e dati diventa un tema di compliance GDPR e sicurezza degli accessi. Le linee guida ACN sull'uso sicuro dell'AI e i requisiti di qualificazione Cloud per la PA rendono strumenti di governance AI centralizzata (specialmente con opzioni air-gapped/sovrane) un tema da monitorare.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4_f5_vendor">
              <w:r>
                <w:rPr>
                  <w:rStyle w:val="Hyperlink"/>
                  <w:rFonts w:ascii="Calibri" w:cs="Calibri" w:eastAsia="Calibri" w:hAnsi="Calibri"/>
                  <w:sz w:val="20"/>
                </w:rPr>
                <w:t xml:space="preserve">F5 AI Gateway: Single control point for all enterprise AI</w:t>
              </w:r>
            </w:hyperlink>
          </w:p>
          <w:p>
            <w:pPr>
              <w:pStyle w:val="ListParagraph"/>
              <w:numPr>
                <w:ilvl w:val="0"/>
                <w:numId w:val="2"/>
              </w:numPr>
              <w:spacing w:after="30" w:before="30"/>
            </w:pPr>
            <w:hyperlink w:history="1" r:id="rIdW34_f5_fonte">
              <w:r>
                <w:rPr>
                  <w:rStyle w:val="Hyperlink"/>
                  <w:rFonts w:ascii="Calibri" w:cs="Calibri" w:eastAsia="Calibri" w:hAnsi="Calibri"/>
                  <w:sz w:val="20"/>
                </w:rPr>
                <w:t xml:space="preserve">Help Net Security — F5 AI Gateway enhancements</w:t>
              </w:r>
            </w:hyperlink>
          </w:p>
        </w:tc>
      </w:tr>
    </w:tbl>
    <w:p>
      <w:pPr>
        <w:spacing w:after="120" w:before="120"/>
      </w:pPr>
    </w:p>
    <w:p>
      <w:pPr>
        <w:pStyle w:val="Heading2"/>
      </w:pPr>
      <w:r>
        <w:rPr>
          <w:rFonts w:ascii="Calibri" w:cs="Calibri" w:eastAsia="Calibri" w:hAnsi="Calibri"/>
          <w:b/>
          <w:bCs/>
          <w:color w:val="1F4E79"/>
          <w:sz w:val="24"/>
          <w:szCs w:val="24"/>
        </w:rPr>
        <w:t xml:space="preserve">Scheda 3 — Searchlight Cyber — Preemptive Threat Exposure Management (PTEM)</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Searchlight Cyber (Regno Unito) · Annuncio: 13 agosto 2026 · Ambito: AI &amp; Threat Intelligence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Unifica exposure management e threat intelligence in un'unica piattaforma: Searchlight Exposure (ex Assetnote) per visibilità continua sulla superficie d'attacco e validazione dell'exploitability; Searchlight Threat (ex Cerberus + DarkIQ) per intelligence su attori di minaccia dal dark web, per prioritizzare le esposizioni realmente sfruttabili.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Piattaforma SaaS cloud-based, agentless per la scoperta della superficie d'attacco esterna (nessun agente sugli asset) · Integrazione con vulnerability management e SOC esistenti tramite API · Nata dall'unificazione di tre prodotti precedenti (Assetnote, Cerberus, DarkIQ) in un brand unico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superficie d'attacco esterna significativa (asset internet-facing, filiali multiple, M&amp;A frequenti) · Il vendor serve anche enti governativi e forze dell'ordine, segnale di idoneità per requisiti di sicurezza pubblica più stringenti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La finestra tra scoperta di una vulnerabilità e sfruttamento si riduce per effetto dell'AI lato attaccante. Per la PA Centrale, sottoposta a notifica incidenti NIS2 sempre più stringente (ACN/CSIRT Italia: oltre 2.100 eventi cyber nel primo semestre 2026, +47% anno su anno), prioritizzare le poche esposizioni realmente sfruttabili è allineato ai principi di gestione del rischio della direttiva.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4_searchlight_vendor">
              <w:r>
                <w:rPr>
                  <w:rStyle w:val="Hyperlink"/>
                  <w:rFonts w:ascii="Calibri" w:cs="Calibri" w:eastAsia="Calibri" w:hAnsi="Calibri"/>
                  <w:sz w:val="20"/>
                </w:rPr>
                <w:t xml:space="preserve">Searchlight Cyber — What is Preemptive Threat Exposure Management (PTEM)?</w:t>
              </w:r>
            </w:hyperlink>
          </w:p>
          <w:p>
            <w:pPr>
              <w:pStyle w:val="ListParagraph"/>
              <w:numPr>
                <w:ilvl w:val="0"/>
                <w:numId w:val="2"/>
              </w:numPr>
              <w:spacing w:after="30" w:before="30"/>
            </w:pPr>
            <w:hyperlink w:history="1" r:id="rIdW34_searchlight_fonte">
              <w:r>
                <w:rPr>
                  <w:rStyle w:val="Hyperlink"/>
                  <w:rFonts w:ascii="Calibri" w:cs="Calibri" w:eastAsia="Calibri" w:hAnsi="Calibri"/>
                  <w:sz w:val="20"/>
                </w:rPr>
                <w:t xml:space="preserve">Help Net Security — Searchlight Cyber combines exposure and threat intelligence in new PTEM platform</w:t>
              </w:r>
            </w:hyperlink>
          </w:p>
        </w:tc>
      </w:tr>
    </w:tbl>
    <w:p>
      <w:pPr>
        <w:spacing w:after="120" w:before="120"/>
      </w:pPr>
    </w:p>
    <w:p>
      <w:pPr>
        <w:spacing w:after="120" w:before="240"/>
      </w:pPr>
      <w:r>
        <w:rPr>
          <w:rFonts w:ascii="Calibri" w:cs="Calibri" w:eastAsia="Calibri" w:hAnsi="Calibri"/>
          <w:b/>
          <w:bCs/>
          <w:color w:val="1F4E79"/>
          <w:sz w:val="22"/>
          <w:szCs w:val="22"/>
        </w:rPr>
        <w:t xml:space="preserve">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Segnale</w:t>
            </w:r>
          </w:p>
        </w:tc>
        <w:tc>
          <w:tcPr>
            <w:tcW w:type="dxa" w:w="2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Ambito</w:t>
            </w:r>
          </w:p>
        </w:tc>
        <w:tc>
          <w:tcPr>
            <w:tcW w:type="dxa" w:w="302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Rilevanza</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Searchlight Cyber unifica Assetnote, Cerberus e DarkIQ nel brand Searchlight Exposure/Threat</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AI &amp; Threat Intelligence</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Consolidamento di prodotto, non solo rebranding: riduce i silos tra exposure management e threat intelligence</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Intezer lancia Workflows per portare risposta automatizzata nativa nell'AI SOC</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AI &amp; Threat Intelligence</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Riduce la dipendenza da SOAR separati, accelerando il ciclo alert-to-remediation</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AppViewX rafforza il team con ex dirigenti Ping Identity e CyberArk</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Endpoint &amp; Identity</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Segnale di investimento crescente sul mercato dell'identità di macchine e agenti AI, senza lancio di prodotto associato</w:t>
            </w:r>
          </w:p>
        </w:tc>
      </w:tr>
      <w:tr>
        <w:tc>
          <w:tcPr>
            <w:tcW w:type="dxa" w:w="3500"/>
            <w:shd w:fill="FFFFFF" w:val="clear"/>
            <w:tcMar>
              <w:top w:type="dxa" w:w="80"/>
              <w:left w:type="dxa" w:w="120"/>
              <w:bottom w:type="dxa" w:w="80"/>
              <w:right w:type="dxa" w:w="120"/>
            </w:tcMar>
          </w:tcPr>
          <w:p>
            <w:r>
              <w:rPr>
                <w:rFonts w:ascii="Calibri" w:cs="Calibri" w:eastAsia="Calibri" w:hAnsi="Calibri"/>
                <w:color w:val="000000"/>
                <w:sz w:val="20"/>
                <w:szCs w:val="20"/>
              </w:rPr>
              <w:t xml:space="preserve">ACN/CSIRT Italia: 2.171 eventi cyber gestiti nel primo semestre 2026 (+47% anno su anno)</w:t>
            </w:r>
          </w:p>
        </w:tc>
        <w:tc>
          <w:tcPr>
            <w:tcW w:type="dxa" w:w="2500"/>
            <w:shd w:fill="FFFFFF" w:val="clear"/>
            <w:tcMar>
              <w:top w:type="dxa" w:w="80"/>
              <w:left w:type="dxa" w:w="120"/>
              <w:bottom w:type="dxa" w:w="80"/>
              <w:right w:type="dxa" w:w="120"/>
            </w:tcMar>
          </w:tcPr>
          <w:p>
            <w:r>
              <w:rPr>
                <w:rFonts w:ascii="Calibri" w:cs="Calibri" w:eastAsia="Calibri" w:hAnsi="Calibri"/>
                <w:color w:val="000000"/>
                <w:sz w:val="20"/>
                <w:szCs w:val="20"/>
              </w:rPr>
              <w:t xml:space="preserve">Contesto normativo PA</w:t>
            </w:r>
          </w:p>
        </w:tc>
        <w:tc>
          <w:tcPr>
            <w:tcW w:type="dxa" w:w="3026"/>
            <w:shd w:fill="FFFFFF" w:val="clear"/>
            <w:tcMar>
              <w:top w:type="dxa" w:w="80"/>
              <w:left w:type="dxa" w:w="120"/>
              <w:bottom w:type="dxa" w:w="80"/>
              <w:right w:type="dxa" w:w="120"/>
            </w:tcMar>
          </w:tcPr>
          <w:p>
            <w:r>
              <w:rPr>
                <w:rFonts w:ascii="Calibri" w:cs="Calibri" w:eastAsia="Calibri" w:hAnsi="Calibri"/>
                <w:color w:val="000000"/>
                <w:sz w:val="20"/>
                <w:szCs w:val="20"/>
              </w:rPr>
              <w:t xml:space="preserve">Conferma l'aumento di visibilità sugli incidenti generato dagli obblighi di notifica NIS2</w:t>
            </w:r>
          </w:p>
        </w:tc>
      </w:tr>
    </w:tbl>
    <w:p>
      <w:r>
        <w:br w:type="page"/>
      </w:r>
    </w:p>
    <w:p>
      <w:pPr>
        <w:pStyle w:val="Heading1"/>
      </w:pPr>
      <w:bookmarkStart w:name="bm_w32" w:id="1100"/>
      <w:r>
        <w:rPr>
          <w:rFonts w:ascii="Calibri" w:cs="Calibri" w:eastAsia="Calibri" w:hAnsi="Calibri"/>
          <w:b/>
          <w:bCs/>
          <w:color w:val="1F4E79"/>
          <w:sz w:val="28"/>
          <w:szCs w:val="28"/>
        </w:rPr>
        <w:t xml:space="preserve">W32 · 9 agosto 2026</w:t>
      </w:r>
      <w:bookmarkEnd w:id="11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Data</w:t>
            </w:r>
          </w:p>
          <w:p>
            <w:r>
              <w:rPr>
                <w:rFonts w:ascii="Calibri" w:cs="Calibri" w:eastAsia="Calibri" w:hAnsi="Calibri"/>
                <w:sz w:val="20"/>
                <w:szCs w:val="20"/>
              </w:rPr>
              <w:t xml:space="preserve">9 agosto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Settimana</w:t>
            </w:r>
          </w:p>
          <w:p>
            <w:r>
              <w:rPr>
                <w:rFonts w:ascii="Calibri" w:cs="Calibri" w:eastAsia="Calibri" w:hAnsi="Calibri"/>
                <w:sz w:val="20"/>
                <w:szCs w:val="20"/>
              </w:rPr>
              <w:t xml:space="preserve">W32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Ambiti</w:t>
            </w:r>
          </w:p>
          <w:p>
            <w:r>
              <w:rPr>
                <w:rFonts w:ascii="Calibri" w:cs="Calibri" w:eastAsia="Calibri" w:hAnsi="Calibri"/>
                <w:sz w:val="20"/>
                <w:szCs w:val="20"/>
              </w:rPr>
              <w:t xml:space="preserve">Endpoint &amp; Identity · AI &amp; Threat Intelligence · OT/IoT &amp; Infrastrutture Critiche</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Contesto chiave</w:t>
            </w:r>
          </w:p>
          <w:p>
            <w:r>
              <w:rPr>
                <w:rFonts w:ascii="Calibri" w:cs="Calibri" w:eastAsia="Calibri" w:hAnsi="Calibri"/>
                <w:sz w:val="20"/>
                <w:szCs w:val="20"/>
              </w:rPr>
              <w:t xml:space="preserve">CrowdStrike Falcon Next-Gen Identity · SOCRadar Human Identity Exposure · Viakoo Device Configuration Manager</w:t>
            </w:r>
          </w:p>
        </w:tc>
      </w:tr>
    </w:tbl>
    <w:p>
      <w:pPr>
        <w:spacing w:after="120" w:before="60"/>
      </w:pPr>
      <w:r>
        <w:rPr>
          <w:rFonts w:ascii="Calibri" w:cs="Calibri" w:eastAsia="Calibri" w:hAnsi="Calibri"/>
          <w:i/>
          <w:iCs/>
          <w:color w:val="595959"/>
          <w:sz w:val="20"/>
          <w:szCs w:val="20"/>
        </w:rPr>
        <w:t xml:space="preserve">Settimana di chiusura di Black Hat USA 2026 (Las Vegas, 1-6 agosto), che ha prodotto il consueto picco di annunci di prodotto. Il tema dominante resta la sicurezza dell'identità — umana, macchina e ora anche agentica — con CrowdStrike che consolida la propria piattaforma di identity security e SOCRadar che estende la threat intelligence all'esposizione delle identità umane sul dark web. Sul fronte OT/IoT, Viakoo affronta un problema finora poco coperto dal mercato: il configuration drift dei dispositivi industriali e IoT. I domini Cloud &amp; Infrastructure Security e Network Security &amp; Microsegmentazione non hanno prodotto annunci di prodotto sufficientemente maturi questa settimana.</w:t>
      </w:r>
    </w:p>
    <w:p>
      <w:pPr>
        <w:pStyle w:val="Heading2"/>
      </w:pPr>
      <w:r>
        <w:rPr>
          <w:rFonts w:ascii="Calibri" w:cs="Calibri" w:eastAsia="Calibri" w:hAnsi="Calibri"/>
          <w:b/>
          <w:bCs/>
          <w:color w:val="1F4E79"/>
          <w:sz w:val="24"/>
          <w:szCs w:val="24"/>
        </w:rPr>
        <w:t xml:space="preserve">Scheda 1 — CrowdStrike — Falcon Next-Gen Identity Security</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CrowdStrike (USA) · Annuncio: Black Hat USA 2026 (agosto 2026) · Ambito: Endpoint &amp; Identity</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Estensione della piattaforma Falcon che unifica prevenzione degli accessi iniziali, PAM moderno, ITDR, sicurezza delle identità SaaS e protezione delle identità agentiche (agenti AI) in un'unica soluzione, coprendo l'intero ciclo di vita ibrido dell'identità su on-premise, cloud, SaaS e workload.</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Architettura cloud-native a singolo agente leggero (lo stesso sensore Falcon già in uso per EDR/XDR), gestita dalla console unificata Falcon · Nessuna integrazione aggiuntiva richiesta per i clienti Falcon esistenti · Carico computazionale quasi interamente lato cloud CrowdStrike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già clienti Falcon che vogliono consolidare identity security senza aggiungere vendor · Ambienti ibridi complessi con uso crescente di agenti AI · Per la PA Centrale rilevante dove Falcon è già qualificato come piattaforma EDR: l'estensione a PAM/ITDR consolida controlli oggi spesso su prodotti separati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L'identità resta il vettore d'attacco iniziale più comune; le identità non umane superano ormai 40-100 volte quelle umane in azienda. Per la PA italiana la convergenza PAM/ITDR risponde ai requisiti NIS2 di gestione del rischio e agli obblighi ACN di controllo degli accessi privilegiati ai sistemi critici, riducendo la superficie di audit.</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2_crowdstrike_vendor">
              <w:r>
                <w:rPr>
                  <w:rStyle w:val="Hyperlink"/>
                  <w:rFonts w:ascii="Calibri" w:cs="Calibri" w:eastAsia="Calibri" w:hAnsi="Calibri"/>
                  <w:sz w:val="20"/>
                </w:rPr>
                <w:t xml:space="preserve">Pagina ufficiale — CrowdStrike Falcon Next-Gen Identity Security</w:t>
              </w:r>
            </w:hyperlink>
          </w:p>
          <w:p>
            <w:pPr>
              <w:pStyle w:val="ListParagraph"/>
              <w:numPr>
                <w:ilvl w:val="0"/>
                <w:numId w:val="2"/>
              </w:numPr>
              <w:spacing w:after="30" w:before="30"/>
            </w:pPr>
            <w:hyperlink w:history="1" r:id="rIdW32_crowdstrike_fonte">
              <w:r>
                <w:rPr>
                  <w:rStyle w:val="Hyperlink"/>
                  <w:rFonts w:ascii="Calibri" w:cs="Calibri" w:eastAsia="Calibri" w:hAnsi="Calibri"/>
                  <w:sz w:val="20"/>
                </w:rPr>
                <w:t xml:space="preserve">NAND Research — Research Note: CrowdStrike Falcon Next-Gen Identity Security</w:t>
              </w:r>
            </w:hyperlink>
          </w:p>
        </w:tc>
      </w:tr>
    </w:tbl>
    <w:p>
      <w:pPr>
        <w:spacing w:after="120" w:before="120"/>
      </w:pPr>
    </w:p>
    <w:p>
      <w:pPr>
        <w:pStyle w:val="Heading2"/>
      </w:pPr>
      <w:r>
        <w:rPr>
          <w:rFonts w:ascii="Calibri" w:cs="Calibri" w:eastAsia="Calibri" w:hAnsi="Calibri"/>
          <w:b/>
          <w:bCs/>
          <w:color w:val="1F4E79"/>
          <w:sz w:val="24"/>
          <w:szCs w:val="24"/>
        </w:rPr>
        <w:t xml:space="preserve">Scheda 2 — SOCRadar — Human Identity Exposure</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SOCRadar (Turchia/UE-USA) · Annuncio: 4 agosto 2026 · Ambito: AI &amp; Threat Intelligence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Nuovo layer “Identity &amp; Access” della piattaforma di Extended Threat Intelligence (XTI): unifica dati di esposizione delle identità umane oggi frammentati — breach, infezioni infostealer, telemetria attaccanti, PII, data leak — in un unico record pronto per la decisione, senza integrazione con sistemi HR o IAM.</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Piattaforma SaaS, modulo aggiuntivo della suite XTI esistente · Nessun agente da installare, nessuna integrazione con directory interne richiesta · Approccio “ouside-in” basato su dati raccolti dal dark web e fonti aperte/chiuse di intelligence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team SOC/CTI che vogliono visibilità sull'esposizione delle identità senza un progetto di integrazione IAM · Per la PA Centrale rilevante come layer di monitoraggio esterno rapido, complementare a soluzioni di identity security più profonde; presenza EU/EMEA già consolidata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Le identità compromesse restano la causa iniziale più frequente di violazione. Per gli enti della PA italiana la visibilità tempestiva sull'esposizione delle identità dei dipendenti si collega direttamente agli obblighi di notifica rapida degli incidenti previsti da NIS2 e alle linee guida ACN su prevenzione e rilevamento anticipato.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2_socradar_vendor">
              <w:r>
                <w:rPr>
                  <w:rStyle w:val="Hyperlink"/>
                  <w:rFonts w:ascii="Calibri" w:cs="Calibri" w:eastAsia="Calibri" w:hAnsi="Calibri"/>
                  <w:sz w:val="20"/>
                </w:rPr>
                <w:t xml:space="preserve">Pagina ufficiale — SOCRadar Extended Threat Intelligence (XTI)</w:t>
              </w:r>
            </w:hyperlink>
          </w:p>
          <w:p>
            <w:pPr>
              <w:pStyle w:val="ListParagraph"/>
              <w:numPr>
                <w:ilvl w:val="0"/>
                <w:numId w:val="2"/>
              </w:numPr>
              <w:spacing w:after="30" w:before="30"/>
            </w:pPr>
            <w:hyperlink w:history="1" r:id="rIdW32_socradar_fonte">
              <w:r>
                <w:rPr>
                  <w:rStyle w:val="Hyperlink"/>
                  <w:rFonts w:ascii="Calibri" w:cs="Calibri" w:eastAsia="Calibri" w:hAnsi="Calibri"/>
                  <w:sz w:val="20"/>
                </w:rPr>
                <w:t xml:space="preserve">Businesswire — SOCRadar Launches Human Identity Exposure for its XTI Platform</w:t>
              </w:r>
            </w:hyperlink>
          </w:p>
        </w:tc>
      </w:tr>
    </w:tbl>
    <w:p>
      <w:pPr>
        <w:spacing w:after="120" w:before="120"/>
      </w:pPr>
    </w:p>
    <w:p>
      <w:pPr>
        <w:pStyle w:val="Heading2"/>
      </w:pPr>
      <w:r>
        <w:rPr>
          <w:rFonts w:ascii="Calibri" w:cs="Calibri" w:eastAsia="Calibri" w:hAnsi="Calibri"/>
          <w:b/>
          <w:bCs/>
          <w:color w:val="1F4E79"/>
          <w:sz w:val="24"/>
          <w:szCs w:val="24"/>
        </w:rPr>
        <w:t xml:space="preserve">Scheda 3 — Viakoo — Device Configuration Manager (DXM)</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Viakoo (USA) · Annuncio: Black Hat USA 2026 (5 agosto 2026) · Ambito: OT/IoT &amp; Infrastrutture Critiche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Nuovo modulo della Viakoo Action Platform che affronta il configuration drift nei dispositivi OT e IoT: audita in continuo le impostazioni rispetto a baseline definite, segnala modifiche non autorizzate e riporta automaticamente i dispositivi a uno stato conforme e verificato.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Modulo agentless integrato nella Viakoo Action Platform esistente · Integrazioni con 5 dei 7 leader del Magic Quadrant Gartner 2026 per CPS Protection (Armis, Forescout, Nozomi Networks, Claroty) · Disponibilità prevista Q4 2026</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parco dispositivi OT/IoT esteso (manifatturiero, energia, sanità, building management) già utenti di piattaforme di visibilità OT · Per la PA Centrale rilevante per enti con infrastrutture critiche gestite direttamente o in concessione (energia, trasporti, sanità pubblica)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Il configuration drift è una causa frequente e sottostimata di incidenti OT. Per la PA italiana il tema è centrale nel contesto del PSNC e degli obblighi NIS2 per i settori ad alta criticità, che richiedono capacità dimostrabile di mantenere e ripristinare configurazioni sicure nel tempo, non solo di rilevarne le deviazioni.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2_viakoo_vendor">
              <w:r>
                <w:rPr>
                  <w:rStyle w:val="Hyperlink"/>
                  <w:rFonts w:ascii="Calibri" w:cs="Calibri" w:eastAsia="Calibri" w:hAnsi="Calibri"/>
                  <w:sz w:val="20"/>
                </w:rPr>
                <w:t xml:space="preserve">Pagina ufficiale — Viakoo</w:t>
              </w:r>
            </w:hyperlink>
          </w:p>
          <w:p>
            <w:pPr>
              <w:pStyle w:val="ListParagraph"/>
              <w:numPr>
                <w:ilvl w:val="0"/>
                <w:numId w:val="2"/>
              </w:numPr>
              <w:spacing w:after="30" w:before="30"/>
            </w:pPr>
            <w:hyperlink w:history="1" r:id="rIdW32_viakoo_fonte">
              <w:r>
                <w:rPr>
                  <w:rStyle w:val="Hyperlink"/>
                  <w:rFonts w:ascii="Calibri" w:cs="Calibri" w:eastAsia="Calibri" w:hAnsi="Calibri"/>
                  <w:sz w:val="20"/>
                </w:rPr>
                <w:t xml:space="preserve">Industrial Cyber — Viakoo launches Device Configuration Manager</w:t>
              </w:r>
            </w:hyperlink>
          </w:p>
        </w:tc>
      </w:tr>
    </w:tbl>
    <w:p>
      <w:pPr>
        <w:spacing w:after="120" w:before="120"/>
      </w:pPr>
    </w:p>
    <w:p>
      <w:pPr>
        <w:spacing w:after="120" w:before="240"/>
      </w:pPr>
      <w:r>
        <w:rPr>
          <w:rFonts w:ascii="Calibri" w:cs="Calibri" w:eastAsia="Calibri" w:hAnsi="Calibri"/>
          <w:b/>
          <w:bCs/>
          <w:color w:val="1F4E79"/>
          <w:sz w:val="22"/>
          <w:szCs w:val="22"/>
        </w:rPr>
        <w:t xml:space="preserve">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Segnale</w:t>
            </w:r>
          </w:p>
        </w:tc>
        <w:tc>
          <w:tcPr>
            <w:tcW w:type="dxa" w:w="2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Ambito</w:t>
            </w:r>
          </w:p>
        </w:tc>
        <w:tc>
          <w:tcPr>
            <w:tcW w:type="dxa" w:w="302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Rilevanza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Snyk annuncia la disponibilità generale di Evo Continuous Offensive Security (COS)</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AI &amp; Threat Intelligence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Pentesting autonomo continuo e red teaming di agenti AI basato su AI</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Stairwell annuncia Backstory, piattaforma di investigazione agentica</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AI &amp; Threat Intelligence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Traccia varianti malware correlate e mappa il raggio d'impatto in pochi secondi</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Rubrik espande Agent Cloud con Rubrik Agent Identity</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Endpoint &amp; Identity</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Elimina credenziali statiche per agenti AI a favore di token brevi e scoped, integrazione Okta/Entra ID</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Sophos annuncia la disponibilità generale di Sophos Fusion (dal 15 agosto)</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AI &amp; Threat Intelligence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Sistema AI-native che unifica XDR, SOAR e Next-Gen SIEM</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ACN: dal 18° mese dalla notifica NIS2 (ottobre 2026) partiranno le ispezioni sulle misure di sicurezza di base</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Contesto normativo PA</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Scadenza rilevante per gli enti PA Centrale ancora in fase di adeguamento NIS2</w:t>
            </w:r>
          </w:p>
        </w:tc>
      </w:tr>
    </w:tbl>
    <w:p>
      <w:r>
        <w:br w:type="page"/>
      </w:r>
    </w:p>
    <w:p>
      <w:pPr>
        <w:pStyle w:val="Heading1"/>
      </w:pPr>
      <w:bookmarkStart w:name="bm_w31" w:id="1000"/>
      <w:r>
        <w:rPr>
          <w:rFonts w:ascii="Calibri" w:cs="Calibri" w:eastAsia="Calibri" w:hAnsi="Calibri"/>
          <w:b/>
          <w:bCs/>
          <w:color w:val="1F4E79"/>
          <w:sz w:val="28"/>
          <w:szCs w:val="28"/>
        </w:rPr>
        <w:t xml:space="preserve">W31 · 2 agosto 2026</w:t>
      </w:r>
      <w:bookmarkEnd w:id="10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Data</w:t>
            </w:r>
          </w:p>
          <w:p>
            <w:r>
              <w:rPr>
                <w:rFonts w:ascii="Calibri" w:cs="Calibri" w:eastAsia="Calibri" w:hAnsi="Calibri"/>
                <w:sz w:val="20"/>
                <w:szCs w:val="20"/>
              </w:rPr>
              <w:t xml:space="preserve">2 agosto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Settimana</w:t>
            </w:r>
          </w:p>
          <w:p>
            <w:r>
              <w:rPr>
                <w:rFonts w:ascii="Calibri" w:cs="Calibri" w:eastAsia="Calibri" w:hAnsi="Calibri"/>
                <w:sz w:val="20"/>
                <w:szCs w:val="20"/>
              </w:rPr>
              <w:t xml:space="preserve">W31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Ambiti</w:t>
            </w:r>
          </w:p>
          <w:p>
            <w:r>
              <w:rPr>
                <w:rFonts w:ascii="Calibri" w:cs="Calibri" w:eastAsia="Calibri" w:hAnsi="Calibri"/>
                <w:sz w:val="20"/>
                <w:szCs w:val="20"/>
              </w:rPr>
              <w:t xml:space="preserve">Cloud &amp; Infrastructure Security · Endpoint &amp; Identity · AI &amp; Threat Intelligence</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Contesto chiave</w:t>
            </w:r>
          </w:p>
          <w:p>
            <w:r>
              <w:rPr>
                <w:rFonts w:ascii="Calibri" w:cs="Calibri" w:eastAsia="Calibri" w:hAnsi="Calibri"/>
                <w:sz w:val="20"/>
                <w:szCs w:val="20"/>
              </w:rPr>
              <w:t xml:space="preserve">Act Security Action-Centric Cloud · Hush Security AI Agent Governance · 7AI Federated SIEM</w:t>
            </w:r>
          </w:p>
        </w:tc>
      </w:tr>
    </w:tbl>
    <w:p>
      <w:pPr>
        <w:spacing w:after="120" w:before="60"/>
      </w:pPr>
      <w:r>
        <w:rPr>
          <w:rFonts w:ascii="Calibri" w:cs="Calibri" w:eastAsia="Calibri" w:hAnsi="Calibri"/>
          <w:i/>
          <w:iCs/>
          <w:color w:val="595959"/>
          <w:sz w:val="20"/>
          <w:szCs w:val="20"/>
        </w:rPr>
        <w:t xml:space="preserve">Settimana di apertura di Black Hat USA 2026, che concentra come da tradizione un'ondata di lanci di prodotto e round di finanziamento. Filo conduttore: la sicurezza degli agenti AI, affrontata da due angolazioni diverse — permessi cloud ereditati (Act Security) e identità non umane senza segreti statici (Hush Security). Sul fronte SOC, 7AI punta su un SIEM federato che porta l'intelligenza AI ai dati invece di migrarli. Il dominio OT/IoT è dominato da advisory di vulnerabilità (PLC industriali, CISA) senza annunci di prodotto abbastanza maturi; nessun lancio di rilievo su ZTNA/SASE/microsegmentazione questa settimana.</w:t>
      </w:r>
    </w:p>
    <w:p>
      <w:pPr>
        <w:pStyle w:val="Heading2"/>
      </w:pPr>
      <w:r>
        <w:rPr>
          <w:rFonts w:ascii="Calibri" w:cs="Calibri" w:eastAsia="Calibri" w:hAnsi="Calibri"/>
          <w:b/>
          <w:bCs/>
          <w:color w:val="1F4E79"/>
          <w:sz w:val="24"/>
          <w:szCs w:val="24"/>
        </w:rPr>
        <w:t xml:space="preserve">Scheda 1 — Act Security — Sicurezza Cloud Action-Centric per Agenti AI</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Act Security (Israele/USA) · Annuncio: 28 luglio 2026 · Ambito: Cloud &amp; Infrastructure Security</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Piattaforma di sicurezza cloud che non si limita a segnalare permessi eccessivi, ma elimina attivamente le condizioni che li rendono sfruttabili: riduce la superficie di accesso cloud imponendo confini stretti per utenti umani, workload e agenti AI, che ereditano spesso privilegi non più giustificati.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Piattaforma SaaS cloud-native, agentless in fase di discovery/mappatura dei permessi · Si integra con IAM e control plane cloud pubblici esistenti · Fondata dal team di Medigate (sicurezza dispositivi medicali, acquisita da Claroty per $400M)</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e mid-market con cloud pubblico maturo e agenti AI in produzione · Settori regolamentati (sanità, finanza) · Per la PA Centrale italiana rilevante in scenari cloud ibrida/qualificata ACN, ma lancio commerciale al momento concentrato su Nord America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Gartner stima fino a 150.000 agenti AI per una Fortune 500 entro il 2028: i CSPM/CIEM tradizionali, pensati per identità umane, non reggono questa velocità. Per la PA italiana il tema tocca gli obblighi NIS2 di gestione del rischio nella supply chain digitale e i requisiti di qualificazione cloud ACN sugli accessi privilegiati.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1_act_vendor">
              <w:r>
                <w:rPr>
                  <w:rStyle w:val="Hyperlink"/>
                  <w:rFonts w:ascii="Calibri" w:cs="Calibri" w:eastAsia="Calibri" w:hAnsi="Calibri"/>
                  <w:sz w:val="20"/>
                </w:rPr>
                <w:t xml:space="preserve">Pagina ufficiale — Act Security</w:t>
              </w:r>
            </w:hyperlink>
          </w:p>
          <w:p>
            <w:pPr>
              <w:pStyle w:val="ListParagraph"/>
              <w:numPr>
                <w:ilvl w:val="0"/>
                <w:numId w:val="2"/>
              </w:numPr>
              <w:spacing w:after="30" w:before="30"/>
            </w:pPr>
            <w:hyperlink w:history="1" r:id="rIdW31_act_fonte">
              <w:r>
                <w:rPr>
                  <w:rStyle w:val="Hyperlink"/>
                  <w:rFonts w:ascii="Calibri" w:cs="Calibri" w:eastAsia="Calibri" w:hAnsi="Calibri"/>
                  <w:sz w:val="20"/>
                </w:rPr>
                <w:t xml:space="preserve">SecurityWeek — Act Security Emerges from Stealth to Fight the Patch Problem</w:t>
              </w:r>
            </w:hyperlink>
          </w:p>
        </w:tc>
      </w:tr>
    </w:tbl>
    <w:p>
      <w:pPr>
        <w:spacing w:after="120" w:before="120"/>
      </w:pPr>
    </w:p>
    <w:p>
      <w:pPr>
        <w:pStyle w:val="Heading2"/>
      </w:pPr>
      <w:r>
        <w:rPr>
          <w:rFonts w:ascii="Calibri" w:cs="Calibri" w:eastAsia="Calibri" w:hAnsi="Calibri"/>
          <w:b/>
          <w:bCs/>
          <w:color w:val="1F4E79"/>
          <w:sz w:val="24"/>
          <w:szCs w:val="24"/>
        </w:rPr>
        <w:t xml:space="preserve">Scheda 2 — Hush Security — Accesso Secretless per Identità Non Umane</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Hush Security (Israele) · Annuncio: 29 luglio 2026 · Ambito: Endpoint &amp; Identity</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Piattaforma “secretless access” che elimina la necessità di segreti statici (password, API key, token) sostituendoli con accessi just-in-time controllati da policy dinamiche per identità non umane — service account, credenziali macchina e agenti AI — con ogni azione loggata e revocabile.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Piattaforma SaaS con enforcement distribuito vicino ai workload · Coesiste con vault esistenti durante la migrazione · Integrazione con pipeline CI/CD, orchestratori cloud e framework per agenti AI · Fondata dal team di Meta Networks (acquisita da Proofpoint nel 2019)</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con ambienti DevOps/cloud maturi e agenti AI in produzione · Settori ad alta automazione (tech, finanza, telco) · Per la PA Centrale rilevante per la protezione delle identità macchina nei sistemi informativi critici e nelle integrazioni tra enti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Round da $30M guidato da Battery Ventures e YL Ventures con Akamai come investitore strategico (totale $41M). Le identità non umane superano quelle umane fino a oltre 100:1 e coinvolgono il 68% degli incidenti di sicurezza IT. Per la PA italiana la gestione NHI rientra negli obblighi NIS2 e nelle linee guida ACN su AI e supply chain.</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1_hush_vendor">
              <w:r>
                <w:rPr>
                  <w:rStyle w:val="Hyperlink"/>
                  <w:rFonts w:ascii="Calibri" w:cs="Calibri" w:eastAsia="Calibri" w:hAnsi="Calibri"/>
                  <w:sz w:val="20"/>
                </w:rPr>
                <w:t xml:space="preserve">Pagina ufficiale — Hush Security</w:t>
              </w:r>
            </w:hyperlink>
          </w:p>
          <w:p>
            <w:pPr>
              <w:pStyle w:val="ListParagraph"/>
              <w:numPr>
                <w:ilvl w:val="0"/>
                <w:numId w:val="2"/>
              </w:numPr>
              <w:spacing w:after="30" w:before="30"/>
            </w:pPr>
            <w:hyperlink w:history="1" r:id="rIdW31_hush_fonte">
              <w:r>
                <w:rPr>
                  <w:rStyle w:val="Hyperlink"/>
                  <w:rFonts w:ascii="Calibri" w:cs="Calibri" w:eastAsia="Calibri" w:hAnsi="Calibri"/>
                  <w:sz w:val="20"/>
                </w:rPr>
                <w:t xml:space="preserve">SecurityWeek — Hush Security Raises $30 Million for AI Agent Governance</w:t>
              </w:r>
            </w:hyperlink>
          </w:p>
        </w:tc>
      </w:tr>
    </w:tbl>
    <w:p>
      <w:pPr>
        <w:spacing w:after="120" w:before="120"/>
      </w:pPr>
    </w:p>
    <w:p>
      <w:pPr>
        <w:pStyle w:val="Heading2"/>
      </w:pPr>
      <w:r>
        <w:rPr>
          <w:rFonts w:ascii="Calibri" w:cs="Calibri" w:eastAsia="Calibri" w:hAnsi="Calibri"/>
          <w:b/>
          <w:bCs/>
          <w:color w:val="1F4E79"/>
          <w:sz w:val="24"/>
          <w:szCs w:val="24"/>
        </w:rPr>
        <w:t xml:space="preserve">Scheda 3 — 7AI Federated SIEM &amp; 7AI Build — SOC Agentico senza Migrazione Dati</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7AI (USA) · Annuncio: 27 luglio 2026 · Ambito: AI &amp; Threat Intelligence / SIEM-SOAR next-gen</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Federated SIEM permette agli agenti AI di 7AI di interrogare e agire sui dati di sicurezza ovunque risiedano (SIEM esistenti, data lake, cloud) senza migrazione preventiva; 7AI Build permette a team e partner di codificare procedure investigative e conoscenza organizzativa in workflow e skill agentici personalizzati.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Piattaforma SaaS che si connette in lettura/scrittura a SIEM e data lake esistenti (architettura federata) · Modello agent-based con orchestrazione centralizzata · Moduli dedicati Threat Hunt e Threat Intel Hunt integrati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Enterprise con SOC interno strutturato e stack eterogeneo (più SIEM/data lake) · MSSP con clienti su piattaforme diverse · Per la PA Centrale rilevante per enti con SOC proprio o sistemi di logging legacy, dove una migrazione totale a un nuovo SIEM sarebbe costosa e rischiosa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L'approccio federato risponde a un problema concreto della PA italiana: dati di sicurezza frammentati tra sistemi legacy, cloud qualificati ACN e strumenti settoriali. Portare l'intelligenza agentica ai dati, invece del contrario, si allinea meglio ai requisiti di sovranità e tracciabilità di NIS2 e PSNC sulla notifica rapida degli incidenti.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1_7ai_vendor">
              <w:r>
                <w:rPr>
                  <w:rStyle w:val="Hyperlink"/>
                  <w:rFonts w:ascii="Calibri" w:cs="Calibri" w:eastAsia="Calibri" w:hAnsi="Calibri"/>
                  <w:sz w:val="20"/>
                </w:rPr>
                <w:t xml:space="preserve">Pagina ufficiale — 7AI</w:t>
              </w:r>
            </w:hyperlink>
          </w:p>
          <w:p>
            <w:pPr>
              <w:pStyle w:val="ListParagraph"/>
              <w:numPr>
                <w:ilvl w:val="0"/>
                <w:numId w:val="2"/>
              </w:numPr>
              <w:spacing w:after="30" w:before="30"/>
            </w:pPr>
            <w:hyperlink w:history="1" r:id="rIdW31_7ai_fonte">
              <w:r>
                <w:rPr>
                  <w:rStyle w:val="Hyperlink"/>
                  <w:rFonts w:ascii="Calibri" w:cs="Calibri" w:eastAsia="Calibri" w:hAnsi="Calibri"/>
                  <w:sz w:val="20"/>
                </w:rPr>
                <w:t xml:space="preserve">GlobeNewswire — 7AI Launches Federated SIEM and 7AI Build</w:t>
              </w:r>
            </w:hyperlink>
          </w:p>
        </w:tc>
      </w:tr>
    </w:tbl>
    <w:p>
      <w:pPr>
        <w:spacing w:after="120" w:before="240"/>
      </w:pPr>
      <w:r>
        <w:rPr>
          <w:rFonts w:ascii="Calibri" w:cs="Calibri" w:eastAsia="Calibri" w:hAnsi="Calibri"/>
          <w:b/>
          <w:bCs/>
          <w:color w:val="1F4E79"/>
          <w:sz w:val="22"/>
          <w:szCs w:val="22"/>
        </w:rPr>
        <w:t xml:space="preserve">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Segnale</w:t>
            </w:r>
          </w:p>
        </w:tc>
        <w:tc>
          <w:tcPr>
            <w:tcW w:type="dxa" w:w="2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Ambito</w:t>
            </w:r>
          </w:p>
        </w:tc>
        <w:tc>
          <w:tcPr>
            <w:tcW w:type="dxa" w:w="302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Rilevanza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CISA amplia l'advisory su attori legati all'Iran che sfruttano PLC industriali (Schneider Electric, Siemens)</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OT/IoT &amp; Infrastrutture Critiche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Enti pubblici, acqua ed energia devono limitare l'accesso diretto a Internet dei dispositivi OT</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Patch Tuesday di luglio da record: 570 vulnerabilità corrette, 3 zero-day, 59 critiche</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Endpoint &amp; Identity</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Volume di patching senza precedenti; priorità alle CVE già sfruttate attivamente</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ThreatLocker chiude un round Series F da $190 milioni</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Endpoint &amp; Identity</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Conferma la domanda enterprise per prevenzione e controllo accessi in ambienti con AI in produzione</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Reco espande “AI Runtime” con enforcement lato browser e blocco prompt in tempo reale</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AI &amp; Threat Intelligence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Segnale della corsa alla sicurezza runtime per applicazioni e agenti AI</w:t>
            </w:r>
          </w:p>
        </w:tc>
      </w:tr>
    </w:tbl>
    <w:p>
      <w:r>
        <w:br w:type="page"/>
      </w:r>
    </w:p>
    <w:p>
      <w:pPr>
        <w:pStyle w:val="Heading1"/>
      </w:pPr>
      <w:bookmarkStart w:name="bm_w30" w:id="900"/>
      <w:r>
        <w:rPr>
          <w:rFonts w:ascii="Calibri" w:cs="Calibri" w:eastAsia="Calibri" w:hAnsi="Calibri"/>
          <w:b/>
          <w:bCs/>
          <w:color w:val="1F4E79"/>
          <w:sz w:val="28"/>
          <w:szCs w:val="28"/>
        </w:rPr>
        <w:t xml:space="preserve">W30 · 26 luglio 2026</w:t>
      </w:r>
      <w:bookmarkEnd w:id="9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Data</w:t>
            </w:r>
          </w:p>
          <w:p>
            <w:r>
              <w:rPr>
                <w:rFonts w:ascii="Calibri" w:cs="Calibri" w:eastAsia="Calibri" w:hAnsi="Calibri"/>
                <w:sz w:val="20"/>
                <w:szCs w:val="20"/>
              </w:rPr>
              <w:t xml:space="preserve">26 luglio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Settimana</w:t>
            </w:r>
          </w:p>
          <w:p>
            <w:r>
              <w:rPr>
                <w:rFonts w:ascii="Calibri" w:cs="Calibri" w:eastAsia="Calibri" w:hAnsi="Calibri"/>
                <w:sz w:val="20"/>
                <w:szCs w:val="20"/>
              </w:rPr>
              <w:t xml:space="preserve">W30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Ambiti</w:t>
            </w:r>
          </w:p>
          <w:p>
            <w:r>
              <w:rPr>
                <w:rFonts w:ascii="Calibri" w:cs="Calibri" w:eastAsia="Calibri" w:hAnsi="Calibri"/>
                <w:sz w:val="20"/>
                <w:szCs w:val="20"/>
              </w:rPr>
              <w:t xml:space="preserve">Endpoint &amp; Identity · AI &amp; Threat Intelligence · OT/IoT &amp; Infrastrutture Critiche</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bCs/>
                <w:color w:val="1F4E79"/>
                <w:sz w:val="20"/>
                <w:szCs w:val="20"/>
              </w:rPr>
              <w:t xml:space="preserve">Contesto chiave</w:t>
            </w:r>
          </w:p>
          <w:p>
            <w:r>
              <w:rPr>
                <w:rFonts w:ascii="Calibri" w:cs="Calibri" w:eastAsia="Calibri" w:hAnsi="Calibri"/>
                <w:sz w:val="20"/>
                <w:szCs w:val="20"/>
              </w:rPr>
              <w:t xml:space="preserve">ThreatDown AI Visibility &amp; NHI ITDR · Swimlane AI SOC per MSSP · Bastazo+Nozomi Attack Path Remediation</w:t>
            </w:r>
          </w:p>
        </w:tc>
      </w:tr>
    </w:tbl>
    <w:p>
      <w:pPr>
        <w:spacing w:after="120" w:before="60"/>
      </w:pPr>
      <w:r>
        <w:rPr>
          <w:rFonts w:ascii="Calibri" w:cs="Calibri" w:eastAsia="Calibri" w:hAnsi="Calibri"/>
          <w:i/>
          <w:iCs/>
          <w:color w:val="595959"/>
          <w:sz w:val="20"/>
          <w:szCs w:val="20"/>
        </w:rPr>
        <w:t xml:space="preserve">Settimana concentrata su due filoni: la sicurezza dell'identità applicata all'AI (identità non umane, shadow AI) e l'automazione agentica dei SOC, sia per le aziende enterprise sia per i managed security service provider su cui molte PA italiane si appoggiano. Sul fronte OT/infrastrutture critiche si segnala l'integrazione Bastazo–Nozomi Networks, arrivata pochi giorni prima dell'annuncio dell'acquisizione di Nozomi Networks da parte di Mitsubishi Electric (23 luglio), a conferma dell'interesse industriale crescente per la sicurezza OT. Nessun annuncio di rilievo specifico su ZTNA/SASE/microsegmentazione questa settimana.</w:t>
      </w:r>
    </w:p>
    <w:p>
      <w:pPr>
        <w:pStyle w:val="Heading2"/>
      </w:pPr>
      <w:r>
        <w:rPr>
          <w:rFonts w:ascii="Calibri" w:cs="Calibri" w:eastAsia="Calibri" w:hAnsi="Calibri"/>
          <w:b/>
          <w:bCs/>
          <w:color w:val="1F4E79"/>
          <w:sz w:val="24"/>
          <w:szCs w:val="24"/>
        </w:rPr>
        <w:t xml:space="preserve">Scheda 1 — ThreatDown — AI Visibility &amp; ITDR per Identità Non Umane</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ThreatDown, ex Malwarebytes (USA) · Annuncio: 22 luglio 2026 · Ambito: Endpoint &amp; Identity</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Espande la piattaforma ThreatDown con inventario completo degli strumenti AI in uso in azienda (anche non autorizzati, shadow AI) ed estende le funzionalità ITDR alla governance delle identità non umane: service account, token API, credenziali OAuth e identità macchina.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Funzionalità integrate nella console ThreatDown esistente, nessuna console o agente separato · Modello SaaS/cloud-delivered · Rilevamento comportamentale su 20+ anni di telemetria ML · MDR 24/7 con tempo mediano di rilevamento 5 minuti e risposta 19 minuti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Mid-market e organizzazioni che si appoggiano a MSP per la gestione della sicurezza · Adatto a enti pubblici locali e aziende sanitarie con IT esternalizzato · Prerequisito: piattaforma endpoint ThreatDown già in uso</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Secondo l'AI Pulse Poll 2026 di ISACA il 90% dei professionisti riporta un uso aziendale di AI (autorizzato o meno), ma solo il 38% delle organizzazioni ha una policy AI formale. Per la PA italiana il tema si interseca con gli obblighi NIS2 di inventario asset e con le prime linee guida ACN sull'uso sicuro dell'AI negli enti pubblici.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0_threatdown_vendor">
              <w:r>
                <w:rPr>
                  <w:rStyle w:val="Hyperlink"/>
                  <w:rFonts w:ascii="Calibri" w:cs="Calibri" w:eastAsia="Calibri" w:hAnsi="Calibri"/>
                  <w:sz w:val="20"/>
                </w:rPr>
                <w:t xml:space="preserve">Pagina ufficiale — ThreatDown</w:t>
              </w:r>
            </w:hyperlink>
          </w:p>
          <w:p>
            <w:pPr>
              <w:pStyle w:val="ListParagraph"/>
              <w:numPr>
                <w:ilvl w:val="0"/>
                <w:numId w:val="2"/>
              </w:numPr>
              <w:spacing w:after="30" w:before="30"/>
            </w:pPr>
            <w:hyperlink w:history="1" r:id="rIdW30_threatdown_fonte">
              <w:r>
                <w:rPr>
                  <w:rStyle w:val="Hyperlink"/>
                  <w:rFonts w:ascii="Calibri" w:cs="Calibri" w:eastAsia="Calibri" w:hAnsi="Calibri"/>
                  <w:sz w:val="20"/>
                </w:rPr>
                <w:t xml:space="preserve">Help Net Security — ThreatDown expands security visibility to AI tools and machine identities</w:t>
              </w:r>
            </w:hyperlink>
          </w:p>
        </w:tc>
      </w:tr>
    </w:tbl>
    <w:p>
      <w:pPr>
        <w:spacing w:after="120" w:before="120"/>
      </w:pPr>
    </w:p>
    <w:p>
      <w:pPr>
        <w:pStyle w:val="Heading2"/>
      </w:pPr>
      <w:r>
        <w:rPr>
          <w:rFonts w:ascii="Calibri" w:cs="Calibri" w:eastAsia="Calibri" w:hAnsi="Calibri"/>
          <w:b/>
          <w:bCs/>
          <w:color w:val="1F4E79"/>
          <w:sz w:val="24"/>
          <w:szCs w:val="24"/>
        </w:rPr>
        <w:t xml:space="preserve">Scheda 2 — Swimlane AI SOC for MSSPs — Automazione Agentica del Triage</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Swimlane (USA) · Annuncio: 22 luglio 2026 · Ambito: AI &amp; Threat Intelligence / SIEM-SOAR next-gen</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Estensione di Swimlane Turbine pensata per i Managed Security Service Provider: automatizza triage e investigazione degli alert con AI agentica, aumentando la capacità per analista senza incrementare l'organico, mantenendo l'MSSP proprietario della relazione col cliente e dei dati.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Piattaforma cloud SaaS (Swimlane Turbine) con tenant isolation nativa e controlli di accesso basati su ruolo · Threat intelligence cross-tenant e command center centrale multi-cliente · Integrazione con ITSM/CRM esistenti (ServiceNow, Jira) senza workflow paralleli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MSSP e system integrator che erogano servizi di sicurezza gestita a clienti enterprise e PA · Rilevante indirettamente per Ministeri e Agenzie che esternalizzano il SOC a fornitori qualificati</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Molte amministrazioni centrali italiane non gestiscono un SOC interno e si affidano a fornitori esterni qualificati, anche nell'ambito degli accreditamenti ACN e dei requisiti di continuità del PSNC. Un aumento strutturale dell'efficienza degli MSSP migliora tempi di rilevamento e risposta a parità di costo, rilevante anche per gli obblighi di notifica incidenti più stringenti del recepimento NIS2.</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0_swimlane_vendor">
              <w:r>
                <w:rPr>
                  <w:rStyle w:val="Hyperlink"/>
                  <w:rFonts w:ascii="Calibri" w:cs="Calibri" w:eastAsia="Calibri" w:hAnsi="Calibri"/>
                  <w:sz w:val="20"/>
                </w:rPr>
                <w:t xml:space="preserve">Pagina ufficiale — Swimlane</w:t>
              </w:r>
            </w:hyperlink>
          </w:p>
          <w:p>
            <w:pPr>
              <w:pStyle w:val="ListParagraph"/>
              <w:numPr>
                <w:ilvl w:val="0"/>
                <w:numId w:val="2"/>
              </w:numPr>
              <w:spacing w:after="30" w:before="30"/>
            </w:pPr>
            <w:hyperlink w:history="1" r:id="rIdW30_swimlane_fonte">
              <w:r>
                <w:rPr>
                  <w:rStyle w:val="Hyperlink"/>
                  <w:rFonts w:ascii="Calibri" w:cs="Calibri" w:eastAsia="Calibri" w:hAnsi="Calibri"/>
                  <w:sz w:val="20"/>
                </w:rPr>
                <w:t xml:space="preserve">Help Net Security — Swimlane AI SOC automates security operations for MSSPs</w:t>
              </w:r>
            </w:hyperlink>
          </w:p>
        </w:tc>
      </w:tr>
    </w:tbl>
    <w:p>
      <w:pPr>
        <w:spacing w:after="120" w:before="120"/>
      </w:pPr>
    </w:p>
    <w:p>
      <w:pPr>
        <w:pStyle w:val="Heading2"/>
      </w:pPr>
      <w:r>
        <w:rPr>
          <w:rFonts w:ascii="Calibri" w:cs="Calibri" w:eastAsia="Calibri" w:hAnsi="Calibri"/>
          <w:b/>
          <w:bCs/>
          <w:color w:val="1F4E79"/>
          <w:sz w:val="24"/>
          <w:szCs w:val="24"/>
        </w:rPr>
        <w:t xml:space="preserve">Scheda 3 — Bastazo × Nozomi Networks — Da Vulnerabilità a Remediation Automatizzata OT</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Vendor / Data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Bastazo (USA) + Nozomi Networks (Svizzera/USA, forte presenza Italia) · Annuncio: 16 luglio 2026 · Ambito: OT/IoT &amp; Infrastrutture Critiche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Cosa fa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Integrazione tecnologica che collega la piattaforma di remediation OT basata su AI di Bastazo ai dati di asset, vulnerabilità e topologia di rete di Nozomi Networks, chiudendo il divario tra rilevamento delle vulnerabilità e remediation operativa negli ambienti OT.</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Infrastruttura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Integrazione diretta con l'inventario asset e i dati di rete già raccolti da Nozomi (monitoraggio OT agentless), senza input aggiuntivi · Motore SSVC per prioritizzazione vulnerabilità · Playbook di remediation automatizzati con documentazione audit-ready (NERC CIP / NIST CSF) · Simulazione di attack path</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Target / PA</w:t>
            </w:r>
          </w:p>
        </w:tc>
        <w:tc>
          <w:tcPr>
            <w:tcW w:type="dxa" w:w="6770"/>
            <w:shd w:fill="FFFFFF" w:val="clear"/>
            <w:tcMar>
              <w:top w:type="dxa" w:w="80"/>
              <w:left w:type="dxa" w:w="120"/>
              <w:bottom w:type="dxa" w:w="80"/>
              <w:right w:type="dxa" w:w="120"/>
            </w:tcMar>
          </w:tcPr>
          <w:p>
            <w:r>
              <w:rPr>
                <w:rFonts w:ascii="Calibri" w:cs="Calibri" w:eastAsia="Calibri" w:hAnsi="Calibri"/>
                <w:sz w:val="20"/>
                <w:szCs w:val="20"/>
              </w:rPr>
              <w:t xml:space="preserve">Operatori di infrastrutture critiche di grandi dimensioni: utility elettriche, oil&amp;gas, manifatturiero, settore marittimo · Per l'Italia rilevante per gestori di reti energetiche, acqua, sanità e trasporti (soggetti NIS2 essenziali, potenzialmente in ambito PSNC) · Prerequisito: piattaforma Nozomi già installata</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Perché ora</w:t>
            </w:r>
          </w:p>
        </w:tc>
        <w:tc>
          <w:tcPr>
            <w:tcW w:type="dxa" w:w="6770"/>
            <w:shd w:fill="DEEAF1" w:val="clear"/>
            <w:tcMar>
              <w:top w:type="dxa" w:w="80"/>
              <w:left w:type="dxa" w:w="120"/>
              <w:bottom w:type="dxa" w:w="80"/>
              <w:right w:type="dxa" w:w="120"/>
            </w:tcMar>
          </w:tcPr>
          <w:p>
            <w:r>
              <w:rPr>
                <w:rFonts w:ascii="Calibri" w:cs="Calibri" w:eastAsia="Calibri" w:hAnsi="Calibri"/>
                <w:sz w:val="20"/>
                <w:szCs w:val="20"/>
              </w:rPr>
              <w:t xml:space="preserve">La NIS2, nel recepimento italiano, estende gli obblighi di gestione del rischio anche alle reti OT/ICS di energia, sanità, trasporti e acqua, dove il personale specializzato scarseggia. Una soluzione che traduce il rilevamento in un piano d'intervento eseguibile e tracciabile per audit risponde a un requisito che ACN e PSNC pongono sempre più al centro delle verifiche di conformità. Da notare: il 23 luglio 2026 Mitsubishi Electric ha annunciato l'acquisizione di Nozomi Networks, segnale di consolidamento industriale nel settore.</w:t>
            </w:r>
          </w:p>
        </w:tc>
      </w:tr>
      <w:tr>
        <w:tc>
          <w:tcPr>
            <w:tcW w:type="dxa" w:w="225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30_nozomi_vendor">
              <w:r>
                <w:rPr>
                  <w:rStyle w:val="Hyperlink"/>
                  <w:rFonts w:ascii="Calibri" w:cs="Calibri" w:eastAsia="Calibri" w:hAnsi="Calibri"/>
                  <w:sz w:val="20"/>
                </w:rPr>
                <w:t xml:space="preserve">Pagina ufficiale — Nozomi Networks</w:t>
              </w:r>
            </w:hyperlink>
          </w:p>
          <w:p>
            <w:pPr>
              <w:pStyle w:val="ListParagraph"/>
              <w:numPr>
                <w:ilvl w:val="0"/>
                <w:numId w:val="2"/>
              </w:numPr>
              <w:spacing w:after="30" w:before="30"/>
            </w:pPr>
            <w:hyperlink w:history="1" r:id="rIdW30_nozomi_fonte">
              <w:r>
                <w:rPr>
                  <w:rStyle w:val="Hyperlink"/>
                  <w:rFonts w:ascii="Calibri" w:cs="Calibri" w:eastAsia="Calibri" w:hAnsi="Calibri"/>
                  <w:sz w:val="20"/>
                </w:rPr>
                <w:t xml:space="preserve">PR Newswire — Bastazo and Nozomi Networks Team Up to Deliver Advanced Cyber Security Solutions to OT &amp; IoT Environments</w:t>
              </w:r>
            </w:hyperlink>
          </w:p>
        </w:tc>
      </w:tr>
    </w:tbl>
    <w:p>
      <w:pPr>
        <w:spacing w:after="120" w:before="240"/>
      </w:pPr>
      <w:r>
        <w:rPr>
          <w:rFonts w:ascii="Calibri" w:cs="Calibri" w:eastAsia="Calibri" w:hAnsi="Calibri"/>
          <w:b/>
          <w:bCs/>
          <w:color w:val="1F4E79"/>
          <w:sz w:val="22"/>
          <w:szCs w:val="22"/>
        </w:rPr>
        <w:t xml:space="preserve">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Segnale</w:t>
            </w:r>
          </w:p>
        </w:tc>
        <w:tc>
          <w:tcPr>
            <w:tcW w:type="dxa" w:w="2500"/>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Ambito</w:t>
            </w:r>
          </w:p>
        </w:tc>
        <w:tc>
          <w:tcPr>
            <w:tcW w:type="dxa" w:w="3026"/>
            <w:shd w:fill="1F4E79" w:val="clear"/>
            <w:tcMar>
              <w:top w:type="dxa" w:w="80"/>
              <w:left w:type="dxa" w:w="120"/>
              <w:bottom w:type="dxa" w:w="80"/>
              <w:right w:type="dxa" w:w="120"/>
            </w:tcMar>
          </w:tcPr>
          <w:p>
            <w:r>
              <w:rPr>
                <w:rFonts w:ascii="Calibri" w:cs="Calibri" w:eastAsia="Calibri" w:hAnsi="Calibri"/>
                <w:b/>
                <w:bCs/>
                <w:color w:val="FFFFFF"/>
                <w:sz w:val="20"/>
                <w:szCs w:val="20"/>
              </w:rPr>
              <w:t xml:space="preserve">Rilevanza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Vulnerabilità critica Check Point sfruttata attivamente (CVE-2026-16232): controllo remoto della gestione firewall</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Network Security</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Chi gestisce perimetro on-prem con Check Point deve applicare la patch con priorità massima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Mitsubishi Electric annuncia accordo definitivo per acquisire Nozomi Networks</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OT/IoT &amp; Infrastrutture Critiche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Consolidamento industriale nel mercato OT security, da monitorare per impatti su roadmap e canale Italia</w:t>
            </w:r>
          </w:p>
        </w:tc>
      </w:tr>
      <w:tr>
        <w:tc>
          <w:tcPr>
            <w:tcW w:type="dxa" w:w="3500"/>
            <w:shd w:fill="FFFFFF" w:val="clear"/>
            <w:tcMar>
              <w:top w:type="dxa" w:w="80"/>
              <w:left w:type="dxa" w:w="120"/>
              <w:bottom w:type="dxa" w:w="80"/>
              <w:right w:type="dxa" w:w="120"/>
            </w:tcMar>
          </w:tcPr>
          <w:p>
            <w:r>
              <w:rPr>
                <w:rFonts w:ascii="Calibri" w:cs="Calibri" w:eastAsia="Calibri" w:hAnsi="Calibri"/>
                <w:sz w:val="20"/>
                <w:szCs w:val="20"/>
              </w:rPr>
              <w:t xml:space="preserve">Astelia estende l'analisi di reachability con capacità agentiche per la vulnerability management</w:t>
            </w:r>
          </w:p>
        </w:tc>
        <w:tc>
          <w:tcPr>
            <w:tcW w:type="dxa" w:w="2500"/>
            <w:shd w:fill="FFFFFF" w:val="clear"/>
            <w:tcMar>
              <w:top w:type="dxa" w:w="80"/>
              <w:left w:type="dxa" w:w="120"/>
              <w:bottom w:type="dxa" w:w="80"/>
              <w:right w:type="dxa" w:w="120"/>
            </w:tcMar>
          </w:tcPr>
          <w:p>
            <w:r>
              <w:rPr>
                <w:rFonts w:ascii="Calibri" w:cs="Calibri" w:eastAsia="Calibri" w:hAnsi="Calibri"/>
                <w:sz w:val="20"/>
                <w:szCs w:val="20"/>
              </w:rPr>
              <w:t xml:space="preserve">AI &amp; Threat Intelligence</w:t>
            </w:r>
          </w:p>
        </w:tc>
        <w:tc>
          <w:tcPr>
            <w:tcW w:type="dxa" w:w="3026"/>
            <w:shd w:fill="FFFFFF" w:val="clear"/>
            <w:tcMar>
              <w:top w:type="dxa" w:w="80"/>
              <w:left w:type="dxa" w:w="120"/>
              <w:bottom w:type="dxa" w:w="80"/>
              <w:right w:type="dxa" w:w="120"/>
            </w:tcMar>
          </w:tcPr>
          <w:p>
            <w:r>
              <w:rPr>
                <w:rFonts w:ascii="Calibri" w:cs="Calibri" w:eastAsia="Calibri" w:hAnsi="Calibri"/>
                <w:sz w:val="20"/>
                <w:szCs w:val="20"/>
              </w:rPr>
              <w:t xml:space="preserve">Automazione dei task ripetitivi di analisi mantenendo supervisione umana sulle decisioni critiche</w:t>
            </w:r>
          </w:p>
        </w:tc>
      </w:tr>
    </w:tbl>
    <w:p>
      <w:r>
        <w:br w:type="page"/>
      </w:r>
    </w:p>
    <w:p>
      <w:pPr>
        <w:pStyle w:val="Heading1"/>
      </w:pPr>
      <w:bookmarkStart w:name="bm_w29_19lug" w:id="800"/>
      <w:r>
        <w:rPr>
          <w:rFonts w:ascii="Calibri" w:cs="Calibri" w:eastAsia="Calibri" w:hAnsi="Calibri"/>
          <w:b/>
          <w:bCs/>
          <w:color w:val="1F4E79"/>
          <w:sz w:val="28"/>
          <w:szCs w:val="28"/>
        </w:rPr>
        <w:t xml:space="preserve">W29 · 19 luglio 2026</w:t>
      </w:r>
      <w:bookmarkEnd w:id="8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Data</w:t>
            </w:r>
          </w:p>
          <w:p>
            <w:r>
              <w:rPr>
                <w:rFonts w:ascii="Calibri" w:cs="Calibri" w:eastAsia="Calibri" w:hAnsi="Calibri"/>
                <w:sz w:val="20"/>
              </w:rPr>
              <w:t xml:space="preserve">19 luglio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Settimana</w:t>
            </w:r>
          </w:p>
          <w:p>
            <w:r>
              <w:rPr>
                <w:rFonts w:ascii="Calibri" w:cs="Calibri" w:eastAsia="Calibri" w:hAnsi="Calibri"/>
                <w:sz w:val="20"/>
              </w:rPr>
              <w:t xml:space="preserve">W29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Ambiti</w:t>
            </w:r>
          </w:p>
          <w:p>
            <w:r>
              <w:rPr>
                <w:rFonts w:ascii="Calibri" w:cs="Calibri" w:eastAsia="Calibri" w:hAnsi="Calibri"/>
                <w:sz w:val="20"/>
              </w:rPr>
              <w:t xml:space="preserve">AI &amp; Threat Intelligence · Endpoint &amp; Identity · Network Security</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Contesto chiave</w:t>
            </w:r>
          </w:p>
          <w:p>
            <w:r>
              <w:rPr>
                <w:rFonts w:ascii="Calibri" w:cs="Calibri" w:eastAsia="Calibri" w:hAnsi="Calibri"/>
                <w:sz w:val="20"/>
              </w:rPr>
              <w:t xml:space="preserve">Lineation Zero Trust AI Agents · Cloudflare Precursor · Nudge Security Agentic OAuth Risk</w:t>
            </w:r>
          </w:p>
        </w:tc>
      </w:tr>
    </w:tbl>
    <w:p>
      <w:pPr>
        <w:spacing w:after="120" w:before="60"/>
      </w:pPr>
      <w:r>
        <w:rPr>
          <w:rFonts w:ascii="Calibri" w:cs="Calibri" w:eastAsia="Calibri" w:hAnsi="Calibri"/>
          <w:i/>
          <w:iCs/>
          <w:color w:val="595959"/>
          <w:sz w:val="20"/>
        </w:rPr>
        <w:t xml:space="preserve">Settimana segnata dalla protezione del comportamento più che del perimetro: Lineation porta un control plane Zero Trust runtime per gli agenti AI autonomi, Cloudflare sposta il bot management dal controllo all’ingresso a un’analisi comportamentale continua della sessione, e Nudge Security automatizza la remediation dei permessi OAuth e delle estensioni browser non governati. Sul fronte minacce: advisory congiunto NSA/CISA/FBI + 12 paesi (14 luglio) su router Cisco esposti sfruttati dal gruppo russo Ghost Blizzard su infrastrutture critiche, e sfruttamento attivo di una falla critica Adobe ColdFusion (CVE-2026-48282) segnalato da CISA. ACN resta concentrata sulla fase di accompagnamento NIS2 in vista della scadenza di ottobre 2026.</w:t>
      </w:r>
    </w:p>
    <w:p>
      <w:pPr>
        <w:pStyle w:val="Heading2"/>
      </w:pPr>
      <w:r>
        <w:rPr>
          <w:rFonts w:ascii="Calibri" w:cs="Calibri" w:eastAsia="Calibri" w:hAnsi="Calibri"/>
          <w:b/>
          <w:color w:val="1F4E79"/>
          <w:sz w:val="24"/>
        </w:rPr>
        <w:t>Scheda 1 — Lineation — Zero Trust Runtime Control Plane per Agenti AI Autonomi</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Lineation.ai (USA) · Lancio pubblico: 15–16 luglio 2026 · Ambito: AI &amp; Threat Intelligence / Endpoint &amp; Identity</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Piattaforma di sicurezza “agentic” che protegge gli agenti AI autonomi a runtime, all’intersezione tra GenAI Application Security e Runtime Defense. Assegna un’identità Zero Trust non-umana (NHI) a ogni agente e usa un daemon leggero a livello di esecuzione per intercettare comportamenti anomali (goal hijacking, memory poisoning, tool misuse) prima che producano danni.</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Control plane centralizzato + endpoint daemon leggero dove girano gli agenti (cloud, on-prem, container) · Gateway LLM/MCP che valida in tempo reale handshake e chiamate API · Audit trail immutabile con template di compliance per SOC 2, HIPAA ed EU AI Act · Deployment ibrido</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Target / PA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Enterprise e mid-market con agenti AI/GenAI già in produzione (dev, customer service, automazione interna) · Rilevante in prospettiva per la PA Centrale mano a mano che ministeri e agenzie sperimentano agenti AI su dati sensibili · Prerequisito: workload agentici o pipeline MCP da proteggere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Perché ora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Le identità non-umane e gli agenti AI sono tra le superfici di attacco in più rapida crescita nel 2026. Per la PA italiana, gli obblighi di audit trail dell’EU AI Act si sovrappongono sempre più a NIS2 e alle linee guida ACN sulla governance dell’AI: strumenti come questo anticipano un requisito di governance che diventerà centrale entro fine 2026.</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29b_lineation_vendor">
              <w:r>
                <w:rPr>
                  <w:rStyle w:val="Hyperlink"/>
                  <w:rFonts w:ascii="Calibri" w:cs="Calibri" w:eastAsia="Calibri" w:hAnsi="Calibri"/>
                  <w:sz w:val="20"/>
                </w:rPr>
                <w:t xml:space="preserve">Pagina ufficiale — Lineation.ai</w:t>
              </w:r>
            </w:hyperlink>
          </w:p>
          <w:p>
            <w:pPr>
              <w:pStyle w:val="ListParagraph"/>
              <w:numPr>
                <w:ilvl w:val="0"/>
                <w:numId w:val="2"/>
              </w:numPr>
              <w:spacing w:after="30" w:before="30"/>
            </w:pPr>
            <w:hyperlink w:history="1" r:id="rIdW29b_lineation_fonte">
              <w:r>
                <w:rPr>
                  <w:rStyle w:val="Hyperlink"/>
                  <w:rFonts w:ascii="Calibri" w:cs="Calibri" w:eastAsia="Calibri" w:hAnsi="Calibri"/>
                  <w:sz w:val="20"/>
                </w:rPr>
                <w:t xml:space="preserve">Help Net Security — Lineation.ai focuses on runtime security for autonomous AI agents</w:t>
              </w:r>
            </w:hyperlink>
          </w:p>
        </w:tc>
      </w:tr>
    </w:tbl>
    <w:p>
      <w:pPr>
        <w:spacing w:after="120" w:before="120"/>
      </w:pPr>
    </w:p>
    <w:p>
      <w:pPr>
        <w:pStyle w:val="Heading2"/>
      </w:pPr>
      <w:r>
        <w:rPr>
          <w:rFonts w:ascii="Calibri" w:cs="Calibri" w:eastAsia="Calibri" w:hAnsi="Calibri"/>
          <w:b/>
          <w:color w:val="1F4E79"/>
          <w:sz w:val="24"/>
        </w:rPr>
        <w:t>Scheda 2 — Cloudflare Precursor — Difesa Comportamentale Continua contro i Bot Avanzati</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Cloudflare (USA, NYSE: NET) · GA: 13 luglio 2026 · Ambito: Network Security &amp; Microsegmentazione / perimetro applicativo</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Motore di validazione comportamentale continua per il bot management, eseguito lato edge/browser. A differenza dei CAPTCHA statici, monitora l’intera sessione utente (non solo l’ingresso) per distinguere traffico umano da bot avanzati e agenti AI automatizzati.</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Nativo sulla rete edge globale Cloudflare · JavaScript iniettato dinamicamente lato client per raccogliere segnali comportamentali (cursore, scrolling, digitazione, clipboard, visibilità pagina) · Nessun agente da installare sui server d’origine · Si integra con lo stack WAF/Bot Management esistente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Target / PA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Enterprise e mid-market con proprietà web/API pubbliche (portali, e-commerce, servizi digitali) · Rilevante per portali PA Centrale di servizio al cittadino ad alto traffico, dove il traffico bot ha superato quello umano legittimo (circa il 57% delle richieste web globali) · Da verificare la qualificazione ACN cloud per un uso su domini PA</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Perché ora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Bot basati su AI capaci di superare le verifiche statiche rendono obsoleti i controlli “al cancello”. Per le PA italiane, con portali soggetti a requisiti di continuità del servizio del Codice dell’Amministrazione Digitale, un controllo comportamentale continuo senza frizione per il cittadino è particolarmente rilevante.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29b_cloudflare_vendor">
              <w:r>
                <w:rPr>
                  <w:rStyle w:val="Hyperlink"/>
                  <w:rFonts w:ascii="Calibri" w:cs="Calibri" w:eastAsia="Calibri" w:hAnsi="Calibri"/>
                  <w:sz w:val="20"/>
                </w:rPr>
                <w:t xml:space="preserve">Cloudflare Blog — Introducing Precursor</w:t>
              </w:r>
            </w:hyperlink>
          </w:p>
          <w:p>
            <w:pPr>
              <w:pStyle w:val="ListParagraph"/>
              <w:numPr>
                <w:ilvl w:val="0"/>
                <w:numId w:val="2"/>
              </w:numPr>
              <w:spacing w:after="30" w:before="30"/>
            </w:pPr>
            <w:hyperlink w:history="1" r:id="rIdW29b_cloudflare_fonte">
              <w:r>
                <w:rPr>
                  <w:rStyle w:val="Hyperlink"/>
                  <w:rFonts w:ascii="Calibri" w:cs="Calibri" w:eastAsia="Calibri" w:hAnsi="Calibri"/>
                  <w:sz w:val="20"/>
                </w:rPr>
                <w:t xml:space="preserve">Cloudflare — comunicato stampa ufficiale</w:t>
              </w:r>
            </w:hyperlink>
          </w:p>
        </w:tc>
      </w:tr>
    </w:tbl>
    <w:p>
      <w:pPr>
        <w:spacing w:after="120" w:before="120"/>
      </w:pPr>
    </w:p>
    <w:p>
      <w:pPr>
        <w:pStyle w:val="Heading2"/>
      </w:pPr>
      <w:r>
        <w:rPr>
          <w:rFonts w:ascii="Calibri" w:cs="Calibri" w:eastAsia="Calibri" w:hAnsi="Calibri"/>
          <w:b/>
          <w:color w:val="1F4E79"/>
          <w:sz w:val="24"/>
        </w:rPr>
        <w:t>Scheda 3 — Nudge Security — Agenti AI per il Rischio OAuth ed Estensioni Browser</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Nudge Security (USA) · Annuncio: 15 luglio 2026 · Ambito: Endpoint &amp; Identity / SaaS Security</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Due nuovi agenti AI che analizzano continuamente le concessioni OAuth e le estensioni browser installate dai dipendenti, segnalano quelle ad alto rischio e automatizzano la remediation con approvazione umana nel loop (OAuth Grant Risk Analyst e Browser Extension Risk Analyst).</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Piattaforma SaaS agentless per la componente OAuth (nessun agente sugli endpoint) · Estensione browser opzionale per la visibilità sulle estensioni installate · Integrazione via API con identity provider e suite SaaS aziendali</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Target / PA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Enterprise e mid-market con forte adozione SaaS e OAuth diffuso · Utile per PA Centrale dove uffici e agenzie usano suite SaaS con SSO federato: le concessioni OAuth non governate sono un vettore spesso invisibile ai controlli IAM tradizionali</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Perché ora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I casi Klue e Salesloft Drift, citati dal vendor, mostrano come le concessioni OAuth possano garantire accesso ampio e persistente a dati sensibili se non monitorate. Per la PA italiana questo si collega ai requisiti NIS2 di gestione del rischio della supply chain digitale e ai principi di minimizzazione degli accessi del GDPR pubblico.</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Link</w:t>
            </w:r>
          </w:p>
        </w:tc>
        <w:tc>
          <w:tcPr>
            <w:tcW w:type="dxa" w:w="6770"/>
            <w:shd w:fill="FFFFFF" w:val="clear"/>
            <w:tcMar>
              <w:top w:type="dxa" w:w="80"/>
              <w:left w:type="dxa" w:w="120"/>
              <w:bottom w:type="dxa" w:w="80"/>
              <w:right w:type="dxa" w:w="120"/>
            </w:tcMar>
          </w:tcPr>
          <w:p>
            <w:pPr>
              <w:pStyle w:val="ListParagraph"/>
              <w:numPr>
                <w:ilvl w:val="0"/>
                <w:numId w:val="2"/>
              </w:numPr>
              <w:spacing w:after="30" w:before="30"/>
            </w:pPr>
            <w:hyperlink w:history="1" r:id="rIdW29b_nudge_vendor">
              <w:r>
                <w:rPr>
                  <w:rStyle w:val="Hyperlink"/>
                  <w:rFonts w:ascii="Calibri" w:cs="Calibri" w:eastAsia="Calibri" w:hAnsi="Calibri"/>
                  <w:sz w:val="20"/>
                </w:rPr>
                <w:t xml:space="preserve">Nudge Security — changelog ufficiale del rilascio</w:t>
              </w:r>
            </w:hyperlink>
          </w:p>
          <w:p>
            <w:pPr>
              <w:pStyle w:val="ListParagraph"/>
              <w:numPr>
                <w:ilvl w:val="0"/>
                <w:numId w:val="2"/>
              </w:numPr>
              <w:spacing w:after="30" w:before="30"/>
            </w:pPr>
            <w:hyperlink w:history="1" r:id="rIdW29b_nudge_fonte">
              <w:r>
                <w:rPr>
                  <w:rStyle w:val="Hyperlink"/>
                  <w:rFonts w:ascii="Calibri" w:cs="Calibri" w:eastAsia="Calibri" w:hAnsi="Calibri"/>
                  <w:sz w:val="20"/>
                </w:rPr>
                <w:t xml:space="preserve">PR Newswire — comunicato ufficiale</w:t>
              </w:r>
            </w:hyperlink>
          </w:p>
        </w:tc>
      </w:tr>
    </w:tbl>
    <w:p>
      <w:pPr>
        <w:spacing w:after="120" w:before="120"/>
      </w:pPr>
    </w:p>
    <w:p>
      <w:pPr>
        <w:spacing w:after="120" w:before="240"/>
      </w:pPr>
      <w:r>
        <w:rPr>
          <w:rFonts w:ascii="Calibri" w:cs="Calibri" w:eastAsia="Calibri" w:hAnsi="Calibri"/>
          <w:b/>
          <w:color w:val="1F4E79"/>
          <w:sz w:val="22"/>
        </w:rPr>
        <w:t>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color w:val="FFFFFF"/>
                <w:sz w:val="20"/>
              </w:rPr>
              <w:t>Segnale</w:t>
            </w:r>
          </w:p>
        </w:tc>
        <w:tc>
          <w:tcPr>
            <w:tcW w:type="dxa" w:w="2500"/>
            <w:shd w:fill="1F4E79" w:val="clear"/>
            <w:tcMar>
              <w:top w:type="dxa" w:w="80"/>
              <w:left w:type="dxa" w:w="120"/>
              <w:bottom w:type="dxa" w:w="80"/>
              <w:right w:type="dxa" w:w="120"/>
            </w:tcMar>
          </w:tcPr>
          <w:p>
            <w:r>
              <w:rPr>
                <w:rFonts w:ascii="Calibri" w:cs="Calibri" w:eastAsia="Calibri" w:hAnsi="Calibri"/>
                <w:b/>
                <w:color w:val="FFFFFF"/>
                <w:sz w:val="20"/>
              </w:rPr>
              <w:t>Ambito</w:t>
            </w:r>
          </w:p>
        </w:tc>
        <w:tc>
          <w:tcPr>
            <w:tcW w:type="dxa" w:w="3026"/>
            <w:shd w:fill="1F4E79" w:val="clear"/>
            <w:tcMar>
              <w:top w:type="dxa" w:w="80"/>
              <w:left w:type="dxa" w:w="120"/>
              <w:bottom w:type="dxa" w:w="80"/>
              <w:right w:type="dxa" w:w="120"/>
            </w:tcMar>
          </w:tcPr>
          <w:p>
            <w:r>
              <w:rPr>
                <w:rFonts w:ascii="Calibri" w:cs="Calibri" w:eastAsia="Calibri" w:hAnsi="Calibri"/>
                <w:b/>
                <w:color w:val="FFFFFF"/>
                <w:sz w:val="20"/>
              </w:rPr>
              <w:t>Rilevanza</w:t>
            </w:r>
          </w:p>
        </w:tc>
      </w:tr>
      <w:tr>
        <w:tc>
          <w:tcPr>
            <w:tcW w:type="dxa" w:w="3500"/>
            <w:shd w:fill="FFFFFF" w:val="clear"/>
            <w:tcMar>
              <w:top w:type="dxa" w:w="80"/>
              <w:left w:type="dxa" w:w="120"/>
              <w:bottom w:type="dxa" w:w="80"/>
              <w:right w:type="dxa" w:w="120"/>
            </w:tcMar>
          </w:tcPr>
          <w:p>
            <w:r>
              <w:rPr>
                <w:rFonts w:ascii="Calibri" w:cs="Calibri" w:eastAsia="Calibri" w:hAnsi="Calibri"/>
                <w:sz w:val="20"/>
              </w:rPr>
              <w:t xml:space="preserve">Advisory congiunto NSA/CISA/FBI + 12 paesi (14/07): sfruttamento attivo router Cisco esposti da gruppo russo Ghost Blizzard/Energetic Bear su infrastrutture critiche</w:t>
            </w:r>
          </w:p>
        </w:tc>
        <w:tc>
          <w:tcPr>
            <w:tcW w:type="dxa" w:w="2500"/>
            <w:shd w:fill="FFFFFF" w:val="clear"/>
            <w:tcMar>
              <w:top w:type="dxa" w:w="80"/>
              <w:left w:type="dxa" w:w="120"/>
              <w:bottom w:type="dxa" w:w="80"/>
              <w:right w:type="dxa" w:w="120"/>
            </w:tcMar>
          </w:tcPr>
          <w:p>
            <w:r>
              <w:rPr>
                <w:rFonts w:ascii="Calibri" w:cs="Calibri" w:eastAsia="Calibri" w:hAnsi="Calibri"/>
                <w:sz w:val="20"/>
              </w:rPr>
              <w:t xml:space="preserve">OT/IoT &amp; Infrastrutture Critiche</w:t>
            </w:r>
          </w:p>
        </w:tc>
        <w:tc>
          <w:tcPr>
            <w:tcW w:type="dxa" w:w="3026"/>
            <w:shd w:fill="FFFFFF" w:val="clear"/>
            <w:tcMar>
              <w:top w:type="dxa" w:w="80"/>
              <w:left w:type="dxa" w:w="120"/>
              <w:bottom w:type="dxa" w:w="80"/>
              <w:right w:type="dxa" w:w="120"/>
            </w:tcMar>
          </w:tcPr>
          <w:p>
            <w:r>
              <w:rPr>
                <w:rFonts w:ascii="Calibri" w:cs="Calibri" w:eastAsia="Calibri" w:hAnsi="Calibri"/>
                <w:sz w:val="20"/>
              </w:rPr>
              <w:t xml:space="preserve">Alta — impatto diretto su reti industriali e PA</w:t>
            </w:r>
          </w:p>
        </w:tc>
      </w:tr>
      <w:tr>
        <w:tc>
          <w:tcPr>
            <w:tcW w:type="dxa" w:w="3500"/>
            <w:shd w:fill="FFFFFF" w:val="clear"/>
            <w:tcMar>
              <w:top w:type="dxa" w:w="80"/>
              <w:left w:type="dxa" w:w="120"/>
              <w:bottom w:type="dxa" w:w="80"/>
              <w:right w:type="dxa" w:w="120"/>
            </w:tcMar>
          </w:tcPr>
          <w:p>
            <w:r>
              <w:rPr>
                <w:rFonts w:ascii="Calibri" w:cs="Calibri" w:eastAsia="Calibri" w:hAnsi="Calibri"/>
                <w:sz w:val="20"/>
              </w:rPr>
              <w:t xml:space="preserve">CISA segnala sfruttamento attivo di CVE-2026-48282 (Adobe ColdFusion critica)</w:t>
            </w:r>
          </w:p>
        </w:tc>
        <w:tc>
          <w:tcPr>
            <w:tcW w:type="dxa" w:w="2500"/>
            <w:shd w:fill="FFFFFF" w:val="clear"/>
            <w:tcMar>
              <w:top w:type="dxa" w:w="80"/>
              <w:left w:type="dxa" w:w="120"/>
              <w:bottom w:type="dxa" w:w="80"/>
              <w:right w:type="dxa" w:w="120"/>
            </w:tcMar>
          </w:tcPr>
          <w:p>
            <w:r>
              <w:rPr>
                <w:rFonts w:ascii="Calibri" w:cs="Calibri" w:eastAsia="Calibri" w:hAnsi="Calibri"/>
                <w:sz w:val="20"/>
              </w:rPr>
              <w:t xml:space="preserve">AI &amp; Threat Intelligence</w:t>
            </w:r>
          </w:p>
        </w:tc>
        <w:tc>
          <w:tcPr>
            <w:tcW w:type="dxa" w:w="3026"/>
            <w:shd w:fill="FFFFFF" w:val="clear"/>
            <w:tcMar>
              <w:top w:type="dxa" w:w="80"/>
              <w:left w:type="dxa" w:w="120"/>
              <w:bottom w:type="dxa" w:w="80"/>
              <w:right w:type="dxa" w:w="120"/>
            </w:tcMar>
          </w:tcPr>
          <w:p>
            <w:r>
              <w:rPr>
                <w:rFonts w:ascii="Calibri" w:cs="Calibri" w:eastAsia="Calibri" w:hAnsi="Calibri"/>
                <w:sz w:val="20"/>
              </w:rPr>
              <w:t xml:space="preserve">Alta — patch urgente</w:t>
            </w:r>
          </w:p>
        </w:tc>
      </w:tr>
      <w:tr>
        <w:tc>
          <w:tcPr>
            <w:tcW w:type="dxa" w:w="3500"/>
            <w:shd w:fill="FFFFFF" w:val="clear"/>
            <w:tcMar>
              <w:top w:type="dxa" w:w="80"/>
              <w:left w:type="dxa" w:w="120"/>
              <w:bottom w:type="dxa" w:w="80"/>
              <w:right w:type="dxa" w:w="120"/>
            </w:tcMar>
          </w:tcPr>
          <w:p>
            <w:r>
              <w:rPr>
                <w:rFonts w:ascii="Calibri" w:cs="Calibri" w:eastAsia="Calibri" w:hAnsi="Calibri"/>
                <w:sz w:val="20"/>
              </w:rPr>
              <w:t xml:space="preserve">CVE-2026-6900 / CVE-2026-6901 su piattaforma industriale B&amp;R APROL, patch R 4.4-01P5 disponibile</w:t>
            </w:r>
          </w:p>
        </w:tc>
        <w:tc>
          <w:tcPr>
            <w:tcW w:type="dxa" w:w="2500"/>
            <w:shd w:fill="FFFFFF" w:val="clear"/>
            <w:tcMar>
              <w:top w:type="dxa" w:w="80"/>
              <w:left w:type="dxa" w:w="120"/>
              <w:bottom w:type="dxa" w:w="80"/>
              <w:right w:type="dxa" w:w="120"/>
            </w:tcMar>
          </w:tcPr>
          <w:p>
            <w:r>
              <w:rPr>
                <w:rFonts w:ascii="Calibri" w:cs="Calibri" w:eastAsia="Calibri" w:hAnsi="Calibri"/>
                <w:sz w:val="20"/>
              </w:rPr>
              <w:t xml:space="preserve">OT/IoT &amp; Infrastrutture Critiche</w:t>
            </w:r>
          </w:p>
        </w:tc>
        <w:tc>
          <w:tcPr>
            <w:tcW w:type="dxa" w:w="3026"/>
            <w:shd w:fill="FFFFFF" w:val="clear"/>
            <w:tcMar>
              <w:top w:type="dxa" w:w="80"/>
              <w:left w:type="dxa" w:w="120"/>
              <w:bottom w:type="dxa" w:w="80"/>
              <w:right w:type="dxa" w:w="120"/>
            </w:tcMar>
          </w:tcPr>
          <w:p>
            <w:r>
              <w:rPr>
                <w:rFonts w:ascii="Calibri" w:cs="Calibri" w:eastAsia="Calibri" w:hAnsi="Calibri"/>
                <w:sz w:val="20"/>
              </w:rPr>
              <w:t xml:space="preserve">Media — verificare esposizione ICS</w:t>
            </w:r>
          </w:p>
        </w:tc>
      </w:tr>
      <w:tr>
        <w:tc>
          <w:tcPr>
            <w:tcW w:type="dxa" w:w="3500"/>
            <w:shd w:fill="FFFFFF" w:val="clear"/>
            <w:tcMar>
              <w:top w:type="dxa" w:w="80"/>
              <w:left w:type="dxa" w:w="120"/>
              <w:bottom w:type="dxa" w:w="80"/>
              <w:right w:type="dxa" w:w="120"/>
            </w:tcMar>
          </w:tcPr>
          <w:p>
            <w:r>
              <w:rPr>
                <w:rFonts w:ascii="Calibri" w:cs="Calibri" w:eastAsia="Calibri" w:hAnsi="Calibri"/>
                <w:sz w:val="20"/>
              </w:rPr>
              <w:t xml:space="preserve">ACN in fase di accompagnamento NIS2 verso la scadenza di ottobre 2026 per le misure di sicurezza di base</w:t>
            </w:r>
          </w:p>
        </w:tc>
        <w:tc>
          <w:tcPr>
            <w:tcW w:type="dxa" w:w="2500"/>
            <w:shd w:fill="FFFFFF" w:val="clear"/>
            <w:tcMar>
              <w:top w:type="dxa" w:w="80"/>
              <w:left w:type="dxa" w:w="120"/>
              <w:bottom w:type="dxa" w:w="80"/>
              <w:right w:type="dxa" w:w="120"/>
            </w:tcMar>
          </w:tcPr>
          <w:p>
            <w:r>
              <w:rPr>
                <w:rFonts w:ascii="Calibri" w:cs="Calibri" w:eastAsia="Calibri" w:hAnsi="Calibri"/>
                <w:sz w:val="20"/>
              </w:rPr>
              <w:t xml:space="preserve">Normativa / PA Centrale</w:t>
            </w:r>
          </w:p>
        </w:tc>
        <w:tc>
          <w:tcPr>
            <w:tcW w:type="dxa" w:w="3026"/>
            <w:shd w:fill="FFFFFF" w:val="clear"/>
            <w:tcMar>
              <w:top w:type="dxa" w:w="80"/>
              <w:left w:type="dxa" w:w="120"/>
              <w:bottom w:type="dxa" w:w="80"/>
              <w:right w:type="dxa" w:w="120"/>
            </w:tcMar>
          </w:tcPr>
          <w:p>
            <w:r>
              <w:rPr>
                <w:rFonts w:ascii="Calibri" w:cs="Calibri" w:eastAsia="Calibri" w:hAnsi="Calibri"/>
                <w:sz w:val="20"/>
              </w:rPr>
              <w:t xml:space="preserve">Alta — pianificare readiness entro Q3</w:t>
            </w:r>
          </w:p>
        </w:tc>
      </w:tr>
    </w:tbl>
    <w:p>
      <w:pPr>
        <w:spacing w:after="0" w:before="240"/>
      </w:pPr>
    </w:p>
    <w:p>
      <w:r>
        <w:br w:type="page"/>
      </w:r>
    </w:p>
    <w:p>
      <w:pPr>
        <w:pStyle w:val="Heading1"/>
      </w:pPr>
      <w:bookmarkStart w:name="bm_w29" w:id="700"/>
      <w:r>
        <w:rPr>
          <w:rFonts w:ascii="Calibri" w:cs="Calibri" w:eastAsia="Calibri" w:hAnsi="Calibri"/>
          <w:b/>
          <w:bCs/>
          <w:color w:val="1F4E79"/>
          <w:sz w:val="28"/>
          <w:szCs w:val="28"/>
        </w:rPr>
        <w:t xml:space="preserve">W29 · 15 luglio 2026</w:t>
      </w:r>
      <w:bookmarkEnd w:id="7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Data</w:t>
            </w:r>
          </w:p>
          <w:p>
            <w:r>
              <w:rPr>
                <w:rFonts w:ascii="Calibri" w:cs="Calibri" w:eastAsia="Calibri" w:hAnsi="Calibri"/>
                <w:sz w:val="20"/>
              </w:rPr>
              <w:t>15 luglio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Settimana</w:t>
            </w:r>
          </w:p>
          <w:p>
            <w:r>
              <w:rPr>
                <w:rFonts w:ascii="Calibri" w:cs="Calibri" w:eastAsia="Calibri" w:hAnsi="Calibri"/>
                <w:sz w:val="20"/>
              </w:rPr>
              <w:t>W29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Ambiti</w:t>
            </w:r>
          </w:p>
          <w:p>
            <w:r>
              <w:rPr>
                <w:rFonts w:ascii="Calibri" w:cs="Calibri" w:eastAsia="Calibri" w:hAnsi="Calibri"/>
                <w:sz w:val="20"/>
              </w:rPr>
              <w:t>Endpoint &amp; Identity · AI &amp; Threat Intelligence · Network Security</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Contesto chiave</w:t>
            </w:r>
          </w:p>
          <w:p>
            <w:r>
              <w:rPr>
                <w:rFonts w:ascii="Calibri" w:cs="Calibri" w:eastAsia="Calibri" w:hAnsi="Calibri"/>
                <w:sz w:val="20"/>
              </w:rPr>
              <w:t>Automox MCP governance endpoint · First Recon AI Security Runtime · Lumen+Alkira ZTNA/SASE</w:t>
            </w:r>
          </w:p>
        </w:tc>
      </w:tr>
    </w:tbl>
    <w:p>
      <w:pPr>
        <w:spacing w:after="120" w:before="60"/>
      </w:pPr>
      <w:r>
        <w:rPr>
          <w:rFonts w:ascii="Calibri" w:cs="Calibri" w:eastAsia="Calibri" w:hAnsi="Calibri"/>
          <w:i/>
          <w:iCs/>
          <w:color w:val="595959"/>
          <w:sz w:val="20"/>
        </w:rPr>
        <w:t xml:space="preserve">Settimana senza un singolo annuncio “dirompente” da titolo, ma con tre segnali che si rafforzano a vicenda: la governance dell’AI agentiva diventa un requisito operativo sull’endpoint e sui flussi verso i modelli, e la rete torna centrale come control plane per la sicurezza multi-cloud. Accenture ha dichiarato una violazione da parte del gruppo estorsivo “888” (35GB tra cui codice sorgente, chiavi RSA/SSH e token Azure); un’indagine Sygnia documenta un attacco AI-assisted capace di compromettere un intero ambiente AWS in circa 72 ore. Sul mercato: Automox aggiunge governance agentica al patch management, First Recon AI lancia un runtime per governare ogni interazione enterprise con l’AI, Lumen completa l’acquisizione di Alkira portando lo ZTNA nativamente nel livello di rete.</w:t>
      </w:r>
    </w:p>
    <w:p>
      <w:pPr>
        <w:pStyle w:val="Heading2"/>
      </w:pPr>
      <w:r>
        <w:rPr>
          <w:rFonts w:ascii="Calibri" w:cs="Calibri" w:eastAsia="Calibri" w:hAnsi="Calibri"/>
          <w:b/>
          <w:color w:val="1F4E79"/>
          <w:sz w:val="24"/>
        </w:rPr>
        <w:t>Scheda 1 — Automox MCP Server 2.2 — Governance Agentica per il Patch Management</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Automox (USA) · Annuncio: 7 luglio 2026 · Ambito: Endpoint &amp; Identity / Patch e Vulnerability Management</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Interfaccia agentiva “governata” che consente a un assistente AI (incluso Claude Desktop) di eseguire patching, policy e remediation sugli endpoint entro un perimetro di permessi esplicito e verificabile. La versione 2.2 aggiunge revisione visuale in-host, creazione agentica di policy “Patch by Severity” e discovery live delle capacità realmente disponibili.</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SaaS distribuito via PyPI, MCP Registry ed estensione one-click Claude Desktop · Agent-based sugli endpoint gestiti · Orchestrazione agentica cloud via Model Context Protocol · Copre le API pubbliche Automox Console e Webhooks, escludendo by design le operazioni che espongono segreti</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Target / PA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Mid-market (100+ endpoint gestiti) ed Enterprise, in particolare MSP/MSSP · Rilevante per PA Centrale sul requisito base di patch/vulnerability management richiesto da ACN · Per l’uso agentico serve un host compatibile MCP</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Perché ora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Il patch management resta il controllo di igiene cyber più citato nelle misure minime ACN e nei framework NIS2, ma è anche il primo terreno di introduzione dell’AI agentiva in produzione. Il design “safety-gated” (nessuna azione che esponga segreti, permessi live, tracciabilità) risponde al rischio di governance segnalato questa settimana dal report DigiCert AI Trust Outlook (78% delle organizzazioni con incidenti o vulnerabilità legate all’AI).</w:t>
            </w:r>
          </w:p>
        </w:tc>
      </w:tr>
    </w:tbl>
    <w:p>
      <w:pPr>
        <w:spacing w:after="120" w:before="120"/>
      </w:pPr>
    </w:p>
    <w:p>
      <w:pPr>
        <w:pStyle w:val="Heading2"/>
      </w:pPr>
      <w:r>
        <w:rPr>
          <w:rFonts w:ascii="Calibri" w:cs="Calibri" w:eastAsia="Calibri" w:hAnsi="Calibri"/>
          <w:b/>
          <w:color w:val="1F4E79"/>
          <w:sz w:val="24"/>
        </w:rPr>
        <w:t>Scheda 2 — First Recon AI Security Runtime™ — Governance e Sicurezza dell’Uso Enterprise dell’AI</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First Recon AI (USA) · Lancio GA: 8 luglio 2026 · Ambito: AI &amp; Threat Intelligence / AI Governance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Piattaforma che governa e mette in sicurezza ogni interazione con l’AI aziendale (umano-modello, agente-tool, agente-agente). Il Semantic Security Engine™ legge significato, intento e contesto di ogni interazione; applica policy inline prima che i dati raggiungano un modello e registra ogni decisione come evidenza audit-ready.</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Piattaforma SaaS/gateway inline, agnostica rispetto a modello e canale · Motore semantico proprietario + Security Context Graph™ · Copertura applicazioni, gateway, API, agenti, tool ed endpoint · Evidenza pronta per pipeline SIEM e reportistica NIST/GDPR/EU AI Act</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Target / PA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Mid-market ed Enterprise con adozione attiva di AI generativa/agentiva su larga scala · Alta rilevanza PA Centrale per tracciabilità e accountability nell’uso di AI, in vista degli obblighi EU AI Act · Prerequisito: presenza di flussi AI da sottoporre a governance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Perché ora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L’EU AI Act entra progressivamente in vigore anche per la PA italiana, che userà sempre più assistenti e agenti AI in attività amministrative. L’evidenza sigillata risponde al principio di accountability GDPR e alle linee guida ACN su tracciabilità per i soggetti NIS2 — ed è una risposta diretta al caso Sygnia di questa settimana, in cui strumenti AI hanno permesso di compromettere un intero ambiente cloud in circa 72 ore.</w:t>
            </w:r>
          </w:p>
        </w:tc>
      </w:tr>
    </w:tbl>
    <w:p>
      <w:pPr>
        <w:spacing w:after="120" w:before="120"/>
      </w:pPr>
    </w:p>
    <w:p>
      <w:pPr>
        <w:pStyle w:val="Heading2"/>
      </w:pPr>
      <w:r>
        <w:rPr>
          <w:rFonts w:ascii="Calibri" w:cs="Calibri" w:eastAsia="Calibri" w:hAnsi="Calibri"/>
          <w:b/>
          <w:color w:val="1F4E79"/>
          <w:sz w:val="24"/>
        </w:rPr>
        <w:t>Scheda 3 — Lumen + Alkira — Piattaforma Unificata di Networking Sicuro AI-Ready</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Lumen Technologies (USA, NYSE: LUMN) · Acquisizione Alkira completata: 7 luglio 2026 · Ambito: Network Security / ZTNA-SASE-NaaS</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Lumen ha completato l’acquisizione di Alkira (475 milioni di dollari), piattaforma Network Infrastructure-as-a-Service che connette in modo programmabile sedi, cloud, partner e workload AI, incluso lo ZTNA nativo della piattaforma. La tecnologia confluirà in Lumen Connect, unificando Multi-Cloud Gateway e connettività on-net/off-net in un’unica esperienza.</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Cloud-native (Alkira NaaS) integrato con la dorsale fisica globale Lumen · Control plane software sopra infrastruttura di rete fisica · Zero Trust unificato su tutti i flussi (utente-app, app-app, utente-internet) · Integrazioni multi-cloud (AWS, Azure, Google Cloud) e SD-WAN/firewall di terze parti</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Target / PA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Enterprise e Mid-market con presenza multi-cloud o multi-sede · Rilevante per PA Centrale nel consolidamento della connettività cloud multi-provider verso cloud qualificati ACN e Polo Strategico Nazionale · Prerequisito: più cloud provider e/o sedi da interconnettere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Perché ora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Il modello Zero Trust è raccomandato dalle linee guida ACN per i soggetti NIS2 e rientra tra i principi del PSNC per la segmentazione delle reti critiche. Portare lo ZTNA nativamente nel livello di rete, invece che come overlay separato, riduce la complessità per enti pubblici con risorse IT limitate, mentre cresce il traffico generato da agenti e workload AI che richiedono policy di accesso granulari.</w:t>
            </w:r>
          </w:p>
        </w:tc>
      </w:tr>
    </w:tbl>
    <w:p>
      <w:pPr>
        <w:spacing w:after="120" w:before="240"/>
      </w:pPr>
      <w:r>
        <w:rPr>
          <w:rFonts w:ascii="Calibri" w:cs="Calibri" w:eastAsia="Calibri" w:hAnsi="Calibri"/>
          <w:b/>
          <w:color w:val="1F4E79"/>
          <w:sz w:val="22"/>
        </w:rPr>
        <w:t>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color w:val="FFFFFF"/>
                <w:sz w:val="20"/>
              </w:rPr>
              <w:t>Segnale</w:t>
            </w:r>
          </w:p>
        </w:tc>
        <w:tc>
          <w:tcPr>
            <w:tcW w:type="dxa" w:w="2500"/>
            <w:shd w:fill="1F4E79" w:val="clear"/>
            <w:tcMar>
              <w:top w:type="dxa" w:w="80"/>
              <w:left w:type="dxa" w:w="120"/>
              <w:bottom w:type="dxa" w:w="80"/>
              <w:right w:type="dxa" w:w="120"/>
            </w:tcMar>
          </w:tcPr>
          <w:p>
            <w:r>
              <w:rPr>
                <w:rFonts w:ascii="Calibri" w:cs="Calibri" w:eastAsia="Calibri" w:hAnsi="Calibri"/>
                <w:b/>
                <w:color w:val="FFFFFF"/>
                <w:sz w:val="20"/>
              </w:rPr>
              <w:t>Ambito</w:t>
            </w:r>
          </w:p>
        </w:tc>
        <w:tc>
          <w:tcPr>
            <w:tcW w:type="dxa" w:w="3026"/>
            <w:shd w:fill="1F4E79" w:val="clear"/>
            <w:tcMar>
              <w:top w:type="dxa" w:w="80"/>
              <w:left w:type="dxa" w:w="120"/>
              <w:bottom w:type="dxa" w:w="80"/>
              <w:right w:type="dxa" w:w="120"/>
            </w:tcMar>
          </w:tcPr>
          <w:p>
            <w:r>
              <w:rPr>
                <w:rFonts w:ascii="Calibri" w:cs="Calibri" w:eastAsia="Calibri" w:hAnsi="Calibri"/>
                <w:b/>
                <w:color w:val="FFFFFF"/>
                <w:sz w:val="20"/>
              </w:rPr>
              <w:t>Rilevanza</w:t>
            </w:r>
          </w:p>
        </w:tc>
      </w:tr>
      <w:tr>
        <w:tc>
          <w:tcPr>
            <w:tcW w:type="dxa" w:w="3500"/>
            <w:shd w:fill="FFFFFF" w:val="clear"/>
            <w:tcMar>
              <w:top w:type="dxa" w:w="80"/>
              <w:left w:type="dxa" w:w="120"/>
              <w:bottom w:type="dxa" w:w="80"/>
              <w:right w:type="dxa" w:w="120"/>
            </w:tcMar>
          </w:tcPr>
          <w:p>
            <w:r>
              <w:rPr>
                <w:rFonts w:ascii="Calibri" w:cs="Calibri" w:eastAsia="Calibri" w:hAnsi="Calibri"/>
                <w:sz w:val="20"/>
              </w:rPr>
              <w:t>Accenture: violazione dichiarata dal gruppo estorsivo “888” — 35GB tra cui codice sorgente, chiavi RSA/SSH e token Azure</w:t>
            </w:r>
          </w:p>
        </w:tc>
        <w:tc>
          <w:tcPr>
            <w:tcW w:type="dxa" w:w="2500"/>
            <w:shd w:fill="FFFFFF" w:val="clear"/>
            <w:tcMar>
              <w:top w:type="dxa" w:w="80"/>
              <w:left w:type="dxa" w:w="120"/>
              <w:bottom w:type="dxa" w:w="80"/>
              <w:right w:type="dxa" w:w="120"/>
            </w:tcMar>
          </w:tcPr>
          <w:p>
            <w:r>
              <w:rPr>
                <w:rFonts w:ascii="Calibri" w:cs="Calibri" w:eastAsia="Calibri" w:hAnsi="Calibri"/>
                <w:sz w:val="20"/>
              </w:rPr>
              <w:t>Cloud &amp; Infrastructure</w:t>
            </w:r>
          </w:p>
        </w:tc>
        <w:tc>
          <w:tcPr>
            <w:tcW w:type="dxa" w:w="3026"/>
            <w:shd w:fill="FFFFFF" w:val="clear"/>
            <w:tcMar>
              <w:top w:type="dxa" w:w="80"/>
              <w:left w:type="dxa" w:w="120"/>
              <w:bottom w:type="dxa" w:w="80"/>
              <w:right w:type="dxa" w:w="120"/>
            </w:tcMar>
          </w:tcPr>
          <w:p>
            <w:r>
              <w:rPr>
                <w:rFonts w:ascii="Calibri" w:cs="Calibri" w:eastAsia="Calibri" w:hAnsi="Calibri"/>
                <w:sz w:val="20"/>
              </w:rPr>
              <w:t>Alta — rischio supply chain per system integrator attivi anche su progetti PA italiana</w:t>
            </w:r>
          </w:p>
        </w:tc>
      </w:tr>
      <w:tr>
        <w:tc>
          <w:tcPr>
            <w:tcW w:type="dxa" w:w="3500"/>
            <w:shd w:fill="DEEAF1" w:val="clear"/>
            <w:tcMar>
              <w:top w:type="dxa" w:w="80"/>
              <w:left w:type="dxa" w:w="120"/>
              <w:bottom w:type="dxa" w:w="80"/>
              <w:right w:type="dxa" w:w="120"/>
            </w:tcMar>
          </w:tcPr>
          <w:p>
            <w:r>
              <w:rPr>
                <w:rFonts w:ascii="Calibri" w:cs="Calibri" w:eastAsia="Calibri" w:hAnsi="Calibri"/>
                <w:sz w:val="20"/>
              </w:rPr>
              <w:t>DigiCert AI Trust Outlook: 78% delle organizzazioni riporta incidenti o vulnerabilità legate all’AI</w:t>
            </w:r>
          </w:p>
        </w:tc>
        <w:tc>
          <w:tcPr>
            <w:tcW w:type="dxa" w:w="2500"/>
            <w:shd w:fill="DEEAF1" w:val="clear"/>
            <w:tcMar>
              <w:top w:type="dxa" w:w="80"/>
              <w:left w:type="dxa" w:w="120"/>
              <w:bottom w:type="dxa" w:w="80"/>
              <w:right w:type="dxa" w:w="120"/>
            </w:tcMar>
          </w:tcPr>
          <w:p>
            <w:r>
              <w:rPr>
                <w:rFonts w:ascii="Calibri" w:cs="Calibri" w:eastAsia="Calibri" w:hAnsi="Calibri"/>
                <w:sz w:val="20"/>
              </w:rPr>
              <w:t>AI &amp; Threat Intel</w:t>
            </w:r>
          </w:p>
        </w:tc>
        <w:tc>
          <w:tcPr>
            <w:tcW w:type="dxa" w:w="3026"/>
            <w:shd w:fill="DEEAF1" w:val="clear"/>
            <w:tcMar>
              <w:top w:type="dxa" w:w="80"/>
              <w:left w:type="dxa" w:w="120"/>
              <w:bottom w:type="dxa" w:w="80"/>
              <w:right w:type="dxa" w:w="120"/>
            </w:tcMar>
          </w:tcPr>
          <w:p>
            <w:r>
              <w:rPr>
                <w:rFonts w:ascii="Calibri" w:cs="Calibri" w:eastAsia="Calibri" w:hAnsi="Calibri"/>
                <w:sz w:val="20"/>
              </w:rPr>
              <w:t>Alta — conferma il gap tra adozione e governance dell’AI nelle organizzazioni</w:t>
            </w:r>
          </w:p>
        </w:tc>
      </w:tr>
      <w:tr>
        <w:tc>
          <w:tcPr>
            <w:tcW w:type="dxa" w:w="3500"/>
            <w:shd w:fill="FFFFFF" w:val="clear"/>
            <w:tcMar>
              <w:top w:type="dxa" w:w="80"/>
              <w:left w:type="dxa" w:w="120"/>
              <w:bottom w:type="dxa" w:w="80"/>
              <w:right w:type="dxa" w:w="120"/>
            </w:tcMar>
          </w:tcPr>
          <w:p>
            <w:r>
              <w:rPr>
                <w:rFonts w:ascii="Calibri" w:cs="Calibri" w:eastAsia="Calibri" w:hAnsi="Calibri"/>
                <w:sz w:val="20"/>
              </w:rPr>
              <w:t>CNAPP: mercato stimato a 71,92 miliardi di dollari entro il 2035 (SNS Insider)</w:t>
            </w:r>
          </w:p>
        </w:tc>
        <w:tc>
          <w:tcPr>
            <w:tcW w:type="dxa" w:w="2500"/>
            <w:shd w:fill="FFFFFF" w:val="clear"/>
            <w:tcMar>
              <w:top w:type="dxa" w:w="80"/>
              <w:left w:type="dxa" w:w="120"/>
              <w:bottom w:type="dxa" w:w="80"/>
              <w:right w:type="dxa" w:w="120"/>
            </w:tcMar>
          </w:tcPr>
          <w:p>
            <w:r>
              <w:rPr>
                <w:rFonts w:ascii="Calibri" w:cs="Calibri" w:eastAsia="Calibri" w:hAnsi="Calibri"/>
                <w:sz w:val="20"/>
              </w:rPr>
              <w:t>Cloud Security</w:t>
            </w:r>
          </w:p>
        </w:tc>
        <w:tc>
          <w:tcPr>
            <w:tcW w:type="dxa" w:w="3026"/>
            <w:shd w:fill="FFFFFF" w:val="clear"/>
            <w:tcMar>
              <w:top w:type="dxa" w:w="80"/>
              <w:left w:type="dxa" w:w="120"/>
              <w:bottom w:type="dxa" w:w="80"/>
              <w:right w:type="dxa" w:w="120"/>
            </w:tcMar>
          </w:tcPr>
          <w:p>
            <w:r>
              <w:rPr>
                <w:rFonts w:ascii="Calibri" w:cs="Calibri" w:eastAsia="Calibri" w:hAnsi="Calibri"/>
                <w:sz w:val="20"/>
              </w:rPr>
              <w:t>Media — conferma la traiettoria di consolidamento del mercato cloud security</w:t>
            </w:r>
          </w:p>
        </w:tc>
      </w:tr>
    </w:tbl>
    <w:p>
      <w:pPr>
        <w:spacing w:after="60" w:before="240"/>
        <w:jc w:val="center"/>
      </w:pPr>
      <w:r>
        <w:rPr>
          <w:rFonts w:ascii="Calibri" w:cs="Calibri" w:eastAsia="Calibri" w:hAnsi="Calibri"/>
          <w:i/>
          <w:color w:val="595959"/>
          <w:sz w:val="18"/>
        </w:rPr>
        <w:t>Prossimo briefing: 19 luglio 2026 · Generato automaticamente da Claude · Cowork</w:t>
      </w:r>
    </w:p>
    <w:p>
      <w:r>
        <w:br w:type="page"/>
      </w:r>
    </w:p>
    <w:p>
      <w:pPr>
        <w:pStyle w:val="Heading1"/>
      </w:pPr>
      <w:bookmarkStart w:name="bm_w26" w:id="600"/>
      <w:r>
        <w:rPr>
          <w:rFonts w:ascii="Calibri" w:cs="Calibri" w:eastAsia="Calibri" w:hAnsi="Calibri"/>
          <w:b/>
          <w:bCs/>
          <w:color w:val="1F4E79"/>
          <w:sz w:val="28"/>
          <w:szCs w:val="28"/>
        </w:rPr>
        <w:t xml:space="preserve">W26 · 29 giugno 2026</w:t>
      </w:r>
      <w:bookmarkEnd w:id="6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Data</w:t>
            </w:r>
          </w:p>
          <w:p>
            <w:r>
              <w:rPr>
                <w:rFonts w:ascii="Calibri" w:cs="Calibri" w:eastAsia="Calibri" w:hAnsi="Calibri"/>
                <w:sz w:val="20"/>
              </w:rPr>
              <w:t>29 giugno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Settimana</w:t>
            </w:r>
          </w:p>
          <w:p>
            <w:r>
              <w:rPr>
                <w:rFonts w:ascii="Calibri" w:cs="Calibri" w:eastAsia="Calibri" w:hAnsi="Calibri"/>
                <w:sz w:val="20"/>
              </w:rPr>
              <w:t>W26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Ambiti</w:t>
            </w:r>
          </w:p>
          <w:p>
            <w:r>
              <w:rPr>
                <w:rFonts w:ascii="Calibri" w:cs="Calibri" w:eastAsia="Calibri" w:hAnsi="Calibri"/>
                <w:sz w:val="20"/>
              </w:rPr>
              <w:t>AI &amp; Threat Intel · Endpoint &amp; Identity · Network Security</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Contesto chiave</w:t>
            </w:r>
          </w:p>
          <w:p>
            <w:r>
              <w:rPr>
                <w:rFonts w:ascii="Calibri" w:cs="Calibri" w:eastAsia="Calibri" w:hAnsi="Calibri"/>
                <w:sz w:val="20"/>
              </w:rPr>
              <w:t>Scadenza NIS2 ACN 30 giu · FortiSOC AI agentico · Dragos+Phosphorus xOT · Continuous Identity Zero Trust</w:t>
            </w:r>
          </w:p>
        </w:tc>
      </w:tr>
    </w:tbl>
    <w:p>
      <w:pPr>
        <w:spacing w:after="120" w:before="60"/>
      </w:pPr>
      <w:r>
        <w:rPr>
          <w:rFonts w:ascii="Calibri" w:cs="Calibri" w:eastAsia="Calibri" w:hAnsi="Calibri"/>
          <w:i/>
          <w:iCs/>
          <w:color w:val="595959"/>
          <w:sz w:val="20"/>
        </w:rPr>
        <w:t xml:space="preserve">Il 30 giugno 2026 scade l’obbligo NIS2 per la categorizzazione di attività e servizi sulla piattaforma ACN (oltre 21.000 soggetti registrati). Sul mercato: Fortinet lancia FortiSOC unificando SIEM, SOAR, UEBA, ITDR e AI agentiva in un’unica SaaS; Dragos acquisisce Phosphorus estendendo la protezione all’intero spettro xOT (OT+IoT+IIoT), rilevante per NIS2 settori critici e PSNC; CrowdStrike e Zscaler integrano Continuous Identity Security per controllo adattivo degli accessi Zero Trust in tempo reale.</w:t>
      </w:r>
    </w:p>
    <w:p>
      <w:pPr>
        <w:pStyle w:val="Heading2"/>
      </w:pPr>
      <w:r>
        <w:rPr>
          <w:rFonts w:ascii="Calibri" w:cs="Calibri" w:eastAsia="Calibri" w:hAnsi="Calibri"/>
          <w:b/>
          <w:color w:val="1F4E79"/>
          <w:sz w:val="24"/>
        </w:rPr>
        <w:t>Scheda 1 — Fortinet FortiSOC — Piattaforma SOC Unificata con AI Agentica</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Fortinet (USA/EMEA) · Annuncio: 16 giugno 2026 · Ambito: AI &amp; Threat Intelligence / SIEM-SOAR</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Piattaforma SOC unificata SaaS che consolida SIEM, SOAR, UEBA, Threat Intelligence, ITDR e Case Management in un’unica console e abbonamento. FortiAI-Assist indaga gli alert in modo autonomo, correla asset e identità, genera playbook e coordina le risposte via Model Context Protocol.</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SaaS cloud-delivered multi-tenant · Regioni US + EMEA al lancio · Migliaia di connettori terze parti · Integrazione nativa Fortinet Security Fabric</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Target / PA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Mid-market ed Enterprise · Fortinet presente su Consip · Alta rilevanza PA Centrale per conformità NIS2 (monitoraggio continuo, risposta incidenti) · Adatto anche a SOC con risorse limitate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Perché ora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Scadenza NIS2 ottobre 2026 obbliga a misure documentabili di monitoraggio e risposta. FortiSOC riduce TCO e complessità rispetto a SIEM+SOAR separati. L’AI agentica affronta il problema cronico di shortage analisti SOC (SANS 2026).</w:t>
            </w:r>
          </w:p>
        </w:tc>
      </w:tr>
    </w:tbl>
    <w:p>
      <w:pPr>
        <w:spacing w:after="120" w:before="120"/>
      </w:pPr>
    </w:p>
    <w:p>
      <w:pPr>
        <w:pStyle w:val="Heading2"/>
      </w:pPr>
      <w:r>
        <w:rPr>
          <w:rFonts w:ascii="Calibri" w:cs="Calibri" w:eastAsia="Calibri" w:hAnsi="Calibri"/>
          <w:b/>
          <w:color w:val="1F4E79"/>
          <w:sz w:val="24"/>
        </w:rPr>
        <w:t>Scheda 2 — Dragos + Phosphorus — Piattaforma xOT Unificata per Infrastrutture Critiche</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Dragos (USA) · Acquisizione Phosphorus: 1 giugno 2026 · Ambito: OT/IoT &amp; Infrastrutture Critiche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Dragos ha acquisito Phosphorus Cybersecurity estendendo la piattaforma all’intero spettro xOT (OT + IoT + IIoT + device connessi). Asset discovery automatica, vulnerability management OT-native, threat detection con 3 nuovi threat group 2026 (AZURITE, PYROXENE, SYLVANITE) e incident response su ambienti industriali puri e ibridi OT/IoT.</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Appliance on-premise passiva (no agenti su PLC/RTU) + cloud management plane · Agentless per OT legacy · Integrazioni: Microsoft Defender for IoT, Splunk, IBM QRadar, ServiceNow, Fortinet · API REST aperte · Supporta ambienti air-gapped</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Target / PA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Mid-market ed Enterprise con reti OT/ICS o IoT industriale · Settori: Energia, Sanità, Trasporti, Difesa, Utilities · PA Centrale: MIT, MIMIT, Difesa, Agenzie con infrastrutture fisiche critiche · Rilevante PSNC e NIS2 D.Lgs. 138/2024 settori critici</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Perché ora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NIS2 (D.Lgs. 138/2024) impone visibilità e risposta su OT/ICS per energia, trasporti, sanità. Dragos 2026: 119 gruppi ransomware attivi su OT (+49% YoY). Accenture acquisisce maggioranza Dragos (closing ago/set 2026) ampliando la presenza nei system integrator PA italiani. L’acquisizione Phosphorus colma il gap IoT/xOT mai coperto da piattaforme OT tradizionali.</w:t>
            </w:r>
          </w:p>
        </w:tc>
      </w:tr>
    </w:tbl>
    <w:p>
      <w:pPr>
        <w:spacing w:after="120" w:before="120"/>
      </w:pPr>
    </w:p>
    <w:p>
      <w:pPr>
        <w:pStyle w:val="Heading2"/>
      </w:pPr>
      <w:r>
        <w:rPr>
          <w:rFonts w:ascii="Calibri" w:cs="Calibri" w:eastAsia="Calibri" w:hAnsi="Calibri"/>
          <w:b/>
          <w:color w:val="1F4E79"/>
          <w:sz w:val="24"/>
        </w:rPr>
        <w:t>Scheda 3 — CrowdStrike + Zscaler — Continuous Identity Security per Zero Trust Access</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CrowdStrike + Zscaler (USA, entrambi presenti in Italia) · Annuncio: giugno 2026 · Ambito: Endpoint &amp; Identity / Zero Trust</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Integrazione tra Falcon Next-Gen Identity Security e Zscaler Zero Trust Exchange per il controllo continuo del rischio identità. A differenza del modello classico (verifica solo al login), valuta in tempo reale segnali da endpoint, cloud, SaaS e threat intelligence, adattando automaticamente le politiche di accesso senza intervento manuale.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Agent-based su endpoint (CrowdStrike Falcon) + proxy cloud (Zscaler ZIA/ZPA) · Standard aperti: OpenID SSF + CAEP · Interoperabile con altri vendor compatibili</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Target / PA</w:t>
            </w:r>
          </w:p>
        </w:tc>
        <w:tc>
          <w:tcPr>
            <w:tcW w:type="dxa" w:w="6770"/>
            <w:shd w:fill="FFFFFF" w:val="clear"/>
            <w:tcMar>
              <w:top w:type="dxa" w:w="80"/>
              <w:left w:type="dxa" w:w="120"/>
              <w:bottom w:type="dxa" w:w="80"/>
              <w:right w:type="dxa" w:w="120"/>
            </w:tcMar>
          </w:tcPr>
          <w:p>
            <w:r>
              <w:rPr>
                <w:rFonts w:ascii="Calibri" w:cs="Calibri" w:eastAsia="Calibri" w:hAnsi="Calibri"/>
                <w:sz w:val="20"/>
              </w:rPr>
              <w:t xml:space="preserve">Mid-market ed Enterprise in ambienti ibridi/cloud · PA Centrale: rilevante per PSNC (Zero Trust) e NIS2 Art.21 (gestione rischi identità) · CrowdStrike su Consip · Prerequisito: entrambe le piattaforme attive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Perché ora</w:t>
            </w:r>
          </w:p>
        </w:tc>
        <w:tc>
          <w:tcPr>
            <w:tcW w:type="dxa" w:w="6770"/>
            <w:shd w:fill="DEEAF1" w:val="clear"/>
            <w:tcMar>
              <w:top w:type="dxa" w:w="80"/>
              <w:left w:type="dxa" w:w="120"/>
              <w:bottom w:type="dxa" w:w="80"/>
              <w:right w:type="dxa" w:w="120"/>
            </w:tcMar>
          </w:tcPr>
          <w:p>
            <w:r>
              <w:rPr>
                <w:rFonts w:ascii="Calibri" w:cs="Calibri" w:eastAsia="Calibri" w:hAnsi="Calibri"/>
                <w:sz w:val="20"/>
              </w:rPr>
              <w:t xml:space="preserve">Oltre il 70% degli attacchi usa identità compromesse. Il modello “verifica al login” è insufficiente: i token rubati restano validi per tutta la sessione. Continuous Identity porta lo Zero Trust al livello della sessione attiva. Cruciale per PA con SPID/CIE e sistemi critici.</w:t>
            </w:r>
          </w:p>
        </w:tc>
      </w:tr>
    </w:tbl>
    <w:p>
      <w:pPr>
        <w:spacing w:after="120" w:before="240"/>
      </w:pPr>
      <w:r>
        <w:rPr>
          <w:rFonts w:ascii="Calibri" w:cs="Calibri" w:eastAsia="Calibri" w:hAnsi="Calibri"/>
          <w:b/>
          <w:color w:val="1F4E79"/>
          <w:sz w:val="22"/>
        </w:rPr>
        <w:t>Segnali deboli della settimana</w:t>
      </w:r>
    </w:p>
    <w:tbl>
      <w:tblPr>
        <w:tblW w:type="dxa" w:w="9026"/>
        <w:tblBorders>
          <w:top w:val="single" w:color="C9C9C9" w:sz="2"/>
          <w:left w:val="none" w:sz="0"/>
          <w:bottom w:val="single" w:color="C9C9C9" w:sz="2"/>
          <w:right w:val="none" w:sz="0"/>
          <w:insideH w:val="single" w:color="C9C9C9" w:sz="1"/>
          <w:insideV w:val="none" w:sz="0"/>
        </w:tblBorders>
      </w:tblPr>
      <w:tblGrid>
        <w:gridCol w:w="3500"/>
        <w:gridCol w:w="2500"/>
        <w:gridCol w:w="3026"/>
      </w:tblGrid>
      <w:tr>
        <w:tc>
          <w:tcPr>
            <w:tcW w:type="dxa" w:w="3500"/>
            <w:shd w:fill="1F4E79" w:val="clear"/>
            <w:tcMar>
              <w:top w:type="dxa" w:w="80"/>
              <w:left w:type="dxa" w:w="120"/>
              <w:bottom w:type="dxa" w:w="80"/>
              <w:right w:type="dxa" w:w="120"/>
            </w:tcMar>
          </w:tcPr>
          <w:p>
            <w:r>
              <w:rPr>
                <w:rFonts w:ascii="Calibri" w:cs="Calibri" w:eastAsia="Calibri" w:hAnsi="Calibri"/>
                <w:b/>
                <w:color w:val="FFFFFF"/>
                <w:sz w:val="20"/>
              </w:rPr>
              <w:t>Segnale</w:t>
            </w:r>
          </w:p>
        </w:tc>
        <w:tc>
          <w:tcPr>
            <w:tcW w:type="dxa" w:w="2500"/>
            <w:shd w:fill="1F4E79" w:val="clear"/>
            <w:tcMar>
              <w:top w:type="dxa" w:w="80"/>
              <w:left w:type="dxa" w:w="120"/>
              <w:bottom w:type="dxa" w:w="80"/>
              <w:right w:type="dxa" w:w="120"/>
            </w:tcMar>
          </w:tcPr>
          <w:p>
            <w:r>
              <w:rPr>
                <w:rFonts w:ascii="Calibri" w:cs="Calibri" w:eastAsia="Calibri" w:hAnsi="Calibri"/>
                <w:b/>
                <w:color w:val="FFFFFF"/>
                <w:sz w:val="20"/>
              </w:rPr>
              <w:t>Ambito</w:t>
            </w:r>
          </w:p>
        </w:tc>
        <w:tc>
          <w:tcPr>
            <w:tcW w:type="dxa" w:w="3026"/>
            <w:shd w:fill="1F4E79" w:val="clear"/>
            <w:tcMar>
              <w:top w:type="dxa" w:w="80"/>
              <w:left w:type="dxa" w:w="120"/>
              <w:bottom w:type="dxa" w:w="80"/>
              <w:right w:type="dxa" w:w="120"/>
            </w:tcMar>
          </w:tcPr>
          <w:p>
            <w:r>
              <w:rPr>
                <w:rFonts w:ascii="Calibri" w:cs="Calibri" w:eastAsia="Calibri" w:hAnsi="Calibri"/>
                <w:b/>
                <w:color w:val="FFFFFF"/>
                <w:sz w:val="20"/>
              </w:rPr>
              <w:t>Rilevanza</w:t>
            </w:r>
          </w:p>
        </w:tc>
      </w:tr>
      <w:tr>
        <w:tc>
          <w:tcPr>
            <w:tcW w:type="dxa" w:w="3500"/>
            <w:shd w:fill="FFFFFF" w:val="clear"/>
            <w:tcMar>
              <w:top w:type="dxa" w:w="80"/>
              <w:left w:type="dxa" w:w="120"/>
              <w:bottom w:type="dxa" w:w="80"/>
              <w:right w:type="dxa" w:w="120"/>
            </w:tcMar>
          </w:tcPr>
          <w:p>
            <w:r>
              <w:rPr>
                <w:rFonts w:ascii="Calibri" w:cs="Calibri" w:eastAsia="Calibri" w:hAnsi="Calibri"/>
                <w:sz w:val="20"/>
              </w:rPr>
              <w:t>SANS 2026: shortage analisti SOC mette a rischio OT e infrastrutture critiche</w:t>
            </w:r>
          </w:p>
        </w:tc>
        <w:tc>
          <w:tcPr>
            <w:tcW w:type="dxa" w:w="2500"/>
            <w:shd w:fill="FFFFFF" w:val="clear"/>
            <w:tcMar>
              <w:top w:type="dxa" w:w="80"/>
              <w:left w:type="dxa" w:w="120"/>
              <w:bottom w:type="dxa" w:w="80"/>
              <w:right w:type="dxa" w:w="120"/>
            </w:tcMar>
          </w:tcPr>
          <w:p>
            <w:r>
              <w:rPr>
                <w:rFonts w:ascii="Calibri" w:cs="Calibri" w:eastAsia="Calibri" w:hAnsi="Calibri"/>
                <w:sz w:val="20"/>
              </w:rPr>
              <w:t>OT/IoT</w:t>
            </w:r>
          </w:p>
        </w:tc>
        <w:tc>
          <w:tcPr>
            <w:tcW w:type="dxa" w:w="3026"/>
            <w:shd w:fill="FFFFFF" w:val="clear"/>
            <w:tcMar>
              <w:top w:type="dxa" w:w="80"/>
              <w:left w:type="dxa" w:w="120"/>
              <w:bottom w:type="dxa" w:w="80"/>
              <w:right w:type="dxa" w:w="120"/>
            </w:tcMar>
          </w:tcPr>
          <w:p>
            <w:r>
              <w:rPr>
                <w:rFonts w:ascii="Calibri" w:cs="Calibri" w:eastAsia="Calibri" w:hAnsi="Calibri"/>
                <w:sz w:val="20"/>
              </w:rPr>
              <w:t>Alta — supporta adozione soluzioni AI-assisted SOC</w:t>
            </w:r>
          </w:p>
        </w:tc>
      </w:tr>
      <w:tr>
        <w:tc>
          <w:tcPr>
            <w:tcW w:type="dxa" w:w="3500"/>
            <w:shd w:fill="DEEAF1" w:val="clear"/>
            <w:tcMar>
              <w:top w:type="dxa" w:w="80"/>
              <w:left w:type="dxa" w:w="120"/>
              <w:bottom w:type="dxa" w:w="80"/>
              <w:right w:type="dxa" w:w="120"/>
            </w:tcMar>
          </w:tcPr>
          <w:p>
            <w:r>
              <w:rPr>
                <w:rFonts w:ascii="Calibri" w:cs="Calibri" w:eastAsia="Calibri" w:hAnsi="Calibri"/>
                <w:sz w:val="20"/>
              </w:rPr>
              <w:t>Scadenza NIS2 ACN 30 giugno per categorizzazione attività</w:t>
            </w:r>
          </w:p>
        </w:tc>
        <w:tc>
          <w:tcPr>
            <w:tcW w:type="dxa" w:w="2500"/>
            <w:shd w:fill="DEEAF1" w:val="clear"/>
            <w:tcMar>
              <w:top w:type="dxa" w:w="80"/>
              <w:left w:type="dxa" w:w="120"/>
              <w:bottom w:type="dxa" w:w="80"/>
              <w:right w:type="dxa" w:w="120"/>
            </w:tcMar>
          </w:tcPr>
          <w:p>
            <w:r>
              <w:rPr>
                <w:rFonts w:ascii="Calibri" w:cs="Calibri" w:eastAsia="Calibri" w:hAnsi="Calibri"/>
                <w:sz w:val="20"/>
              </w:rPr>
              <w:t>Normativo IT</w:t>
            </w:r>
          </w:p>
        </w:tc>
        <w:tc>
          <w:tcPr>
            <w:tcW w:type="dxa" w:w="3026"/>
            <w:shd w:fill="DEEAF1" w:val="clear"/>
            <w:tcMar>
              <w:top w:type="dxa" w:w="80"/>
              <w:left w:type="dxa" w:w="120"/>
              <w:bottom w:type="dxa" w:w="80"/>
              <w:right w:type="dxa" w:w="120"/>
            </w:tcMar>
          </w:tcPr>
          <w:p>
            <w:r>
              <w:rPr>
                <w:rFonts w:ascii="Calibri" w:cs="Calibri" w:eastAsia="Calibri" w:hAnsi="Calibri"/>
                <w:sz w:val="20"/>
              </w:rPr>
              <w:t>Critica — domanda immediata strumenti compliance</w:t>
            </w:r>
          </w:p>
        </w:tc>
      </w:tr>
      <w:tr>
        <w:tc>
          <w:tcPr>
            <w:tcW w:type="dxa" w:w="3500"/>
            <w:shd w:fill="FFFFFF" w:val="clear"/>
            <w:tcMar>
              <w:top w:type="dxa" w:w="80"/>
              <w:left w:type="dxa" w:w="120"/>
              <w:bottom w:type="dxa" w:w="80"/>
              <w:right w:type="dxa" w:w="120"/>
            </w:tcMar>
          </w:tcPr>
          <w:p>
            <w:r>
              <w:rPr>
                <w:rFonts w:ascii="Calibri" w:cs="Calibri" w:eastAsia="Calibri" w:hAnsi="Calibri"/>
                <w:sz w:val="20"/>
              </w:rPr>
              <w:t>Netskope ZTNA Next integrato in SASE software-defined: fine del VPN legacy</w:t>
            </w:r>
          </w:p>
        </w:tc>
        <w:tc>
          <w:tcPr>
            <w:tcW w:type="dxa" w:w="2500"/>
            <w:shd w:fill="FFFFFF" w:val="clear"/>
            <w:tcMar>
              <w:top w:type="dxa" w:w="80"/>
              <w:left w:type="dxa" w:w="120"/>
              <w:bottom w:type="dxa" w:w="80"/>
              <w:right w:type="dxa" w:w="120"/>
            </w:tcMar>
          </w:tcPr>
          <w:p>
            <w:r>
              <w:rPr>
                <w:rFonts w:ascii="Calibri" w:cs="Calibri" w:eastAsia="Calibri" w:hAnsi="Calibri"/>
                <w:sz w:val="20"/>
              </w:rPr>
              <w:t>Network Security</w:t>
            </w:r>
          </w:p>
        </w:tc>
        <w:tc>
          <w:tcPr>
            <w:tcW w:type="dxa" w:w="3026"/>
            <w:shd w:fill="FFFFFF" w:val="clear"/>
            <w:tcMar>
              <w:top w:type="dxa" w:w="80"/>
              <w:left w:type="dxa" w:w="120"/>
              <w:bottom w:type="dxa" w:w="80"/>
              <w:right w:type="dxa" w:w="120"/>
            </w:tcMar>
          </w:tcPr>
          <w:p>
            <w:r>
              <w:rPr>
                <w:rFonts w:ascii="Calibri" w:cs="Calibri" w:eastAsia="Calibri" w:hAnsi="Calibri"/>
                <w:sz w:val="20"/>
              </w:rPr>
              <w:t>Media — consolidamento VPN-replacement continua</w:t>
            </w:r>
          </w:p>
        </w:tc>
      </w:tr>
    </w:tbl>
    <w:p>
      <w:pPr>
        <w:spacing w:after="60" w:before="240"/>
        <w:jc w:val="center"/>
      </w:pPr>
      <w:r>
        <w:rPr>
          <w:rFonts w:ascii="Calibri" w:cs="Calibri" w:eastAsia="Calibri" w:hAnsi="Calibri"/>
          <w:i/>
          <w:color w:val="595959"/>
          <w:sz w:val="18"/>
        </w:rPr>
        <w:t>Prossimo briefing: 5 luglio 2026 · Generato automaticamente da Claude · Cowork</w:t>
      </w:r>
    </w:p>
    <w:p>
      <w:r>
        <w:br w:type="page"/>
      </w:r>
    </w:p>
    <w:p>
      <w:pPr>
        <w:pStyle w:val="Heading1"/>
      </w:pPr>
      <w:bookmarkStart w:name="bm_w24" w:id="400"/>
      <w:r>
        <w:rPr>
          <w:rFonts w:ascii="Calibri" w:cs="Calibri" w:eastAsia="Calibri" w:hAnsi="Calibri"/>
          <w:b/>
          <w:bCs/>
          <w:color w:val="1F4E79"/>
          <w:sz w:val="28"/>
          <w:szCs w:val="28"/>
        </w:rPr>
        <w:t xml:space="preserve">W24 · 15 giugno 2026</w:t>
      </w:r>
      <w:bookmarkEnd w:id="4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Data</w:t>
            </w:r>
          </w:p>
          <w:p>
            <w:r>
              <w:rPr>
                <w:rFonts w:ascii="Calibri" w:cs="Calibri" w:eastAsia="Calibri" w:hAnsi="Calibri"/>
                <w:sz w:val="20"/>
              </w:rPr>
              <w:t>15 giugno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Settimana</w:t>
            </w:r>
          </w:p>
          <w:p>
            <w:r>
              <w:rPr>
                <w:rFonts w:ascii="Calibri" w:cs="Calibri" w:eastAsia="Calibri" w:hAnsi="Calibri"/>
                <w:sz w:val="20"/>
              </w:rPr>
              <w:t>W24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Ambiti</w:t>
            </w:r>
          </w:p>
          <w:p>
            <w:r>
              <w:rPr>
                <w:rFonts w:ascii="Calibri" w:cs="Calibri" w:eastAsia="Calibri" w:hAnsi="Calibri"/>
                <w:sz w:val="20"/>
              </w:rPr>
              <w:t>AI &amp; Threat Intel · Endpoint &amp; Identity · Cloud Security</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Contesto chiave</w:t>
            </w:r>
          </w:p>
          <w:p>
            <w:r>
              <w:rPr>
                <w:rFonts w:ascii="Calibri" w:cs="Calibri" w:eastAsia="Calibri" w:hAnsi="Calibri"/>
                <w:sz w:val="20"/>
              </w:rPr>
              <w:t>Scadenza ACN NIS2 30 giugno 2026 · AI agentiva per SOC · CNAPP runtime-first</w:t>
            </w:r>
          </w:p>
        </w:tc>
      </w:tr>
    </w:tbl>
    <w:p>
      <w:pPr>
        <w:spacing w:after="120" w:before="60"/>
      </w:pPr>
      <w:r>
        <w:rPr>
          <w:rFonts w:ascii="Calibri" w:cs="Calibri" w:eastAsia="Calibri" w:hAnsi="Calibri"/>
          <w:i/>
          <w:iCs/>
          <w:color w:val="595959"/>
          <w:sz w:val="20"/>
        </w:rPr>
        <w:t xml:space="preserve">Settimana segnata dalla scadenza ACN NIS2 del 30 giugno 2026 per la categorizzazione obbligatoria sulla piattaforma nazionale. La PA Centrale è sotto pressione per completare gli adempimenti. Sul piano tecnologico, si consolida il paradigma dell’AI agentiva applicata alle operazioni di sicurezza.</w:t>
      </w:r>
    </w:p>
    <w:p>
      <w:pPr>
        <w:pStyle w:val="Heading2"/>
      </w:pPr>
      <w:r>
        <w:rPr>
          <w:rFonts w:ascii="Calibri" w:cs="Calibri" w:eastAsia="Calibri" w:hAnsi="Calibri"/>
          <w:b/>
          <w:color w:val="1F4E79"/>
          <w:sz w:val="24"/>
        </w:rPr>
        <w:t>Scheda 1 — Censys Internet Intelligence Platform — SOC Ecosystem Integrations</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Censys (USA) · Annuncio: 3 giugno 2026 · Ambito: AI &amp; Threat Intelligence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tcMar>
              <w:top w:type="dxa" w:w="80"/>
              <w:left w:type="dxa" w:w="120"/>
              <w:bottom w:type="dxa" w:w="80"/>
              <w:right w:type="dxa" w:w="120"/>
            </w:tcMar>
          </w:tcPr>
          <w:p>
            <w:r>
              <w:rPr>
                <w:rFonts w:ascii="Calibri" w:cs="Calibri" w:eastAsia="Calibri" w:hAnsi="Calibri"/>
                <w:sz w:val="20"/>
              </w:rPr>
              <w:t>55+ integrazioni native con i principali stack SOC (Splunk, Microsoft Sentinel, Google SecOps, Palo Alto Cortex, OpenCTI, Dropzone AI). Porta l’intelligence sull’infrastruttura Internet globale — IP, domini, servizi, certificati — direttamente nei workflow operativi, con risk scoring automatico in tempo reale.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SaaS cloud-native, agentless. API REST + plugin nativi plug-and-play. 45+ technology alliance partner. Scanning proprietario continuo dell’infrastruttura Internet globale.</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Rilevanza PA / NIS2</w:t>
            </w:r>
          </w:p>
        </w:tc>
        <w:tc>
          <w:tcPr>
            <w:tcW w:type="dxa" w:w="6770"/>
            <w:tcMar>
              <w:top w:type="dxa" w:w="80"/>
              <w:left w:type="dxa" w:w="120"/>
              <w:bottom w:type="dxa" w:w="80"/>
              <w:right w:type="dxa" w:w="120"/>
            </w:tcMar>
          </w:tcPr>
          <w:p>
            <w:r>
              <w:rPr>
                <w:rFonts w:ascii="Calibri" w:cs="Calibri" w:eastAsia="Calibri" w:hAnsi="Calibri"/>
                <w:sz w:val="20"/>
              </w:rPr>
              <w:t>Visibilità sugli asset Internet-facing (portali istituzionali, VPN gateway) accelera la compliance NIS2 Art. 21. Disponibile tramite MSSP partner italiani. Target: Enterprise e Mid-Market con SOC operativo.</w:t>
            </w:r>
          </w:p>
        </w:tc>
      </w:tr>
    </w:tbl>
    <w:p>
      <w:pPr>
        <w:spacing w:after="120" w:before="60"/>
      </w:pPr>
    </w:p>
    <w:p>
      <w:pPr>
        <w:pStyle w:val="Heading2"/>
      </w:pPr>
      <w:r>
        <w:rPr>
          <w:rFonts w:ascii="Calibri" w:cs="Calibri" w:eastAsia="Calibri" w:hAnsi="Calibri"/>
          <w:b/>
          <w:color w:val="1F4E79"/>
          <w:sz w:val="24"/>
        </w:rPr>
        <w:t>Scheda 2 — SentinelOne Purple AI — Agentic Investigations (GA)</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SentinelOne (USA, NYSE:S) · GA: Q2 2026 · Ambito: Endpoint &amp; Identity / AI applicata alla difesa</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tcMar>
              <w:top w:type="dxa" w:w="80"/>
              <w:left w:type="dxa" w:w="120"/>
              <w:bottom w:type="dxa" w:w="80"/>
              <w:right w:type="dxa" w:w="120"/>
            </w:tcMar>
          </w:tcPr>
          <w:p>
            <w:r>
              <w:rPr>
                <w:rFonts w:ascii="Calibri" w:cs="Calibri" w:eastAsia="Calibri" w:hAnsi="Calibri"/>
                <w:sz w:val="20"/>
              </w:rPr>
              <w:t>Indagine forense completa avviata con un singolo click. Purple AI raccoglie autonomamente evidenze cross-stack (endpoint, identity, rete, cloud), ricostruisce la timeline dell’attacco in linguaggio naturale e propone remediation via Singularity Hyperautomation. Riduce il rumore di ingestion fino all’80% nei log. Attach rate: oltre 50% di tutte le licenze S1 vendute in Q4 FY2026.</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Singularity Platform: SaaS cloud-native + on-premise per ambienti regolamentati e air-gapped. Agent-based (Singularity sensor) per endpoint; agentless per cloud/identity. Supporto ambienti isolati: differenziatore chiave per PA e PSNC.</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Rilevanza PA / NIS2</w:t>
            </w:r>
          </w:p>
        </w:tc>
        <w:tc>
          <w:tcPr>
            <w:tcW w:type="dxa" w:w="6770"/>
            <w:tcMar>
              <w:top w:type="dxa" w:w="80"/>
              <w:left w:type="dxa" w:w="120"/>
              <w:bottom w:type="dxa" w:w="80"/>
              <w:right w:type="dxa" w:w="120"/>
            </w:tcMar>
          </w:tcPr>
          <w:p>
            <w:r>
              <w:rPr>
                <w:rFonts w:ascii="Calibri" w:cs="Calibri" w:eastAsia="Calibri" w:hAnsi="Calibri"/>
                <w:sz w:val="20"/>
              </w:rPr>
              <w:t>Supporto on-premise e air-gapped fondamentale per sistemi PSNC. Riduzione 80% rumore log allineata a NIS2 Art. 21 (logging e monitoraggio). Automatizza il triage per SOC sotto-dimensionati, problema comune nella PA italiana.</w:t>
            </w:r>
          </w:p>
        </w:tc>
      </w:tr>
    </w:tbl>
    <w:p>
      <w:pPr>
        <w:spacing w:after="120" w:before="60"/>
      </w:pPr>
    </w:p>
    <w:p>
      <w:pPr>
        <w:pStyle w:val="Heading2"/>
      </w:pPr>
      <w:r>
        <w:rPr>
          <w:rFonts w:ascii="Calibri" w:cs="Calibri" w:eastAsia="Calibri" w:hAnsi="Calibri"/>
          <w:b/>
          <w:color w:val="1F4E79"/>
          <w:sz w:val="24"/>
        </w:rPr>
        <w:t>Scheda 3 — Sysdig CNAPP — Leader Forrester Wave Q1 2026 (Runtime-First)</w:t>
      </w:r>
    </w:p>
    <w:tbl>
      <w:tblPr>
        <w:tblW w:type="dxa" w:w="9026"/>
        <w:tblBorders>
          <w:top w:val="single" w:color="1F4E79" w:sz="8"/>
          <w:left w:val="none" w:sz="0"/>
          <w:bottom w:val="single" w:color="C9C9C9" w:sz="2"/>
          <w:right w:val="none" w:sz="0"/>
          <w:insideH w:val="single" w:color="C9C9C9" w:sz="1"/>
          <w:insideV w:val="none" w:sz="0"/>
        </w:tblBorders>
      </w:tblPr>
      <w:tblGrid>
        <w:gridCol w:w="2256"/>
        <w:gridCol w:w="6770"/>
      </w:tblGrid>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Vendor / Data</w:t>
            </w:r>
          </w:p>
        </w:tc>
        <w:tc>
          <w:tcPr>
            <w:tcW w:type="dxa" w:w="6770"/>
            <w:shd w:fill="DEEAF1" w:val="clear"/>
            <w:tcMar>
              <w:top w:type="dxa" w:w="80"/>
              <w:left w:type="dxa" w:w="120"/>
              <w:bottom w:type="dxa" w:w="80"/>
              <w:right w:type="dxa" w:w="120"/>
            </w:tcMar>
          </w:tcPr>
          <w:p>
            <w:r>
              <w:rPr>
                <w:rFonts w:ascii="Calibri" w:cs="Calibri" w:eastAsia="Calibri" w:hAnsi="Calibri"/>
                <w:sz w:val="20"/>
              </w:rPr>
              <w:t>Sysdig (USA, 2013) · Forrester Wave Leader Q1 2026 · Ambito: Cloud &amp; Infrastructure Security (CNAPP)</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Cosa fa</w:t>
            </w:r>
          </w:p>
        </w:tc>
        <w:tc>
          <w:tcPr>
            <w:tcW w:type="dxa" w:w="6770"/>
            <w:tcMar>
              <w:top w:type="dxa" w:w="80"/>
              <w:left w:type="dxa" w:w="120"/>
              <w:bottom w:type="dxa" w:w="80"/>
              <w:right w:type="dxa" w:w="120"/>
            </w:tcMar>
          </w:tcPr>
          <w:p>
            <w:r>
              <w:rPr>
                <w:rFonts w:ascii="Calibri" w:cs="Calibri" w:eastAsia="Calibri" w:hAnsi="Calibri"/>
                <w:sz w:val="20"/>
              </w:rPr>
              <w:t>CNAPP runtime-first: correla visibilità runtime (eBPF/Falco) con posture management, vulnerability e CIEM per identificare solo i rischi reali. Sysdig Sage AI riduce MTTR del 76% e recupera 80+ ore/settimana di triage manuale. Uno dei soli 3 Leader (su 14 valutati) nella Forrester Wave CNAPP Q1 2026.</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Infrastruttura</w:t>
            </w:r>
          </w:p>
        </w:tc>
        <w:tc>
          <w:tcPr>
            <w:tcW w:type="dxa" w:w="6770"/>
            <w:shd w:fill="DEEAF1" w:val="clear"/>
            <w:tcMar>
              <w:top w:type="dxa" w:w="80"/>
              <w:left w:type="dxa" w:w="120"/>
              <w:bottom w:type="dxa" w:w="80"/>
              <w:right w:type="dxa" w:w="120"/>
            </w:tcMar>
          </w:tcPr>
          <w:p>
            <w:r>
              <w:rPr>
                <w:rFonts w:ascii="Calibri" w:cs="Calibri" w:eastAsia="Calibri" w:hAnsi="Calibri"/>
                <w:sz w:val="20"/>
              </w:rPr>
              <w:t>SaaS multi-cloud (AWS, Azure, GCP). Agent eBPF ultra-leggero per runtime. Integrazioni CI/CD, registry container, Splunk, ServiceNow, Jira. Opzione on-premise per data residency EU. Deployabile su cloud qualificati ACN (AWS, Azure qualificate per PA).</w:t>
            </w:r>
          </w:p>
        </w:tc>
      </w:tr>
      <w:tr>
        <w:tc>
          <w:tcPr>
            <w:tcW w:type="dxa" w:w="2256"/>
            <w:shd w:fill="1F4E79" w:val="clear"/>
            <w:tcMar>
              <w:top w:type="dxa" w:w="80"/>
              <w:left w:type="dxa" w:w="120"/>
              <w:bottom w:type="dxa" w:w="80"/>
              <w:right w:type="dxa" w:w="120"/>
            </w:tcMar>
          </w:tcPr>
          <w:p>
            <w:r>
              <w:rPr>
                <w:rFonts w:ascii="Calibri" w:cs="Calibri" w:eastAsia="Calibri" w:hAnsi="Calibri"/>
                <w:b/>
                <w:color w:val="FFFFFF"/>
                <w:sz w:val="20"/>
              </w:rPr>
              <w:t>Rilevanza PA / NIS2</w:t>
            </w:r>
          </w:p>
        </w:tc>
        <w:tc>
          <w:tcPr>
            <w:tcW w:type="dxa" w:w="6770"/>
            <w:tcMar>
              <w:top w:type="dxa" w:w="80"/>
              <w:left w:type="dxa" w:w="120"/>
              <w:bottom w:type="dxa" w:w="80"/>
              <w:right w:type="dxa" w:w="120"/>
            </w:tcMar>
          </w:tcPr>
          <w:p>
            <w:r>
              <w:rPr>
                <w:rFonts w:ascii="Calibri" w:cs="Calibri" w:eastAsia="Calibri" w:hAnsi="Calibri"/>
                <w:sz w:val="20"/>
              </w:rPr>
              <w:t>Risponde direttamente a NIS2 Art. 21 (vulnerability management, monitoraggio asset cloud, controllo configurazioni). Forrester Wave Q1 2026: riferimento analitico indipendente per valutazione vendor in gare pubbliche (Codice dei Contratti). Deployabile su Cloud di Qualificazione ACN.</w:t>
            </w:r>
          </w:p>
        </w:tc>
      </w:tr>
    </w:tbl>
    <w:p>
      <w:pPr>
        <w:spacing w:after="120" w:before="60"/>
      </w:pPr>
    </w:p>
    <w:p>
      <w:pPr>
        <w:pStyle w:val="Heading2"/>
      </w:pPr>
      <w:r>
        <w:rPr>
          <w:rFonts w:ascii="Calibri" w:cs="Calibri" w:eastAsia="Calibri" w:hAnsi="Calibri"/>
          <w:b/>
          <w:color w:val="1F4E79"/>
          <w:sz w:val="24"/>
        </w:rPr>
        <w:t>Segnali dal mercato</w:t>
      </w:r>
    </w:p>
    <w:tbl>
      <w:tblPr>
        <w:tblW w:type="dxa" w:w="9026"/>
        <w:tblBorders>
          <w:top w:val="single" w:color="1F4E79" w:sz="8"/>
          <w:left w:val="none" w:sz="0"/>
          <w:bottom w:val="single" w:color="C9C9C9" w:sz="2"/>
          <w:right w:val="none" w:sz="0"/>
          <w:insideH w:val="single" w:color="C9C9C9" w:sz="1"/>
          <w:insideV w:val="none" w:sz="0"/>
        </w:tblBorders>
      </w:tblPr>
      <w:tblGrid>
        <w:gridCol w:w="3010"/>
        <w:gridCol w:w="6016"/>
      </w:tblGrid>
      <w:tr>
        <w:tc>
          <w:tcPr>
            <w:tcW w:type="dxa" w:w="3010"/>
            <w:shd w:fill="1F4E79" w:val="clear"/>
            <w:tcMar>
              <w:top w:type="dxa" w:w="80"/>
              <w:left w:type="dxa" w:w="120"/>
              <w:bottom w:type="dxa" w:w="80"/>
              <w:right w:type="dxa" w:w="120"/>
            </w:tcMar>
          </w:tcPr>
          <w:p>
            <w:r>
              <w:rPr>
                <w:rFonts w:ascii="Calibri" w:cs="Calibri" w:eastAsia="Calibri" w:hAnsi="Calibri"/>
                <w:b/>
                <w:color w:val="FFFFFF"/>
                <w:sz w:val="20"/>
              </w:rPr>
              <w:t>Segnale</w:t>
            </w:r>
          </w:p>
        </w:tc>
        <w:tc>
          <w:tcPr>
            <w:tcW w:type="dxa" w:w="6016"/>
            <w:shd w:fill="1F4E79" w:val="clear"/>
            <w:tcMar>
              <w:top w:type="dxa" w:w="80"/>
              <w:left w:type="dxa" w:w="120"/>
              <w:bottom w:type="dxa" w:w="80"/>
              <w:right w:type="dxa" w:w="120"/>
            </w:tcMar>
          </w:tcPr>
          <w:p>
            <w:r>
              <w:rPr>
                <w:rFonts w:ascii="Calibri" w:cs="Calibri" w:eastAsia="Calibri" w:hAnsi="Calibri"/>
                <w:b/>
                <w:color w:val="FFFFFF"/>
                <w:sz w:val="20"/>
              </w:rPr>
              <w:t>Rilevanza</w:t>
            </w:r>
          </w:p>
        </w:tc>
      </w:tr>
      <w:tr>
        <w:tc>
          <w:tcPr>
            <w:tcW w:type="dxa" w:w="3010"/>
            <w:shd w:fill="DEEAF1" w:val="clear"/>
            <w:tcMar>
              <w:top w:type="dxa" w:w="80"/>
              <w:left w:type="dxa" w:w="120"/>
              <w:bottom w:type="dxa" w:w="80"/>
              <w:right w:type="dxa" w:w="120"/>
            </w:tcMar>
          </w:tcPr>
          <w:p>
            <w:r>
              <w:rPr>
                <w:rFonts w:ascii="Calibri" w:cs="Calibri" w:eastAsia="Calibri" w:hAnsi="Calibri"/>
                <w:b/>
                <w:sz w:val="20"/>
              </w:rPr>
              <w:t>Scadenza ACN NIS2 — 30 giugno 2026</w:t>
            </w:r>
          </w:p>
        </w:tc>
        <w:tc>
          <w:tcPr>
            <w:tcW w:type="dxa" w:w="6016"/>
            <w:tcMar>
              <w:top w:type="dxa" w:w="80"/>
              <w:left w:type="dxa" w:w="120"/>
              <w:bottom w:type="dxa" w:w="80"/>
              <w:right w:type="dxa" w:w="120"/>
            </w:tcMar>
          </w:tcPr>
          <w:p>
            <w:r>
              <w:rPr>
                <w:rFonts w:ascii="Calibri" w:cs="Calibri" w:eastAsia="Calibri" w:hAnsi="Calibri"/>
                <w:sz w:val="20"/>
              </w:rPr>
              <w:t>Categorizzazione attività/servizi obbligatoria sulla piattaforma ACN (determina 155238/2026). Chi non adempie rischia sanzioni e ritardi nella certificazione. Riguarda tutte le PA Centrali nel perimetro NIS2.</w:t>
            </w:r>
          </w:p>
        </w:tc>
      </w:tr>
      <w:tr>
        <w:tc>
          <w:tcPr>
            <w:tcW w:type="dxa" w:w="3010"/>
            <w:shd w:fill="DEEAF1" w:val="clear"/>
            <w:tcMar>
              <w:top w:type="dxa" w:w="80"/>
              <w:left w:type="dxa" w:w="120"/>
              <w:bottom w:type="dxa" w:w="80"/>
              <w:right w:type="dxa" w:w="120"/>
            </w:tcMar>
          </w:tcPr>
          <w:p>
            <w:r>
              <w:rPr>
                <w:rFonts w:ascii="Calibri" w:cs="Calibri" w:eastAsia="Calibri" w:hAnsi="Calibri"/>
                <w:b/>
                <w:sz w:val="20"/>
              </w:rPr>
              <w:t>Dragos 2026 OT Report: +49% ransomware ICS</w:t>
            </w:r>
          </w:p>
        </w:tc>
        <w:tc>
          <w:tcPr>
            <w:tcW w:type="dxa" w:w="6016"/>
            <w:tcMar>
              <w:top w:type="dxa" w:w="80"/>
              <w:left w:type="dxa" w:w="120"/>
              <w:bottom w:type="dxa" w:w="80"/>
              <w:right w:type="dxa" w:w="120"/>
            </w:tcMar>
          </w:tcPr>
          <w:p>
            <w:r>
              <w:rPr>
                <w:rFonts w:ascii="Calibri" w:cs="Calibri" w:eastAsia="Calibri" w:hAnsi="Calibri"/>
                <w:sz w:val="20"/>
              </w:rPr>
              <w:t>3 nuovi threat group identificati (2 già dentro reti OT, Stage 2). 3.300 organizzazioni colpite da ransomware industriale (+49% YoY). Lacuna visibilità critica nelle reti OT italiane (energia, sanità).</w:t>
            </w:r>
          </w:p>
        </w:tc>
      </w:tr>
      <w:tr>
        <w:tc>
          <w:tcPr>
            <w:tcW w:type="dxa" w:w="3010"/>
            <w:shd w:fill="DEEAF1" w:val="clear"/>
            <w:tcMar>
              <w:top w:type="dxa" w:w="80"/>
              <w:left w:type="dxa" w:w="120"/>
              <w:bottom w:type="dxa" w:w="80"/>
              <w:right w:type="dxa" w:w="120"/>
            </w:tcMar>
          </w:tcPr>
          <w:p>
            <w:r>
              <w:rPr>
                <w:rFonts w:ascii="Calibri" w:cs="Calibri" w:eastAsia="Calibri" w:hAnsi="Calibri"/>
                <w:b/>
                <w:sz w:val="20"/>
              </w:rPr>
              <w:t>Illumio: Gartner Customers’ Choice Microsegmentation 2026</w:t>
            </w:r>
          </w:p>
        </w:tc>
        <w:tc>
          <w:tcPr>
            <w:tcW w:type="dxa" w:w="6016"/>
            <w:tcMar>
              <w:top w:type="dxa" w:w="80"/>
              <w:left w:type="dxa" w:w="120"/>
              <w:bottom w:type="dxa" w:w="80"/>
              <w:right w:type="dxa" w:w="120"/>
            </w:tcMar>
          </w:tcPr>
          <w:p>
            <w:r>
              <w:rPr>
                <w:rFonts w:ascii="Calibri" w:cs="Calibri" w:eastAsia="Calibri" w:hAnsi="Calibri"/>
                <w:sz w:val="20"/>
              </w:rPr>
              <w:t>Illumio conferma leadership nella microsegmentazione. Tecnologia sempre più rilevante per PA e infrastrutture critiche che devono limitare il lateral movement secondo i principi Zero Trust.</w:t>
            </w:r>
          </w:p>
        </w:tc>
      </w:tr>
      <w:tr>
        <w:tc>
          <w:tcPr>
            <w:tcW w:type="dxa" w:w="3010"/>
            <w:shd w:fill="DEEAF1" w:val="clear"/>
            <w:tcMar>
              <w:top w:type="dxa" w:w="80"/>
              <w:left w:type="dxa" w:w="120"/>
              <w:bottom w:type="dxa" w:w="80"/>
              <w:right w:type="dxa" w:w="120"/>
            </w:tcMar>
          </w:tcPr>
          <w:p>
            <w:r>
              <w:rPr>
                <w:rFonts w:ascii="Calibri" w:cs="Calibri" w:eastAsia="Calibri" w:hAnsi="Calibri"/>
                <w:b/>
                <w:sz w:val="20"/>
              </w:rPr>
              <w:t>Gartner: 60% SIEM+SOAR convergerà in piattaforme unificate entro 2026</w:t>
            </w:r>
          </w:p>
        </w:tc>
        <w:tc>
          <w:tcPr>
            <w:tcW w:type="dxa" w:w="6016"/>
            <w:tcMar>
              <w:top w:type="dxa" w:w="80"/>
              <w:left w:type="dxa" w:w="120"/>
              <w:bottom w:type="dxa" w:w="80"/>
              <w:right w:type="dxa" w:w="120"/>
            </w:tcMar>
          </w:tcPr>
          <w:p>
            <w:r>
              <w:rPr>
                <w:rFonts w:ascii="Calibri" w:cs="Calibri" w:eastAsia="Calibri" w:hAnsi="Calibri"/>
                <w:sz w:val="20"/>
              </w:rPr>
              <w:t>CrowdStrike Falcon Next-Gen SIEM e Palo Alto Cortex XSIAM guidano la convergenza. Chi ha SIEM tradizionale (Splunk standalone, IBM QRadar) deve pianificare la roadmap di aggiornamento.</w:t>
            </w:r>
          </w:p>
        </w:tc>
      </w:tr>
    </w:tbl>
    <w:p>
      <w:pPr>
        <w:pBdr>
          <w:bottom w:val="single" w:color="1F4E79" w:sz="6" w:space="1"/>
        </w:pBdr>
        <w:spacing w:after="120" w:before="120"/>
      </w:pPr>
      <w:r>
        <w:rPr>
          <w:rFonts w:ascii="Calibri" w:cs="Calibri" w:eastAsia="Calibri" w:hAnsi="Calibri"/>
          <w:i/>
          <w:color w:val="595959"/>
          <w:sz w:val="18"/>
        </w:rPr>
        <w:t xml:space="preserve">Prossimo briefing: 21 giugno 2026  ·  Generato automaticamente da Claude  ·  Cowork</w:t>
      </w:r>
    </w:p>
    <w:p>
      <w:r>
        <w:br w:type="page"/>
      </w:r>
    </w:p>
    <w:p>
      <w:pPr>
        <w:pStyle w:val="Heading1"/>
      </w:pPr>
      <w:bookmarkStart w:name="bm_w23" w:id="300"/>
      <w:r>
        <w:rPr>
          <w:rFonts w:ascii="Calibri" w:cs="Calibri" w:eastAsia="Calibri" w:hAnsi="Calibri"/>
          <w:b/>
          <w:bCs/>
          <w:color w:val="1F4E79"/>
          <w:sz w:val="28"/>
          <w:szCs w:val="28"/>
        </w:rPr>
        <w:t xml:space="preserve">W23 · 7 giugno 2026</w:t>
      </w:r>
      <w:bookmarkEnd w:id="3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Data</w:t>
            </w:r>
          </w:p>
          <w:p>
            <w:r>
              <w:rPr>
                <w:rFonts w:ascii="Calibri" w:cs="Calibri" w:eastAsia="Calibri" w:hAnsi="Calibri"/>
                <w:sz w:val="20"/>
              </w:rPr>
              <w:t>7 giugno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Settimana</w:t>
            </w:r>
          </w:p>
          <w:p>
            <w:r>
              <w:rPr>
                <w:rFonts w:ascii="Calibri" w:cs="Calibri" w:eastAsia="Calibri" w:hAnsi="Calibri"/>
                <w:sz w:val="20"/>
              </w:rPr>
              <w:t>W23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Ambiti</w:t>
            </w:r>
          </w:p>
          <w:p>
            <w:r>
              <w:rPr>
                <w:rFonts w:ascii="Calibri" w:cs="Calibri" w:eastAsia="Calibri" w:hAnsi="Calibri"/>
                <w:sz w:val="20"/>
              </w:rPr>
              <w:t>Cloud Security · Endpoint/Identity · OT/IoT</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Target</w:t>
            </w:r>
          </w:p>
          <w:p>
            <w:r>
              <w:rPr>
                <w:rFonts w:ascii="Calibri" w:cs="Calibri" w:eastAsia="Calibri" w:hAnsi="Calibri"/>
                <w:sz w:val="20"/>
              </w:rPr>
              <w:t>Enterprise · Mid-market · PA Centrale</w:t>
            </w:r>
          </w:p>
        </w:tc>
      </w:tr>
    </w:tbl>
    <w:p>
      <w:pPr>
        <w:spacing w:after="120" w:before="240"/>
      </w:pPr>
    </w:p>
    <w:p>
      <w:pPr>
        <w:pStyle w:val="Heading2"/>
      </w:pPr>
      <w:r>
        <w:rPr>
          <w:rFonts w:ascii="Calibri" w:cs="Calibri" w:eastAsia="Calibri" w:hAnsi="Calibri"/>
          <w:b/>
          <w:color w:val="1F4E79"/>
          <w:sz w:val="24"/>
        </w:rPr>
        <w:t>1. Sysdig Headless Cloud Security Platform</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Sysdig (USA) · Annuncio: 6 maggio 2026</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Cloud &amp; Infrastructure Security (CNAPP / AI-Driven)</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Prima piattaforma CNAPP “headless” al mondo: integra la sicurezza cloud direttamente negli AI coding agent (Claude Code, Codex, Cursor), CLI, MCP services e API. Gli agenti AI investigano vulnerabilità, prioritizzano rischi e generano fix — senza dashboard tradizionali.</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Caratteristiche</w:t>
            </w:r>
          </w:p>
        </w:tc>
        <w:tc>
          <w:tcPr>
            <w:tcW w:type="dxa" w:w="7026"/>
            <w:shd w:fill="FFFFFF" w:val="clear"/>
            <w:tcMar>
              <w:top w:type="dxa" w:w="80"/>
              <w:left w:type="dxa" w:w="120"/>
              <w:bottom w:type="dxa" w:w="80"/>
              <w:right w:type="dxa" w:w="120"/>
            </w:tcMar>
          </w:tcPr>
          <w:p>
            <w:r>
              <w:rPr>
                <w:rFonts w:ascii="Calibri" w:cs="Calibri" w:hAnsi="Calibri"/>
                <w:sz w:val="20"/>
              </w:rPr>
              <w:t xml:space="preserve">Vuln Management agentivo con runtime context · Posture Management autonomo · Runtime Threat Investigation · Governance con approvazione umana obbligatoria · SaaS cloud-native multi-cloud (AWS, Azure, GCP) · Integrazione MCP/CLI/API · eBPF-based (Falco)</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Rilevanza PA</w:t>
            </w:r>
          </w:p>
        </w:tc>
        <w:tc>
          <w:tcPr>
            <w:tcW w:type="dxa" w:w="7026"/>
            <w:shd w:fill="DEEAF1" w:val="clear"/>
            <w:tcMar>
              <w:top w:type="dxa" w:w="80"/>
              <w:left w:type="dxa" w:w="120"/>
              <w:bottom w:type="dxa" w:w="80"/>
              <w:right w:type="dxa" w:w="120"/>
            </w:tcMar>
          </w:tcPr>
          <w:p>
            <w:r>
              <w:rPr>
                <w:rFonts w:ascii="Calibri" w:cs="Calibri" w:hAnsi="Calibri"/>
                <w:sz w:val="20"/>
              </w:rPr>
              <w:t xml:space="preserve">Allineato NIS2 Art. 21 (gestione vuln, supply chain applicativa) · Compatibile con Cloud Qualificato ACN (AWS, Azure) · Governance granulare per requisiti PSNC · Ideale per PA con workload cloud e team DevSecOps</w:t>
            </w:r>
          </w:p>
        </w:tc>
      </w:tr>
    </w:tbl>
    <w:p>
      <w:pPr>
        <w:spacing w:after="120" w:before="240"/>
      </w:pPr>
    </w:p>
    <w:p>
      <w:pPr>
        <w:pStyle w:val="Heading2"/>
      </w:pPr>
      <w:r>
        <w:rPr>
          <w:rFonts w:ascii="Calibri" w:cs="Calibri" w:eastAsia="Calibri" w:hAnsi="Calibri"/>
          <w:b/>
          <w:color w:val="1F4E79"/>
          <w:sz w:val="24"/>
        </w:rPr>
        <w:t>2. CrowdStrike Falcon Next-Gen Identity Security (+ SGNL)</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CrowdStrike (USA, NASDAQ: CRWD) · Acq. SGNL $740M: 7 gen 2026 · Leader GigaOm ITDR: 26 mag 2026</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Endpoint &amp; Identity (ITDR, PAM, Zero Trust)</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Con l’acquisizione SGNL introduce Zero Standing Privilege (ZSP): accessi concessi solo quando necessari e revocati immediatamente. Unifica IAM, PAM, ITDR e protezione NHI/AI agent in un’unica piattaforma correlata con telemetria endpoint.</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Caratteristiche</w:t>
            </w:r>
          </w:p>
        </w:tc>
        <w:tc>
          <w:tcPr>
            <w:tcW w:type="dxa" w:w="7026"/>
            <w:shd w:fill="FFFFFF" w:val="clear"/>
            <w:tcMar>
              <w:top w:type="dxa" w:w="80"/>
              <w:left w:type="dxa" w:w="120"/>
              <w:bottom w:type="dxa" w:w="80"/>
              <w:right w:type="dxa" w:w="120"/>
            </w:tcMar>
          </w:tcPr>
          <w:p>
            <w:r>
              <w:rPr>
                <w:rFonts w:ascii="Calibri" w:cs="Calibri" w:hAnsi="Calibri"/>
                <w:sz w:val="20"/>
              </w:rPr>
              <w:t xml:space="preserve">Just-in-Time access cross-sistema (AD, Entra ID, AWS IAM, Okta) · Protezione NHI (service account, API key, AI agent) · ITDR con AI triage · CAEP enforcement downstream · FalconID FIDO2/passkey · Score 5/5 GigaOm · Leader Frost &amp; Sullivan ITDR 2026</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Rilevanza PA</w:t>
            </w:r>
          </w:p>
        </w:tc>
        <w:tc>
          <w:tcPr>
            <w:tcW w:type="dxa" w:w="7026"/>
            <w:shd w:fill="DEEAF1" w:val="clear"/>
            <w:tcMar>
              <w:top w:type="dxa" w:w="80"/>
              <w:left w:type="dxa" w:w="120"/>
              <w:bottom w:type="dxa" w:w="80"/>
              <w:right w:type="dxa" w:w="120"/>
            </w:tcMar>
          </w:tcPr>
          <w:p>
            <w:r>
              <w:rPr>
                <w:rFonts w:ascii="Calibri" w:cs="Calibri" w:hAnsi="Calibri"/>
                <w:sz w:val="20"/>
              </w:rPr>
              <w:t xml:space="preserve">NIS2 Art. 21(b) gestione accessi privilegiati · Linee guida ACN/PSNC gestione identità · Protezione NHI strategica per PA con RPA/AI · Maturità certificata per procurement CONSIP/MePa · Ambienti ibridi AD on-premise + cloud</w:t>
            </w:r>
          </w:p>
        </w:tc>
      </w:tr>
    </w:tbl>
    <w:p>
      <w:pPr>
        <w:spacing w:after="120" w:before="240"/>
      </w:pPr>
    </w:p>
    <w:p>
      <w:pPr>
        <w:pStyle w:val="Heading2"/>
      </w:pPr>
      <w:r>
        <w:rPr>
          <w:rFonts w:ascii="Calibri" w:cs="Calibri" w:eastAsia="Calibri" w:hAnsi="Calibri"/>
          <w:b/>
          <w:color w:val="1F4E79"/>
          <w:sz w:val="24"/>
        </w:rPr>
        <w:t>3. Nozomi Networks Vantage IQ — Update Q2 2026</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Nozomi Networks (USA/Svizzera, uffici diretti in Italia) · Vantage IQ: 15 gen 2026 · Q2 update: mag/giu 2026</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OT/IoT &amp; Infrastrutture Critiche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Vantage IQ è il primo assistente AI privato al mondo per OT/IoT security. Il Q2 2026 update introduce AI Integration Builder (costruisce integrazioni bidirezionali in giorni, non settimane) e Guardian Air per visibilità full-spectrum RF.</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Caratteristiche</w:t>
            </w:r>
          </w:p>
        </w:tc>
        <w:tc>
          <w:tcPr>
            <w:tcW w:type="dxa" w:w="7026"/>
            <w:shd w:fill="FFFFFF" w:val="clear"/>
            <w:tcMar>
              <w:top w:type="dxa" w:w="80"/>
              <w:left w:type="dxa" w:w="120"/>
              <w:bottom w:type="dxa" w:w="80"/>
              <w:right w:type="dxa" w:w="120"/>
            </w:tcMar>
          </w:tcPr>
          <w:p>
            <w:r>
              <w:rPr>
                <w:rFonts w:ascii="Calibri" w:cs="Calibri" w:hAnsi="Calibri"/>
                <w:sz w:val="20"/>
              </w:rPr>
              <w:t xml:space="preserve">LLM privato addestrato su dati OT dell’org · AI triage e investigation guidato · Integration Builder AI-powered (30+ integr. in Q1 2026) · Guardian Air: RF spectrum (Zigbee, LoRa, BLE, 802.15.4) · Passive monitoring agentless · Board-ready reporting · Disponibile su Google Cloud Marketplace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Rilevanza PA</w:t>
            </w:r>
          </w:p>
        </w:tc>
        <w:tc>
          <w:tcPr>
            <w:tcW w:type="dxa" w:w="7026"/>
            <w:shd w:fill="DEEAF1" w:val="clear"/>
            <w:tcMar>
              <w:top w:type="dxa" w:w="80"/>
              <w:left w:type="dxa" w:w="120"/>
              <w:bottom w:type="dxa" w:w="80"/>
              <w:right w:type="dxa" w:w="120"/>
            </w:tcMar>
          </w:tcPr>
          <w:p>
            <w:r>
              <w:rPr>
                <w:rFonts w:ascii="Calibri" w:cs="Calibri" w:hAnsi="Calibri"/>
                <w:sz w:val="20"/>
              </w:rPr>
              <w:t xml:space="preserve">Inventario asset OT richiesto da NIS2/ACN (scadenza 30 giu 2026) · PSNC: energia, sanità, trasporti priorità assoluta · Integration Builder accelera deploy con SIEM PA esistenti · GSE, Terna, RFI, ENAV, SSN: target primario · Dati OT mai fuori dall’ambiente (LLM privato)</w:t>
            </w:r>
          </w:p>
        </w:tc>
      </w:tr>
    </w:tbl>
    <w:p>
      <w:pPr>
        <w:spacing w:after="120" w:before="240"/>
      </w:pPr>
    </w:p>
    <w:p>
      <w:pPr>
        <w:pStyle w:val="Heading2"/>
      </w:pPr>
      <w:r>
        <w:rPr>
          <w:rFonts w:ascii="Calibri" w:cs="Calibri" w:eastAsia="Calibri" w:hAnsi="Calibri"/>
          <w:b/>
          <w:color w:val="1F4E79"/>
          <w:sz w:val="24"/>
        </w:rPr>
        <w:t>Segnali da tenere d’occhio</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3500"/>
        <w:gridCol w:w="3500"/>
        <w:gridCol w:w="2026"/>
      </w:tblGrid>
      <w:tr>
        <w:tc>
          <w:tcPr>
            <w:tcW w:type="dxa" w:w="3500"/>
            <w:shd w:fill="1F4E79" w:val="clear"/>
            <w:tcMar>
              <w:top w:type="dxa" w:w="80"/>
              <w:left w:type="dxa" w:w="120"/>
              <w:bottom w:type="dxa" w:w="80"/>
              <w:right w:type="dxa" w:w="120"/>
            </w:tcMar>
          </w:tcPr>
          <w:p>
            <w:r>
              <w:rPr>
                <w:rFonts w:ascii="Calibri" w:cs="Calibri" w:hAnsi="Calibri"/>
                <w:b/>
                <w:color w:val="FFFFFF"/>
                <w:sz w:val="20"/>
              </w:rPr>
              <w:t>Segnale</w:t>
            </w:r>
          </w:p>
        </w:tc>
        <w:tc>
          <w:tcPr>
            <w:tcW w:type="dxa" w:w="3500"/>
            <w:shd w:fill="1F4E79" w:val="clear"/>
            <w:tcMar>
              <w:top w:type="dxa" w:w="80"/>
              <w:left w:type="dxa" w:w="120"/>
              <w:bottom w:type="dxa" w:w="80"/>
              <w:right w:type="dxa" w:w="120"/>
            </w:tcMar>
          </w:tcPr>
          <w:p>
            <w:r>
              <w:rPr>
                <w:rFonts w:ascii="Calibri" w:cs="Calibri" w:hAnsi="Calibri"/>
                <w:b/>
                <w:color w:val="FFFFFF"/>
                <w:sz w:val="20"/>
              </w:rPr>
              <w:t>Impatto atteso</w:t>
            </w:r>
          </w:p>
        </w:tc>
        <w:tc>
          <w:tcPr>
            <w:tcW w:type="dxa" w:w="2026"/>
            <w:shd w:fill="1F4E79" w:val="clear"/>
            <w:tcMar>
              <w:top w:type="dxa" w:w="80"/>
              <w:left w:type="dxa" w:w="120"/>
              <w:bottom w:type="dxa" w:w="80"/>
              <w:right w:type="dxa" w:w="120"/>
            </w:tcMar>
          </w:tcPr>
          <w:p>
            <w:r>
              <w:rPr>
                <w:rFonts w:ascii="Calibri" w:cs="Calibri" w:hAnsi="Calibri"/>
                <w:b/>
                <w:color w:val="FFFFFF"/>
                <w:sz w:val="20"/>
              </w:rPr>
              <w:t>Orizzonte</w:t>
            </w:r>
          </w:p>
        </w:tc>
      </w:tr>
      <w:tr>
        <w:tc>
          <w:tcPr>
            <w:tcW w:type="dxa" w:w="3500"/>
            <w:shd w:fill="DEEAF1" w:val="clear"/>
            <w:tcMar>
              <w:top w:type="dxa" w:w="80"/>
              <w:left w:type="dxa" w:w="120"/>
              <w:bottom w:type="dxa" w:w="80"/>
              <w:right w:type="dxa" w:w="120"/>
            </w:tcMar>
          </w:tcPr>
          <w:p>
            <w:r>
              <w:rPr>
                <w:rFonts w:ascii="Calibri" w:cs="Calibri" w:hAnsi="Calibri"/>
                <w:sz w:val="20"/>
              </w:rPr>
              <w:t>Scadenza NIS2/ACN categorizzazione 30 giu 2026</w:t>
            </w:r>
          </w:p>
        </w:tc>
        <w:tc>
          <w:tcPr>
            <w:tcW w:type="dxa" w:w="3500"/>
            <w:shd w:fill="FFFFFF" w:val="clear"/>
            <w:tcMar>
              <w:top w:type="dxa" w:w="80"/>
              <w:left w:type="dxa" w:w="120"/>
              <w:bottom w:type="dxa" w:w="80"/>
              <w:right w:type="dxa" w:w="120"/>
            </w:tcMar>
          </w:tcPr>
          <w:p>
            <w:r>
              <w:rPr>
                <w:rFonts w:ascii="Calibri" w:cs="Calibri" w:hAnsi="Calibri"/>
                <w:sz w:val="20"/>
              </w:rPr>
              <w:t>Accelerazione acquisti tool inventory/assessment PA</w:t>
            </w:r>
          </w:p>
        </w:tc>
        <w:tc>
          <w:tcPr>
            <w:tcW w:type="dxa" w:w="2026"/>
            <w:shd w:fill="DEEAF1" w:val="clear"/>
            <w:tcMar>
              <w:top w:type="dxa" w:w="80"/>
              <w:left w:type="dxa" w:w="120"/>
              <w:bottom w:type="dxa" w:w="80"/>
              <w:right w:type="dxa" w:w="120"/>
            </w:tcMar>
          </w:tcPr>
          <w:p>
            <w:r>
              <w:rPr>
                <w:rFonts w:ascii="Calibri" w:cs="Calibri" w:hAnsi="Calibri"/>
                <w:sz w:val="20"/>
              </w:rPr>
              <w:t>Immediato</w:t>
            </w:r>
          </w:p>
        </w:tc>
      </w:tr>
      <w:tr>
        <w:tc>
          <w:tcPr>
            <w:tcW w:type="dxa" w:w="3500"/>
            <w:shd w:fill="DEEAF1" w:val="clear"/>
            <w:tcMar>
              <w:top w:type="dxa" w:w="80"/>
              <w:left w:type="dxa" w:w="120"/>
              <w:bottom w:type="dxa" w:w="80"/>
              <w:right w:type="dxa" w:w="120"/>
            </w:tcMar>
          </w:tcPr>
          <w:p>
            <w:r>
              <w:rPr>
                <w:rFonts w:ascii="Calibri" w:cs="Calibri" w:hAnsi="Calibri"/>
                <w:sz w:val="20"/>
              </w:rPr>
              <w:t>Forum PA 2026 (9-11 giu, Roma) — ACN roadmap linee guida settoriali</w:t>
            </w:r>
          </w:p>
        </w:tc>
        <w:tc>
          <w:tcPr>
            <w:tcW w:type="dxa" w:w="3500"/>
            <w:shd w:fill="FFFFFF" w:val="clear"/>
            <w:tcMar>
              <w:top w:type="dxa" w:w="80"/>
              <w:left w:type="dxa" w:w="120"/>
              <w:bottom w:type="dxa" w:w="80"/>
              <w:right w:type="dxa" w:w="120"/>
            </w:tcMar>
          </w:tcPr>
          <w:p>
            <w:r>
              <w:rPr>
                <w:rFonts w:ascii="Calibri" w:cs="Calibri" w:hAnsi="Calibri"/>
                <w:sz w:val="20"/>
              </w:rPr>
              <w:t>Nuovi requisiti tecnici settoriali in arrivo</w:t>
            </w:r>
          </w:p>
        </w:tc>
        <w:tc>
          <w:tcPr>
            <w:tcW w:type="dxa" w:w="2026"/>
            <w:shd w:fill="DEEAF1" w:val="clear"/>
            <w:tcMar>
              <w:top w:type="dxa" w:w="80"/>
              <w:left w:type="dxa" w:w="120"/>
              <w:bottom w:type="dxa" w:w="80"/>
              <w:right w:type="dxa" w:w="120"/>
            </w:tcMar>
          </w:tcPr>
          <w:p>
            <w:r>
              <w:rPr>
                <w:rFonts w:ascii="Calibri" w:cs="Calibri" w:hAnsi="Calibri"/>
                <w:sz w:val="20"/>
              </w:rPr>
              <w:t>Questa settimana</w:t>
            </w:r>
          </w:p>
        </w:tc>
      </w:tr>
      <w:tr>
        <w:tc>
          <w:tcPr>
            <w:tcW w:type="dxa" w:w="3500"/>
            <w:shd w:fill="DEEAF1" w:val="clear"/>
            <w:tcMar>
              <w:top w:type="dxa" w:w="80"/>
              <w:left w:type="dxa" w:w="120"/>
              <w:bottom w:type="dxa" w:w="80"/>
              <w:right w:type="dxa" w:w="120"/>
            </w:tcMar>
          </w:tcPr>
          <w:p>
            <w:r>
              <w:rPr>
                <w:rFonts w:ascii="Calibri" w:cs="Calibri" w:hAnsi="Calibri"/>
                <w:sz w:val="20"/>
              </w:rPr>
              <w:t>Zero Standing Privilege come nuovo standard: pressione su PAM tradizionali</w:t>
            </w:r>
          </w:p>
        </w:tc>
        <w:tc>
          <w:tcPr>
            <w:tcW w:type="dxa" w:w="3500"/>
            <w:shd w:fill="FFFFFF" w:val="clear"/>
            <w:tcMar>
              <w:top w:type="dxa" w:w="80"/>
              <w:left w:type="dxa" w:w="120"/>
              <w:bottom w:type="dxa" w:w="80"/>
              <w:right w:type="dxa" w:w="120"/>
            </w:tcMar>
          </w:tcPr>
          <w:p>
            <w:r>
              <w:rPr>
                <w:rFonts w:ascii="Calibri" w:cs="Calibri" w:hAnsi="Calibri"/>
                <w:sz w:val="20"/>
              </w:rPr>
              <w:t>Possibile sostituzione CyberArk/BeyondTrust in favore di soluzioni dinamiche</w:t>
            </w:r>
          </w:p>
        </w:tc>
        <w:tc>
          <w:tcPr>
            <w:tcW w:type="dxa" w:w="2026"/>
            <w:shd w:fill="DEEAF1" w:val="clear"/>
            <w:tcMar>
              <w:top w:type="dxa" w:w="80"/>
              <w:left w:type="dxa" w:w="120"/>
              <w:bottom w:type="dxa" w:w="80"/>
              <w:right w:type="dxa" w:w="120"/>
            </w:tcMar>
          </w:tcPr>
          <w:p>
            <w:r>
              <w:rPr>
                <w:rFonts w:ascii="Calibri" w:cs="Calibri" w:hAnsi="Calibri"/>
                <w:sz w:val="20"/>
              </w:rPr>
              <w:t>12-18 mesi</w:t>
            </w:r>
          </w:p>
        </w:tc>
      </w:tr>
    </w:tbl>
    <w:p>
      <w:pPr>
        <w:spacing w:after="120" w:before="240"/>
      </w:pPr>
    </w:p>
    <w:p>
      <w:pPr>
        <w:spacing w:after="60" w:before="60"/>
        <w:jc w:val="center"/>
      </w:pPr>
      <w:r>
        <w:rPr>
          <w:rFonts w:ascii="Calibri" w:cs="Calibri" w:eastAsia="Calibri" w:hAnsi="Calibri"/>
          <w:i/>
          <w:color w:val="595959"/>
          <w:sz w:val="18"/>
        </w:rPr>
        <w:t xml:space="preserve">Prossimo briefing: 14 giugno 2026 · Generato automaticamente da Claude · Cowork</w:t>
      </w:r>
    </w:p>
    <w:p>
      <w:r>
        <w:br w:type="page"/>
      </w:r>
    </w:p>
    <w:p>
      <w:pPr>
        <w:pStyle w:val="Heading1"/>
      </w:pPr>
      <w:bookmarkStart w:name="bm_w22" w:id="200"/>
      <w:r>
        <w:rPr>
          <w:rFonts w:ascii="Calibri" w:cs="Calibri" w:eastAsia="Calibri" w:hAnsi="Calibri"/>
          <w:b/>
          <w:bCs/>
          <w:color w:val="1F4E79"/>
          <w:sz w:val="28"/>
          <w:szCs w:val="28"/>
        </w:rPr>
        <w:t xml:space="preserve">W22 · 31 maggio 2026</w:t>
      </w:r>
      <w:bookmarkEnd w:id="20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Data</w:t>
            </w:r>
          </w:p>
          <w:p>
            <w:r>
              <w:rPr>
                <w:rFonts w:ascii="Calibri" w:cs="Calibri" w:eastAsia="Calibri" w:hAnsi="Calibri"/>
                <w:sz w:val="20"/>
              </w:rPr>
              <w:t>31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Settimana</w:t>
            </w:r>
          </w:p>
          <w:p>
            <w:r>
              <w:rPr>
                <w:rFonts w:ascii="Calibri" w:cs="Calibri" w:eastAsia="Calibri" w:hAnsi="Calibri"/>
                <w:sz w:val="20"/>
              </w:rPr>
              <w:t>W22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Ambiti</w:t>
            </w:r>
          </w:p>
          <w:p>
            <w:r>
              <w:rPr>
                <w:rFonts w:ascii="Calibri" w:cs="Calibri" w:eastAsia="Calibri" w:hAnsi="Calibri"/>
                <w:sz w:val="20"/>
              </w:rPr>
              <w:t>AI/SIEM · OT/IoT · Network</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r>
              <w:rPr>
                <w:rFonts w:ascii="Calibri" w:cs="Calibri" w:eastAsia="Calibri" w:hAnsi="Calibri"/>
                <w:b/>
                <w:color w:val="1F4E79"/>
                <w:sz w:val="20"/>
              </w:rPr>
              <w:t>Target</w:t>
            </w:r>
          </w:p>
          <w:p>
            <w:r>
              <w:rPr>
                <w:rFonts w:ascii="Calibri" w:cs="Calibri" w:eastAsia="Calibri" w:hAnsi="Calibri"/>
                <w:sz w:val="20"/>
              </w:rPr>
              <w:t>Enterprise · Mid-market · PA Centrale</w:t>
            </w:r>
          </w:p>
        </w:tc>
      </w:tr>
    </w:tbl>
    <w:p>
      <w:pPr>
        <w:spacing w:after="120" w:before="240"/>
      </w:pPr>
    </w:p>
    <w:p>
      <w:pPr>
        <w:pStyle w:val="Heading2"/>
      </w:pPr>
      <w:r>
        <w:rPr>
          <w:rFonts w:ascii="Calibri" w:cs="Calibri" w:eastAsia="Calibri" w:hAnsi="Calibri"/>
          <w:b/>
          <w:color w:val="1F4E79"/>
          <w:sz w:val="24"/>
        </w:rPr>
        <w:t>1. Databricks Lakewatch — SIEM Open Agentico</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Databricks (USA) · Annuncio: 24 marzo 2026, Private Preview</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AI &amp; Threat Intelligence / SIEM next-gen</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SIEM di nuova generazione basato su lakehouse. Unifica dati sicurezza, IT e business per rilevamento minacce a scala petabyte con agenti AI personalizzabili. TCO dichiarato -80% vs SIEM legacy. Powered by Anthropic Claude per correlazione cross-domain.</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Infrastruttura</w:t>
            </w:r>
          </w:p>
        </w:tc>
        <w:tc>
          <w:tcPr>
            <w:tcW w:type="dxa" w:w="7026"/>
            <w:shd w:fill="FFFFFF" w:val="clear"/>
            <w:tcMar>
              <w:top w:type="dxa" w:w="80"/>
              <w:left w:type="dxa" w:w="120"/>
              <w:bottom w:type="dxa" w:w="80"/>
              <w:right w:type="dxa" w:w="120"/>
            </w:tcMar>
          </w:tcPr>
          <w:p>
            <w:r>
              <w:rPr>
                <w:rFonts w:ascii="Calibri" w:cs="Calibri" w:hAnsi="Calibri"/>
                <w:sz w:val="20"/>
              </w:rPr>
              <w:t xml:space="preserve">Cloud-native SaaS su Databricks Unity Catalog. Architettura Delta Lake + AI. Open OCSF, no vendor lock-in. Lakeflow Connect per ingestione automatizzata (AWS, Okta, Zscaler). Long-term retention su object storage.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Target &amp; PA</w:t>
            </w:r>
          </w:p>
        </w:tc>
        <w:tc>
          <w:tcPr>
            <w:tcW w:type="dxa" w:w="7026"/>
            <w:shd w:fill="DEEAF1" w:val="clear"/>
            <w:tcMar>
              <w:top w:type="dxa" w:w="80"/>
              <w:left w:type="dxa" w:w="120"/>
              <w:bottom w:type="dxa" w:w="80"/>
              <w:right w:type="dxa" w:w="120"/>
            </w:tcMar>
          </w:tcPr>
          <w:p>
            <w:r>
              <w:rPr>
                <w:rFonts w:ascii="Calibri" w:cs="Calibri" w:hAnsi="Calibri"/>
                <w:sz w:val="20"/>
              </w:rPr>
              <w:t xml:space="preserve">Enterprise e large mid-market. PA Centrale con cloud ibrido: conformità NIS2/DORA nativa, audit trail immutabile. Richiede qualificazione ACN Cloud PA (da verificare). Non adatto a PA solo on-premise.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Perché ora</w:t>
            </w:r>
          </w:p>
        </w:tc>
        <w:tc>
          <w:tcPr>
            <w:tcW w:type="dxa" w:w="7026"/>
            <w:shd w:fill="FFFFFF" w:val="clear"/>
            <w:tcMar>
              <w:top w:type="dxa" w:w="80"/>
              <w:left w:type="dxa" w:w="120"/>
              <w:bottom w:type="dxa" w:w="80"/>
              <w:right w:type="dxa" w:w="120"/>
            </w:tcMar>
          </w:tcPr>
          <w:p>
            <w:r>
              <w:rPr>
                <w:rFonts w:ascii="Calibri" w:cs="Calibri" w:hAnsi="Calibri"/>
                <w:sz w:val="20"/>
              </w:rPr>
              <w:t xml:space="preserve">Crisi di costi SIEM (Splunk post-Cisco). La scadenza NIS2 ACN del 31 maggio impone dimostrazione di capacità monitoring incidenti. Disruption diretta su Splunk, IBM QRadar e Microsoft Sentinel per volumi elevati.</w:t>
            </w:r>
          </w:p>
        </w:tc>
      </w:tr>
    </w:tbl>
    <w:p>
      <w:pPr>
        <w:spacing w:after="120" w:before="120"/>
      </w:pPr>
    </w:p>
    <w:p>
      <w:pPr>
        <w:pStyle w:val="Heading2"/>
      </w:pPr>
      <w:r>
        <w:rPr>
          <w:rFonts w:ascii="Calibri" w:cs="Calibri" w:eastAsia="Calibri" w:hAnsi="Calibri"/>
          <w:b/>
          <w:color w:val="1F4E79"/>
          <w:sz w:val="24"/>
        </w:rPr>
        <w:t>2. ManageEngine Log360 Cloud — SIEM con Native SOAR</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ManageEngine / Zoho Corporation (India) · Annuncio: 12 maggio 2026, GA immediata</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AI &amp; Threat Intelligence / SIEM+SOAR</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SOAR nativo integrato nel SIEM senza modulo separato. Visual playbook builder low-code, 7 nuove integrazioni EDR/identity/threat intel, orchestration engine Zoho Qntrl Circuit. Chiude il gap detection-to-response senza costi aggiuntivi.</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Target &amp; PA</w:t>
            </w:r>
          </w:p>
        </w:tc>
        <w:tc>
          <w:tcPr>
            <w:tcW w:type="dxa" w:w="7026"/>
            <w:shd w:fill="FFFFFF" w:val="clear"/>
            <w:tcMar>
              <w:top w:type="dxa" w:w="80"/>
              <w:left w:type="dxa" w:w="120"/>
              <w:bottom w:type="dxa" w:w="80"/>
              <w:right w:type="dxa" w:w="120"/>
            </w:tcMar>
          </w:tcPr>
          <w:p>
            <w:r>
              <w:rPr>
                <w:rFonts w:ascii="Calibri" w:cs="Calibri" w:hAnsi="Calibri"/>
                <w:sz w:val="20"/>
              </w:rPr>
              <w:t xml:space="preserve">Mid-market e PA di medie dimensioni. Versione on-premise matura per ministeri senza cloud pubblico. NIS2 art. 21 (gestione incidenti): playbook documentabili soddisfano requisiti ACN. Ottimo rapporto qualità/prezzo.</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Perché ora</w:t>
            </w:r>
          </w:p>
        </w:tc>
        <w:tc>
          <w:tcPr>
            <w:tcW w:type="dxa" w:w="7026"/>
            <w:shd w:fill="DEEAF1" w:val="clear"/>
            <w:tcMar>
              <w:top w:type="dxa" w:w="80"/>
              <w:left w:type="dxa" w:w="120"/>
              <w:bottom w:type="dxa" w:w="80"/>
              <w:right w:type="dxa" w:w="120"/>
            </w:tcMar>
          </w:tcPr>
          <w:p>
            <w:r>
              <w:rPr>
                <w:rFonts w:ascii="Calibri" w:cs="Calibri" w:hAnsi="Calibri"/>
                <w:sz w:val="20"/>
              </w:rPr>
              <w:t xml:space="preserve">Scadenza ottobre 2026 NIS2: misure di sicurezza di base operative e documentate obbligatorie. Il SOAR nativo abbatte la barriera economica per SOC italiani con budget limitato. Risposta diretta ai requisiti D.Lgs. 138/2024.</w:t>
            </w:r>
          </w:p>
        </w:tc>
      </w:tr>
    </w:tbl>
    <w:p>
      <w:pPr>
        <w:spacing w:after="120" w:before="120"/>
      </w:pPr>
    </w:p>
    <w:p>
      <w:pPr>
        <w:pStyle w:val="Heading2"/>
      </w:pPr>
      <w:r>
        <w:rPr>
          <w:rFonts w:ascii="Calibri" w:cs="Calibri" w:eastAsia="Calibri" w:hAnsi="Calibri"/>
          <w:b/>
          <w:color w:val="1F4E79"/>
          <w:sz w:val="24"/>
        </w:rPr>
        <w:t>3. Forescout eyeInspect — Visibilità OT/IoT Infrastrutture Critiche</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2000"/>
        <w:gridCol w:w="7026"/>
      </w:tblGrid>
      <w:tr>
        <w:tc>
          <w:tcPr>
            <w:tcW w:type="dxa" w:w="2000"/>
            <w:shd w:fill="1F4E79" w:val="clear"/>
            <w:tcMar>
              <w:top w:type="dxa" w:w="80"/>
              <w:left w:type="dxa" w:w="120"/>
              <w:bottom w:type="dxa" w:w="80"/>
              <w:right w:type="dxa" w:w="120"/>
            </w:tcMar>
          </w:tcPr>
          <w:p>
            <w:r>
              <w:rPr>
                <w:rFonts w:ascii="Calibri" w:cs="Calibri" w:hAnsi="Calibri"/>
                <w:b/>
                <w:color w:val="FFFFFF"/>
                <w:sz w:val="20"/>
              </w:rPr>
              <w:t>Vendor</w:t>
            </w:r>
          </w:p>
        </w:tc>
        <w:tc>
          <w:tcPr>
            <w:tcW w:type="dxa" w:w="7026"/>
            <w:shd w:fill="DEEAF1" w:val="clear"/>
            <w:tcMar>
              <w:top w:type="dxa" w:w="80"/>
              <w:left w:type="dxa" w:w="120"/>
              <w:bottom w:type="dxa" w:w="80"/>
              <w:right w:type="dxa" w:w="120"/>
            </w:tcMar>
          </w:tcPr>
          <w:p>
            <w:r>
              <w:rPr>
                <w:rFonts w:ascii="Calibri" w:cs="Calibri" w:hAnsi="Calibri"/>
                <w:sz w:val="20"/>
              </w:rPr>
              <w:t>Forescout Technologies (USA) · Report: 23 marzo 2026 · FedRAMP High ATO 2026</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Ambito</w:t>
            </w:r>
          </w:p>
        </w:tc>
        <w:tc>
          <w:tcPr>
            <w:tcW w:type="dxa" w:w="7026"/>
            <w:shd w:fill="FFFFFF" w:val="clear"/>
            <w:tcMar>
              <w:top w:type="dxa" w:w="80"/>
              <w:left w:type="dxa" w:w="120"/>
              <w:bottom w:type="dxa" w:w="80"/>
              <w:right w:type="dxa" w:w="120"/>
            </w:tcMar>
          </w:tcPr>
          <w:p>
            <w:r>
              <w:rPr>
                <w:rFonts w:ascii="Calibri" w:cs="Calibri" w:hAnsi="Calibri"/>
                <w:sz w:val="20"/>
              </w:rPr>
              <w:t>OT/IoT &amp; Infrastrutture Critiche</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Cosa fa</w:t>
            </w:r>
          </w:p>
        </w:tc>
        <w:tc>
          <w:tcPr>
            <w:tcW w:type="dxa" w:w="7026"/>
            <w:shd w:fill="DEEAF1" w:val="clear"/>
            <w:tcMar>
              <w:top w:type="dxa" w:w="80"/>
              <w:left w:type="dxa" w:w="120"/>
              <w:bottom w:type="dxa" w:w="80"/>
              <w:right w:type="dxa" w:w="120"/>
            </w:tcMar>
          </w:tcPr>
          <w:p>
            <w:r>
              <w:rPr>
                <w:rFonts w:ascii="Calibri" w:cs="Calibri" w:hAnsi="Calibri"/>
                <w:sz w:val="20"/>
              </w:rPr>
              <w:t xml:space="preserve">Visibilità agentless su reti IT/OT/IoT convergenti. Report 2026: 11 nuovi tipi di device a rischio (PDU, I/O module, BACnet router, RFID reader). L’infrastruttura di rete ha superato gli endpoint come categoria più rischiosa.</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Infrastruttura</w:t>
            </w:r>
          </w:p>
        </w:tc>
        <w:tc>
          <w:tcPr>
            <w:tcW w:type="dxa" w:w="7026"/>
            <w:shd w:fill="FFFFFF" w:val="clear"/>
            <w:tcMar>
              <w:top w:type="dxa" w:w="80"/>
              <w:left w:type="dxa" w:w="120"/>
              <w:bottom w:type="dxa" w:w="80"/>
              <w:right w:type="dxa" w:w="120"/>
            </w:tcMar>
          </w:tcPr>
          <w:p>
            <w:r>
              <w:rPr>
                <w:rFonts w:ascii="Calibri" w:cs="Calibri" w:hAnsi="Calibri"/>
                <w:sz w:val="20"/>
              </w:rPr>
              <w:t xml:space="preserve">On-premise (appliance fisica/virtuale) per reti OT air-gap + cloud connector per visibilità centralizzata. Monitoring passivo senza agenti sui device OT. Integrazione SIEM, CMDB, firewall. FedRAMP High ATO.</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Target &amp; PA</w:t>
            </w:r>
          </w:p>
        </w:tc>
        <w:tc>
          <w:tcPr>
            <w:tcW w:type="dxa" w:w="7026"/>
            <w:shd w:fill="DEEAF1" w:val="clear"/>
            <w:tcMar>
              <w:top w:type="dxa" w:w="80"/>
              <w:left w:type="dxa" w:w="120"/>
              <w:bottom w:type="dxa" w:w="80"/>
              <w:right w:type="dxa" w:w="120"/>
            </w:tcMar>
          </w:tcPr>
          <w:p>
            <w:r>
              <w:rPr>
                <w:rFonts w:ascii="Calibri" w:cs="Calibri" w:hAnsi="Calibri"/>
                <w:sz w:val="20"/>
              </w:rPr>
              <w:t xml:space="preserve">PA Centrale con edifici BMS/BACnet (ministeri, sedi istituzionali), utilities, sanità, difesa. I BACnet router degli edifici governativi italiani sono nella top-5 OT più rischiosi e quasi universalmente non monitorati.</w:t>
            </w:r>
          </w:p>
        </w:tc>
      </w:tr>
      <w:tr>
        <w:tc>
          <w:tcPr>
            <w:tcW w:type="dxa" w:w="2000"/>
            <w:shd w:fill="1F4E79" w:val="clear"/>
            <w:tcMar>
              <w:top w:type="dxa" w:w="80"/>
              <w:left w:type="dxa" w:w="120"/>
              <w:bottom w:type="dxa" w:w="80"/>
              <w:right w:type="dxa" w:w="120"/>
            </w:tcMar>
          </w:tcPr>
          <w:p>
            <w:r>
              <w:rPr>
                <w:rFonts w:ascii="Calibri" w:cs="Calibri" w:hAnsi="Calibri"/>
                <w:b/>
                <w:color w:val="FFFFFF"/>
                <w:sz w:val="20"/>
              </w:rPr>
              <w:t>Perché ora</w:t>
            </w:r>
          </w:p>
        </w:tc>
        <w:tc>
          <w:tcPr>
            <w:tcW w:type="dxa" w:w="7026"/>
            <w:shd w:fill="FFFFFF" w:val="clear"/>
            <w:tcMar>
              <w:top w:type="dxa" w:w="80"/>
              <w:left w:type="dxa" w:w="120"/>
              <w:bottom w:type="dxa" w:w="80"/>
              <w:right w:type="dxa" w:w="120"/>
            </w:tcMar>
          </w:tcPr>
          <w:p>
            <w:r>
              <w:rPr>
                <w:rFonts w:ascii="Calibri" w:cs="Calibri" w:hAnsi="Calibri"/>
                <w:sz w:val="20"/>
              </w:rPr>
              <w:t xml:space="preserve">NIS2 Allegato I: energia e infrastrutture digitali tra settori critici. PSNC identifica convergenza IT/OT come priorità. ACN richiede asset inventory OT. Un attacco BACnet può compromettere fisicamente edifici governativi (HVAC, badge, antincendio) senza toccare le reti IT.</w:t>
            </w:r>
          </w:p>
        </w:tc>
      </w:tr>
    </w:tbl>
    <w:p>
      <w:pPr>
        <w:spacing w:after="120" w:before="120"/>
      </w:pPr>
    </w:p>
    <w:p>
      <w:pPr>
        <w:pStyle w:val="Heading2"/>
      </w:pPr>
      <w:r>
        <w:rPr>
          <w:rFonts w:ascii="Calibri" w:cs="Calibri" w:eastAsia="Calibri" w:hAnsi="Calibri"/>
          <w:b/>
          <w:color w:val="1F4E79"/>
          <w:sz w:val="24"/>
        </w:rPr>
        <w:t>Segnali della settimana</w:t>
      </w:r>
    </w:p>
    <w:tbl>
      <w:tblPr>
        <w:tblW w:type="dxa" w:w="9026"/>
        <w:tblBorders>
          <w:top w:val="single" w:color="C9C9C9" w:sz="1"/>
          <w:left w:val="single" w:color="C9C9C9" w:sz="1"/>
          <w:bottom w:val="single" w:color="C9C9C9" w:sz="1"/>
          <w:right w:val="single" w:color="C9C9C9" w:sz="1"/>
          <w:insideH w:val="single" w:color="C9C9C9" w:sz="1"/>
          <w:insideV w:val="single" w:color="C9C9C9" w:sz="1"/>
        </w:tblBorders>
      </w:tblPr>
      <w:tblGrid>
        <w:gridCol w:w="6000"/>
        <w:gridCol w:w="3026"/>
      </w:tblGrid>
      <w:tr>
        <w:tc>
          <w:tcPr>
            <w:tcW w:type="dxa" w:w="6000"/>
            <w:shd w:fill="1F4E79" w:val="clear"/>
            <w:tcMar>
              <w:top w:type="dxa" w:w="80"/>
              <w:left w:type="dxa" w:w="120"/>
              <w:bottom w:type="dxa" w:w="80"/>
              <w:right w:type="dxa" w:w="120"/>
            </w:tcMar>
          </w:tcPr>
          <w:p>
            <w:r>
              <w:rPr>
                <w:rFonts w:ascii="Calibri" w:cs="Calibri" w:hAnsi="Calibri"/>
                <w:b/>
                <w:color w:val="FFFFFF"/>
                <w:sz w:val="20"/>
              </w:rPr>
              <w:t>Segnale</w:t>
            </w:r>
          </w:p>
        </w:tc>
        <w:tc>
          <w:tcPr>
            <w:tcW w:type="dxa" w:w="3026"/>
            <w:shd w:fill="1F4E79" w:val="clear"/>
            <w:tcMar>
              <w:top w:type="dxa" w:w="80"/>
              <w:left w:type="dxa" w:w="120"/>
              <w:bottom w:type="dxa" w:w="80"/>
              <w:right w:type="dxa" w:w="120"/>
            </w:tcMar>
          </w:tcPr>
          <w:p>
            <w:r>
              <w:rPr>
                <w:rFonts w:ascii="Calibri" w:cs="Calibri" w:hAnsi="Calibri"/>
                <w:b/>
                <w:color w:val="FFFFFF"/>
                <w:sz w:val="20"/>
              </w:rPr>
              <w:t>Impatto</w:t>
            </w:r>
          </w:p>
        </w:tc>
      </w:tr>
      <w:tr>
        <w:tc>
          <w:tcPr>
            <w:tcW w:type="dxa" w:w="6000"/>
            <w:shd w:fill="DEEAF1" w:val="clear"/>
            <w:tcMar>
              <w:top w:type="dxa" w:w="80"/>
              <w:left w:type="dxa" w:w="120"/>
              <w:bottom w:type="dxa" w:w="80"/>
              <w:right w:type="dxa" w:w="120"/>
            </w:tcMar>
          </w:tcPr>
          <w:p>
            <w:r>
              <w:rPr>
                <w:rFonts w:ascii="Calibri" w:cs="Calibri" w:hAnsi="Calibri"/>
                <w:sz w:val="20"/>
              </w:rPr>
              <w:t>Scadenza NIS2 ACN 31 maggio 2026: aggiornamento portale e registrazione</w:t>
            </w:r>
          </w:p>
        </w:tc>
        <w:tc>
          <w:tcPr>
            <w:tcW w:type="dxa" w:w="3026"/>
            <w:shd w:fill="DEEAF1" w:val="clear"/>
            <w:tcMar>
              <w:top w:type="dxa" w:w="80"/>
              <w:left w:type="dxa" w:w="120"/>
              <w:bottom w:type="dxa" w:w="80"/>
              <w:right w:type="dxa" w:w="120"/>
            </w:tcMar>
          </w:tcPr>
          <w:p>
            <w:r>
              <w:rPr>
                <w:rFonts w:ascii="Calibri" w:cs="Calibri" w:hAnsi="Calibri"/>
                <w:sz w:val="20"/>
              </w:rPr>
              <w:t>Critico · PA e operatori essenziali</w:t>
            </w:r>
          </w:p>
        </w:tc>
      </w:tr>
      <w:tr>
        <w:tc>
          <w:tcPr>
            <w:tcW w:type="dxa" w:w="6000"/>
            <w:shd w:fill="FFFFFF" w:val="clear"/>
            <w:tcMar>
              <w:top w:type="dxa" w:w="80"/>
              <w:left w:type="dxa" w:w="120"/>
              <w:bottom w:type="dxa" w:w="80"/>
              <w:right w:type="dxa" w:w="120"/>
            </w:tcMar>
          </w:tcPr>
          <w:p>
            <w:r>
              <w:rPr>
                <w:rFonts w:ascii="Calibri" w:cs="Calibri" w:hAnsi="Calibri"/>
                <w:sz w:val="20"/>
              </w:rPr>
              <w:t>Databricks Lakewatch Private Preview: SIEM agentico a -80% TCO</w:t>
            </w:r>
          </w:p>
        </w:tc>
        <w:tc>
          <w:tcPr>
            <w:tcW w:type="dxa" w:w="3026"/>
            <w:shd w:fill="FFFFFF" w:val="clear"/>
            <w:tcMar>
              <w:top w:type="dxa" w:w="80"/>
              <w:left w:type="dxa" w:w="120"/>
              <w:bottom w:type="dxa" w:w="80"/>
              <w:right w:type="dxa" w:w="120"/>
            </w:tcMar>
          </w:tcPr>
          <w:p>
            <w:r>
              <w:rPr>
                <w:rFonts w:ascii="Calibri" w:cs="Calibri" w:hAnsi="Calibri"/>
                <w:sz w:val="20"/>
              </w:rPr>
              <w:t>Alto · Disruption mercato SIEM enterprise</w:t>
            </w:r>
          </w:p>
        </w:tc>
      </w:tr>
      <w:tr>
        <w:tc>
          <w:tcPr>
            <w:tcW w:type="dxa" w:w="6000"/>
            <w:shd w:fill="DEEAF1" w:val="clear"/>
            <w:tcMar>
              <w:top w:type="dxa" w:w="80"/>
              <w:left w:type="dxa" w:w="120"/>
              <w:bottom w:type="dxa" w:w="80"/>
              <w:right w:type="dxa" w:w="120"/>
            </w:tcMar>
          </w:tcPr>
          <w:p>
            <w:r>
              <w:rPr>
                <w:rFonts w:ascii="Calibri" w:cs="Calibri" w:hAnsi="Calibri"/>
                <w:sz w:val="20"/>
              </w:rPr>
              <w:t>ManageEngine Log360 SOAR nativo: risposta incidenti senza costi aggiuntivi</w:t>
            </w:r>
          </w:p>
        </w:tc>
        <w:tc>
          <w:tcPr>
            <w:tcW w:type="dxa" w:w="3026"/>
            <w:shd w:fill="DEEAF1" w:val="clear"/>
            <w:tcMar>
              <w:top w:type="dxa" w:w="80"/>
              <w:left w:type="dxa" w:w="120"/>
              <w:bottom w:type="dxa" w:w="80"/>
              <w:right w:type="dxa" w:w="120"/>
            </w:tcMar>
          </w:tcPr>
          <w:p>
            <w:r>
              <w:rPr>
                <w:rFonts w:ascii="Calibri" w:cs="Calibri" w:hAnsi="Calibri"/>
                <w:sz w:val="20"/>
              </w:rPr>
              <w:t>Alto · Mid-market e PA budget-limited</w:t>
            </w:r>
          </w:p>
        </w:tc>
      </w:tr>
      <w:tr>
        <w:tc>
          <w:tcPr>
            <w:tcW w:type="dxa" w:w="6000"/>
            <w:shd w:fill="FFFFFF" w:val="clear"/>
            <w:tcMar>
              <w:top w:type="dxa" w:w="80"/>
              <w:left w:type="dxa" w:w="120"/>
              <w:bottom w:type="dxa" w:w="80"/>
              <w:right w:type="dxa" w:w="120"/>
            </w:tcMar>
          </w:tcPr>
          <w:p>
            <w:r>
              <w:rPr>
                <w:rFonts w:ascii="Calibri" w:cs="Calibri" w:hAnsi="Calibri"/>
                <w:sz w:val="20"/>
              </w:rPr>
              <w:t>Forescout: 11 nuovi device OT rischiosi, BACnet router in top-5</w:t>
            </w:r>
          </w:p>
        </w:tc>
        <w:tc>
          <w:tcPr>
            <w:tcW w:type="dxa" w:w="3026"/>
            <w:shd w:fill="FFFFFF" w:val="clear"/>
            <w:tcMar>
              <w:top w:type="dxa" w:w="80"/>
              <w:left w:type="dxa" w:w="120"/>
              <w:bottom w:type="dxa" w:w="80"/>
              <w:right w:type="dxa" w:w="120"/>
            </w:tcMar>
          </w:tcPr>
          <w:p>
            <w:r>
              <w:rPr>
                <w:rFonts w:ascii="Calibri" w:cs="Calibri" w:hAnsi="Calibri"/>
                <w:sz w:val="20"/>
              </w:rPr>
              <w:t>Alto · PA, energia, sanità</w:t>
            </w:r>
          </w:p>
        </w:tc>
      </w:tr>
      <w:tr>
        <w:tc>
          <w:tcPr>
            <w:tcW w:type="dxa" w:w="6000"/>
            <w:shd w:fill="DEEAF1" w:val="clear"/>
            <w:tcMar>
              <w:top w:type="dxa" w:w="80"/>
              <w:left w:type="dxa" w:w="120"/>
              <w:bottom w:type="dxa" w:w="80"/>
              <w:right w:type="dxa" w:w="120"/>
            </w:tcMar>
          </w:tcPr>
          <w:p>
            <w:r>
              <w:rPr>
                <w:rFonts w:ascii="Calibri" w:cs="Calibri" w:hAnsi="Calibri"/>
                <w:sz w:val="20"/>
              </w:rPr>
              <w:t>ZTNA: microsegmentazione fallisce senza governance continua delle policy</w:t>
            </w:r>
          </w:p>
        </w:tc>
        <w:tc>
          <w:tcPr>
            <w:tcW w:type="dxa" w:w="3026"/>
            <w:shd w:fill="DEEAF1" w:val="clear"/>
            <w:tcMar>
              <w:top w:type="dxa" w:w="80"/>
              <w:left w:type="dxa" w:w="120"/>
              <w:bottom w:type="dxa" w:w="80"/>
              <w:right w:type="dxa" w:w="120"/>
            </w:tcMar>
          </w:tcPr>
          <w:p>
            <w:r>
              <w:rPr>
                <w:rFonts w:ascii="Calibri" w:cs="Calibri" w:hAnsi="Calibri"/>
                <w:sz w:val="20"/>
              </w:rPr>
              <w:t>Medio · Implicazioni operative per ZTA</w:t>
            </w:r>
          </w:p>
        </w:tc>
      </w:tr>
    </w:tbl>
    <w:p>
      <w:pPr>
        <w:spacing w:after="120" w:before="240"/>
      </w:pPr>
      <w:r>
        <w:rPr>
          <w:rFonts w:ascii="Calibri" w:cs="Calibri" w:eastAsia="Calibri" w:hAnsi="Calibri"/>
          <w:i/>
          <w:color w:val="595959"/>
          <w:sz w:val="18"/>
        </w:rPr>
        <w:t xml:space="preserve">Prossimo briefing: 7 giugno 2026 · Generato automaticamente da Claude · Cowork</w:t>
      </w:r>
    </w:p>
    <w:p>
      <w:r>
        <w:br w:type="page"/>
      </w:r>
    </w:p>
    <w:p>
      <w:pPr>
        <w:pStyle w:val="Heading1"/>
      </w:pPr>
      <w:bookmarkStart w:name="bm_w21_24mag" w:id="50"/>
      <w:r>
        <w:rPr>
          <w:rFonts w:ascii="Calibri" w:cs="Calibri" w:eastAsia="Calibri" w:hAnsi="Calibri"/>
          <w:b/>
          <w:bCs/>
          <w:color w:val="1F4E79"/>
          <w:sz w:val="28"/>
          <w:szCs w:val="28"/>
        </w:rPr>
        <w:t xml:space="preserve">W21 · 24 maggio 2026</w:t>
      </w:r>
      <w:bookmarkEnd w:id="50"/>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Data</w:t>
            </w:r>
          </w:p>
          <w:p>
            <w:pPr>
              <w:spacing w:after="0" w:before="0"/>
            </w:pPr>
            <w:r>
              <w:rPr>
                <w:rFonts w:ascii="Calibri" w:cs="Calibri" w:eastAsia="Calibri" w:hAnsi="Calibri"/>
                <w:sz w:val="22"/>
                <w:szCs w:val="22"/>
              </w:rPr>
              <w:t>24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Settimana ISO</w:t>
            </w:r>
          </w:p>
          <w:p>
            <w:pPr>
              <w:spacing w:after="0" w:before="0"/>
            </w:pPr>
            <w:r>
              <w:rPr>
                <w:rFonts w:ascii="Calibri" w:cs="Calibri" w:eastAsia="Calibri" w:hAnsi="Calibri"/>
                <w:sz w:val="22"/>
                <w:szCs w:val="22"/>
              </w:rPr>
              <w:t>W21 / 2026</w:t>
            </w:r>
          </w:p>
        </w:tc>
        <w:tc>
          <w:tcPr>
            <w:tcW w:type="dxa" w:w="225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Ambiti</w:t>
            </w:r>
          </w:p>
          <w:p>
            <w:pPr>
              <w:spacing w:after="0" w:before="0"/>
            </w:pPr>
            <w:r>
              <w:rPr>
                <w:rFonts w:ascii="Calibri" w:cs="Calibri" w:eastAsia="Calibri" w:hAnsi="Calibri"/>
                <w:sz w:val="22"/>
                <w:szCs w:val="22"/>
              </w:rPr>
              <w:t>5 su 5</w:t>
            </w:r>
          </w:p>
        </w:tc>
        <w:tc>
          <w:tcPr>
            <w:tcW w:type="dxa" w:w="2271"/>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Target</w:t>
            </w:r>
          </w:p>
          <w:p>
            <w:pPr>
              <w:spacing w:after="0" w:before="0"/>
            </w:pPr>
            <w:r>
              <w:rPr>
                <w:rFonts w:ascii="Calibri" w:cs="Calibri" w:eastAsia="Calibri" w:hAnsi="Calibri"/>
                <w:sz w:val="22"/>
                <w:szCs w:val="22"/>
              </w:rPr>
              <w:t xml:space="preserve">Enterprise, Mid-market &amp; PA Centrale</w:t>
            </w:r>
          </w:p>
        </w:tc>
      </w:tr>
    </w:tbl>
    <w:p>
      <w:pPr>
        <w:spacing w:after="60" w:before="240"/>
      </w:pPr>
    </w:p>
    <w:p>
      <w:pPr>
        <w:pStyle w:val="Heading2"/>
      </w:pPr>
      <w:r>
        <w:rPr>
          <w:rFonts w:ascii="Calibri" w:cs="Calibri" w:eastAsia="Calibri" w:hAnsi="Calibri"/>
          <w:b/>
          <w:bCs/>
          <w:color w:val="4472C4"/>
          <w:sz w:val="24"/>
          <w:szCs w:val="24"/>
        </w:rPr>
        <w:t>Le 3 soluzioni della settimana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1. Palo Alto Networks — Idira</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Endpoint &amp; Identity (PAM, ITDR, Zero Trust)</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Piattaforma PAM di nuova generazione lanciata il 12 maggio 2026. Unifica gestione degli accessi privilegiati (PAM) con ITDR per ogni tipo di identità: umana, macchina e agente AI. Basata sulla tecnologia CyberArk (acquisita per $25 miliardi), la estende all’ecosistema AI agente.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NIS2 e PSNC richiedono controlli PAM rigorosi per infrastrutture critiche. Idira colma il gap sulle identità agentiche, nuovo vettore di attacco nell’era AI. Rilevante per PA Centrale con qualificazione ACN Cloud.</w:t>
            </w:r>
          </w:p>
        </w:tc>
      </w:tr>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2. Sysdig — CNAPP con Sysdig Sage</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Cloud &amp; Infrastructure Security (CNAPP, CSPM, CWPP)</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Leader Forrester Wave CNAPP Q1 2026. Piattaforma cloud-native unificata (CSPM, CWPP, CIEM, runtime) con Sysdig Sage: primo analista AI agente integrato che indaga alert autonomamente, riduce MTTR del 76% e risparmia 80h/settimana di triage manuale.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Headless Cloud Security: la security diventa nativa nel ciclo AI. Per PA Centrale con PSN e cloud ACN, soddisfa requisiti NIS2 (43 misure soggetti essenziali, scadenza ottobre 2026) con visibility continua e audit trail automatizzati.</w:t>
            </w:r>
          </w:p>
        </w:tc>
      </w:tr>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3. Akamai — Guardicore Platform</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Network Security &amp; Microsegmentazione (ZTNA, Zero Trust)</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Unica piattaforma che unifica ZTNA + microsegmentazione + MFA adattiva + DNS firewall. Da marzo 2026 con AI policy enforcement: l’AI analizza il comportamento applicativo e genera policy di segmentazione pronte all’enforcement in linguaggio naturale.</w:t>
            </w:r>
          </w:p>
        </w:tc>
      </w:tr>
      <w:tr>
        <w:tc>
          <w:tcPr>
            <w:tcW w:type="dxa" w:w="2000"/>
            <w:tcBorders>
              <w:top w:val="single" w:color="C9C9C9" w:sz="1"/>
              <w:left w:val="single" w:color="C9C9C9" w:sz="1"/>
              <w:bottom w:val="single" w:color="C9C9C9" w:sz="1"/>
              <w:right w:val="single" w:color="C9C9C9" w:sz="1"/>
            </w:tcBorders>
            <w:shd w:fill="2E75B6" w:val="clear"/>
            <w:tcMar>
              <w:top w:type="dxa" w:w="80"/>
              <w:left w:type="dxa" w:w="160"/>
              <w:bottom w:type="dxa" w:w="80"/>
              <w:right w:type="dxa" w:w="160"/>
            </w:tcMar>
          </w:tcPr>
          <w:p>
            <w:r>
              <w:rPr>
                <w:rFonts w:ascii="Calibri" w:cs="Calibri" w:eastAsia="Calibri" w:hAnsi="Calibri"/>
                <w:b/>
                <w:bCs/>
                <w:color w:val="FFFFFF"/>
                <w:sz w:val="20"/>
                <w:szCs w:val="20"/>
              </w:rPr>
              <w:t>Perché ora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r>
              <w:rPr>
                <w:rFonts w:ascii="Calibri" w:cs="Calibri" w:eastAsia="Calibri" w:hAnsi="Calibri"/>
                <w:sz w:val="22"/>
                <w:szCs w:val="22"/>
              </w:rPr>
              <w:t xml:space="preserve">Le reti PA italiane sono storicamente piatte. NIS2 (ottobre 2026) impone segmentazione. Guardicore riduce l’implementazione da mesi a giorni tramite AI. Rilevante per enti che migrano al PSN e per compliance ACN su infrastrutture critiche.</w:t>
            </w:r>
          </w:p>
        </w:tc>
      </w:tr>
    </w:tbl>
    <w:p>
      <w:pPr>
        <w:spacing w:after="120" w:before="240"/>
      </w:pPr>
      <w:r>
        <w:rPr>
          <w:rFonts w:ascii="Calibri" w:cs="Calibri" w:eastAsia="Calibri" w:hAnsi="Calibri"/>
          <w:i/>
          <w:iCs/>
          <w:color w:val="595959"/>
          <w:sz w:val="18"/>
          <w:szCs w:val="18"/>
        </w:rPr>
        <w:t xml:space="preserve">Prossimo briefing: 31 maggio 2026 · Generato automaticamente da Claude · Cowork</w:t>
      </w:r>
    </w:p>
    <w:p>
      <w:r>
        <w:br w:type="page"/>
      </w:r>
    </w:p>
    <w:p>
      <w:pPr>
        <w:pStyle w:val="Heading1"/>
      </w:pPr>
      <w:bookmarkStart w:name="bm_w21" w:id="2"/>
      <w:r>
        <w:rPr>
          <w:rFonts w:ascii="Calibri" w:cs="Calibri" w:eastAsia="Calibri" w:hAnsi="Calibri"/>
          <w:b/>
          <w:bCs/>
          <w:color w:val="1F4E79"/>
          <w:sz w:val="28"/>
          <w:szCs w:val="28"/>
        </w:rPr>
        <w:t xml:space="preserve">W21 · 21 maggio 2026</w:t>
      </w:r>
      <w:bookmarkEnd w:id="2"/>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2"/>
        <w:gridCol w:w="2252"/>
        <w:gridCol w:w="2251"/>
        <w:gridCol w:w="2271"/>
      </w:tblGrid>
      <w:tr>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Data</w:t>
            </w:r>
          </w:p>
          <w:p>
            <w:pPr>
              <w:spacing w:after="0" w:before="0"/>
            </w:pPr>
            <w:r>
              <w:rPr>
                <w:rFonts w:ascii="Calibri" w:cs="Calibri" w:eastAsia="Calibri" w:hAnsi="Calibri"/>
                <w:sz w:val="22"/>
                <w:szCs w:val="22"/>
              </w:rPr>
              <w:t xml:space="preserve">21 maggio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Settimana ISO</w:t>
            </w:r>
          </w:p>
          <w:p>
            <w:pPr>
              <w:spacing w:after="0" w:before="0"/>
            </w:pPr>
            <w:r>
              <w:rPr>
                <w:rFonts w:ascii="Calibri" w:cs="Calibri" w:eastAsia="Calibri" w:hAnsi="Calibri"/>
                <w:sz w:val="22"/>
                <w:szCs w:val="22"/>
              </w:rPr>
              <w:t xml:space="preserve">W21 / 2026</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Ambiti</w:t>
            </w:r>
          </w:p>
          <w:p>
            <w:pPr>
              <w:spacing w:after="0" w:before="0"/>
            </w:pPr>
            <w:r>
              <w:rPr>
                <w:rFonts w:ascii="Calibri" w:cs="Calibri" w:eastAsia="Calibri" w:hAnsi="Calibri"/>
                <w:sz w:val="22"/>
                <w:szCs w:val="22"/>
              </w:rPr>
              <w:t xml:space="preserve">5 su 5</w:t>
            </w:r>
          </w:p>
        </w:tc>
        <w:tc>
          <w:tcPr>
            <w:tcW w:type="dxa" w:w="2252"/>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p>
            <w:pPr>
              <w:spacing w:after="0" w:before="0"/>
            </w:pPr>
            <w:r>
              <w:rPr>
                <w:rFonts w:ascii="Calibri" w:cs="Calibri" w:eastAsia="Calibri" w:hAnsi="Calibri"/>
                <w:sz w:val="22"/>
                <w:szCs w:val="22"/>
              </w:rPr>
              <w:t xml:space="preserve">Enterprise &amp; Mid-market</w:t>
            </w:r>
          </w:p>
        </w:tc>
      </w:tr>
    </w:tbl>
    <w:p>
      <w:pPr>
        <w:spacing w:after="60" w:before="240"/>
      </w:pPr>
    </w:p>
    <w:p>
      <w:pPr>
        <w:pStyle w:val="Heading2"/>
      </w:pPr>
      <w:r>
        <w:rPr>
          <w:rFonts w:ascii="Calibri" w:cs="Calibri" w:eastAsia="Calibri" w:hAnsi="Calibri"/>
          <w:b/>
          <w:bCs/>
          <w:color w:val="4472C4"/>
          <w:sz w:val="24"/>
          <w:szCs w:val="24"/>
        </w:rPr>
        <w:t xml:space="preserve">Le 3 soluzioni della settimana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gridSpan w:val="2"/>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1. Palo Alto Networks — Idira</w:t>
            </w:r>
            <w:r>
              <w:rPr>
                <w:rFonts w:ascii="Calibri" w:cs="Calibri" w:eastAsia="Calibri" w:hAnsi="Calibri"/>
                <w:color w:val="BDD7EE"/>
                <w:sz w:val="20"/>
                <w:szCs w:val="20"/>
              </w:rPr>
              <w:t xml:space="preserve">  ·  Internazionale (USA)</w:t>
            </w:r>
          </w:p>
        </w:tc>
      </w:tr>
      <w:tr>
        <w:tc>
          <w:tcPr>
            <w:gridSpan w:val="2"/>
            <w:tcBorders>
              <w:top w:val="single" w:color="C9C9C9" w:sz="1"/>
              <w:left w:val="single" w:color="C9C9C9" w:sz="1"/>
              <w:bottom w:val="single" w:color="C9C9C9" w:sz="1"/>
              <w:right w:val="single" w:color="C9C9C9" w:sz="1"/>
            </w:tcBorders>
            <w:shd w:fill="DEEAF1" w:val="clear"/>
            <w:tcMar>
              <w:top w:type="dxa" w:w="60"/>
              <w:left w:type="dxa" w:w="160"/>
              <w:bottom w:type="dxa" w:w="60"/>
              <w:right w:type="dxa" w:w="160"/>
            </w:tcMar>
          </w:tcPr>
          <w:p>
            <w:r>
              <w:rPr>
                <w:rFonts w:ascii="Calibri" w:cs="Calibri" w:eastAsia="Calibri" w:hAnsi="Calibri"/>
                <w:b/>
                <w:bCs/>
                <w:color w:val="1F4E79"/>
                <w:sz w:val="22"/>
                <w:szCs w:val="22"/>
              </w:rPr>
              <w:t xml:space="preserve">Ambito: </w:t>
            </w:r>
            <w:r>
              <w:rPr>
                <w:rFonts w:ascii="Calibri" w:cs="Calibri" w:eastAsia="Calibri" w:hAnsi="Calibri"/>
                <w:i/>
                <w:iCs/>
                <w:sz w:val="22"/>
                <w:szCs w:val="22"/>
              </w:rPr>
              <w:t xml:space="preserve">Endpoint &amp; Identity · PAM · ITDR · Agentic Identity Security</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Cosa fa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spacing w:after="0" w:before="0"/>
            </w:pPr>
            <w:r>
              <w:rPr>
                <w:rFonts w:ascii="Calibri" w:cs="Calibri" w:eastAsia="Calibri" w:hAnsi="Calibri"/>
                <w:sz w:val="22"/>
                <w:szCs w:val="22"/>
              </w:rPr>
              <w:t xml:space="preserve">Piattaforma di identity security lanciata il 12 maggio 2026, nata dall'integrazione della tecnologia CyberArk (acquisita per 25 miliardi di dollari). Unifica PAM, protezione identità macchina e controllo delle identità agentiche (AI agent) in un'unica piattaforma cloud-native, con enforcement dei privilegi just-in-time.</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Funzionali</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Discover Identity Risk: discovery continua di identità, entitlement e percorsi di accesso con remediation AI-guidata</w:t>
            </w:r>
          </w:p>
          <w:p>
            <w:pPr>
              <w:pStyle w:val="ListParagraph"/>
              <w:numPr>
                <w:ilvl w:val="0"/>
                <w:numId w:val="2"/>
              </w:numPr>
              <w:spacing w:after="30" w:before="30"/>
            </w:pPr>
            <w:r>
              <w:rPr>
                <w:rFonts w:ascii="Calibri" w:cs="Calibri" w:eastAsia="Calibri" w:hAnsi="Calibri"/>
                <w:sz w:val="22"/>
                <w:szCs w:val="22"/>
              </w:rPr>
              <w:t xml:space="preserve">Control Every Privilege: Zero Standing Privilege (ZSP) con accesso just-in-time per identità umane, macchine e AI agent</w:t>
            </w:r>
          </w:p>
          <w:p>
            <w:pPr>
              <w:pStyle w:val="ListParagraph"/>
              <w:numPr>
                <w:ilvl w:val="0"/>
                <w:numId w:val="2"/>
              </w:numPr>
              <w:spacing w:after="30" w:before="30"/>
            </w:pPr>
            <w:r>
              <w:rPr>
                <w:rFonts w:ascii="Calibri" w:cs="Calibri" w:eastAsia="Calibri" w:hAnsi="Calibri"/>
                <w:sz w:val="22"/>
                <w:szCs w:val="22"/>
              </w:rPr>
              <w:t xml:space="preserve">Automate Governance: automatizzazione dell'intero ciclo di vita delle identità con policy AI-driven</w:t>
            </w:r>
          </w:p>
          <w:p>
            <w:pPr>
              <w:pStyle w:val="ListParagraph"/>
              <w:numPr>
                <w:ilvl w:val="0"/>
                <w:numId w:val="2"/>
              </w:numPr>
              <w:spacing w:after="30" w:before="30"/>
            </w:pPr>
            <w:r>
              <w:rPr>
                <w:rFonts w:ascii="Calibri" w:cs="Calibri" w:eastAsia="Calibri" w:hAnsi="Calibri"/>
                <w:sz w:val="22"/>
                <w:szCs w:val="22"/>
              </w:rPr>
              <w:t xml:space="preserve">ITDR integrato con Cortex XDR per rilevamento e risposta alle minacce identitarie</w:t>
            </w:r>
          </w:p>
          <w:p>
            <w:pPr>
              <w:pStyle w:val="ListParagraph"/>
              <w:numPr>
                <w:ilvl w:val="0"/>
                <w:numId w:val="2"/>
              </w:numPr>
              <w:spacing w:after="30" w:before="30"/>
            </w:pPr>
            <w:r>
              <w:rPr>
                <w:rFonts w:ascii="Calibri" w:cs="Calibri" w:eastAsia="Calibri" w:hAnsi="Calibri"/>
                <w:sz w:val="22"/>
                <w:szCs w:val="22"/>
              </w:rPr>
              <w:t xml:space="preserve">Supporto nativo per identità agentiche (AI agent, service account, workload identity)</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Infrastruttura</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Deployment: SaaS cloud-native con opzione hybrid per ambienti on-prem critici</w:t>
            </w:r>
          </w:p>
          <w:p>
            <w:pPr>
              <w:pStyle w:val="ListParagraph"/>
              <w:numPr>
                <w:ilvl w:val="0"/>
                <w:numId w:val="2"/>
              </w:numPr>
              <w:spacing w:after="30" w:before="30"/>
            </w:pPr>
            <w:r>
              <w:rPr>
                <w:rFonts w:ascii="Calibri" w:cs="Calibri" w:eastAsia="Calibri" w:hAnsi="Calibri"/>
                <w:sz w:val="22"/>
                <w:szCs w:val="22"/>
              </w:rPr>
              <w:t xml:space="preserve">Architettura API-first, eredita l'infrastruttura vault di CyberArk con layer AI proprietario</w:t>
            </w:r>
          </w:p>
          <w:p>
            <w:pPr>
              <w:pStyle w:val="ListParagraph"/>
              <w:numPr>
                <w:ilvl w:val="0"/>
                <w:numId w:val="2"/>
              </w:numPr>
              <w:spacing w:after="30" w:before="30"/>
            </w:pPr>
            <w:r>
              <w:rPr>
                <w:rFonts w:ascii="Calibri" w:cs="Calibri" w:eastAsia="Calibri" w:hAnsi="Calibri"/>
                <w:sz w:val="22"/>
                <w:szCs w:val="22"/>
              </w:rPr>
              <w:t xml:space="preserve">Agent leggero per endpoint; agentless per discovery cloud e SaaS</w:t>
            </w:r>
          </w:p>
          <w:p>
            <w:pPr>
              <w:pStyle w:val="ListParagraph"/>
              <w:numPr>
                <w:ilvl w:val="0"/>
                <w:numId w:val="2"/>
              </w:numPr>
              <w:spacing w:after="30" w:before="30"/>
            </w:pPr>
            <w:r>
              <w:rPr>
                <w:rFonts w:ascii="Calibri" w:cs="Calibri" w:eastAsia="Calibri" w:hAnsi="Calibri"/>
                <w:sz w:val="22"/>
                <w:szCs w:val="22"/>
              </w:rPr>
              <w:t xml:space="preserve">Integrazioni native: Cortex XDR, XSIAM, Palo Alto NGFW, Prisma SASE; connettori per AWS, Azure, GCP, Okta, Entra ID, SAP</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Target</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r>
              <w:rPr>
                <w:rFonts w:ascii="Calibri" w:cs="Calibri" w:eastAsia="Calibri" w:hAnsi="Calibri"/>
                <w:sz w:val="22"/>
                <w:szCs w:val="22"/>
              </w:rPr>
              <w:t xml:space="preserve">Dimensione: Enterprise (500+ dipendenti), ideale con infrastruttura ibrida e ambienti AI/agentic</w:t>
            </w:r>
          </w:p>
          <w:p>
            <w:pPr>
              <w:pStyle w:val="ListParagraph"/>
              <w:numPr>
                <w:ilvl w:val="0"/>
                <w:numId w:val="2"/>
              </w:numPr>
              <w:spacing w:after="30" w:before="30"/>
            </w:pPr>
            <w:r>
              <w:rPr>
                <w:rFonts w:ascii="Calibri" w:cs="Calibri" w:eastAsia="Calibri" w:hAnsi="Calibri"/>
                <w:sz w:val="22"/>
                <w:szCs w:val="22"/>
              </w:rPr>
              <w:t xml:space="preserve">Settori consigliati: Finanza, PA, Manifatturiero avanzato, Healthcare</w:t>
            </w:r>
          </w:p>
          <w:p>
            <w:pPr>
              <w:pStyle w:val="ListParagraph"/>
              <w:numPr>
                <w:ilvl w:val="0"/>
                <w:numId w:val="2"/>
              </w:numPr>
              <w:spacing w:after="30" w:before="30"/>
            </w:pPr>
            <w:r>
              <w:rPr>
                <w:rFonts w:ascii="Calibri" w:cs="Calibri" w:eastAsia="Calibri" w:hAnsi="Calibri"/>
                <w:sz w:val="22"/>
                <w:szCs w:val="22"/>
              </w:rPr>
              <w:t xml:space="preserve">ROI massimo per chi è già cliente Cortex o CyberArk</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Perché ora</w:t>
            </w:r>
          </w:p>
        </w:tc>
        <w:tc>
          <w:tcPr>
            <w:tcW w:type="dxa" w:w="7026"/>
            <w:tcBorders>
              <w:top w:val="single" w:color="C9C9C9" w:sz="1"/>
              <w:left w:val="single" w:color="C9C9C9" w:sz="1"/>
              <w:bottom w:val="single" w:color="C9C9C9" w:sz="1"/>
              <w:right w:val="single" w:color="C9C9C9" w:sz="1"/>
            </w:tcBorders>
            <w:shd w:fill="DEEAF1" w:val="clear"/>
            <w:tcMar>
              <w:top w:type="dxa" w:w="80"/>
              <w:left w:type="dxa" w:w="160"/>
              <w:bottom w:type="dxa" w:w="80"/>
              <w:right w:type="dxa" w:w="160"/>
            </w:tcMar>
          </w:tcPr>
          <w:p>
            <w:pPr>
              <w:spacing w:after="0" w:before="0"/>
            </w:pPr>
            <w:r>
              <w:rPr>
                <w:rFonts w:ascii="Calibri" w:cs="Calibri" w:eastAsia="Calibri" w:hAnsi="Calibri"/>
                <w:sz w:val="22"/>
                <w:szCs w:val="22"/>
              </w:rPr>
              <w:t xml:space="preserve">Il perimetro dell'identità si è esteso ben oltre gli utenti umani: AI agent e workload identity rappresentano oggi la superficie d'attacco più sottovalutata. Idira è la prima piattaforma commerciale a trattarle con lo stesso rigore del PAM tradizionale, anticipando i requisiti NIS2 e DORA. La convergenza PAM+ITDR in un'unica console riduce drasticamente il tempo di risposta agli attacchi identity-based, che rappresentano oltre il 70% degli initial access nei breach enterprise.</w:t>
            </w:r>
          </w:p>
        </w:tc>
      </w:tr>
      <w:tr>
        <w:tc>
          <w:tcPr>
            <w:tcW w:type="dxa" w:w="20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vAlign w:val="top"/>
          </w:tcPr>
          <w:p>
            <w:r>
              <w:rPr>
                <w:rFonts w:ascii="Calibri" w:cs="Calibri" w:eastAsia="Calibri" w:hAnsi="Calibri"/>
                <w:b/>
                <w:bCs/>
                <w:color w:val="1F4E79"/>
                <w:sz w:val="22"/>
                <w:szCs w:val="22"/>
              </w:rPr>
              <w:t xml:space="preserve">Approfondimenti</w:t>
            </w:r>
          </w:p>
        </w:tc>
        <w:tc>
          <w:tcPr>
            <w:tcW w:type="dxa" w:w="7026"/>
            <w:tcBorders>
              <w:top w:val="single" w:color="C9C9C9" w:sz="1"/>
              <w:left w:val="single" w:color="C9C9C9" w:sz="1"/>
              <w:bottom w:val="single" w:color="C9C9C9" w:sz="1"/>
              <w:right w:val="single" w:color="C9C9C9" w:sz="1"/>
            </w:tcBorders>
            <w:tcMar>
              <w:top w:type="dxa" w:w="80"/>
              <w:left w:type="dxa" w:w="160"/>
              <w:bottom w:type="dxa" w:w="80"/>
              <w:right w:type="dxa" w:w="160"/>
            </w:tcMar>
          </w:tcPr>
          <w:p>
            <w:pPr>
              <w:pStyle w:val="ListParagraph"/>
              <w:numPr>
                <w:ilvl w:val="0"/>
                <w:numId w:val="2"/>
              </w:numPr>
              <w:spacing w:after="30" w:before="30"/>
            </w:pPr>
            <w:hyperlink w:history="1" r:id="rId4oclznvsw_hniursvxaxf">
              <w:r>
                <w:rPr>
                  <w:rStyle w:val="Hyperlink"/>
                  <w:rFonts w:ascii="Calibri" w:cs="Calibri" w:eastAsia="Calibri" w:hAnsi="Calibri"/>
                  <w:sz w:val="22"/>
                  <w:szCs w:val="22"/>
                </w:rPr>
                <w:t xml:space="preserve">Pagina ufficiale Idira — Palo Alto Networks</w:t>
              </w:r>
            </w:hyperlink>
          </w:p>
          <w:p>
            <w:pPr>
              <w:pStyle w:val="ListParagraph"/>
              <w:numPr>
                <w:ilvl w:val="0"/>
                <w:numId w:val="2"/>
              </w:numPr>
              <w:spacing w:after="30" w:before="30"/>
            </w:pPr>
            <w:hyperlink w:history="1" r:id="rIdhfxcdrg1jx_8syo8xcsa2">
              <w:r>
                <w:rPr>
                  <w:rStyle w:val="Hyperlink"/>
                  <w:rFonts w:ascii="Calibri" w:cs="Calibri" w:eastAsia="Calibri" w:hAnsi="Calibri"/>
                  <w:sz w:val="22"/>
                  <w:szCs w:val="22"/>
                </w:rPr>
                <w:t xml:space="preserve">Press release lancio Idira (12 maggio 2026)</w:t>
              </w:r>
            </w:hyperlink>
          </w:p>
          <w:p>
            <w:pPr>
              <w:pStyle w:val="ListParagraph"/>
              <w:numPr>
                <w:ilvl w:val="0"/>
                <w:numId w:val="2"/>
              </w:numPr>
              <w:spacing w:after="30" w:before="30"/>
            </w:pPr>
            <w:hyperlink w:history="1" r:id="rIdjkxhlfgv1d2evnn9rnthc">
              <w:r>
                <w:rPr>
                  <w:rStyle w:val="Hyperlink"/>
                  <w:rFonts w:ascii="Calibri" w:cs="Calibri" w:eastAsia="Calibri" w:hAnsi="Calibri"/>
                  <w:sz w:val="22"/>
                  <w:szCs w:val="22"/>
                </w:rPr>
                <w:t xml:space="preserve">Analisi SiliconANGLE: Idira e le identità agentiche</w:t>
              </w:r>
            </w:hyperlink>
          </w:p>
        </w:tc>
      </w:tr>
    </w:tbl>
    <w:p>
      <w:pPr>
        <w:spacing w:after="0" w:befor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2. Sysdig — Headless Cloud Security</w:t>
            </w:r>
            <w:r>
              <w:rPr>
                <w:rFonts w:ascii="Calibri" w:cs="Calibri" w:eastAsia="Calibri" w:hAnsi="Calibri"/>
                <w:color w:val="BDD7EE"/>
                <w:sz w:val="20"/>
                <w:szCs w:val="20"/>
              </w:rPr>
              <w:t xml:space="preserve">  ·  Internazionale (USA)</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Ambito</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Cloud &amp; Infrastructure Security · CNAPP · CWPP · AI-Native Security</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Cosa fa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Sysdig annuncia in maggio 2026 la prima piattaforma cloud security headless, progettata per l’era degli agenti AI. Consente di usare agenti AI come operatori primari della difesa con Sysdig Sage come motore centrale. La security diventa machine-speed e data-driven, non piu’ human-driven.</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Funzionali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Sysdig Sage AI Analyst: agente AI agentico con multi-step reasoning su minacce cloud in tempo reale. Runtime-first prioritization tramite eBPF: riduzione del 95% del noise sulle vulnerabilita’. Verified Exploit Paths: connette misconfigurazioni, identita’ cloud, vulnerabilita’ e comportamenti runtime. AI Pipeline Security: protegge modelli LLM e pipeline AI da injection e data exfiltration. Headless API per integrazione con agenti AI custom.</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Infrastruttura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Deployment: SaaS multi-tenant con eBPF agent per runtime on-premise. Architettura: sensor eBPF per runtime, motore agentless per posture via cloud API. Integrazioni: Kubernetes, EKS, AKS, GKE, AWS, Azure, GCP, GitHub Actions, ServiceNow, Slack, PagerDuty. Forrester Wave Leader Q1 2026 per CNAPP.</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Dimensione: Mid-market e Enterprise cloud-native (da 200 dipendenti con Kubernetes o multi-cloud). Settori: Fintech, SaaS, e-commerce, healthcare digitale, media. Prerequisiti: ambienti containerizzati; maturita’ DevSecOps per le funzionalita’ headless.</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Perche’ ora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Il report Sysdig 2026 dichiara che la security guidata dagli umani sta finendo: velocita’ di attacco cloud di 5-10 minuti dall’accesso iniziale all’exfiltration rendono la risposta manuale impossibile. Il paradigma headless — security governata da agenti AI — e’ la risposta a questa realta’. Risultati gia’ documentati: riduzione MTTR del 76%, risparmio di 80+ ore/settimana di triage manuale.</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Approfondimenti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https://www.sysdig.com/press-releases/sysdig-headless-cloud-security · https://www.sysdig.com/press-releases/2026-usage-report</w:t>
            </w:r>
          </w:p>
        </w:tc>
      </w:tr>
    </w:tbl>
    <w:p>
      <w:pPr>
        <w:spacing w:after="0" w:before="24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c>
          <w:tcPr>
            <w:tcW w:type="dxa" w:w="9026"/>
            <w:tcBorders>
              <w:top w:val="single" w:color="C9C9C9" w:sz="1"/>
              <w:left w:val="single" w:color="C9C9C9" w:sz="1"/>
              <w:bottom w:val="single" w:color="C9C9C9" w:sz="1"/>
              <w:right w:val="single" w:color="C9C9C9" w:sz="1"/>
            </w:tcBorders>
            <w:shd w:fill="1F4E79" w:val="clear"/>
            <w:tcMar>
              <w:top w:type="dxa" w:w="100"/>
              <w:left w:type="dxa" w:w="160"/>
              <w:bottom w:type="dxa" w:w="100"/>
              <w:right w:type="dxa" w:w="160"/>
            </w:tcMar>
          </w:tcPr>
          <w:p>
            <w:r>
              <w:rPr>
                <w:rFonts w:ascii="Calibri" w:cs="Calibri" w:eastAsia="Calibri" w:hAnsi="Calibri"/>
                <w:b/>
                <w:bCs/>
                <w:color w:val="FFFFFF"/>
                <w:sz w:val="26"/>
                <w:szCs w:val="26"/>
              </w:rPr>
              <w:t xml:space="preserve">3. Dragos — Platform 3.1 AI per OT</w:t>
            </w:r>
            <w:r>
              <w:rPr>
                <w:rFonts w:ascii="Calibri" w:cs="Calibri" w:eastAsia="Calibri" w:hAnsi="Calibri"/>
                <w:color w:val="BDD7EE"/>
                <w:sz w:val="20"/>
                <w:szCs w:val="20"/>
              </w:rPr>
              <w:t xml:space="preserve">  ·  Internazionale (USA)</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Ambito</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OT/IoT &amp; Infrastrutture Critiche · ICS Security · Critical Infrastructure Protection</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Cosa fa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Dragos ha rilasciato Platform 3.1 (LTS) che introduce AI nel cuore della piattaforma OT/ICS. Il rilascio arriva con il report 2026 che registra 119 gruppi ransomware attivi contro infrastrutture industriali (+49% rispetto al 2024) e con CIRCIA a pieno regime da maggio 2026.</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Funzionali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AI-Powered Analyst Workflows: triage automatizzato degli alert OT che distingue anomalie operative da minacce reali. Asset Lifecycle Management: traccia ogni dispositivo industriale inclusi quelli end-of-support (CISA BOD 26-02). Control Loop Mapping: rileva avversari che mappano loop di controllo fisici. Threat Intelligence OT-specifica per Purdue levels e protocolli Modbus, DNP3, EtherNet/IP. Compliance CIRCIA 72h reporting e IEC 62443.</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Infrastruttura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Deployment: on-premise (air-gapped) o ibrido con cloud management plane opzionale. Architettura: passive network monitoring senza agent su PLC/RTU, sensori per reti IT/OT convergenti. Integrazioni: Splunk, Microsoft Sentinel, IBM QRadar, ServiceNow, firewall Fortinet e Cisco. Supporta ambienti completamente isolati da Internet.</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Target</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Dimensione: Enterprise con infrastrutture OT/ICS (da 500 dipendenti con reti industriali). Settori: Energia (oil &amp; gas, utilities), manifatturiero, trasporti, sanita’ con dispositivi medici connessi. Rilevante per il mercato italiano: ENI, Enel, Snam, Leonardo, grandi ospedali con SCADA. Leader nel Gartner MQ per CPS Protection Platforms 2026.</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Perche’ ora</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Maggio 2026: CIRCIA entra a pieno regime con finestra 72h per reporting (benchmark per NIS2 europea e ACN italiana). Il report Dragos 2026 e’ allarmante: gli avversari non si limitano piu’ a pre-posizionarsi nelle reti OT ma mappano attivamente i control loop fisici — salto qualitativo che prelude ad attacchi con danni fisici reali. Manufacturing: 28% di tutti gli attacchi cyber nel 2025.</w:t>
            </w:r>
          </w:p>
        </w:tc>
      </w:tr>
      <w:tr>
        <w:tc>
          <w:tcPr>
            <w:tcW w:type="dxa" w:w="2000"/>
            <w:tcBorders>
              <w:top w:val="single" w:color="C9C9C9" w:sz="1"/>
              <w:left w:val="single" w:color="C9C9C9" w:sz="1"/>
              <w:bottom w:val="single" w:color="C9C9C9" w:sz="1"/>
              <w:right w:val="single" w:color="C9C9C9" w:sz="1"/>
            </w:tcBorders>
            <w:shd w:fill="DEEAF1" w:val="clear"/>
            <w:tcMar>
              <w:top w:type="dxa" w:w="80"/>
              <w:left w:type="dxa" w:w="120"/>
              <w:bottom w:type="dxa" w:w="80"/>
              <w:right w:type="dxa" w:w="120"/>
            </w:tcMar>
          </w:tcPr>
          <w:p>
            <w:pPr>
              <w:spacing w:after="20" w:before="0"/>
            </w:pPr>
            <w:r>
              <w:rPr>
                <w:rFonts w:ascii="Calibri" w:cs="Calibri" w:eastAsia="Calibri" w:hAnsi="Calibri"/>
                <w:b/>
                <w:bCs/>
                <w:color w:val="1F4E79"/>
                <w:sz w:val="18"/>
                <w:szCs w:val="18"/>
              </w:rPr>
              <w:t xml:space="preserve">Approfondimenti</w:t>
            </w:r>
          </w:p>
        </w:tc>
        <w:tc>
          <w:tcPr>
            <w:tcW w:type="dxa" w:w="7026"/>
            <w:tcBorders>
              <w:top w:val="single" w:color="C9C9C9" w:sz="1"/>
              <w:left w:val="single" w:color="C9C9C9" w:sz="1"/>
              <w:bottom w:val="single" w:color="C9C9C9" w:sz="1"/>
              <w:right w:val="single" w:color="C9C9C9" w:sz="1"/>
            </w:tcBorders>
            <w:shd w:fill="FFFFFF" w:val="clear"/>
            <w:tcMar>
              <w:top w:type="dxa" w:w="80"/>
              <w:left w:type="dxa" w:w="120"/>
              <w:bottom w:type="dxa" w:w="80"/>
              <w:right w:type="dxa" w:w="120"/>
            </w:tcMar>
          </w:tcPr>
          <w:p>
            <w:pPr>
              <w:spacing w:after="20" w:before="0"/>
            </w:pPr>
            <w:r>
              <w:rPr>
                <w:rFonts w:ascii="Calibri" w:cs="Calibri" w:eastAsia="Calibri" w:hAnsi="Calibri"/>
                <w:color w:val="262626"/>
                <w:sz w:val="20"/>
                <w:szCs w:val="20"/>
              </w:rPr>
              <w:t xml:space="preserve">https://www.dragos.com/blog/dragos-platform-ai-ot-security-visibility · https://www.dragos.com/ot-cybersecurity-year-in-review</w:t>
            </w:r>
          </w:p>
        </w:tc>
      </w:tr>
    </w:tbl>
    <w:p>
      <w:pPr>
        <w:spacing w:after="60" w:before="360"/>
      </w:pPr>
    </w:p>
    <w:p>
      <w:pPr>
        <w:pStyle w:val="Heading2"/>
      </w:pPr>
      <w:r>
        <w:rPr>
          <w:rFonts w:ascii="Calibri" w:cs="Calibri" w:eastAsia="Calibri" w:hAnsi="Calibri"/>
          <w:b/>
          <w:bCs/>
          <w:color w:val="4472C4"/>
          <w:sz w:val="24"/>
          <w:szCs w:val="24"/>
        </w:rPr>
        <w:t xml:space="preserve">Segnali dal mercato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c>
          <w:tcPr>
            <w:tcW w:type="dxa" w:w="2800"/>
            <w:tcBorders>
              <w:top w:val="single" w:color="C9C9C9" w:sz="1"/>
              <w:left w:val="single" w:color="C9C9C9" w:sz="1"/>
              <w:bottom w:val="single" w:color="C9C9C9" w:sz="1"/>
              <w:right w:val="single" w:color="C9C9C9" w:sz="1"/>
            </w:tcBorders>
            <w:shd w:fill="1F4E79" w:val="clear"/>
            <w:tcMar>
              <w:top w:type="dxa" w:w="80"/>
              <w:left w:type="dxa" w:w="160"/>
              <w:bottom w:type="dxa" w:w="80"/>
              <w:right w:type="dxa" w:w="160"/>
            </w:tcMar>
          </w:tcPr>
          <w:p>
            <w:r>
              <w:rPr>
                <w:rFonts w:ascii="Calibri" w:cs="Calibri" w:eastAsia="Calibri" w:hAnsi="Calibri"/>
                <w:b/>
                <w:bCs/>
                <w:color w:val="FFFFFF"/>
                <w:sz w:val="22"/>
                <w:szCs w:val="22"/>
              </w:rPr>
              <w:t xml:space="preserve">Ambito</w:t>
            </w:r>
          </w:p>
        </w:tc>
        <w:tc>
          <w:tcPr>
            <w:tcW w:type="dxa" w:w="6226"/>
            <w:tcBorders>
              <w:top w:val="single" w:color="C9C9C9" w:sz="1"/>
              <w:left w:val="single" w:color="C9C9C9" w:sz="1"/>
              <w:bottom w:val="single" w:color="C9C9C9" w:sz="1"/>
              <w:right w:val="single" w:color="C9C9C9" w:sz="1"/>
            </w:tcBorders>
            <w:shd w:fill="1F4E79" w:val="clear"/>
            <w:tcMar>
              <w:top w:type="dxa" w:w="80"/>
              <w:left w:type="dxa" w:w="160"/>
              <w:bottom w:type="dxa" w:w="80"/>
              <w:right w:type="dxa" w:w="160"/>
            </w:tcMar>
          </w:tcPr>
          <w:p>
            <w:r>
              <w:rPr>
                <w:rFonts w:ascii="Calibri" w:cs="Calibri" w:eastAsia="Calibri" w:hAnsi="Calibri"/>
                <w:b/>
                <w:bCs/>
                <w:color w:val="FFFFFF"/>
                <w:sz w:val="22"/>
                <w:szCs w:val="22"/>
              </w:rPr>
              <w:t xml:space="preserve">Segnale della settimana</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Endpoint &amp; Identity</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Le identita' agentiche sono il nuovo campo di battaglia: con Idira, Palo Alto formalizza una categoria che nei prossimi 12 mesi vedra' tutti i vendor posizionarsi. La convergenza PAM+ITDR diventa requisito emergente nelle gare enterprise.</w:t>
            </w:r>
          </w:p>
        </w:tc>
      </w:tr>
      <w:tr>
        <w:tc>
          <w:tcPr>
            <w:tcW w:type="dxa" w:w="2800"/>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r>
              <w:rPr>
                <w:rFonts w:ascii="Calibri" w:cs="Calibri" w:eastAsia="Calibri" w:hAnsi="Calibri"/>
                <w:b/>
                <w:bCs/>
                <w:color w:val="1F4E79"/>
                <w:sz w:val="22"/>
                <w:szCs w:val="22"/>
              </w:rPr>
              <w:t xml:space="preserve">Cloud Security</w:t>
            </w:r>
          </w:p>
        </w:tc>
        <w:tc>
          <w:tcPr>
            <w:tcW w:type="dxa" w:w="6226"/>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pPr>
              <w:spacing w:after="0" w:before="0"/>
            </w:pPr>
            <w:r>
              <w:rPr>
                <w:rFonts w:ascii="Calibri" w:cs="Calibri" w:eastAsia="Calibri" w:hAnsi="Calibri"/>
                <w:sz w:val="22"/>
                <w:szCs w:val="22"/>
              </w:rPr>
              <w:t xml:space="preserve">Il Forrester Wave CNAPP Q1 2026 ha certificato la fine della frammentazione. Chi ha ancora tool separati per CSPM, CWPP e CIEM ha 12-18 mesi per consolidare prima che NIS2 renda obbligatoria la tracciabilita' della postura cloud.</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AI &amp; Threat Intelligence</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L'inaugurazione del Gartner MQ CTI e' un evento di mercato strutturale. Nei prossimi 12 mesi assisteremo ad acquisizioni di vendor CTI niche da parte di player di piattaforma.</w:t>
            </w:r>
          </w:p>
        </w:tc>
      </w:tr>
      <w:tr>
        <w:tc>
          <w:tcPr>
            <w:tcW w:type="dxa" w:w="2800"/>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r>
              <w:rPr>
                <w:rFonts w:ascii="Calibri" w:cs="Calibri" w:eastAsia="Calibri" w:hAnsi="Calibri"/>
                <w:b/>
                <w:bCs/>
                <w:color w:val="1F4E79"/>
                <w:sz w:val="22"/>
                <w:szCs w:val="22"/>
              </w:rPr>
              <w:t xml:space="preserve">OT/IoT</w:t>
            </w:r>
          </w:p>
        </w:tc>
        <w:tc>
          <w:tcPr>
            <w:tcW w:type="dxa" w:w="6226"/>
            <w:tcBorders>
              <w:top w:val="single" w:color="C9C9C9" w:sz="1"/>
              <w:left w:val="single" w:color="C9C9C9" w:sz="1"/>
              <w:bottom w:val="single" w:color="C9C9C9" w:sz="1"/>
              <w:right w:val="single" w:color="C9C9C9" w:sz="1"/>
            </w:tcBorders>
            <w:shd w:fill="FFFFFF" w:val="clear"/>
            <w:tcMar>
              <w:top w:type="dxa" w:w="80"/>
              <w:left w:type="dxa" w:w="160"/>
              <w:bottom w:type="dxa" w:w="80"/>
              <w:right w:type="dxa" w:w="160"/>
            </w:tcMar>
          </w:tcPr>
          <w:p>
            <w:pPr>
              <w:spacing w:after="0" w:before="0"/>
            </w:pPr>
            <w:r>
              <w:rPr>
                <w:rFonts w:ascii="Calibri" w:cs="Calibri" w:eastAsia="Calibri" w:hAnsi="Calibri"/>
                <w:sz w:val="22"/>
                <w:szCs w:val="22"/>
              </w:rPr>
              <w:t xml:space="preserve">Il report Dragos 2026 segnala che il 96% degli incidenti OT origina da compromissioni IT-side: non esiste piu' separazione sicura tra IT e OT. Opportunita' per chi investe in network segmentation OT-aware.</w:t>
            </w:r>
          </w:p>
        </w:tc>
      </w:tr>
      <w:tr>
        <w:tc>
          <w:tcPr>
            <w:tcW w:type="dxa" w:w="2800"/>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r>
              <w:rPr>
                <w:rFonts w:ascii="Calibri" w:cs="Calibri" w:eastAsia="Calibri" w:hAnsi="Calibri"/>
                <w:b/>
                <w:bCs/>
                <w:color w:val="1F4E79"/>
                <w:sz w:val="22"/>
                <w:szCs w:val="22"/>
              </w:rPr>
              <w:t xml:space="preserve">Network &amp; Microsegmentazione</w:t>
            </w:r>
          </w:p>
        </w:tc>
        <w:tc>
          <w:tcPr>
            <w:tcW w:type="dxa" w:w="6226"/>
            <w:tcBorders>
              <w:top w:val="single" w:color="C9C9C9" w:sz="1"/>
              <w:left w:val="single" w:color="C9C9C9" w:sz="1"/>
              <w:bottom w:val="single" w:color="C9C9C9" w:sz="1"/>
              <w:right w:val="single" w:color="C9C9C9" w:sz="1"/>
            </w:tcBorders>
            <w:shd w:fill="F5F5F5" w:val="clear"/>
            <w:tcMar>
              <w:top w:type="dxa" w:w="80"/>
              <w:left w:type="dxa" w:w="160"/>
              <w:bottom w:type="dxa" w:w="80"/>
              <w:right w:type="dxa" w:w="160"/>
            </w:tcMar>
          </w:tcPr>
          <w:p>
            <w:pPr>
              <w:spacing w:after="0" w:before="0"/>
            </w:pPr>
            <w:r>
              <w:rPr>
                <w:rFonts w:ascii="Calibri" w:cs="Calibri" w:eastAsia="Calibri" w:hAnsi="Calibri"/>
                <w:sz w:val="22"/>
                <w:szCs w:val="22"/>
              </w:rPr>
              <w:t xml:space="preserve">Convergenza ZTNA+SASE come modello di riferimento. Illumio e Akamai Guardicore restano le soluzioni piu' citate per microsegmentazione workload-level. Da monitorare Universal ZTNA come layer unificante.</w:t>
            </w:r>
          </w:p>
        </w:tc>
      </w:tr>
    </w:tbl>
    <w:p>
      <w:pPr>
        <w:spacing w:after="60" w:before="360"/>
      </w:pPr>
    </w:p>
    <w:p>
      <w:pPr>
        <w:pBdr>
          <w:bottom w:val="single" w:color="1F4E79" w:sz="4" w:space="1"/>
        </w:pBdr>
        <w:spacing w:after="120" w:before="120"/>
      </w:pPr>
      <w:r>
        <w:t xml:space="preserve"/>
      </w:r>
    </w:p>
    <w:p>
      <w:pPr>
        <w:spacing w:after="60" w:before="100"/>
        <w:jc w:val="center"/>
      </w:pPr>
      <w:r>
        <w:rPr>
          <w:rFonts w:ascii="Calibri" w:cs="Calibri" w:eastAsia="Calibri" w:hAnsi="Calibri"/>
          <w:i/>
          <w:iCs/>
          <w:color w:val="595959"/>
          <w:sz w:val="18"/>
          <w:szCs w:val="18"/>
        </w:rPr>
        <w:t xml:space="preserve">Prossimo briefing: 28 maggio 2026  ·  Generato automaticamente da Claude  ·  Cowork</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1F4E79" w:sz="4" w:space="1"/>
      </w:pBdr>
      <w:spacing w:before="0"/>
      <w:jc w:val="center"/>
    </w:pPr>
    <w:r>
      <w:rPr>
        <w:rFonts w:ascii="Calibri" w:cs="Calibri" w:eastAsia="Calibri" w:hAnsi="Calibri"/>
        <w:color w:val="595959"/>
        <w:sz w:val="16"/>
        <w:szCs w:val="16"/>
      </w:rPr>
      <w:t xml:space="preserve">Generato automaticamente da Claude · Cowork  |  Pagina </w:t>
    </w:r>
    <w:r>
      <w:rPr>
        <w:rFonts w:ascii="Calibri" w:cs="Calibri" w:eastAsia="Calibri" w:hAnsi="Calibri"/>
        <w:color w:val="59595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tabs>
        <w:tab w:val="right" w:pos="9026"/>
      </w:tabs>
      <w:spacing w:after="0"/>
    </w:pPr>
    <w:r>
      <w:rPr>
        <w:rFonts w:ascii="Calibri" w:cs="Calibri" w:eastAsia="Calibri" w:hAnsi="Calibri"/>
        <w:color w:val="595959"/>
        <w:sz w:val="18"/>
        <w:szCs w:val="18"/>
      </w:rPr>
      <w:t xml:space="preserve">Diario Cybersecurity · Marco Taglienti</w:t>
    </w:r>
    <w:r>
      <w:rPr>
        <w:rFonts w:ascii="Calibri" w:cs="Calibri" w:eastAsia="Calibri" w:hAnsi="Calibri"/>
        <w:color w:val="595959"/>
        <w:sz w:val="18"/>
        <w:szCs w:val="18"/>
      </w:rPr>
      <w:t xml:space="preserve">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360"/>
      <w:outlineLvl w:val="0"/>
    </w:pPr>
    <w:rPr>
      <w:rFonts w:ascii="Calibri" w:cs="Calibri" w:eastAsia="Calibri" w:hAnsi="Calibri"/>
      <w:b/>
      <w:bCs/>
      <w:color w:val="1F4E79"/>
      <w:sz w:val="28"/>
      <w:szCs w:val="28"/>
    </w:rPr>
  </w:style>
  <w:style w:type="paragraph" w:styleId="Heading2">
    <w:name w:val="Heading 2"/>
    <w:basedOn w:val="Normal"/>
    <w:next w:val="Normal"/>
    <w:qFormat/>
    <w:pPr>
      <w:spacing w:after="80" w:before="240"/>
      <w:outlineLvl w:val="1"/>
    </w:pPr>
    <w:rPr>
      <w:rFonts w:ascii="Calibri" w:cs="Calibri" w:eastAsia="Calibri" w:hAnsi="Calibri"/>
      <w:b/>
      <w:bCs/>
      <w:color w:val="4472C4"/>
      <w:sz w:val="24"/>
      <w:szCs w:val="24"/>
    </w:rPr>
  </w:style>
  <w:style w:type="paragraph" w:styleId="Heading3">
    <w:name w:val="Heading 3"/>
    <w:basedOn w:val="Normal"/>
    <w:next w:val="Normal"/>
    <w:qFormat/>
    <w:pPr>
      <w:spacing w:after="60" w:before="160"/>
      <w:outlineLvl w:val="2"/>
    </w:pPr>
    <w:rPr>
      <w:rFonts w:ascii="Calibri" w:cs="Calibri" w:eastAsia="Calibri" w:hAnsi="Calibri"/>
      <w:b/>
      <w:bCs/>
      <w:color w:val="59595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4oclznvsw_hniursvxaxf" Type="http://schemas.openxmlformats.org/officeDocument/2006/relationships/hyperlink" Target="https://www.paloaltonetworks.com/idira" TargetMode="External"/><Relationship Id="rIdhfxcdrg1jx_8syo8xcsa2" Type="http://schemas.openxmlformats.org/officeDocument/2006/relationships/hyperlink" Target="https://www.paloaltonetworks.com/company/press/2026/palo-alto-networks-introduces-idira--the-next-generation-identity-security-platform-built-for-the-ai-enterprise" TargetMode="External"/><Relationship Id="rIdjkxhlfgv1d2evnn9rnthc" Type="http://schemas.openxmlformats.org/officeDocument/2006/relationships/hyperlink" Target="https://siliconangle.com/2026/05/12/idira-launches-palo-alto-networks-extends-cyberark-tech-machine-agentic-identities" TargetMode="External"/><Relationship Id="rIdj0hxdgjxauv6in7rql60b" Type="http://schemas.openxmlformats.org/officeDocument/2006/relationships/hyperlink" Target="https://www.crowdstrike.com/en-us/products/threat-intelligence/" TargetMode="External"/><Relationship Id="rId-qf62qpzpvd5yb3nmh7sg" Type="http://schemas.openxmlformats.org/officeDocument/2006/relationships/hyperlink" Target="https://www.crowdstrike.com/en-us/press-releases/crowdstrike-named-a-leader-2026-gartner-magic-quadrant-for-cyberthreat-intelligence-technologies/" TargetMode="External"/><Relationship Id="rIdsy5qymgrpn2ieqrla76pd" Type="http://schemas.openxmlformats.org/officeDocument/2006/relationships/hyperlink" Target="https://techcoffeehouse.com/2026/05/06/crowdstrike-leads-inaugural-gartner-cyberthreat-intelligence-magic-quadrant/" TargetMode="External"/><Relationship Id="rIdq72n_ifa2ilnhcei47jsl" Type="http://schemas.openxmlformats.org/officeDocument/2006/relationships/hyperlink" Target="https://www.wiz.io/platform" TargetMode="External"/><Relationship Id="rIdotmpk5waggb6sbh0a0olq" Type="http://schemas.openxmlformats.org/officeDocument/2006/relationships/hyperlink" Target="https://www.wiz.io/blog/forrester-wave-cnapp-2026" TargetMode="External"/><Relationship Id="rIdka0tfnbuot47pziil0ieg" Type="http://schemas.openxmlformats.org/officeDocument/2006/relationships/hyperlink" Target="https://tamnoon.io/blog/cnapps-you-need-to-know-in-2026/" TargetMode="External"/><Relationship Id="rId18" Type="http://schemas.openxmlformats.org/officeDocument/2006/relationships/fontTable" Target="fontTable.xml"/><Relationship Id="rIdW29b_lineation_vendor" Type="http://schemas.openxmlformats.org/officeDocument/2006/relationships/hyperlink" Target="https://lineation.ai/" TargetMode="External"/><Relationship Id="rIdW29b_lineation_fonte" Type="http://schemas.openxmlformats.org/officeDocument/2006/relationships/hyperlink" Target="https://www.helpnetsecurity.com/2026/07/16/lineation-ai-zero-trust-control-plane/" TargetMode="External"/><Relationship Id="rIdW29b_cloudflare_vendor" Type="http://schemas.openxmlformats.org/officeDocument/2006/relationships/hyperlink" Target="https://blog.cloudflare.com/introducing-precursor/" TargetMode="External"/><Relationship Id="rIdW29b_cloudflare_fonte" Type="http://schemas.openxmlformats.org/officeDocument/2006/relationships/hyperlink" Target="https://www.cloudflare.com/press/press-releases/2026/cloudflare-introduces-precursor-one-click-behavioral-defense-against-modern-bots/" TargetMode="External"/><Relationship Id="rIdW29b_nudge_vendor" Type="http://schemas.openxmlformats.org/officeDocument/2006/relationships/hyperlink" Target="https://www.nudgesecurity.com/changelog/address-sprawling-oauth-and-browser-extension-risk-with-new-nudge-security-ai-agents" TargetMode="External"/><Relationship Id="rIdW29b_nudge_fonte" Type="http://schemas.openxmlformats.org/officeDocument/2006/relationships/hyperlink" Target="https://www.prnewswire.com/news-releases/nudge-security-unveils-ai-agents-to-mitigate-escalating-risks-from-hidden-oauth-grants-and-browser-extensions-302824148.html" TargetMode="External"/><Relationship Id="rIdW30_threatdown_vendor" Type="http://schemas.openxmlformats.org/officeDocument/2006/relationships/hyperlink" Target="https://www.threatdown.com/" TargetMode="External"/><Relationship Id="rIdW30_threatdown_fonte" Type="http://schemas.openxmlformats.org/officeDocument/2006/relationships/hyperlink" Target="https://www.helpnetsecurity.com/2026/07/22/threatdown-ai-visibility/" TargetMode="External"/><Relationship Id="rIdW30_swimlane_vendor" Type="http://schemas.openxmlformats.org/officeDocument/2006/relationships/hyperlink" Target="https://swimlane.com/" TargetMode="External"/><Relationship Id="rIdW30_swimlane_fonte" Type="http://schemas.openxmlformats.org/officeDocument/2006/relationships/hyperlink" Target="https://www.helpnetsecurity.com/2026/07/22/swimlane-ai-soc-mssps/" TargetMode="External"/><Relationship Id="rIdW30_nozomi_vendor" Type="http://schemas.openxmlformats.org/officeDocument/2006/relationships/hyperlink" Target="https://www.nozominetworks.com/" TargetMode="External"/><Relationship Id="rIdW30_nozomi_fonte" Type="http://schemas.openxmlformats.org/officeDocument/2006/relationships/hyperlink" Target="https://www.prnewswire.com/news-releases/bastazo-and-nozomi-networks-team-up-to-deliver-advanced-cyber-security-solutions-to-ot--iot-environments-302827111.html" TargetMode="External"/><Relationship Id="rIdW31_act_vendor" Type="http://schemas.openxmlformats.org/officeDocument/2006/relationships/hyperlink" Target="https://act.security/" TargetMode="External"/><Relationship Id="rIdW31_act_fonte" Type="http://schemas.openxmlformats.org/officeDocument/2006/relationships/hyperlink" Target="https://www.securityweek.com/act-security-emerges-from-stealth-to-fight-the-patch-problem/" TargetMode="External"/><Relationship Id="rIdW31_hush_vendor" Type="http://schemas.openxmlformats.org/officeDocument/2006/relationships/hyperlink" Target="https://www.hush.security/" TargetMode="External"/><Relationship Id="rIdW31_hush_fonte" Type="http://schemas.openxmlformats.org/officeDocument/2006/relationships/hyperlink" Target="https://www.securityweek.com/hush-security-raises-30-million-for-ai-agent-governance/" TargetMode="External"/><Relationship Id="rIdW31_7ai_vendor" Type="http://schemas.openxmlformats.org/officeDocument/2006/relationships/hyperlink" Target="https://7ai.com/platform" TargetMode="External"/><Relationship Id="rIdW31_7ai_fonte" Type="http://schemas.openxmlformats.org/officeDocument/2006/relationships/hyperlink" Target="https://www.globenewswire.com/news-release/2026/07/27/3333567/0/en/7AI-Launches-Federated-SIEM-and-7AI-Build-Establishing-the-Foundation-for-AI-Native-Security-Operations.html" TargetMode="External"/><Relationship Id="rIdW32_crowdstrike_vendor" Type="http://schemas.openxmlformats.org/officeDocument/2006/relationships/hyperlink" Target="https://www.crowdstrike.com/en-us/press-releases/falcon-next-gen-identity-security-innovations-expand-unified-protection-for-every-identity/" TargetMode="External"/><Relationship Id="rIdW32_crowdstrike_fonte" Type="http://schemas.openxmlformats.org/officeDocument/2006/relationships/hyperlink" Target="https://nand-research.com/research-note-crowdstrike-falcon-next-gen-identity-security/" TargetMode="External"/><Relationship Id="rIdW32_socradar_vendor" Type="http://schemas.openxmlformats.org/officeDocument/2006/relationships/hyperlink" Target="https://socradar.io/products/extended-threat-intelligence/" TargetMode="External"/><Relationship Id="rIdW32_socradar_fonte" Type="http://schemas.openxmlformats.org/officeDocument/2006/relationships/hyperlink" Target="https://www.businesswire.com/news/home/20260804536835/en/SOCRadar-Launches-Human-Identity-Exposure-for-its-Extended-Threat-Intelligence-Platform" TargetMode="External"/><Relationship Id="rIdW32_viakoo_vendor" Type="http://schemas.openxmlformats.org/officeDocument/2006/relationships/hyperlink" Target="https://www.viakoo.com/" TargetMode="External"/><Relationship Id="rIdW32_viakoo_fonte" Type="http://schemas.openxmlformats.org/officeDocument/2006/relationships/hyperlink" Target="https://industrialcyber.co/news/viakoo-launches-device-configuration-manager-to-automate-configuration-drift-detection-and-remediation-across-ot-iot/" TargetMode="External"/><Relationship Id="rIdW34_tufin_vendor" Type="http://schemas.openxmlformats.org/officeDocument/2006/relationships/hyperlink" Target="https://www.businesswire.com/news/home/20260819497421/en/Tufins-AI-Powered-Segmentation-Intelligence-Enables-Enterprises-to-Continuously-Maintain-Segmentation-Intent-Across-Todays-Rapidly-Changing-Networks" TargetMode="External"/><Relationship Id="rIdW34_tufin_fonte" Type="http://schemas.openxmlformats.org/officeDocument/2006/relationships/hyperlink" Target="https://www.helpnetsecurity.com/2026/08/20/tufin-expands-unified-control-plane-with-ai-intelligence-and-multi-vendor-automation/" TargetMode="External"/><Relationship Id="rIdW34_f5_vendor" Type="http://schemas.openxmlformats.org/officeDocument/2006/relationships/hyperlink" Target="https://www.f5.com/company/blog/f5-ai-gateway-single-control-point-for-all-enterprise-ai" TargetMode="External"/><Relationship Id="rIdW34_f5_fonte" Type="http://schemas.openxmlformats.org/officeDocument/2006/relationships/hyperlink" Target="https://www.helpnetsecurity.com/2026/08/19/f5-ai-gateway-enhancements/" TargetMode="External"/><Relationship Id="rIdW34_searchlight_vendor" Type="http://schemas.openxmlformats.org/officeDocument/2006/relationships/hyperlink" Target="https://slcyber.io/blog/what-is-preemptive-threat-exposure-management-ptem/" TargetMode="External"/><Relationship Id="rIdW34_searchlight_fonte" Type="http://schemas.openxmlformats.org/officeDocument/2006/relationships/hyperlink" Target="https://www.helpnetsecurity.com/2026/08/13/searchlight-cyber-preemptive-threat-exposure-management-ptem-platform/" TargetMode="External"/><Relationship Id="rIdW36_ping_vendor" Type="http://schemas.openxmlformats.org/officeDocument/2006/relationships/hyperlink" Target="https://press.pingidentity.com/2026-09-01-Ping-Identity-Secures-Claude-Personal-Agents-From-Discovery-to-Action" TargetMode="External"/><Relationship Id="rIdW36_ping_fonte" Type="http://schemas.openxmlformats.org/officeDocument/2006/relationships/hyperlink" Target="https://www.helpnetsecurity.com/2026/09/01/ping-identity-enterprise-personal-agent-access/" TargetMode="External"/><Relationship Id="rIdW36_f5_vendor" Type="http://schemas.openxmlformats.org/officeDocument/2006/relationships/hyperlink" Target="https://investors.f5.com/news/news-details/2026/F5-Accelerates-Virtual-Patching-to-Manage-Emerging-Cyber-Risks-With-AI-Powered-WAF-and-Runtime-Security/default.aspx" TargetMode="External"/><Relationship Id="rIdW36_f5_fonte" Type="http://schemas.openxmlformats.org/officeDocument/2006/relationships/hyperlink" Target="https://www.helpnetsecurity.com/2026/09/02/f5-waf-anomaly-detection-ai-threats/" TargetMode="External"/><Relationship Id="rIdW36_superna_vendor" Type="http://schemas.openxmlformats.org/officeDocument/2006/relationships/hyperlink" Target="https://www.prnewswire.com/news-releases/superna-introduces-2-15-release-to-simplify-cyberstorage-security-and-resilience-operations-302865769.html" TargetMode="External"/><Relationship Id="rIdW36_superna_fonte" Type="http://schemas.openxmlformats.org/officeDocument/2006/relationships/hyperlink" Target="https://www.helpnetsecurity.com/2026/09/01/uperna-cyberstorage-platform-2-15/" TargetMode="External"/><Relationship Id="rIdW37_akeyless_vendor" Type="http://schemas.openxmlformats.org/officeDocument/2006/relationships/hyperlink" Target="https://www.akeyless.io/press-release/akeyless-announces-general-availability-of-agentic-runtime-authority-for-real-time-intent-based-access-control-of-ai-agents/" TargetMode="External"/><Relationship Id="rIdW37_akeyless_fonte" Type="http://schemas.openxmlformats.org/officeDocument/2006/relationships/hyperlink" Target="https://www.helpnetsecurity.com/2026/09/09/akeyless-agentic-runtime-authority-identity-control-layer/" TargetMode="External"/><Relationship Id="rIdW37_orchid_vendor" Type="http://schemas.openxmlformats.org/officeDocument/2006/relationships/hyperlink" Target="https://www.globenewswire.com/news-release/2026/09/09/3358716/0/en/orchid-security-adds-ai-readiness-controls-identity-drift-detection-and-application-level-kill-switches-for-ai-agents.html" TargetMode="External"/><Relationship Id="rIdW37_orchid_fonte" Type="http://schemas.openxmlformats.org/officeDocument/2006/relationships/hyperlink" Target="https://www.helpnetsecurity.com/2026/09/09/orchid-security-ai-agents-application-level-kill-switches/" TargetMode="External"/><Relationship Id="rIdW37_securin_vendor" Type="http://schemas.openxmlformats.org/officeDocument/2006/relationships/hyperlink" Target="https://www.securin.io/securin-platform" TargetMode="External"/><Relationship Id="rIdW37_securin_fonte" Type="http://schemas.openxmlformats.org/officeDocument/2006/relationships/hyperlink" Target="https://www.helpnetsecurity.com/2026/09/09/securin-exposure-management-platform/" TargetMode="External"/><Relationship Id="rIdW38_nozomi_vendor" Type="http://schemas.openxmlformats.org/officeDocument/2006/relationships/hyperlink" Target="https://www.prnewswire.com/news-releases/nozomi-networks-introduces-nozomi-compass-to-modernize-the-everyday-work-of-ot-asset-and-service-management-302879951.html" TargetMode="External"/><Relationship Id="rIdW38_nozomi_fonte" Type="http://schemas.openxmlformats.org/officeDocument/2006/relationships/hyperlink" Target="https://www.helpnetsecurity.com/2026/09/16/nozomi-networks-compass/" TargetMode="External"/><Relationship Id="rIdW38_bitsight_vendor" Type="http://schemas.openxmlformats.org/officeDocument/2006/relationships/hyperlink" Target="https://www.bitsight.com/products/supply-chain-exposure-management" TargetMode="External"/><Relationship Id="rIdW38_bitsight_fonte" Type="http://schemas.openxmlformats.org/officeDocument/2006/relationships/hyperlink" Target="https://www.helpnetsecurity.com/2026/09/14/bitsight-beacon/" TargetMode="External"/><Relationship Id="rIdW38_tuskira_vendor" Type="http://schemas.openxmlformats.org/officeDocument/2006/relationships/hyperlink" Target="https://www.tuskira.ai/blog/meet-vector-autonomous-red-teaming" TargetMode="External"/><Relationship Id="rIdW38_tuskira_fonte" Type="http://schemas.openxmlformats.org/officeDocument/2006/relationships/hyperlink" Target="https://www.helpnetsecurity.com/2026/09/17/tuskira-vector-autonomous-red-teaming/" TargetMode="External"/><Relationship Id="rIdW40_vega_vendor" Type="http://schemas.openxmlformats.org/officeDocument/2006/relationships/hyperlink" Target="https://vega.io/blog/introducing-vega-ii" TargetMode="External"/><Relationship Id="rIdW40_vega_fonte" Type="http://schemas.openxmlformats.org/officeDocument/2006/relationships/hyperlink" Target="https://www.helpnetsecurity.com/2026/09/29/vega-ii-agentic-cyber-defense-platform/" TargetMode="External"/><Relationship Id="rIdW40_blackfog_vendor" Type="http://schemas.openxmlformats.org/officeDocument/2006/relationships/hyperlink" Target="https://www.blackfog.com/blackfog-launches-adx-vision-2-0-to-secure-the-next-generation-of-enterprise-ai/" TargetMode="External"/><Relationship Id="rIdW40_blackfog_fonte" Type="http://schemas.openxmlformats.org/officeDocument/2006/relationships/hyperlink" Target="https://www.helpnetsecurity.com/2026/10/01/blackfog-adx-vision-2-0/" TargetMode="External"/><Relationship Id="rIdW40_postman_vendor" Type="http://schemas.openxmlformats.org/officeDocument/2006/relationships/hyperlink" Target="https://www.postman.com/fabric-gateway/" TargetMode="External"/><Relationship Id="rIdW40_postman_fonte" Type="http://schemas.openxmlformats.org/officeDocument/2006/relationships/hyperlink" Target="https://www.helpnetsecurity.com/2026/09/29/postman-fabric-gateway/"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2026-05-21T09:57:17.955Z</dcterms:created>
  <dcterms:modified xsi:type="dcterms:W3CDTF">2026-05-21T09:57:17.956Z</dcterms:modified>
</cp:coreProperties>
</file>

<file path=docProps/custom.xml><?xml version="1.0" encoding="utf-8"?>
<Properties xmlns="http://schemas.openxmlformats.org/officeDocument/2006/custom-properties" xmlns:vt="http://schemas.openxmlformats.org/officeDocument/2006/docPropsVTypes"/>
</file>