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pPr>
    </w:p>
    <w:p>
      <w:pPr>
        <w:spacing w:after="120" w:before="0"/>
        <w:jc w:val="center"/>
      </w:pPr>
      <w:r>
        <w:rPr>
          <w:rFonts w:ascii="Calibri" w:cs="Calibri" w:eastAsia="Calibri" w:hAnsi="Calibri"/>
          <w:b/>
          <w:bCs/>
          <w:color w:val="1F4E79"/>
          <w:spacing w:val="40"/>
          <w:sz w:val="52"/>
          <w:szCs w:val="52"/>
        </w:rPr>
        <w:t xml:space="preserve">DIARIO CYBERSECURITY</w:t>
      </w:r>
    </w:p>
    <w:p>
      <w:pPr>
        <w:spacing w:after="60" w:before="0"/>
        <w:jc w:val="center"/>
      </w:pPr>
      <w:r>
        <w:rPr>
          <w:rFonts w:ascii="Calibri" w:cs="Calibri" w:eastAsia="Calibri" w:hAnsi="Calibri"/>
          <w:i/>
          <w:iCs/>
          <w:color w:val="4472C4"/>
          <w:sz w:val="26"/>
          <w:szCs w:val="26"/>
        </w:rPr>
        <w:t xml:space="preserve">Briefing settimanale · Enterprise &amp; Mid-market</w:t>
      </w:r>
    </w:p>
    <w:p>
      <w:pPr>
        <w:pBdr>
          <w:bottom w:val="single" w:color="1F4E79" w:sz="12" w:space="1"/>
        </w:pBdr>
        <w:spacing w:after="120" w:before="120"/>
      </w:pPr>
      <w:r>
        <w:t xml:space="preserve"/>
      </w:r>
    </w:p>
    <w:p>
      <w:pPr>
        <w:spacing w:after="60" w:before="60"/>
        <w:jc w:val="center"/>
      </w:pPr>
      <w:r>
        <w:rPr>
          <w:rFonts w:ascii="Calibri" w:cs="Calibri" w:eastAsia="Calibri" w:hAnsi="Calibri"/>
          <w:color w:val="595959"/>
          <w:sz w:val="22"/>
          <w:szCs w:val="22"/>
        </w:rPr>
        <w:t xml:space="preserve">Marco Taglienti  ·  2026</w:t>
      </w:r>
    </w:p>
    <w:p>
      <w:pPr>
        <w:spacing w:after="0" w:before="720"/>
      </w:pPr>
    </w:p>
    <w:p>
      <w:pPr>
        <w:pStyle w:val="Heading1"/>
      </w:pPr>
      <w:bookmarkStart w:name="bm_indice" w:id="1"/>
      <w:r>
        <w:rPr>
          <w:rFonts w:ascii="Calibri" w:cs="Calibri" w:eastAsia="Calibri" w:hAnsi="Calibri"/>
          <w:b/>
          <w:bCs/>
          <w:color w:val="1F4E79"/>
          <w:sz w:val="28"/>
          <w:szCs w:val="28"/>
        </w:rPr>
        <w:t xml:space="preserve">Indice dei briefing</w:t>
      </w:r>
      <w:bookmarkEnd w:id="1"/>
    </w:p>
    <w:p>
      <w:pPr>
        <w:spacing w:after="60" w:before="60"/>
      </w:pPr>
      <w:r>
        <w:rPr>
          <w:rFonts w:ascii="Calibri" w:cs="Calibri" w:eastAsia="Calibri" w:hAnsi="Calibri"/>
          <w:i/>
          <w:iCs/>
          <w:color w:val="595959"/>
          <w:sz w:val="22"/>
          <w:szCs w:val="22"/>
        </w:rPr>
        <w:t xml:space="preserve">Il documento si aggiorna ogni settimana con una nuova sezione in cima. Usa il pannello di navigazione di Word (Visualizza → Riquadro di spostamento) per saltare direttamente a un briefing specifico.</w:t>
      </w:r>
    </w:p>
    <w:p>
      <w:pPr>
        <w:spacing w:after="60" w:before="120"/>
      </w:pPr>
      <w:hyperlink w:history="1" w:anchor="bm_w24">
        <w:r>
          <w:rPr>
            <w:rStyle w:val="Hyperlink"/>
            <w:rFonts w:ascii="Calibri" w:cs="Calibri" w:eastAsia="Calibri" w:hAnsi="Calibri"/>
            <w:sz w:val="22"/>
            <w:szCs w:val="22"/>
          </w:rPr>
          <w:t xml:space="preserve">W24 · 15 giugno 2026 — Censys SOC Integrations · SentinelOne Purple AI Agentic · Sysdig CNAPP Forrester Leader</w:t>
        </w:r>
      </w:hyperlink>
    </w:p>
    <w:p>
      <w:pPr>
        <w:spacing w:after="60" w:before="120"/>
      </w:pPr>
      <w:hyperlink w:history="1" w:anchor="bm_w23">
        <w:r>
          <w:rPr>
            <w:rStyle w:val="Hyperlink"/>
            <w:rFonts w:ascii="Calibri" w:cs="Calibri" w:eastAsia="Calibri" w:hAnsi="Calibri"/>
            <w:sz w:val="22"/>
            <w:szCs w:val="22"/>
          </w:rPr>
          <w:t xml:space="preserve">W23 · 7 giugno 2026 — Sysdig Headless CNAPP · CrowdStrike Falcon Next-Gen Identity · Nozomi Vantage IQ Q2</w:t>
        </w:r>
      </w:hyperlink>
    </w:p>
    <w:p>
      <w:pPr>
        <w:spacing w:after="60" w:before="120"/>
      </w:pPr>
      <w:hyperlink w:history="1" w:anchor="bm_w22">
        <w:r>
          <w:rPr>
            <w:rStyle w:val="Hyperlink"/>
            <w:rFonts w:ascii="Calibri" w:cs="Calibri" w:eastAsia="Calibri" w:hAnsi="Calibri"/>
            <w:sz w:val="22"/>
            <w:szCs w:val="22"/>
          </w:rPr>
          <w:t xml:space="preserve">W22 · 31 maggio 2026 — Databricks Lakewatch · ManageEngine Log360 SOAR · Forescout OT/IoT</w:t>
        </w:r>
      </w:hyperlink>
    </w:p>
    <w:p>
      <w:pPr>
        <w:spacing w:after="60" w:before="120"/>
      </w:pPr>
      <w:hyperlink w:history="1" w:anchor="bm_w21_24mag">
        <w:r>
          <w:rPr>
            <w:rStyle w:val="Hyperlink"/>
            <w:rFonts w:ascii="Calibri" w:cs="Calibri" w:eastAsia="Calibri" w:hAnsi="Calibri"/>
            <w:sz w:val="22"/>
            <w:szCs w:val="22"/>
          </w:rPr>
          <w:t xml:space="preserve">W21 · 24 maggio 2026 — Idira (PANW) · Sysdig Sage CNAPP · Akamai Guardicore Platform</w:t>
        </w:r>
      </w:hyperlink>
    </w:p>
    <w:p>
      <w:pPr>
        <w:spacing w:after="60" w:before="120"/>
      </w:pPr>
      <w:hyperlink w:history="1" w:anchor="bm_w21">
        <w:r>
          <w:rPr>
            <w:rStyle w:val="Hyperlink"/>
            <w:rFonts w:ascii="Calibri" w:cs="Calibri" w:eastAsia="Calibri" w:hAnsi="Calibri"/>
            <w:sz w:val="22"/>
            <w:szCs w:val="22"/>
          </w:rPr>
          <w:t xml:space="preserve">W21 · 21 maggio 2026 — Idira (PANW) · Sysdig Headless Cloud Security · Dragos Platform 3.1</w:t>
        </w:r>
      </w:hyperlink>
    </w:p>
    <w:p>
      <w:r>
        <w:br w:type="page"/>
      </w:r>
    </w:p>
    <w:p>
      <w:pPr>
        <w:pStyle w:val="Heading1"/>
      </w:pPr>
      <w:bookmarkStart w:name="bm_w24" w:id="400"/>
      <w:r>
        <w:rPr>
          <w:rFonts w:ascii="Calibri" w:cs="Calibri" w:eastAsia="Calibri" w:hAnsi="Calibri"/>
          <w:b/>
          <w:bCs/>
          <w:color w:val="1F4E79"/>
          <w:sz w:val="28"/>
          <w:szCs w:val="28"/>
        </w:rPr>
        <w:t xml:space="preserve">W24 · 15 giugno 2026</w:t>
      </w:r>
      <w:bookmarkEnd w:id="40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2"/>
        <w:gridCol w:w="2252"/>
        <w:gridCol w:w="2251"/>
        <w:gridCol w:w="2271"/>
      </w:tblGrid>
      <w:tr>
        <w:tc>
          <w:tcPr>
            <w:tcW w:type="dxa" w:w="2252"/>
            <w:tcBorders>
              <w:top w:val="single" w:color="C9C9C9" w:sz="1"/>
              <w:left w:val="single" w:color="C9C9C9" w:sz="1"/>
              <w:bottom w:val="single" w:color="C9C9C9" w:sz="1"/>
              <w:right w:val="single" w:color="C9C9C9" w:sz="1"/>
            </w:tcBorders>
            <w:shd w:fill="DEEAF1" w:val="clear"/>
            <w:tcMar>
              <w:top w:type="dxa" w:w="80"/>
              <w:left w:type="dxa" w:w="120"/>
              <w:bottom w:type="dxa" w:w="80"/>
              <w:right w:type="dxa" w:w="120"/>
            </w:tcMar>
          </w:tcPr>
          <w:p>
            <w:r>
              <w:rPr>
                <w:rFonts w:ascii="Calibri" w:cs="Calibri" w:eastAsia="Calibri" w:hAnsi="Calibri"/>
                <w:b/>
                <w:color w:val="1F4E79"/>
                <w:sz w:val="20"/>
              </w:rPr>
              <w:t>Data</w:t>
            </w:r>
          </w:p>
          <w:p>
            <w:r>
              <w:rPr>
                <w:rFonts w:ascii="Calibri" w:cs="Calibri" w:eastAsia="Calibri" w:hAnsi="Calibri"/>
                <w:sz w:val="20"/>
              </w:rPr>
              <w:t>15 giugno 2026</w:t>
            </w:r>
          </w:p>
        </w:tc>
        <w:tc>
          <w:tcPr>
            <w:tcW w:type="dxa" w:w="2252"/>
            <w:tcBorders>
              <w:top w:val="single" w:color="C9C9C9" w:sz="1"/>
              <w:left w:val="single" w:color="C9C9C9" w:sz="1"/>
              <w:bottom w:val="single" w:color="C9C9C9" w:sz="1"/>
              <w:right w:val="single" w:color="C9C9C9" w:sz="1"/>
            </w:tcBorders>
            <w:shd w:fill="DEEAF1" w:val="clear"/>
            <w:tcMar>
              <w:top w:type="dxa" w:w="80"/>
              <w:left w:type="dxa" w:w="120"/>
              <w:bottom w:type="dxa" w:w="80"/>
              <w:right w:type="dxa" w:w="120"/>
            </w:tcMar>
          </w:tcPr>
          <w:p>
            <w:r>
              <w:rPr>
                <w:rFonts w:ascii="Calibri" w:cs="Calibri" w:eastAsia="Calibri" w:hAnsi="Calibri"/>
                <w:b/>
                <w:color w:val="1F4E79"/>
                <w:sz w:val="20"/>
              </w:rPr>
              <w:t>Settimana</w:t>
            </w:r>
          </w:p>
          <w:p>
            <w:r>
              <w:rPr>
                <w:rFonts w:ascii="Calibri" w:cs="Calibri" w:eastAsia="Calibri" w:hAnsi="Calibri"/>
                <w:sz w:val="20"/>
              </w:rPr>
              <w:t>W24 2026</w:t>
            </w:r>
          </w:p>
        </w:tc>
        <w:tc>
          <w:tcPr>
            <w:tcW w:type="dxa" w:w="2251"/>
            <w:tcBorders>
              <w:top w:val="single" w:color="C9C9C9" w:sz="1"/>
              <w:left w:val="single" w:color="C9C9C9" w:sz="1"/>
              <w:bottom w:val="single" w:color="C9C9C9" w:sz="1"/>
              <w:right w:val="single" w:color="C9C9C9" w:sz="1"/>
            </w:tcBorders>
            <w:shd w:fill="DEEAF1" w:val="clear"/>
            <w:tcMar>
              <w:top w:type="dxa" w:w="80"/>
              <w:left w:type="dxa" w:w="120"/>
              <w:bottom w:type="dxa" w:w="80"/>
              <w:right w:type="dxa" w:w="120"/>
            </w:tcMar>
          </w:tcPr>
          <w:p>
            <w:r>
              <w:rPr>
                <w:rFonts w:ascii="Calibri" w:cs="Calibri" w:eastAsia="Calibri" w:hAnsi="Calibri"/>
                <w:b/>
                <w:color w:val="1F4E79"/>
                <w:sz w:val="20"/>
              </w:rPr>
              <w:t>Ambiti</w:t>
            </w:r>
          </w:p>
          <w:p>
            <w:r>
              <w:rPr>
                <w:rFonts w:ascii="Calibri" w:cs="Calibri" w:eastAsia="Calibri" w:hAnsi="Calibri"/>
                <w:sz w:val="20"/>
              </w:rPr>
              <w:t>AI &amp; Threat Intel · Endpoint &amp; Identity · Cloud Security</w:t>
            </w:r>
          </w:p>
        </w:tc>
        <w:tc>
          <w:tcPr>
            <w:tcW w:type="dxa" w:w="2271"/>
            <w:tcBorders>
              <w:top w:val="single" w:color="C9C9C9" w:sz="1"/>
              <w:left w:val="single" w:color="C9C9C9" w:sz="1"/>
              <w:bottom w:val="single" w:color="C9C9C9" w:sz="1"/>
              <w:right w:val="single" w:color="C9C9C9" w:sz="1"/>
            </w:tcBorders>
            <w:shd w:fill="DEEAF1" w:val="clear"/>
            <w:tcMar>
              <w:top w:type="dxa" w:w="80"/>
              <w:left w:type="dxa" w:w="120"/>
              <w:bottom w:type="dxa" w:w="80"/>
              <w:right w:type="dxa" w:w="120"/>
            </w:tcMar>
          </w:tcPr>
          <w:p>
            <w:r>
              <w:rPr>
                <w:rFonts w:ascii="Calibri" w:cs="Calibri" w:eastAsia="Calibri" w:hAnsi="Calibri"/>
                <w:b/>
                <w:color w:val="1F4E79"/>
                <w:sz w:val="20"/>
              </w:rPr>
              <w:t>Contesto chiave</w:t>
            </w:r>
          </w:p>
          <w:p>
            <w:r>
              <w:rPr>
                <w:rFonts w:ascii="Calibri" w:cs="Calibri" w:eastAsia="Calibri" w:hAnsi="Calibri"/>
                <w:sz w:val="20"/>
              </w:rPr>
              <w:t>Scadenza ACN NIS2 30 giugno 2026 · AI agentiva per SOC · CNAPP runtime-first</w:t>
            </w:r>
          </w:p>
        </w:tc>
      </w:tr>
    </w:tbl>
    <w:p>
      <w:pPr>
        <w:spacing w:after="120" w:before="60"/>
      </w:pPr>
      <w:r>
        <w:rPr>
          <w:rFonts w:ascii="Calibri" w:cs="Calibri" w:eastAsia="Calibri" w:hAnsi="Calibri"/>
          <w:i/>
          <w:iCs/>
          <w:color w:val="595959"/>
          <w:sz w:val="20"/>
        </w:rPr>
        <w:t xml:space="preserve">Settimana segnata dalla scadenza ACN NIS2 del 30 giugno 2026 per la categorizzazione obbligatoria sulla piattaforma nazionale. La PA Centrale è sotto pressione per completare gli adempimenti. Sul piano tecnologico, si consolida il paradigma dell’AI agentiva applicata alle operazioni di sicurezza.</w:t>
      </w:r>
    </w:p>
    <w:p>
      <w:pPr>
        <w:pStyle w:val="Heading2"/>
      </w:pPr>
      <w:r>
        <w:rPr>
          <w:rFonts w:ascii="Calibri" w:cs="Calibri" w:eastAsia="Calibri" w:hAnsi="Calibri"/>
          <w:b/>
          <w:color w:val="1F4E79"/>
          <w:sz w:val="24"/>
        </w:rPr>
        <w:t>Scheda 1 — Censys Internet Intelligence Platform — SOC Ecosystem Integrations</w:t>
      </w:r>
    </w:p>
    <w:tbl>
      <w:tblPr>
        <w:tblW w:type="dxa" w:w="9026"/>
        <w:tblBorders>
          <w:top w:val="single" w:color="1F4E79" w:sz="8"/>
          <w:left w:val="none" w:sz="0"/>
          <w:bottom w:val="single" w:color="C9C9C9" w:sz="2"/>
          <w:right w:val="none" w:sz="0"/>
          <w:insideH w:val="single" w:color="C9C9C9" w:sz="1"/>
          <w:insideV w:val="none" w:sz="0"/>
        </w:tblBorders>
      </w:tblPr>
      <w:tblGrid>
        <w:gridCol w:w="2256"/>
        <w:gridCol w:w="6770"/>
      </w:tblGrid>
      <w:tr>
        <w:tc>
          <w:tcPr>
            <w:tcW w:type="dxa" w:w="2256"/>
            <w:shd w:fill="1F4E79" w:val="clear"/>
            <w:tcMar>
              <w:top w:type="dxa" w:w="80"/>
              <w:left w:type="dxa" w:w="120"/>
              <w:bottom w:type="dxa" w:w="80"/>
              <w:right w:type="dxa" w:w="120"/>
            </w:tcMar>
          </w:tcPr>
          <w:p>
            <w:r>
              <w:rPr>
                <w:rFonts w:ascii="Calibri" w:cs="Calibri" w:eastAsia="Calibri" w:hAnsi="Calibri"/>
                <w:b/>
                <w:color w:val="FFFFFF"/>
                <w:sz w:val="20"/>
              </w:rPr>
              <w:t>Vendor / Data</w:t>
            </w:r>
          </w:p>
        </w:tc>
        <w:tc>
          <w:tcPr>
            <w:tcW w:type="dxa" w:w="6770"/>
            <w:shd w:fill="DEEAF1" w:val="clear"/>
            <w:tcMar>
              <w:top w:type="dxa" w:w="80"/>
              <w:left w:type="dxa" w:w="120"/>
              <w:bottom w:type="dxa" w:w="80"/>
              <w:right w:type="dxa" w:w="120"/>
            </w:tcMar>
          </w:tcPr>
          <w:p>
            <w:r>
              <w:rPr>
                <w:rFonts w:ascii="Calibri" w:cs="Calibri" w:eastAsia="Calibri" w:hAnsi="Calibri"/>
                <w:sz w:val="20"/>
              </w:rPr>
              <w:t>Censys (USA) · Annuncio: 3 giugno 2026 · Ambito: AI &amp; Threat Intelligence</w:t>
            </w:r>
          </w:p>
        </w:tc>
      </w:tr>
      <w:tr>
        <w:tc>
          <w:tcPr>
            <w:tcW w:type="dxa" w:w="2256"/>
            <w:shd w:fill="1F4E79" w:val="clear"/>
            <w:tcMar>
              <w:top w:type="dxa" w:w="80"/>
              <w:left w:type="dxa" w:w="120"/>
              <w:bottom w:type="dxa" w:w="80"/>
              <w:right w:type="dxa" w:w="120"/>
            </w:tcMar>
          </w:tcPr>
          <w:p>
            <w:r>
              <w:rPr>
                <w:rFonts w:ascii="Calibri" w:cs="Calibri" w:eastAsia="Calibri" w:hAnsi="Calibri"/>
                <w:b/>
                <w:color w:val="FFFFFF"/>
                <w:sz w:val="20"/>
              </w:rPr>
              <w:t>Cosa fa</w:t>
            </w:r>
          </w:p>
        </w:tc>
        <w:tc>
          <w:tcPr>
            <w:tcW w:type="dxa" w:w="6770"/>
            <w:tcMar>
              <w:top w:type="dxa" w:w="80"/>
              <w:left w:type="dxa" w:w="120"/>
              <w:bottom w:type="dxa" w:w="80"/>
              <w:right w:type="dxa" w:w="120"/>
            </w:tcMar>
          </w:tcPr>
          <w:p>
            <w:r>
              <w:rPr>
                <w:rFonts w:ascii="Calibri" w:cs="Calibri" w:eastAsia="Calibri" w:hAnsi="Calibri"/>
                <w:sz w:val="20"/>
              </w:rPr>
              <w:t>55+ integrazioni native con i principali stack SOC (Splunk, Microsoft Sentinel, Google SecOps, Palo Alto Cortex, OpenCTI, Dropzone AI). Porta l’intelligence sull’infrastruttura Internet globale — IP, domini, servizi, certificati — direttamente nei workflow operativi, con risk scoring automatico in tempo reale.</w:t>
            </w:r>
          </w:p>
        </w:tc>
      </w:tr>
      <w:tr>
        <w:tc>
          <w:tcPr>
            <w:tcW w:type="dxa" w:w="2256"/>
            <w:shd w:fill="1F4E79" w:val="clear"/>
            <w:tcMar>
              <w:top w:type="dxa" w:w="80"/>
              <w:left w:type="dxa" w:w="120"/>
              <w:bottom w:type="dxa" w:w="80"/>
              <w:right w:type="dxa" w:w="120"/>
            </w:tcMar>
          </w:tcPr>
          <w:p>
            <w:r>
              <w:rPr>
                <w:rFonts w:ascii="Calibri" w:cs="Calibri" w:eastAsia="Calibri" w:hAnsi="Calibri"/>
                <w:b/>
                <w:color w:val="FFFFFF"/>
                <w:sz w:val="20"/>
              </w:rPr>
              <w:t>Infrastruttura</w:t>
            </w:r>
          </w:p>
        </w:tc>
        <w:tc>
          <w:tcPr>
            <w:tcW w:type="dxa" w:w="6770"/>
            <w:shd w:fill="DEEAF1" w:val="clear"/>
            <w:tcMar>
              <w:top w:type="dxa" w:w="80"/>
              <w:left w:type="dxa" w:w="120"/>
              <w:bottom w:type="dxa" w:w="80"/>
              <w:right w:type="dxa" w:w="120"/>
            </w:tcMar>
          </w:tcPr>
          <w:p>
            <w:r>
              <w:rPr>
                <w:rFonts w:ascii="Calibri" w:cs="Calibri" w:eastAsia="Calibri" w:hAnsi="Calibri"/>
                <w:sz w:val="20"/>
              </w:rPr>
              <w:t>SaaS cloud-native, agentless. API REST + plugin nativi plug-and-play. 45+ technology alliance partner. Scanning proprietario continuo dell’infrastruttura Internet globale.</w:t>
            </w:r>
          </w:p>
        </w:tc>
      </w:tr>
      <w:tr>
        <w:tc>
          <w:tcPr>
            <w:tcW w:type="dxa" w:w="2256"/>
            <w:shd w:fill="1F4E79" w:val="clear"/>
            <w:tcMar>
              <w:top w:type="dxa" w:w="80"/>
              <w:left w:type="dxa" w:w="120"/>
              <w:bottom w:type="dxa" w:w="80"/>
              <w:right w:type="dxa" w:w="120"/>
            </w:tcMar>
          </w:tcPr>
          <w:p>
            <w:r>
              <w:rPr>
                <w:rFonts w:ascii="Calibri" w:cs="Calibri" w:eastAsia="Calibri" w:hAnsi="Calibri"/>
                <w:b/>
                <w:color w:val="FFFFFF"/>
                <w:sz w:val="20"/>
              </w:rPr>
              <w:t>Rilevanza PA / NIS2</w:t>
            </w:r>
          </w:p>
        </w:tc>
        <w:tc>
          <w:tcPr>
            <w:tcW w:type="dxa" w:w="6770"/>
            <w:tcMar>
              <w:top w:type="dxa" w:w="80"/>
              <w:left w:type="dxa" w:w="120"/>
              <w:bottom w:type="dxa" w:w="80"/>
              <w:right w:type="dxa" w:w="120"/>
            </w:tcMar>
          </w:tcPr>
          <w:p>
            <w:r>
              <w:rPr>
                <w:rFonts w:ascii="Calibri" w:cs="Calibri" w:eastAsia="Calibri" w:hAnsi="Calibri"/>
                <w:sz w:val="20"/>
              </w:rPr>
              <w:t>Visibilità sugli asset Internet-facing (portali istituzionali, VPN gateway) accelera la compliance NIS2 Art. 21. Disponibile tramite MSSP partner italiani. Target: Enterprise e Mid-Market con SOC operativo.</w:t>
            </w:r>
          </w:p>
        </w:tc>
      </w:tr>
    </w:tbl>
    <w:p>
      <w:pPr>
        <w:spacing w:after="120" w:before="60"/>
      </w:pPr>
    </w:p>
    <w:p>
      <w:pPr>
        <w:pStyle w:val="Heading2"/>
      </w:pPr>
      <w:r>
        <w:rPr>
          <w:rFonts w:ascii="Calibri" w:cs="Calibri" w:eastAsia="Calibri" w:hAnsi="Calibri"/>
          <w:b/>
          <w:color w:val="1F4E79"/>
          <w:sz w:val="24"/>
        </w:rPr>
        <w:t>Scheda 2 — SentinelOne Purple AI — Agentic Investigations (GA)</w:t>
      </w:r>
    </w:p>
    <w:tbl>
      <w:tblPr>
        <w:tblW w:type="dxa" w:w="9026"/>
        <w:tblBorders>
          <w:top w:val="single" w:color="1F4E79" w:sz="8"/>
          <w:left w:val="none" w:sz="0"/>
          <w:bottom w:val="single" w:color="C9C9C9" w:sz="2"/>
          <w:right w:val="none" w:sz="0"/>
          <w:insideH w:val="single" w:color="C9C9C9" w:sz="1"/>
          <w:insideV w:val="none" w:sz="0"/>
        </w:tblBorders>
      </w:tblPr>
      <w:tblGrid>
        <w:gridCol w:w="2256"/>
        <w:gridCol w:w="6770"/>
      </w:tblGrid>
      <w:tr>
        <w:tc>
          <w:tcPr>
            <w:tcW w:type="dxa" w:w="2256"/>
            <w:shd w:fill="1F4E79" w:val="clear"/>
            <w:tcMar>
              <w:top w:type="dxa" w:w="80"/>
              <w:left w:type="dxa" w:w="120"/>
              <w:bottom w:type="dxa" w:w="80"/>
              <w:right w:type="dxa" w:w="120"/>
            </w:tcMar>
          </w:tcPr>
          <w:p>
            <w:r>
              <w:rPr>
                <w:rFonts w:ascii="Calibri" w:cs="Calibri" w:eastAsia="Calibri" w:hAnsi="Calibri"/>
                <w:b/>
                <w:color w:val="FFFFFF"/>
                <w:sz w:val="20"/>
              </w:rPr>
              <w:t>Vendor / Data</w:t>
            </w:r>
          </w:p>
        </w:tc>
        <w:tc>
          <w:tcPr>
            <w:tcW w:type="dxa" w:w="6770"/>
            <w:shd w:fill="DEEAF1" w:val="clear"/>
            <w:tcMar>
              <w:top w:type="dxa" w:w="80"/>
              <w:left w:type="dxa" w:w="120"/>
              <w:bottom w:type="dxa" w:w="80"/>
              <w:right w:type="dxa" w:w="120"/>
            </w:tcMar>
          </w:tcPr>
          <w:p>
            <w:r>
              <w:rPr>
                <w:rFonts w:ascii="Calibri" w:cs="Calibri" w:eastAsia="Calibri" w:hAnsi="Calibri"/>
                <w:sz w:val="20"/>
              </w:rPr>
              <w:t>SentinelOne (USA, NYSE:S) · GA: Q2 2026 · Ambito: Endpoint &amp; Identity / AI applicata alla difesa</w:t>
            </w:r>
          </w:p>
        </w:tc>
      </w:tr>
      <w:tr>
        <w:tc>
          <w:tcPr>
            <w:tcW w:type="dxa" w:w="2256"/>
            <w:shd w:fill="1F4E79" w:val="clear"/>
            <w:tcMar>
              <w:top w:type="dxa" w:w="80"/>
              <w:left w:type="dxa" w:w="120"/>
              <w:bottom w:type="dxa" w:w="80"/>
              <w:right w:type="dxa" w:w="120"/>
            </w:tcMar>
          </w:tcPr>
          <w:p>
            <w:r>
              <w:rPr>
                <w:rFonts w:ascii="Calibri" w:cs="Calibri" w:eastAsia="Calibri" w:hAnsi="Calibri"/>
                <w:b/>
                <w:color w:val="FFFFFF"/>
                <w:sz w:val="20"/>
              </w:rPr>
              <w:t>Cosa fa</w:t>
            </w:r>
          </w:p>
        </w:tc>
        <w:tc>
          <w:tcPr>
            <w:tcW w:type="dxa" w:w="6770"/>
            <w:tcMar>
              <w:top w:type="dxa" w:w="80"/>
              <w:left w:type="dxa" w:w="120"/>
              <w:bottom w:type="dxa" w:w="80"/>
              <w:right w:type="dxa" w:w="120"/>
            </w:tcMar>
          </w:tcPr>
          <w:p>
            <w:r>
              <w:rPr>
                <w:rFonts w:ascii="Calibri" w:cs="Calibri" w:eastAsia="Calibri" w:hAnsi="Calibri"/>
                <w:sz w:val="20"/>
              </w:rPr>
              <w:t>Indagine forense completa avviata con un singolo click. Purple AI raccoglie autonomamente evidenze cross-stack (endpoint, identity, rete, cloud), ricostruisce la timeline dell’attacco in linguaggio naturale e propone remediation via Singularity Hyperautomation. Riduce il rumore di ingestion fino all’80% nei log. Attach rate: oltre 50% di tutte le licenze S1 vendute in Q4 FY2026.</w:t>
            </w:r>
          </w:p>
        </w:tc>
      </w:tr>
      <w:tr>
        <w:tc>
          <w:tcPr>
            <w:tcW w:type="dxa" w:w="2256"/>
            <w:shd w:fill="1F4E79" w:val="clear"/>
            <w:tcMar>
              <w:top w:type="dxa" w:w="80"/>
              <w:left w:type="dxa" w:w="120"/>
              <w:bottom w:type="dxa" w:w="80"/>
              <w:right w:type="dxa" w:w="120"/>
            </w:tcMar>
          </w:tcPr>
          <w:p>
            <w:r>
              <w:rPr>
                <w:rFonts w:ascii="Calibri" w:cs="Calibri" w:eastAsia="Calibri" w:hAnsi="Calibri"/>
                <w:b/>
                <w:color w:val="FFFFFF"/>
                <w:sz w:val="20"/>
              </w:rPr>
              <w:t>Infrastruttura</w:t>
            </w:r>
          </w:p>
        </w:tc>
        <w:tc>
          <w:tcPr>
            <w:tcW w:type="dxa" w:w="6770"/>
            <w:shd w:fill="DEEAF1" w:val="clear"/>
            <w:tcMar>
              <w:top w:type="dxa" w:w="80"/>
              <w:left w:type="dxa" w:w="120"/>
              <w:bottom w:type="dxa" w:w="80"/>
              <w:right w:type="dxa" w:w="120"/>
            </w:tcMar>
          </w:tcPr>
          <w:p>
            <w:r>
              <w:rPr>
                <w:rFonts w:ascii="Calibri" w:cs="Calibri" w:eastAsia="Calibri" w:hAnsi="Calibri"/>
                <w:sz w:val="20"/>
              </w:rPr>
              <w:t>Singularity Platform: SaaS cloud-native + on-premise per ambienti regolamentati e air-gapped. Agent-based (Singularity sensor) per endpoint; agentless per cloud/identity. Supporto ambienti isolati: differenziatore chiave per PA e PSNC.</w:t>
            </w:r>
          </w:p>
        </w:tc>
      </w:tr>
      <w:tr>
        <w:tc>
          <w:tcPr>
            <w:tcW w:type="dxa" w:w="2256"/>
            <w:shd w:fill="1F4E79" w:val="clear"/>
            <w:tcMar>
              <w:top w:type="dxa" w:w="80"/>
              <w:left w:type="dxa" w:w="120"/>
              <w:bottom w:type="dxa" w:w="80"/>
              <w:right w:type="dxa" w:w="120"/>
            </w:tcMar>
          </w:tcPr>
          <w:p>
            <w:r>
              <w:rPr>
                <w:rFonts w:ascii="Calibri" w:cs="Calibri" w:eastAsia="Calibri" w:hAnsi="Calibri"/>
                <w:b/>
                <w:color w:val="FFFFFF"/>
                <w:sz w:val="20"/>
              </w:rPr>
              <w:t>Rilevanza PA / NIS2</w:t>
            </w:r>
          </w:p>
        </w:tc>
        <w:tc>
          <w:tcPr>
            <w:tcW w:type="dxa" w:w="6770"/>
            <w:tcMar>
              <w:top w:type="dxa" w:w="80"/>
              <w:left w:type="dxa" w:w="120"/>
              <w:bottom w:type="dxa" w:w="80"/>
              <w:right w:type="dxa" w:w="120"/>
            </w:tcMar>
          </w:tcPr>
          <w:p>
            <w:r>
              <w:rPr>
                <w:rFonts w:ascii="Calibri" w:cs="Calibri" w:eastAsia="Calibri" w:hAnsi="Calibri"/>
                <w:sz w:val="20"/>
              </w:rPr>
              <w:t>Supporto on-premise e air-gapped fondamentale per sistemi PSNC. Riduzione 80% rumore log allineata a NIS2 Art. 21 (logging e monitoraggio). Automatizza il triage per SOC sotto-dimensionati, problema comune nella PA italiana.</w:t>
            </w:r>
          </w:p>
        </w:tc>
      </w:tr>
    </w:tbl>
    <w:p>
      <w:pPr>
        <w:spacing w:after="120" w:before="60"/>
      </w:pPr>
    </w:p>
    <w:p>
      <w:pPr>
        <w:pStyle w:val="Heading2"/>
      </w:pPr>
      <w:r>
        <w:rPr>
          <w:rFonts w:ascii="Calibri" w:cs="Calibri" w:eastAsia="Calibri" w:hAnsi="Calibri"/>
          <w:b/>
          <w:color w:val="1F4E79"/>
          <w:sz w:val="24"/>
        </w:rPr>
        <w:t>Scheda 3 — Sysdig CNAPP — Leader Forrester Wave Q1 2026 (Runtime-First)</w:t>
      </w:r>
    </w:p>
    <w:tbl>
      <w:tblPr>
        <w:tblW w:type="dxa" w:w="9026"/>
        <w:tblBorders>
          <w:top w:val="single" w:color="1F4E79" w:sz="8"/>
          <w:left w:val="none" w:sz="0"/>
          <w:bottom w:val="single" w:color="C9C9C9" w:sz="2"/>
          <w:right w:val="none" w:sz="0"/>
          <w:insideH w:val="single" w:color="C9C9C9" w:sz="1"/>
          <w:insideV w:val="none" w:sz="0"/>
        </w:tblBorders>
      </w:tblPr>
      <w:tblGrid>
        <w:gridCol w:w="2256"/>
        <w:gridCol w:w="6770"/>
      </w:tblGrid>
      <w:tr>
        <w:tc>
          <w:tcPr>
            <w:tcW w:type="dxa" w:w="2256"/>
            <w:shd w:fill="1F4E79" w:val="clear"/>
            <w:tcMar>
              <w:top w:type="dxa" w:w="80"/>
              <w:left w:type="dxa" w:w="120"/>
              <w:bottom w:type="dxa" w:w="80"/>
              <w:right w:type="dxa" w:w="120"/>
            </w:tcMar>
          </w:tcPr>
          <w:p>
            <w:r>
              <w:rPr>
                <w:rFonts w:ascii="Calibri" w:cs="Calibri" w:eastAsia="Calibri" w:hAnsi="Calibri"/>
                <w:b/>
                <w:color w:val="FFFFFF"/>
                <w:sz w:val="20"/>
              </w:rPr>
              <w:t>Vendor / Data</w:t>
            </w:r>
          </w:p>
        </w:tc>
        <w:tc>
          <w:tcPr>
            <w:tcW w:type="dxa" w:w="6770"/>
            <w:shd w:fill="DEEAF1" w:val="clear"/>
            <w:tcMar>
              <w:top w:type="dxa" w:w="80"/>
              <w:left w:type="dxa" w:w="120"/>
              <w:bottom w:type="dxa" w:w="80"/>
              <w:right w:type="dxa" w:w="120"/>
            </w:tcMar>
          </w:tcPr>
          <w:p>
            <w:r>
              <w:rPr>
                <w:rFonts w:ascii="Calibri" w:cs="Calibri" w:eastAsia="Calibri" w:hAnsi="Calibri"/>
                <w:sz w:val="20"/>
              </w:rPr>
              <w:t>Sysdig (USA, 2013) · Forrester Wave Leader Q1 2026 · Ambito: Cloud &amp; Infrastructure Security (CNAPP)</w:t>
            </w:r>
          </w:p>
        </w:tc>
      </w:tr>
      <w:tr>
        <w:tc>
          <w:tcPr>
            <w:tcW w:type="dxa" w:w="2256"/>
            <w:shd w:fill="1F4E79" w:val="clear"/>
            <w:tcMar>
              <w:top w:type="dxa" w:w="80"/>
              <w:left w:type="dxa" w:w="120"/>
              <w:bottom w:type="dxa" w:w="80"/>
              <w:right w:type="dxa" w:w="120"/>
            </w:tcMar>
          </w:tcPr>
          <w:p>
            <w:r>
              <w:rPr>
                <w:rFonts w:ascii="Calibri" w:cs="Calibri" w:eastAsia="Calibri" w:hAnsi="Calibri"/>
                <w:b/>
                <w:color w:val="FFFFFF"/>
                <w:sz w:val="20"/>
              </w:rPr>
              <w:t>Cosa fa</w:t>
            </w:r>
          </w:p>
        </w:tc>
        <w:tc>
          <w:tcPr>
            <w:tcW w:type="dxa" w:w="6770"/>
            <w:tcMar>
              <w:top w:type="dxa" w:w="80"/>
              <w:left w:type="dxa" w:w="120"/>
              <w:bottom w:type="dxa" w:w="80"/>
              <w:right w:type="dxa" w:w="120"/>
            </w:tcMar>
          </w:tcPr>
          <w:p>
            <w:r>
              <w:rPr>
                <w:rFonts w:ascii="Calibri" w:cs="Calibri" w:eastAsia="Calibri" w:hAnsi="Calibri"/>
                <w:sz w:val="20"/>
              </w:rPr>
              <w:t>CNAPP runtime-first: correla visibilità runtime (eBPF/Falco) con posture management, vulnerability e CIEM per identificare solo i rischi reali. Sysdig Sage AI riduce MTTR del 76% e recupera 80+ ore/settimana di triage manuale. Uno dei soli 3 Leader (su 14 valutati) nella Forrester Wave CNAPP Q1 2026.</w:t>
            </w:r>
          </w:p>
        </w:tc>
      </w:tr>
      <w:tr>
        <w:tc>
          <w:tcPr>
            <w:tcW w:type="dxa" w:w="2256"/>
            <w:shd w:fill="1F4E79" w:val="clear"/>
            <w:tcMar>
              <w:top w:type="dxa" w:w="80"/>
              <w:left w:type="dxa" w:w="120"/>
              <w:bottom w:type="dxa" w:w="80"/>
              <w:right w:type="dxa" w:w="120"/>
            </w:tcMar>
          </w:tcPr>
          <w:p>
            <w:r>
              <w:rPr>
                <w:rFonts w:ascii="Calibri" w:cs="Calibri" w:eastAsia="Calibri" w:hAnsi="Calibri"/>
                <w:b/>
                <w:color w:val="FFFFFF"/>
                <w:sz w:val="20"/>
              </w:rPr>
              <w:t>Infrastruttura</w:t>
            </w:r>
          </w:p>
        </w:tc>
        <w:tc>
          <w:tcPr>
            <w:tcW w:type="dxa" w:w="6770"/>
            <w:shd w:fill="DEEAF1" w:val="clear"/>
            <w:tcMar>
              <w:top w:type="dxa" w:w="80"/>
              <w:left w:type="dxa" w:w="120"/>
              <w:bottom w:type="dxa" w:w="80"/>
              <w:right w:type="dxa" w:w="120"/>
            </w:tcMar>
          </w:tcPr>
          <w:p>
            <w:r>
              <w:rPr>
                <w:rFonts w:ascii="Calibri" w:cs="Calibri" w:eastAsia="Calibri" w:hAnsi="Calibri"/>
                <w:sz w:val="20"/>
              </w:rPr>
              <w:t>SaaS multi-cloud (AWS, Azure, GCP). Agent eBPF ultra-leggero per runtime. Integrazioni CI/CD, registry container, Splunk, ServiceNow, Jira. Opzione on-premise per data residency EU. Deployabile su cloud qualificati ACN (AWS, Azure qualificate per PA).</w:t>
            </w:r>
          </w:p>
        </w:tc>
      </w:tr>
      <w:tr>
        <w:tc>
          <w:tcPr>
            <w:tcW w:type="dxa" w:w="2256"/>
            <w:shd w:fill="1F4E79" w:val="clear"/>
            <w:tcMar>
              <w:top w:type="dxa" w:w="80"/>
              <w:left w:type="dxa" w:w="120"/>
              <w:bottom w:type="dxa" w:w="80"/>
              <w:right w:type="dxa" w:w="120"/>
            </w:tcMar>
          </w:tcPr>
          <w:p>
            <w:r>
              <w:rPr>
                <w:rFonts w:ascii="Calibri" w:cs="Calibri" w:eastAsia="Calibri" w:hAnsi="Calibri"/>
                <w:b/>
                <w:color w:val="FFFFFF"/>
                <w:sz w:val="20"/>
              </w:rPr>
              <w:t>Rilevanza PA / NIS2</w:t>
            </w:r>
          </w:p>
        </w:tc>
        <w:tc>
          <w:tcPr>
            <w:tcW w:type="dxa" w:w="6770"/>
            <w:tcMar>
              <w:top w:type="dxa" w:w="80"/>
              <w:left w:type="dxa" w:w="120"/>
              <w:bottom w:type="dxa" w:w="80"/>
              <w:right w:type="dxa" w:w="120"/>
            </w:tcMar>
          </w:tcPr>
          <w:p>
            <w:r>
              <w:rPr>
                <w:rFonts w:ascii="Calibri" w:cs="Calibri" w:eastAsia="Calibri" w:hAnsi="Calibri"/>
                <w:sz w:val="20"/>
              </w:rPr>
              <w:t>Risponde direttamente a NIS2 Art. 21 (vulnerability management, monitoraggio asset cloud, controllo configurazioni). Forrester Wave Q1 2026: riferimento analitico indipendente per valutazione vendor in gare pubbliche (Codice dei Contratti). Deployabile su Cloud di Qualificazione ACN.</w:t>
            </w:r>
          </w:p>
        </w:tc>
      </w:tr>
    </w:tbl>
    <w:p>
      <w:pPr>
        <w:spacing w:after="120" w:before="60"/>
      </w:pPr>
    </w:p>
    <w:p>
      <w:pPr>
        <w:pStyle w:val="Heading2"/>
      </w:pPr>
      <w:r>
        <w:rPr>
          <w:rFonts w:ascii="Calibri" w:cs="Calibri" w:eastAsia="Calibri" w:hAnsi="Calibri"/>
          <w:b/>
          <w:color w:val="1F4E79"/>
          <w:sz w:val="24"/>
        </w:rPr>
        <w:t>Segnali dal mercato</w:t>
      </w:r>
    </w:p>
    <w:tbl>
      <w:tblPr>
        <w:tblW w:type="dxa" w:w="9026"/>
        <w:tblBorders>
          <w:top w:val="single" w:color="1F4E79" w:sz="8"/>
          <w:left w:val="none" w:sz="0"/>
          <w:bottom w:val="single" w:color="C9C9C9" w:sz="2"/>
          <w:right w:val="none" w:sz="0"/>
          <w:insideH w:val="single" w:color="C9C9C9" w:sz="1"/>
          <w:insideV w:val="none" w:sz="0"/>
        </w:tblBorders>
      </w:tblPr>
      <w:tblGrid>
        <w:gridCol w:w="3010"/>
        <w:gridCol w:w="6016"/>
      </w:tblGrid>
      <w:tr>
        <w:tc>
          <w:tcPr>
            <w:tcW w:type="dxa" w:w="3010"/>
            <w:shd w:fill="1F4E79" w:val="clear"/>
            <w:tcMar>
              <w:top w:type="dxa" w:w="80"/>
              <w:left w:type="dxa" w:w="120"/>
              <w:bottom w:type="dxa" w:w="80"/>
              <w:right w:type="dxa" w:w="120"/>
            </w:tcMar>
          </w:tcPr>
          <w:p>
            <w:r>
              <w:rPr>
                <w:rFonts w:ascii="Calibri" w:cs="Calibri" w:eastAsia="Calibri" w:hAnsi="Calibri"/>
                <w:b/>
                <w:color w:val="FFFFFF"/>
                <w:sz w:val="20"/>
              </w:rPr>
              <w:t>Segnale</w:t>
            </w:r>
          </w:p>
        </w:tc>
        <w:tc>
          <w:tcPr>
            <w:tcW w:type="dxa" w:w="6016"/>
            <w:shd w:fill="1F4E79" w:val="clear"/>
            <w:tcMar>
              <w:top w:type="dxa" w:w="80"/>
              <w:left w:type="dxa" w:w="120"/>
              <w:bottom w:type="dxa" w:w="80"/>
              <w:right w:type="dxa" w:w="120"/>
            </w:tcMar>
          </w:tcPr>
          <w:p>
            <w:r>
              <w:rPr>
                <w:rFonts w:ascii="Calibri" w:cs="Calibri" w:eastAsia="Calibri" w:hAnsi="Calibri"/>
                <w:b/>
                <w:color w:val="FFFFFF"/>
                <w:sz w:val="20"/>
              </w:rPr>
              <w:t>Rilevanza</w:t>
            </w:r>
          </w:p>
        </w:tc>
      </w:tr>
      <w:tr>
        <w:tc>
          <w:tcPr>
            <w:tcW w:type="dxa" w:w="3010"/>
            <w:shd w:fill="DEEAF1" w:val="clear"/>
            <w:tcMar>
              <w:top w:type="dxa" w:w="80"/>
              <w:left w:type="dxa" w:w="120"/>
              <w:bottom w:type="dxa" w:w="80"/>
              <w:right w:type="dxa" w:w="120"/>
            </w:tcMar>
          </w:tcPr>
          <w:p>
            <w:r>
              <w:rPr>
                <w:rFonts w:ascii="Calibri" w:cs="Calibri" w:eastAsia="Calibri" w:hAnsi="Calibri"/>
                <w:b/>
                <w:sz w:val="20"/>
              </w:rPr>
              <w:t>Scadenza ACN NIS2 — 30 giugno 2026</w:t>
            </w:r>
          </w:p>
        </w:tc>
        <w:tc>
          <w:tcPr>
            <w:tcW w:type="dxa" w:w="6016"/>
            <w:tcMar>
              <w:top w:type="dxa" w:w="80"/>
              <w:left w:type="dxa" w:w="120"/>
              <w:bottom w:type="dxa" w:w="80"/>
              <w:right w:type="dxa" w:w="120"/>
            </w:tcMar>
          </w:tcPr>
          <w:p>
            <w:r>
              <w:rPr>
                <w:rFonts w:ascii="Calibri" w:cs="Calibri" w:eastAsia="Calibri" w:hAnsi="Calibri"/>
                <w:sz w:val="20"/>
              </w:rPr>
              <w:t>Categorizzazione attività/servizi obbligatoria sulla piattaforma ACN (determina 155238/2026). Chi non adempie rischia sanzioni e ritardi nella certificazione. Riguarda tutte le PA Centrali nel perimetro NIS2.</w:t>
            </w:r>
          </w:p>
        </w:tc>
      </w:tr>
      <w:tr>
        <w:tc>
          <w:tcPr>
            <w:tcW w:type="dxa" w:w="3010"/>
            <w:shd w:fill="DEEAF1" w:val="clear"/>
            <w:tcMar>
              <w:top w:type="dxa" w:w="80"/>
              <w:left w:type="dxa" w:w="120"/>
              <w:bottom w:type="dxa" w:w="80"/>
              <w:right w:type="dxa" w:w="120"/>
            </w:tcMar>
          </w:tcPr>
          <w:p>
            <w:r>
              <w:rPr>
                <w:rFonts w:ascii="Calibri" w:cs="Calibri" w:eastAsia="Calibri" w:hAnsi="Calibri"/>
                <w:b/>
                <w:sz w:val="20"/>
              </w:rPr>
              <w:t>Dragos 2026 OT Report: +49% ransomware ICS</w:t>
            </w:r>
          </w:p>
        </w:tc>
        <w:tc>
          <w:tcPr>
            <w:tcW w:type="dxa" w:w="6016"/>
            <w:tcMar>
              <w:top w:type="dxa" w:w="80"/>
              <w:left w:type="dxa" w:w="120"/>
              <w:bottom w:type="dxa" w:w="80"/>
              <w:right w:type="dxa" w:w="120"/>
            </w:tcMar>
          </w:tcPr>
          <w:p>
            <w:r>
              <w:rPr>
                <w:rFonts w:ascii="Calibri" w:cs="Calibri" w:eastAsia="Calibri" w:hAnsi="Calibri"/>
                <w:sz w:val="20"/>
              </w:rPr>
              <w:t>3 nuovi threat group identificati (2 già dentro reti OT, Stage 2). 3.300 organizzazioni colpite da ransomware industriale (+49% YoY). Lacuna visibilità critica nelle reti OT italiane (energia, sanità).</w:t>
            </w:r>
          </w:p>
        </w:tc>
      </w:tr>
      <w:tr>
        <w:tc>
          <w:tcPr>
            <w:tcW w:type="dxa" w:w="3010"/>
            <w:shd w:fill="DEEAF1" w:val="clear"/>
            <w:tcMar>
              <w:top w:type="dxa" w:w="80"/>
              <w:left w:type="dxa" w:w="120"/>
              <w:bottom w:type="dxa" w:w="80"/>
              <w:right w:type="dxa" w:w="120"/>
            </w:tcMar>
          </w:tcPr>
          <w:p>
            <w:r>
              <w:rPr>
                <w:rFonts w:ascii="Calibri" w:cs="Calibri" w:eastAsia="Calibri" w:hAnsi="Calibri"/>
                <w:b/>
                <w:sz w:val="20"/>
              </w:rPr>
              <w:t>Illumio: Gartner Customers’ Choice Microsegmentation 2026</w:t>
            </w:r>
          </w:p>
        </w:tc>
        <w:tc>
          <w:tcPr>
            <w:tcW w:type="dxa" w:w="6016"/>
            <w:tcMar>
              <w:top w:type="dxa" w:w="80"/>
              <w:left w:type="dxa" w:w="120"/>
              <w:bottom w:type="dxa" w:w="80"/>
              <w:right w:type="dxa" w:w="120"/>
            </w:tcMar>
          </w:tcPr>
          <w:p>
            <w:r>
              <w:rPr>
                <w:rFonts w:ascii="Calibri" w:cs="Calibri" w:eastAsia="Calibri" w:hAnsi="Calibri"/>
                <w:sz w:val="20"/>
              </w:rPr>
              <w:t>Illumio conferma leadership nella microsegmentazione. Tecnologia sempre più rilevante per PA e infrastrutture critiche che devono limitare il lateral movement secondo i principi Zero Trust.</w:t>
            </w:r>
          </w:p>
        </w:tc>
      </w:tr>
      <w:tr>
        <w:tc>
          <w:tcPr>
            <w:tcW w:type="dxa" w:w="3010"/>
            <w:shd w:fill="DEEAF1" w:val="clear"/>
            <w:tcMar>
              <w:top w:type="dxa" w:w="80"/>
              <w:left w:type="dxa" w:w="120"/>
              <w:bottom w:type="dxa" w:w="80"/>
              <w:right w:type="dxa" w:w="120"/>
            </w:tcMar>
          </w:tcPr>
          <w:p>
            <w:r>
              <w:rPr>
                <w:rFonts w:ascii="Calibri" w:cs="Calibri" w:eastAsia="Calibri" w:hAnsi="Calibri"/>
                <w:b/>
                <w:sz w:val="20"/>
              </w:rPr>
              <w:t>Gartner: 60% SIEM+SOAR convergerà in piattaforme unificate entro 2026</w:t>
            </w:r>
          </w:p>
        </w:tc>
        <w:tc>
          <w:tcPr>
            <w:tcW w:type="dxa" w:w="6016"/>
            <w:tcMar>
              <w:top w:type="dxa" w:w="80"/>
              <w:left w:type="dxa" w:w="120"/>
              <w:bottom w:type="dxa" w:w="80"/>
              <w:right w:type="dxa" w:w="120"/>
            </w:tcMar>
          </w:tcPr>
          <w:p>
            <w:r>
              <w:rPr>
                <w:rFonts w:ascii="Calibri" w:cs="Calibri" w:eastAsia="Calibri" w:hAnsi="Calibri"/>
                <w:sz w:val="20"/>
              </w:rPr>
              <w:t>CrowdStrike Falcon Next-Gen SIEM e Palo Alto Cortex XSIAM guidano la convergenza. Chi ha SIEM tradizionale (Splunk standalone, IBM QRadar) deve pianificare la roadmap di aggiornamento.</w:t>
            </w:r>
          </w:p>
        </w:tc>
      </w:tr>
    </w:tbl>
    <w:p>
      <w:pPr>
        <w:pBdr>
          <w:bottom w:val="single" w:color="1F4E79" w:sz="6" w:space="1"/>
        </w:pBdr>
        <w:spacing w:after="120" w:before="120"/>
      </w:pPr>
      <w:r>
        <w:rPr>
          <w:rFonts w:ascii="Calibri" w:cs="Calibri" w:eastAsia="Calibri" w:hAnsi="Calibri"/>
          <w:i/>
          <w:color w:val="595959"/>
          <w:sz w:val="18"/>
        </w:rPr>
        <w:t xml:space="preserve">Prossimo briefing: 21 giugno 2026  ·  Generato automaticamente da Claude  ·  Cowork</w:t>
      </w:r>
    </w:p>
    <w:p>
      <w:r>
        <w:br w:type="page"/>
      </w:r>
    </w:p>
    <w:p>
      <w:pPr>
        <w:pStyle w:val="Heading1"/>
      </w:pPr>
      <w:bookmarkStart w:name="bm_w23" w:id="300"/>
      <w:r>
        <w:rPr>
          <w:rFonts w:ascii="Calibri" w:cs="Calibri" w:eastAsia="Calibri" w:hAnsi="Calibri"/>
          <w:b/>
          <w:bCs/>
          <w:color w:val="1F4E79"/>
          <w:sz w:val="28"/>
          <w:szCs w:val="28"/>
        </w:rPr>
        <w:t xml:space="preserve">W23 · 7 giugno 2026</w:t>
      </w:r>
      <w:bookmarkEnd w:id="30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2"/>
        <w:gridCol w:w="2252"/>
        <w:gridCol w:w="2251"/>
        <w:gridCol w:w="2271"/>
      </w:tblGrid>
      <w:tr>
        <w:tc>
          <w:tcPr>
            <w:tcW w:type="dxa" w:w="2252"/>
            <w:tcBorders>
              <w:top w:val="single" w:color="C9C9C9" w:sz="1"/>
              <w:left w:val="single" w:color="C9C9C9" w:sz="1"/>
              <w:bottom w:val="single" w:color="C9C9C9" w:sz="1"/>
              <w:right w:val="single" w:color="C9C9C9" w:sz="1"/>
            </w:tcBorders>
            <w:shd w:fill="DEEAF1" w:val="clear"/>
            <w:tcMar>
              <w:top w:type="dxa" w:w="80"/>
              <w:left w:type="dxa" w:w="120"/>
              <w:bottom w:type="dxa" w:w="80"/>
              <w:right w:type="dxa" w:w="120"/>
            </w:tcMar>
          </w:tcPr>
          <w:p>
            <w:r>
              <w:rPr>
                <w:rFonts w:ascii="Calibri" w:cs="Calibri" w:eastAsia="Calibri" w:hAnsi="Calibri"/>
                <w:b/>
                <w:color w:val="1F4E79"/>
                <w:sz w:val="20"/>
              </w:rPr>
              <w:t>Data</w:t>
            </w:r>
          </w:p>
          <w:p>
            <w:r>
              <w:rPr>
                <w:rFonts w:ascii="Calibri" w:cs="Calibri" w:eastAsia="Calibri" w:hAnsi="Calibri"/>
                <w:sz w:val="20"/>
              </w:rPr>
              <w:t>7 giugno 2026</w:t>
            </w:r>
          </w:p>
        </w:tc>
        <w:tc>
          <w:tcPr>
            <w:tcW w:type="dxa" w:w="2252"/>
            <w:tcBorders>
              <w:top w:val="single" w:color="C9C9C9" w:sz="1"/>
              <w:left w:val="single" w:color="C9C9C9" w:sz="1"/>
              <w:bottom w:val="single" w:color="C9C9C9" w:sz="1"/>
              <w:right w:val="single" w:color="C9C9C9" w:sz="1"/>
            </w:tcBorders>
            <w:shd w:fill="DEEAF1" w:val="clear"/>
            <w:tcMar>
              <w:top w:type="dxa" w:w="80"/>
              <w:left w:type="dxa" w:w="120"/>
              <w:bottom w:type="dxa" w:w="80"/>
              <w:right w:type="dxa" w:w="120"/>
            </w:tcMar>
          </w:tcPr>
          <w:p>
            <w:r>
              <w:rPr>
                <w:rFonts w:ascii="Calibri" w:cs="Calibri" w:eastAsia="Calibri" w:hAnsi="Calibri"/>
                <w:b/>
                <w:color w:val="1F4E79"/>
                <w:sz w:val="20"/>
              </w:rPr>
              <w:t>Settimana</w:t>
            </w:r>
          </w:p>
          <w:p>
            <w:r>
              <w:rPr>
                <w:rFonts w:ascii="Calibri" w:cs="Calibri" w:eastAsia="Calibri" w:hAnsi="Calibri"/>
                <w:sz w:val="20"/>
              </w:rPr>
              <w:t>W23 2026</w:t>
            </w:r>
          </w:p>
        </w:tc>
        <w:tc>
          <w:tcPr>
            <w:tcW w:type="dxa" w:w="2251"/>
            <w:tcBorders>
              <w:top w:val="single" w:color="C9C9C9" w:sz="1"/>
              <w:left w:val="single" w:color="C9C9C9" w:sz="1"/>
              <w:bottom w:val="single" w:color="C9C9C9" w:sz="1"/>
              <w:right w:val="single" w:color="C9C9C9" w:sz="1"/>
            </w:tcBorders>
            <w:shd w:fill="DEEAF1" w:val="clear"/>
            <w:tcMar>
              <w:top w:type="dxa" w:w="80"/>
              <w:left w:type="dxa" w:w="120"/>
              <w:bottom w:type="dxa" w:w="80"/>
              <w:right w:type="dxa" w:w="120"/>
            </w:tcMar>
          </w:tcPr>
          <w:p>
            <w:r>
              <w:rPr>
                <w:rFonts w:ascii="Calibri" w:cs="Calibri" w:eastAsia="Calibri" w:hAnsi="Calibri"/>
                <w:b/>
                <w:color w:val="1F4E79"/>
                <w:sz w:val="20"/>
              </w:rPr>
              <w:t>Ambiti</w:t>
            </w:r>
          </w:p>
          <w:p>
            <w:r>
              <w:rPr>
                <w:rFonts w:ascii="Calibri" w:cs="Calibri" w:eastAsia="Calibri" w:hAnsi="Calibri"/>
                <w:sz w:val="20"/>
              </w:rPr>
              <w:t>Cloud Security · Endpoint/Identity · OT/IoT</w:t>
            </w:r>
          </w:p>
        </w:tc>
        <w:tc>
          <w:tcPr>
            <w:tcW w:type="dxa" w:w="2271"/>
            <w:tcBorders>
              <w:top w:val="single" w:color="C9C9C9" w:sz="1"/>
              <w:left w:val="single" w:color="C9C9C9" w:sz="1"/>
              <w:bottom w:val="single" w:color="C9C9C9" w:sz="1"/>
              <w:right w:val="single" w:color="C9C9C9" w:sz="1"/>
            </w:tcBorders>
            <w:shd w:fill="DEEAF1" w:val="clear"/>
            <w:tcMar>
              <w:top w:type="dxa" w:w="80"/>
              <w:left w:type="dxa" w:w="120"/>
              <w:bottom w:type="dxa" w:w="80"/>
              <w:right w:type="dxa" w:w="120"/>
            </w:tcMar>
          </w:tcPr>
          <w:p>
            <w:r>
              <w:rPr>
                <w:rFonts w:ascii="Calibri" w:cs="Calibri" w:eastAsia="Calibri" w:hAnsi="Calibri"/>
                <w:b/>
                <w:color w:val="1F4E79"/>
                <w:sz w:val="20"/>
              </w:rPr>
              <w:t>Target</w:t>
            </w:r>
          </w:p>
          <w:p>
            <w:r>
              <w:rPr>
                <w:rFonts w:ascii="Calibri" w:cs="Calibri" w:eastAsia="Calibri" w:hAnsi="Calibri"/>
                <w:sz w:val="20"/>
              </w:rPr>
              <w:t>Enterprise · Mid-market · PA Centrale</w:t>
            </w:r>
          </w:p>
        </w:tc>
      </w:tr>
    </w:tbl>
    <w:p>
      <w:pPr>
        <w:spacing w:after="120" w:before="240"/>
      </w:pPr>
    </w:p>
    <w:p>
      <w:pPr>
        <w:pStyle w:val="Heading2"/>
      </w:pPr>
      <w:r>
        <w:rPr>
          <w:rFonts w:ascii="Calibri" w:cs="Calibri" w:eastAsia="Calibri" w:hAnsi="Calibri"/>
          <w:b/>
          <w:color w:val="1F4E79"/>
          <w:sz w:val="24"/>
        </w:rPr>
        <w:t>1. Sysdig Headless Cloud Security Platform</w:t>
      </w:r>
    </w:p>
    <w:tbl>
      <w:tblPr>
        <w:tblW w:type="dxa" w:w="9026"/>
        <w:tblBorders>
          <w:top w:val="single" w:color="C9C9C9" w:sz="1"/>
          <w:left w:val="single" w:color="C9C9C9" w:sz="1"/>
          <w:bottom w:val="single" w:color="C9C9C9" w:sz="1"/>
          <w:right w:val="single" w:color="C9C9C9" w:sz="1"/>
          <w:insideH w:val="single" w:color="C9C9C9" w:sz="1"/>
          <w:insideV w:val="single" w:color="C9C9C9" w:sz="1"/>
        </w:tblBorders>
      </w:tblPr>
      <w:tblGrid>
        <w:gridCol w:w="2000"/>
        <w:gridCol w:w="7026"/>
      </w:tblGrid>
      <w:tr>
        <w:tc>
          <w:tcPr>
            <w:tcW w:type="dxa" w:w="2000"/>
            <w:shd w:fill="1F4E79" w:val="clear"/>
            <w:tcMar>
              <w:top w:type="dxa" w:w="80"/>
              <w:left w:type="dxa" w:w="120"/>
              <w:bottom w:type="dxa" w:w="80"/>
              <w:right w:type="dxa" w:w="120"/>
            </w:tcMar>
          </w:tcPr>
          <w:p>
            <w:r>
              <w:rPr>
                <w:rFonts w:ascii="Calibri" w:cs="Calibri" w:hAnsi="Calibri"/>
                <w:b/>
                <w:color w:val="FFFFFF"/>
                <w:sz w:val="20"/>
              </w:rPr>
              <w:t>Vendor</w:t>
            </w:r>
          </w:p>
        </w:tc>
        <w:tc>
          <w:tcPr>
            <w:tcW w:type="dxa" w:w="7026"/>
            <w:shd w:fill="DEEAF1" w:val="clear"/>
            <w:tcMar>
              <w:top w:type="dxa" w:w="80"/>
              <w:left w:type="dxa" w:w="120"/>
              <w:bottom w:type="dxa" w:w="80"/>
              <w:right w:type="dxa" w:w="120"/>
            </w:tcMar>
          </w:tcPr>
          <w:p>
            <w:r>
              <w:rPr>
                <w:rFonts w:ascii="Calibri" w:cs="Calibri" w:hAnsi="Calibri"/>
                <w:sz w:val="20"/>
              </w:rPr>
              <w:t>Sysdig (USA) · Annuncio: 6 maggio 2026</w:t>
            </w:r>
          </w:p>
        </w:tc>
      </w:tr>
      <w:tr>
        <w:tc>
          <w:tcPr>
            <w:tcW w:type="dxa" w:w="2000"/>
            <w:shd w:fill="1F4E79" w:val="clear"/>
            <w:tcMar>
              <w:top w:type="dxa" w:w="80"/>
              <w:left w:type="dxa" w:w="120"/>
              <w:bottom w:type="dxa" w:w="80"/>
              <w:right w:type="dxa" w:w="120"/>
            </w:tcMar>
          </w:tcPr>
          <w:p>
            <w:r>
              <w:rPr>
                <w:rFonts w:ascii="Calibri" w:cs="Calibri" w:hAnsi="Calibri"/>
                <w:b/>
                <w:color w:val="FFFFFF"/>
                <w:sz w:val="20"/>
              </w:rPr>
              <w:t>Ambito</w:t>
            </w:r>
          </w:p>
        </w:tc>
        <w:tc>
          <w:tcPr>
            <w:tcW w:type="dxa" w:w="7026"/>
            <w:shd w:fill="FFFFFF" w:val="clear"/>
            <w:tcMar>
              <w:top w:type="dxa" w:w="80"/>
              <w:left w:type="dxa" w:w="120"/>
              <w:bottom w:type="dxa" w:w="80"/>
              <w:right w:type="dxa" w:w="120"/>
            </w:tcMar>
          </w:tcPr>
          <w:p>
            <w:r>
              <w:rPr>
                <w:rFonts w:ascii="Calibri" w:cs="Calibri" w:hAnsi="Calibri"/>
                <w:sz w:val="20"/>
              </w:rPr>
              <w:t>Cloud &amp; Infrastructure Security (CNAPP / AI-Driven)</w:t>
            </w:r>
          </w:p>
        </w:tc>
      </w:tr>
      <w:tr>
        <w:tc>
          <w:tcPr>
            <w:tcW w:type="dxa" w:w="2000"/>
            <w:shd w:fill="1F4E79" w:val="clear"/>
            <w:tcMar>
              <w:top w:type="dxa" w:w="80"/>
              <w:left w:type="dxa" w:w="120"/>
              <w:bottom w:type="dxa" w:w="80"/>
              <w:right w:type="dxa" w:w="120"/>
            </w:tcMar>
          </w:tcPr>
          <w:p>
            <w:r>
              <w:rPr>
                <w:rFonts w:ascii="Calibri" w:cs="Calibri" w:hAnsi="Calibri"/>
                <w:b/>
                <w:color w:val="FFFFFF"/>
                <w:sz w:val="20"/>
              </w:rPr>
              <w:t>Cosa fa</w:t>
            </w:r>
          </w:p>
        </w:tc>
        <w:tc>
          <w:tcPr>
            <w:tcW w:type="dxa" w:w="7026"/>
            <w:shd w:fill="DEEAF1" w:val="clear"/>
            <w:tcMar>
              <w:top w:type="dxa" w:w="80"/>
              <w:left w:type="dxa" w:w="120"/>
              <w:bottom w:type="dxa" w:w="80"/>
              <w:right w:type="dxa" w:w="120"/>
            </w:tcMar>
          </w:tcPr>
          <w:p>
            <w:r>
              <w:rPr>
                <w:rFonts w:ascii="Calibri" w:cs="Calibri" w:hAnsi="Calibri"/>
                <w:sz w:val="20"/>
              </w:rPr>
              <w:t xml:space="preserve">Prima piattaforma CNAPP “headless” al mondo: integra la sicurezza cloud direttamente negli AI coding agent (Claude Code, Codex, Cursor), CLI, MCP services e API. Gli agenti AI investigano vulnerabilità, prioritizzano rischi e generano fix — senza dashboard tradizionali.</w:t>
            </w:r>
          </w:p>
        </w:tc>
      </w:tr>
      <w:tr>
        <w:tc>
          <w:tcPr>
            <w:tcW w:type="dxa" w:w="2000"/>
            <w:shd w:fill="1F4E79" w:val="clear"/>
            <w:tcMar>
              <w:top w:type="dxa" w:w="80"/>
              <w:left w:type="dxa" w:w="120"/>
              <w:bottom w:type="dxa" w:w="80"/>
              <w:right w:type="dxa" w:w="120"/>
            </w:tcMar>
          </w:tcPr>
          <w:p>
            <w:r>
              <w:rPr>
                <w:rFonts w:ascii="Calibri" w:cs="Calibri" w:hAnsi="Calibri"/>
                <w:b/>
                <w:color w:val="FFFFFF"/>
                <w:sz w:val="20"/>
              </w:rPr>
              <w:t>Caratteristiche</w:t>
            </w:r>
          </w:p>
        </w:tc>
        <w:tc>
          <w:tcPr>
            <w:tcW w:type="dxa" w:w="7026"/>
            <w:shd w:fill="FFFFFF" w:val="clear"/>
            <w:tcMar>
              <w:top w:type="dxa" w:w="80"/>
              <w:left w:type="dxa" w:w="120"/>
              <w:bottom w:type="dxa" w:w="80"/>
              <w:right w:type="dxa" w:w="120"/>
            </w:tcMar>
          </w:tcPr>
          <w:p>
            <w:r>
              <w:rPr>
                <w:rFonts w:ascii="Calibri" w:cs="Calibri" w:hAnsi="Calibri"/>
                <w:sz w:val="20"/>
              </w:rPr>
              <w:t xml:space="preserve">Vuln Management agentivo con runtime context · Posture Management autonomo · Runtime Threat Investigation · Governance con approvazione umana obbligatoria · SaaS cloud-native multi-cloud (AWS, Azure, GCP) · Integrazione MCP/CLI/API · eBPF-based (Falco)</w:t>
            </w:r>
          </w:p>
        </w:tc>
      </w:tr>
      <w:tr>
        <w:tc>
          <w:tcPr>
            <w:tcW w:type="dxa" w:w="2000"/>
            <w:shd w:fill="1F4E79" w:val="clear"/>
            <w:tcMar>
              <w:top w:type="dxa" w:w="80"/>
              <w:left w:type="dxa" w:w="120"/>
              <w:bottom w:type="dxa" w:w="80"/>
              <w:right w:type="dxa" w:w="120"/>
            </w:tcMar>
          </w:tcPr>
          <w:p>
            <w:r>
              <w:rPr>
                <w:rFonts w:ascii="Calibri" w:cs="Calibri" w:hAnsi="Calibri"/>
                <w:b/>
                <w:color w:val="FFFFFF"/>
                <w:sz w:val="20"/>
              </w:rPr>
              <w:t>Rilevanza PA</w:t>
            </w:r>
          </w:p>
        </w:tc>
        <w:tc>
          <w:tcPr>
            <w:tcW w:type="dxa" w:w="7026"/>
            <w:shd w:fill="DEEAF1" w:val="clear"/>
            <w:tcMar>
              <w:top w:type="dxa" w:w="80"/>
              <w:left w:type="dxa" w:w="120"/>
              <w:bottom w:type="dxa" w:w="80"/>
              <w:right w:type="dxa" w:w="120"/>
            </w:tcMar>
          </w:tcPr>
          <w:p>
            <w:r>
              <w:rPr>
                <w:rFonts w:ascii="Calibri" w:cs="Calibri" w:hAnsi="Calibri"/>
                <w:sz w:val="20"/>
              </w:rPr>
              <w:t xml:space="preserve">Allineato NIS2 Art. 21 (gestione vuln, supply chain applicativa) · Compatibile con Cloud Qualificato ACN (AWS, Azure) · Governance granulare per requisiti PSNC · Ideale per PA con workload cloud e team DevSecOps</w:t>
            </w:r>
          </w:p>
        </w:tc>
      </w:tr>
    </w:tbl>
    <w:p>
      <w:pPr>
        <w:spacing w:after="120" w:before="240"/>
      </w:pPr>
    </w:p>
    <w:p>
      <w:pPr>
        <w:pStyle w:val="Heading2"/>
      </w:pPr>
      <w:r>
        <w:rPr>
          <w:rFonts w:ascii="Calibri" w:cs="Calibri" w:eastAsia="Calibri" w:hAnsi="Calibri"/>
          <w:b/>
          <w:color w:val="1F4E79"/>
          <w:sz w:val="24"/>
        </w:rPr>
        <w:t>2. CrowdStrike Falcon Next-Gen Identity Security (+ SGNL)</w:t>
      </w:r>
    </w:p>
    <w:tbl>
      <w:tblPr>
        <w:tblW w:type="dxa" w:w="9026"/>
        <w:tblBorders>
          <w:top w:val="single" w:color="C9C9C9" w:sz="1"/>
          <w:left w:val="single" w:color="C9C9C9" w:sz="1"/>
          <w:bottom w:val="single" w:color="C9C9C9" w:sz="1"/>
          <w:right w:val="single" w:color="C9C9C9" w:sz="1"/>
          <w:insideH w:val="single" w:color="C9C9C9" w:sz="1"/>
          <w:insideV w:val="single" w:color="C9C9C9" w:sz="1"/>
        </w:tblBorders>
      </w:tblPr>
      <w:tblGrid>
        <w:gridCol w:w="2000"/>
        <w:gridCol w:w="7026"/>
      </w:tblGrid>
      <w:tr>
        <w:tc>
          <w:tcPr>
            <w:tcW w:type="dxa" w:w="2000"/>
            <w:shd w:fill="1F4E79" w:val="clear"/>
            <w:tcMar>
              <w:top w:type="dxa" w:w="80"/>
              <w:left w:type="dxa" w:w="120"/>
              <w:bottom w:type="dxa" w:w="80"/>
              <w:right w:type="dxa" w:w="120"/>
            </w:tcMar>
          </w:tcPr>
          <w:p>
            <w:r>
              <w:rPr>
                <w:rFonts w:ascii="Calibri" w:cs="Calibri" w:hAnsi="Calibri"/>
                <w:b/>
                <w:color w:val="FFFFFF"/>
                <w:sz w:val="20"/>
              </w:rPr>
              <w:t>Vendor</w:t>
            </w:r>
          </w:p>
        </w:tc>
        <w:tc>
          <w:tcPr>
            <w:tcW w:type="dxa" w:w="7026"/>
            <w:shd w:fill="DEEAF1" w:val="clear"/>
            <w:tcMar>
              <w:top w:type="dxa" w:w="80"/>
              <w:left w:type="dxa" w:w="120"/>
              <w:bottom w:type="dxa" w:w="80"/>
              <w:right w:type="dxa" w:w="120"/>
            </w:tcMar>
          </w:tcPr>
          <w:p>
            <w:r>
              <w:rPr>
                <w:rFonts w:ascii="Calibri" w:cs="Calibri" w:hAnsi="Calibri"/>
                <w:sz w:val="20"/>
              </w:rPr>
              <w:t>CrowdStrike (USA, NASDAQ: CRWD) · Acq. SGNL $740M: 7 gen 2026 · Leader GigaOm ITDR: 26 mag 2026</w:t>
            </w:r>
          </w:p>
        </w:tc>
      </w:tr>
      <w:tr>
        <w:tc>
          <w:tcPr>
            <w:tcW w:type="dxa" w:w="2000"/>
            <w:shd w:fill="1F4E79" w:val="clear"/>
            <w:tcMar>
              <w:top w:type="dxa" w:w="80"/>
              <w:left w:type="dxa" w:w="120"/>
              <w:bottom w:type="dxa" w:w="80"/>
              <w:right w:type="dxa" w:w="120"/>
            </w:tcMar>
          </w:tcPr>
          <w:p>
            <w:r>
              <w:rPr>
                <w:rFonts w:ascii="Calibri" w:cs="Calibri" w:hAnsi="Calibri"/>
                <w:b/>
                <w:color w:val="FFFFFF"/>
                <w:sz w:val="20"/>
              </w:rPr>
              <w:t>Ambito</w:t>
            </w:r>
          </w:p>
        </w:tc>
        <w:tc>
          <w:tcPr>
            <w:tcW w:type="dxa" w:w="7026"/>
            <w:shd w:fill="FFFFFF" w:val="clear"/>
            <w:tcMar>
              <w:top w:type="dxa" w:w="80"/>
              <w:left w:type="dxa" w:w="120"/>
              <w:bottom w:type="dxa" w:w="80"/>
              <w:right w:type="dxa" w:w="120"/>
            </w:tcMar>
          </w:tcPr>
          <w:p>
            <w:r>
              <w:rPr>
                <w:rFonts w:ascii="Calibri" w:cs="Calibri" w:hAnsi="Calibri"/>
                <w:sz w:val="20"/>
              </w:rPr>
              <w:t>Endpoint &amp; Identity (ITDR, PAM, Zero Trust)</w:t>
            </w:r>
          </w:p>
        </w:tc>
      </w:tr>
      <w:tr>
        <w:tc>
          <w:tcPr>
            <w:tcW w:type="dxa" w:w="2000"/>
            <w:shd w:fill="1F4E79" w:val="clear"/>
            <w:tcMar>
              <w:top w:type="dxa" w:w="80"/>
              <w:left w:type="dxa" w:w="120"/>
              <w:bottom w:type="dxa" w:w="80"/>
              <w:right w:type="dxa" w:w="120"/>
            </w:tcMar>
          </w:tcPr>
          <w:p>
            <w:r>
              <w:rPr>
                <w:rFonts w:ascii="Calibri" w:cs="Calibri" w:hAnsi="Calibri"/>
                <w:b/>
                <w:color w:val="FFFFFF"/>
                <w:sz w:val="20"/>
              </w:rPr>
              <w:t>Cosa fa</w:t>
            </w:r>
          </w:p>
        </w:tc>
        <w:tc>
          <w:tcPr>
            <w:tcW w:type="dxa" w:w="7026"/>
            <w:shd w:fill="DEEAF1" w:val="clear"/>
            <w:tcMar>
              <w:top w:type="dxa" w:w="80"/>
              <w:left w:type="dxa" w:w="120"/>
              <w:bottom w:type="dxa" w:w="80"/>
              <w:right w:type="dxa" w:w="120"/>
            </w:tcMar>
          </w:tcPr>
          <w:p>
            <w:r>
              <w:rPr>
                <w:rFonts w:ascii="Calibri" w:cs="Calibri" w:hAnsi="Calibri"/>
                <w:sz w:val="20"/>
              </w:rPr>
              <w:t xml:space="preserve">Con l’acquisizione SGNL introduce Zero Standing Privilege (ZSP): accessi concessi solo quando necessari e revocati immediatamente. Unifica IAM, PAM, ITDR e protezione NHI/AI agent in un’unica piattaforma correlata con telemetria endpoint.</w:t>
            </w:r>
          </w:p>
        </w:tc>
      </w:tr>
      <w:tr>
        <w:tc>
          <w:tcPr>
            <w:tcW w:type="dxa" w:w="2000"/>
            <w:shd w:fill="1F4E79" w:val="clear"/>
            <w:tcMar>
              <w:top w:type="dxa" w:w="80"/>
              <w:left w:type="dxa" w:w="120"/>
              <w:bottom w:type="dxa" w:w="80"/>
              <w:right w:type="dxa" w:w="120"/>
            </w:tcMar>
          </w:tcPr>
          <w:p>
            <w:r>
              <w:rPr>
                <w:rFonts w:ascii="Calibri" w:cs="Calibri" w:hAnsi="Calibri"/>
                <w:b/>
                <w:color w:val="FFFFFF"/>
                <w:sz w:val="20"/>
              </w:rPr>
              <w:t>Caratteristiche</w:t>
            </w:r>
          </w:p>
        </w:tc>
        <w:tc>
          <w:tcPr>
            <w:tcW w:type="dxa" w:w="7026"/>
            <w:shd w:fill="FFFFFF" w:val="clear"/>
            <w:tcMar>
              <w:top w:type="dxa" w:w="80"/>
              <w:left w:type="dxa" w:w="120"/>
              <w:bottom w:type="dxa" w:w="80"/>
              <w:right w:type="dxa" w:w="120"/>
            </w:tcMar>
          </w:tcPr>
          <w:p>
            <w:r>
              <w:rPr>
                <w:rFonts w:ascii="Calibri" w:cs="Calibri" w:hAnsi="Calibri"/>
                <w:sz w:val="20"/>
              </w:rPr>
              <w:t xml:space="preserve">Just-in-Time access cross-sistema (AD, Entra ID, AWS IAM, Okta) · Protezione NHI (service account, API key, AI agent) · ITDR con AI triage · CAEP enforcement downstream · FalconID FIDO2/passkey · Score 5/5 GigaOm · Leader Frost &amp; Sullivan ITDR 2026</w:t>
            </w:r>
          </w:p>
        </w:tc>
      </w:tr>
      <w:tr>
        <w:tc>
          <w:tcPr>
            <w:tcW w:type="dxa" w:w="2000"/>
            <w:shd w:fill="1F4E79" w:val="clear"/>
            <w:tcMar>
              <w:top w:type="dxa" w:w="80"/>
              <w:left w:type="dxa" w:w="120"/>
              <w:bottom w:type="dxa" w:w="80"/>
              <w:right w:type="dxa" w:w="120"/>
            </w:tcMar>
          </w:tcPr>
          <w:p>
            <w:r>
              <w:rPr>
                <w:rFonts w:ascii="Calibri" w:cs="Calibri" w:hAnsi="Calibri"/>
                <w:b/>
                <w:color w:val="FFFFFF"/>
                <w:sz w:val="20"/>
              </w:rPr>
              <w:t>Rilevanza PA</w:t>
            </w:r>
          </w:p>
        </w:tc>
        <w:tc>
          <w:tcPr>
            <w:tcW w:type="dxa" w:w="7026"/>
            <w:shd w:fill="DEEAF1" w:val="clear"/>
            <w:tcMar>
              <w:top w:type="dxa" w:w="80"/>
              <w:left w:type="dxa" w:w="120"/>
              <w:bottom w:type="dxa" w:w="80"/>
              <w:right w:type="dxa" w:w="120"/>
            </w:tcMar>
          </w:tcPr>
          <w:p>
            <w:r>
              <w:rPr>
                <w:rFonts w:ascii="Calibri" w:cs="Calibri" w:hAnsi="Calibri"/>
                <w:sz w:val="20"/>
              </w:rPr>
              <w:t xml:space="preserve">NIS2 Art. 21(b) gestione accessi privilegiati · Linee guida ACN/PSNC gestione identità · Protezione NHI strategica per PA con RPA/AI · Maturità certificata per procurement CONSIP/MePa · Ambienti ibridi AD on-premise + cloud</w:t>
            </w:r>
          </w:p>
        </w:tc>
      </w:tr>
    </w:tbl>
    <w:p>
      <w:pPr>
        <w:spacing w:after="120" w:before="240"/>
      </w:pPr>
    </w:p>
    <w:p>
      <w:pPr>
        <w:pStyle w:val="Heading2"/>
      </w:pPr>
      <w:r>
        <w:rPr>
          <w:rFonts w:ascii="Calibri" w:cs="Calibri" w:eastAsia="Calibri" w:hAnsi="Calibri"/>
          <w:b/>
          <w:color w:val="1F4E79"/>
          <w:sz w:val="24"/>
        </w:rPr>
        <w:t>3. Nozomi Networks Vantage IQ — Update Q2 2026</w:t>
      </w:r>
    </w:p>
    <w:tbl>
      <w:tblPr>
        <w:tblW w:type="dxa" w:w="9026"/>
        <w:tblBorders>
          <w:top w:val="single" w:color="C9C9C9" w:sz="1"/>
          <w:left w:val="single" w:color="C9C9C9" w:sz="1"/>
          <w:bottom w:val="single" w:color="C9C9C9" w:sz="1"/>
          <w:right w:val="single" w:color="C9C9C9" w:sz="1"/>
          <w:insideH w:val="single" w:color="C9C9C9" w:sz="1"/>
          <w:insideV w:val="single" w:color="C9C9C9" w:sz="1"/>
        </w:tblBorders>
      </w:tblPr>
      <w:tblGrid>
        <w:gridCol w:w="2000"/>
        <w:gridCol w:w="7026"/>
      </w:tblGrid>
      <w:tr>
        <w:tc>
          <w:tcPr>
            <w:tcW w:type="dxa" w:w="2000"/>
            <w:shd w:fill="1F4E79" w:val="clear"/>
            <w:tcMar>
              <w:top w:type="dxa" w:w="80"/>
              <w:left w:type="dxa" w:w="120"/>
              <w:bottom w:type="dxa" w:w="80"/>
              <w:right w:type="dxa" w:w="120"/>
            </w:tcMar>
          </w:tcPr>
          <w:p>
            <w:r>
              <w:rPr>
                <w:rFonts w:ascii="Calibri" w:cs="Calibri" w:hAnsi="Calibri"/>
                <w:b/>
                <w:color w:val="FFFFFF"/>
                <w:sz w:val="20"/>
              </w:rPr>
              <w:t>Vendor</w:t>
            </w:r>
          </w:p>
        </w:tc>
        <w:tc>
          <w:tcPr>
            <w:tcW w:type="dxa" w:w="7026"/>
            <w:shd w:fill="DEEAF1" w:val="clear"/>
            <w:tcMar>
              <w:top w:type="dxa" w:w="80"/>
              <w:left w:type="dxa" w:w="120"/>
              <w:bottom w:type="dxa" w:w="80"/>
              <w:right w:type="dxa" w:w="120"/>
            </w:tcMar>
          </w:tcPr>
          <w:p>
            <w:r>
              <w:rPr>
                <w:rFonts w:ascii="Calibri" w:cs="Calibri" w:hAnsi="Calibri"/>
                <w:sz w:val="20"/>
              </w:rPr>
              <w:t>Nozomi Networks (USA/Svizzera, uffici diretti in Italia) · Vantage IQ: 15 gen 2026 · Q2 update: mag/giu 2026</w:t>
            </w:r>
          </w:p>
        </w:tc>
      </w:tr>
      <w:tr>
        <w:tc>
          <w:tcPr>
            <w:tcW w:type="dxa" w:w="2000"/>
            <w:shd w:fill="1F4E79" w:val="clear"/>
            <w:tcMar>
              <w:top w:type="dxa" w:w="80"/>
              <w:left w:type="dxa" w:w="120"/>
              <w:bottom w:type="dxa" w:w="80"/>
              <w:right w:type="dxa" w:w="120"/>
            </w:tcMar>
          </w:tcPr>
          <w:p>
            <w:r>
              <w:rPr>
                <w:rFonts w:ascii="Calibri" w:cs="Calibri" w:hAnsi="Calibri"/>
                <w:b/>
                <w:color w:val="FFFFFF"/>
                <w:sz w:val="20"/>
              </w:rPr>
              <w:t>Ambito</w:t>
            </w:r>
          </w:p>
        </w:tc>
        <w:tc>
          <w:tcPr>
            <w:tcW w:type="dxa" w:w="7026"/>
            <w:shd w:fill="FFFFFF" w:val="clear"/>
            <w:tcMar>
              <w:top w:type="dxa" w:w="80"/>
              <w:left w:type="dxa" w:w="120"/>
              <w:bottom w:type="dxa" w:w="80"/>
              <w:right w:type="dxa" w:w="120"/>
            </w:tcMar>
          </w:tcPr>
          <w:p>
            <w:r>
              <w:rPr>
                <w:rFonts w:ascii="Calibri" w:cs="Calibri" w:hAnsi="Calibri"/>
                <w:sz w:val="20"/>
              </w:rPr>
              <w:t>OT/IoT &amp; Infrastrutture Critiche</w:t>
            </w:r>
          </w:p>
        </w:tc>
      </w:tr>
      <w:tr>
        <w:tc>
          <w:tcPr>
            <w:tcW w:type="dxa" w:w="2000"/>
            <w:shd w:fill="1F4E79" w:val="clear"/>
            <w:tcMar>
              <w:top w:type="dxa" w:w="80"/>
              <w:left w:type="dxa" w:w="120"/>
              <w:bottom w:type="dxa" w:w="80"/>
              <w:right w:type="dxa" w:w="120"/>
            </w:tcMar>
          </w:tcPr>
          <w:p>
            <w:r>
              <w:rPr>
                <w:rFonts w:ascii="Calibri" w:cs="Calibri" w:hAnsi="Calibri"/>
                <w:b/>
                <w:color w:val="FFFFFF"/>
                <w:sz w:val="20"/>
              </w:rPr>
              <w:t>Cosa fa</w:t>
            </w:r>
          </w:p>
        </w:tc>
        <w:tc>
          <w:tcPr>
            <w:tcW w:type="dxa" w:w="7026"/>
            <w:shd w:fill="DEEAF1" w:val="clear"/>
            <w:tcMar>
              <w:top w:type="dxa" w:w="80"/>
              <w:left w:type="dxa" w:w="120"/>
              <w:bottom w:type="dxa" w:w="80"/>
              <w:right w:type="dxa" w:w="120"/>
            </w:tcMar>
          </w:tcPr>
          <w:p>
            <w:r>
              <w:rPr>
                <w:rFonts w:ascii="Calibri" w:cs="Calibri" w:hAnsi="Calibri"/>
                <w:sz w:val="20"/>
              </w:rPr>
              <w:t xml:space="preserve">Vantage IQ è il primo assistente AI privato al mondo per OT/IoT security. Il Q2 2026 update introduce AI Integration Builder (costruisce integrazioni bidirezionali in giorni, non settimane) e Guardian Air per visibilità full-spectrum RF.</w:t>
            </w:r>
          </w:p>
        </w:tc>
      </w:tr>
      <w:tr>
        <w:tc>
          <w:tcPr>
            <w:tcW w:type="dxa" w:w="2000"/>
            <w:shd w:fill="1F4E79" w:val="clear"/>
            <w:tcMar>
              <w:top w:type="dxa" w:w="80"/>
              <w:left w:type="dxa" w:w="120"/>
              <w:bottom w:type="dxa" w:w="80"/>
              <w:right w:type="dxa" w:w="120"/>
            </w:tcMar>
          </w:tcPr>
          <w:p>
            <w:r>
              <w:rPr>
                <w:rFonts w:ascii="Calibri" w:cs="Calibri" w:hAnsi="Calibri"/>
                <w:b/>
                <w:color w:val="FFFFFF"/>
                <w:sz w:val="20"/>
              </w:rPr>
              <w:t>Caratteristiche</w:t>
            </w:r>
          </w:p>
        </w:tc>
        <w:tc>
          <w:tcPr>
            <w:tcW w:type="dxa" w:w="7026"/>
            <w:shd w:fill="FFFFFF" w:val="clear"/>
            <w:tcMar>
              <w:top w:type="dxa" w:w="80"/>
              <w:left w:type="dxa" w:w="120"/>
              <w:bottom w:type="dxa" w:w="80"/>
              <w:right w:type="dxa" w:w="120"/>
            </w:tcMar>
          </w:tcPr>
          <w:p>
            <w:r>
              <w:rPr>
                <w:rFonts w:ascii="Calibri" w:cs="Calibri" w:hAnsi="Calibri"/>
                <w:sz w:val="20"/>
              </w:rPr>
              <w:t xml:space="preserve">LLM privato addestrato su dati OT dell’org · AI triage e investigation guidato · Integration Builder AI-powered (30+ integr. in Q1 2026) · Guardian Air: RF spectrum (Zigbee, LoRa, BLE, 802.15.4) · Passive monitoring agentless · Board-ready reporting · Disponibile su Google Cloud Marketplace</w:t>
            </w:r>
          </w:p>
        </w:tc>
      </w:tr>
      <w:tr>
        <w:tc>
          <w:tcPr>
            <w:tcW w:type="dxa" w:w="2000"/>
            <w:shd w:fill="1F4E79" w:val="clear"/>
            <w:tcMar>
              <w:top w:type="dxa" w:w="80"/>
              <w:left w:type="dxa" w:w="120"/>
              <w:bottom w:type="dxa" w:w="80"/>
              <w:right w:type="dxa" w:w="120"/>
            </w:tcMar>
          </w:tcPr>
          <w:p>
            <w:r>
              <w:rPr>
                <w:rFonts w:ascii="Calibri" w:cs="Calibri" w:hAnsi="Calibri"/>
                <w:b/>
                <w:color w:val="FFFFFF"/>
                <w:sz w:val="20"/>
              </w:rPr>
              <w:t>Rilevanza PA</w:t>
            </w:r>
          </w:p>
        </w:tc>
        <w:tc>
          <w:tcPr>
            <w:tcW w:type="dxa" w:w="7026"/>
            <w:shd w:fill="DEEAF1" w:val="clear"/>
            <w:tcMar>
              <w:top w:type="dxa" w:w="80"/>
              <w:left w:type="dxa" w:w="120"/>
              <w:bottom w:type="dxa" w:w="80"/>
              <w:right w:type="dxa" w:w="120"/>
            </w:tcMar>
          </w:tcPr>
          <w:p>
            <w:r>
              <w:rPr>
                <w:rFonts w:ascii="Calibri" w:cs="Calibri" w:hAnsi="Calibri"/>
                <w:sz w:val="20"/>
              </w:rPr>
              <w:t xml:space="preserve">Inventario asset OT richiesto da NIS2/ACN (scadenza 30 giu 2026) · PSNC: energia, sanità, trasporti priorità assoluta · Integration Builder accelera deploy con SIEM PA esistenti · GSE, Terna, RFI, ENAV, SSN: target primario · Dati OT mai fuori dall’ambiente (LLM privato)</w:t>
            </w:r>
          </w:p>
        </w:tc>
      </w:tr>
    </w:tbl>
    <w:p>
      <w:pPr>
        <w:spacing w:after="120" w:before="240"/>
      </w:pPr>
    </w:p>
    <w:p>
      <w:pPr>
        <w:pStyle w:val="Heading2"/>
      </w:pPr>
      <w:r>
        <w:rPr>
          <w:rFonts w:ascii="Calibri" w:cs="Calibri" w:eastAsia="Calibri" w:hAnsi="Calibri"/>
          <w:b/>
          <w:color w:val="1F4E79"/>
          <w:sz w:val="24"/>
        </w:rPr>
        <w:t>Segnali da tenere d’occhio</w:t>
      </w:r>
    </w:p>
    <w:tbl>
      <w:tblPr>
        <w:tblW w:type="dxa" w:w="9026"/>
        <w:tblBorders>
          <w:top w:val="single" w:color="C9C9C9" w:sz="1"/>
          <w:left w:val="single" w:color="C9C9C9" w:sz="1"/>
          <w:bottom w:val="single" w:color="C9C9C9" w:sz="1"/>
          <w:right w:val="single" w:color="C9C9C9" w:sz="1"/>
          <w:insideH w:val="single" w:color="C9C9C9" w:sz="1"/>
          <w:insideV w:val="single" w:color="C9C9C9" w:sz="1"/>
        </w:tblBorders>
      </w:tblPr>
      <w:tblGrid>
        <w:gridCol w:w="3500"/>
        <w:gridCol w:w="3500"/>
        <w:gridCol w:w="2026"/>
      </w:tblGrid>
      <w:tr>
        <w:tc>
          <w:tcPr>
            <w:tcW w:type="dxa" w:w="3500"/>
            <w:shd w:fill="1F4E79" w:val="clear"/>
            <w:tcMar>
              <w:top w:type="dxa" w:w="80"/>
              <w:left w:type="dxa" w:w="120"/>
              <w:bottom w:type="dxa" w:w="80"/>
              <w:right w:type="dxa" w:w="120"/>
            </w:tcMar>
          </w:tcPr>
          <w:p>
            <w:r>
              <w:rPr>
                <w:rFonts w:ascii="Calibri" w:cs="Calibri" w:hAnsi="Calibri"/>
                <w:b/>
                <w:color w:val="FFFFFF"/>
                <w:sz w:val="20"/>
              </w:rPr>
              <w:t>Segnale</w:t>
            </w:r>
          </w:p>
        </w:tc>
        <w:tc>
          <w:tcPr>
            <w:tcW w:type="dxa" w:w="3500"/>
            <w:shd w:fill="1F4E79" w:val="clear"/>
            <w:tcMar>
              <w:top w:type="dxa" w:w="80"/>
              <w:left w:type="dxa" w:w="120"/>
              <w:bottom w:type="dxa" w:w="80"/>
              <w:right w:type="dxa" w:w="120"/>
            </w:tcMar>
          </w:tcPr>
          <w:p>
            <w:r>
              <w:rPr>
                <w:rFonts w:ascii="Calibri" w:cs="Calibri" w:hAnsi="Calibri"/>
                <w:b/>
                <w:color w:val="FFFFFF"/>
                <w:sz w:val="20"/>
              </w:rPr>
              <w:t>Impatto atteso</w:t>
            </w:r>
          </w:p>
        </w:tc>
        <w:tc>
          <w:tcPr>
            <w:tcW w:type="dxa" w:w="2026"/>
            <w:shd w:fill="1F4E79" w:val="clear"/>
            <w:tcMar>
              <w:top w:type="dxa" w:w="80"/>
              <w:left w:type="dxa" w:w="120"/>
              <w:bottom w:type="dxa" w:w="80"/>
              <w:right w:type="dxa" w:w="120"/>
            </w:tcMar>
          </w:tcPr>
          <w:p>
            <w:r>
              <w:rPr>
                <w:rFonts w:ascii="Calibri" w:cs="Calibri" w:hAnsi="Calibri"/>
                <w:b/>
                <w:color w:val="FFFFFF"/>
                <w:sz w:val="20"/>
              </w:rPr>
              <w:t>Orizzonte</w:t>
            </w:r>
          </w:p>
        </w:tc>
      </w:tr>
      <w:tr>
        <w:tc>
          <w:tcPr>
            <w:tcW w:type="dxa" w:w="3500"/>
            <w:shd w:fill="DEEAF1" w:val="clear"/>
            <w:tcMar>
              <w:top w:type="dxa" w:w="80"/>
              <w:left w:type="dxa" w:w="120"/>
              <w:bottom w:type="dxa" w:w="80"/>
              <w:right w:type="dxa" w:w="120"/>
            </w:tcMar>
          </w:tcPr>
          <w:p>
            <w:r>
              <w:rPr>
                <w:rFonts w:ascii="Calibri" w:cs="Calibri" w:hAnsi="Calibri"/>
                <w:sz w:val="20"/>
              </w:rPr>
              <w:t>Scadenza NIS2/ACN categorizzazione 30 giu 2026</w:t>
            </w:r>
          </w:p>
        </w:tc>
        <w:tc>
          <w:tcPr>
            <w:tcW w:type="dxa" w:w="3500"/>
            <w:shd w:fill="FFFFFF" w:val="clear"/>
            <w:tcMar>
              <w:top w:type="dxa" w:w="80"/>
              <w:left w:type="dxa" w:w="120"/>
              <w:bottom w:type="dxa" w:w="80"/>
              <w:right w:type="dxa" w:w="120"/>
            </w:tcMar>
          </w:tcPr>
          <w:p>
            <w:r>
              <w:rPr>
                <w:rFonts w:ascii="Calibri" w:cs="Calibri" w:hAnsi="Calibri"/>
                <w:sz w:val="20"/>
              </w:rPr>
              <w:t>Accelerazione acquisti tool inventory/assessment PA</w:t>
            </w:r>
          </w:p>
        </w:tc>
        <w:tc>
          <w:tcPr>
            <w:tcW w:type="dxa" w:w="2026"/>
            <w:shd w:fill="DEEAF1" w:val="clear"/>
            <w:tcMar>
              <w:top w:type="dxa" w:w="80"/>
              <w:left w:type="dxa" w:w="120"/>
              <w:bottom w:type="dxa" w:w="80"/>
              <w:right w:type="dxa" w:w="120"/>
            </w:tcMar>
          </w:tcPr>
          <w:p>
            <w:r>
              <w:rPr>
                <w:rFonts w:ascii="Calibri" w:cs="Calibri" w:hAnsi="Calibri"/>
                <w:sz w:val="20"/>
              </w:rPr>
              <w:t>Immediato</w:t>
            </w:r>
          </w:p>
        </w:tc>
      </w:tr>
      <w:tr>
        <w:tc>
          <w:tcPr>
            <w:tcW w:type="dxa" w:w="3500"/>
            <w:shd w:fill="DEEAF1" w:val="clear"/>
            <w:tcMar>
              <w:top w:type="dxa" w:w="80"/>
              <w:left w:type="dxa" w:w="120"/>
              <w:bottom w:type="dxa" w:w="80"/>
              <w:right w:type="dxa" w:w="120"/>
            </w:tcMar>
          </w:tcPr>
          <w:p>
            <w:r>
              <w:rPr>
                <w:rFonts w:ascii="Calibri" w:cs="Calibri" w:hAnsi="Calibri"/>
                <w:sz w:val="20"/>
              </w:rPr>
              <w:t>Forum PA 2026 (9-11 giu, Roma) — ACN roadmap linee guida settoriali</w:t>
            </w:r>
          </w:p>
        </w:tc>
        <w:tc>
          <w:tcPr>
            <w:tcW w:type="dxa" w:w="3500"/>
            <w:shd w:fill="FFFFFF" w:val="clear"/>
            <w:tcMar>
              <w:top w:type="dxa" w:w="80"/>
              <w:left w:type="dxa" w:w="120"/>
              <w:bottom w:type="dxa" w:w="80"/>
              <w:right w:type="dxa" w:w="120"/>
            </w:tcMar>
          </w:tcPr>
          <w:p>
            <w:r>
              <w:rPr>
                <w:rFonts w:ascii="Calibri" w:cs="Calibri" w:hAnsi="Calibri"/>
                <w:sz w:val="20"/>
              </w:rPr>
              <w:t>Nuovi requisiti tecnici settoriali in arrivo</w:t>
            </w:r>
          </w:p>
        </w:tc>
        <w:tc>
          <w:tcPr>
            <w:tcW w:type="dxa" w:w="2026"/>
            <w:shd w:fill="DEEAF1" w:val="clear"/>
            <w:tcMar>
              <w:top w:type="dxa" w:w="80"/>
              <w:left w:type="dxa" w:w="120"/>
              <w:bottom w:type="dxa" w:w="80"/>
              <w:right w:type="dxa" w:w="120"/>
            </w:tcMar>
          </w:tcPr>
          <w:p>
            <w:r>
              <w:rPr>
                <w:rFonts w:ascii="Calibri" w:cs="Calibri" w:hAnsi="Calibri"/>
                <w:sz w:val="20"/>
              </w:rPr>
              <w:t>Questa settimana</w:t>
            </w:r>
          </w:p>
        </w:tc>
      </w:tr>
      <w:tr>
        <w:tc>
          <w:tcPr>
            <w:tcW w:type="dxa" w:w="3500"/>
            <w:shd w:fill="DEEAF1" w:val="clear"/>
            <w:tcMar>
              <w:top w:type="dxa" w:w="80"/>
              <w:left w:type="dxa" w:w="120"/>
              <w:bottom w:type="dxa" w:w="80"/>
              <w:right w:type="dxa" w:w="120"/>
            </w:tcMar>
          </w:tcPr>
          <w:p>
            <w:r>
              <w:rPr>
                <w:rFonts w:ascii="Calibri" w:cs="Calibri" w:hAnsi="Calibri"/>
                <w:sz w:val="20"/>
              </w:rPr>
              <w:t>Zero Standing Privilege come nuovo standard: pressione su PAM tradizionali</w:t>
            </w:r>
          </w:p>
        </w:tc>
        <w:tc>
          <w:tcPr>
            <w:tcW w:type="dxa" w:w="3500"/>
            <w:shd w:fill="FFFFFF" w:val="clear"/>
            <w:tcMar>
              <w:top w:type="dxa" w:w="80"/>
              <w:left w:type="dxa" w:w="120"/>
              <w:bottom w:type="dxa" w:w="80"/>
              <w:right w:type="dxa" w:w="120"/>
            </w:tcMar>
          </w:tcPr>
          <w:p>
            <w:r>
              <w:rPr>
                <w:rFonts w:ascii="Calibri" w:cs="Calibri" w:hAnsi="Calibri"/>
                <w:sz w:val="20"/>
              </w:rPr>
              <w:t>Possibile sostituzione CyberArk/BeyondTrust in favore di soluzioni dinamiche</w:t>
            </w:r>
          </w:p>
        </w:tc>
        <w:tc>
          <w:tcPr>
            <w:tcW w:type="dxa" w:w="2026"/>
            <w:shd w:fill="DEEAF1" w:val="clear"/>
            <w:tcMar>
              <w:top w:type="dxa" w:w="80"/>
              <w:left w:type="dxa" w:w="120"/>
              <w:bottom w:type="dxa" w:w="80"/>
              <w:right w:type="dxa" w:w="120"/>
            </w:tcMar>
          </w:tcPr>
          <w:p>
            <w:r>
              <w:rPr>
                <w:rFonts w:ascii="Calibri" w:cs="Calibri" w:hAnsi="Calibri"/>
                <w:sz w:val="20"/>
              </w:rPr>
              <w:t>12-18 mesi</w:t>
            </w:r>
          </w:p>
        </w:tc>
      </w:tr>
    </w:tbl>
    <w:p>
      <w:pPr>
        <w:spacing w:after="120" w:before="240"/>
      </w:pPr>
    </w:p>
    <w:p>
      <w:pPr>
        <w:spacing w:after="60" w:before="60"/>
        <w:jc w:val="center"/>
      </w:pPr>
      <w:r>
        <w:rPr>
          <w:rFonts w:ascii="Calibri" w:cs="Calibri" w:eastAsia="Calibri" w:hAnsi="Calibri"/>
          <w:i/>
          <w:color w:val="595959"/>
          <w:sz w:val="18"/>
        </w:rPr>
        <w:t xml:space="preserve">Prossimo briefing: 14 giugno 2026 · Generato automaticamente da Claude · Cowork</w:t>
      </w:r>
    </w:p>
    <w:p>
      <w:r>
        <w:br w:type="page"/>
      </w:r>
    </w:p>
    <w:p>
      <w:pPr>
        <w:pStyle w:val="Heading1"/>
      </w:pPr>
      <w:bookmarkStart w:name="bm_w22" w:id="200"/>
      <w:r>
        <w:rPr>
          <w:rFonts w:ascii="Calibri" w:cs="Calibri" w:eastAsia="Calibri" w:hAnsi="Calibri"/>
          <w:b/>
          <w:bCs/>
          <w:color w:val="1F4E79"/>
          <w:sz w:val="28"/>
          <w:szCs w:val="28"/>
        </w:rPr>
        <w:t xml:space="preserve">W22 · 31 maggio 2026</w:t>
      </w:r>
      <w:bookmarkEnd w:id="20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2"/>
        <w:gridCol w:w="2252"/>
        <w:gridCol w:w="2251"/>
        <w:gridCol w:w="2271"/>
      </w:tblGrid>
      <w:tr>
        <w:tc>
          <w:tcPr>
            <w:tcW w:type="dxa" w:w="2252"/>
            <w:tcBorders>
              <w:top w:val="single" w:color="C9C9C9" w:sz="1"/>
              <w:left w:val="single" w:color="C9C9C9" w:sz="1"/>
              <w:bottom w:val="single" w:color="C9C9C9" w:sz="1"/>
              <w:right w:val="single" w:color="C9C9C9" w:sz="1"/>
            </w:tcBorders>
            <w:shd w:fill="DEEAF1" w:val="clear"/>
            <w:tcMar>
              <w:top w:type="dxa" w:w="80"/>
              <w:left w:type="dxa" w:w="120"/>
              <w:bottom w:type="dxa" w:w="80"/>
              <w:right w:type="dxa" w:w="120"/>
            </w:tcMar>
          </w:tcPr>
          <w:p>
            <w:r>
              <w:rPr>
                <w:rFonts w:ascii="Calibri" w:cs="Calibri" w:eastAsia="Calibri" w:hAnsi="Calibri"/>
                <w:b/>
                <w:color w:val="1F4E79"/>
                <w:sz w:val="20"/>
              </w:rPr>
              <w:t>Data</w:t>
            </w:r>
          </w:p>
          <w:p>
            <w:r>
              <w:rPr>
                <w:rFonts w:ascii="Calibri" w:cs="Calibri" w:eastAsia="Calibri" w:hAnsi="Calibri"/>
                <w:sz w:val="20"/>
              </w:rPr>
              <w:t>31 maggio 2026</w:t>
            </w:r>
          </w:p>
        </w:tc>
        <w:tc>
          <w:tcPr>
            <w:tcW w:type="dxa" w:w="2252"/>
            <w:tcBorders>
              <w:top w:val="single" w:color="C9C9C9" w:sz="1"/>
              <w:left w:val="single" w:color="C9C9C9" w:sz="1"/>
              <w:bottom w:val="single" w:color="C9C9C9" w:sz="1"/>
              <w:right w:val="single" w:color="C9C9C9" w:sz="1"/>
            </w:tcBorders>
            <w:shd w:fill="DEEAF1" w:val="clear"/>
            <w:tcMar>
              <w:top w:type="dxa" w:w="80"/>
              <w:left w:type="dxa" w:w="120"/>
              <w:bottom w:type="dxa" w:w="80"/>
              <w:right w:type="dxa" w:w="120"/>
            </w:tcMar>
          </w:tcPr>
          <w:p>
            <w:r>
              <w:rPr>
                <w:rFonts w:ascii="Calibri" w:cs="Calibri" w:eastAsia="Calibri" w:hAnsi="Calibri"/>
                <w:b/>
                <w:color w:val="1F4E79"/>
                <w:sz w:val="20"/>
              </w:rPr>
              <w:t>Settimana</w:t>
            </w:r>
          </w:p>
          <w:p>
            <w:r>
              <w:rPr>
                <w:rFonts w:ascii="Calibri" w:cs="Calibri" w:eastAsia="Calibri" w:hAnsi="Calibri"/>
                <w:sz w:val="20"/>
              </w:rPr>
              <w:t>W22 2026</w:t>
            </w:r>
          </w:p>
        </w:tc>
        <w:tc>
          <w:tcPr>
            <w:tcW w:type="dxa" w:w="2251"/>
            <w:tcBorders>
              <w:top w:val="single" w:color="C9C9C9" w:sz="1"/>
              <w:left w:val="single" w:color="C9C9C9" w:sz="1"/>
              <w:bottom w:val="single" w:color="C9C9C9" w:sz="1"/>
              <w:right w:val="single" w:color="C9C9C9" w:sz="1"/>
            </w:tcBorders>
            <w:shd w:fill="DEEAF1" w:val="clear"/>
            <w:tcMar>
              <w:top w:type="dxa" w:w="80"/>
              <w:left w:type="dxa" w:w="120"/>
              <w:bottom w:type="dxa" w:w="80"/>
              <w:right w:type="dxa" w:w="120"/>
            </w:tcMar>
          </w:tcPr>
          <w:p>
            <w:r>
              <w:rPr>
                <w:rFonts w:ascii="Calibri" w:cs="Calibri" w:eastAsia="Calibri" w:hAnsi="Calibri"/>
                <w:b/>
                <w:color w:val="1F4E79"/>
                <w:sz w:val="20"/>
              </w:rPr>
              <w:t>Ambiti</w:t>
            </w:r>
          </w:p>
          <w:p>
            <w:r>
              <w:rPr>
                <w:rFonts w:ascii="Calibri" w:cs="Calibri" w:eastAsia="Calibri" w:hAnsi="Calibri"/>
                <w:sz w:val="20"/>
              </w:rPr>
              <w:t>AI/SIEM · OT/IoT · Network</w:t>
            </w:r>
          </w:p>
        </w:tc>
        <w:tc>
          <w:tcPr>
            <w:tcW w:type="dxa" w:w="2271"/>
            <w:tcBorders>
              <w:top w:val="single" w:color="C9C9C9" w:sz="1"/>
              <w:left w:val="single" w:color="C9C9C9" w:sz="1"/>
              <w:bottom w:val="single" w:color="C9C9C9" w:sz="1"/>
              <w:right w:val="single" w:color="C9C9C9" w:sz="1"/>
            </w:tcBorders>
            <w:shd w:fill="DEEAF1" w:val="clear"/>
            <w:tcMar>
              <w:top w:type="dxa" w:w="80"/>
              <w:left w:type="dxa" w:w="120"/>
              <w:bottom w:type="dxa" w:w="80"/>
              <w:right w:type="dxa" w:w="120"/>
            </w:tcMar>
          </w:tcPr>
          <w:p>
            <w:r>
              <w:rPr>
                <w:rFonts w:ascii="Calibri" w:cs="Calibri" w:eastAsia="Calibri" w:hAnsi="Calibri"/>
                <w:b/>
                <w:color w:val="1F4E79"/>
                <w:sz w:val="20"/>
              </w:rPr>
              <w:t>Target</w:t>
            </w:r>
          </w:p>
          <w:p>
            <w:r>
              <w:rPr>
                <w:rFonts w:ascii="Calibri" w:cs="Calibri" w:eastAsia="Calibri" w:hAnsi="Calibri"/>
                <w:sz w:val="20"/>
              </w:rPr>
              <w:t>Enterprise · Mid-market · PA Centrale</w:t>
            </w:r>
          </w:p>
        </w:tc>
      </w:tr>
    </w:tbl>
    <w:p>
      <w:pPr>
        <w:spacing w:after="120" w:before="240"/>
      </w:pPr>
    </w:p>
    <w:p>
      <w:pPr>
        <w:pStyle w:val="Heading2"/>
      </w:pPr>
      <w:r>
        <w:rPr>
          <w:rFonts w:ascii="Calibri" w:cs="Calibri" w:eastAsia="Calibri" w:hAnsi="Calibri"/>
          <w:b/>
          <w:color w:val="1F4E79"/>
          <w:sz w:val="24"/>
        </w:rPr>
        <w:t>1. Databricks Lakewatch — SIEM Open Agentico</w:t>
      </w:r>
    </w:p>
    <w:tbl>
      <w:tblPr>
        <w:tblW w:type="dxa" w:w="9026"/>
        <w:tblBorders>
          <w:top w:val="single" w:color="C9C9C9" w:sz="1"/>
          <w:left w:val="single" w:color="C9C9C9" w:sz="1"/>
          <w:bottom w:val="single" w:color="C9C9C9" w:sz="1"/>
          <w:right w:val="single" w:color="C9C9C9" w:sz="1"/>
          <w:insideH w:val="single" w:color="C9C9C9" w:sz="1"/>
          <w:insideV w:val="single" w:color="C9C9C9" w:sz="1"/>
        </w:tblBorders>
      </w:tblPr>
      <w:tblGrid>
        <w:gridCol w:w="2000"/>
        <w:gridCol w:w="7026"/>
      </w:tblGrid>
      <w:tr>
        <w:tc>
          <w:tcPr>
            <w:tcW w:type="dxa" w:w="2000"/>
            <w:shd w:fill="1F4E79" w:val="clear"/>
            <w:tcMar>
              <w:top w:type="dxa" w:w="80"/>
              <w:left w:type="dxa" w:w="120"/>
              <w:bottom w:type="dxa" w:w="80"/>
              <w:right w:type="dxa" w:w="120"/>
            </w:tcMar>
          </w:tcPr>
          <w:p>
            <w:r>
              <w:rPr>
                <w:rFonts w:ascii="Calibri" w:cs="Calibri" w:hAnsi="Calibri"/>
                <w:b/>
                <w:color w:val="FFFFFF"/>
                <w:sz w:val="20"/>
              </w:rPr>
              <w:t>Vendor</w:t>
            </w:r>
          </w:p>
        </w:tc>
        <w:tc>
          <w:tcPr>
            <w:tcW w:type="dxa" w:w="7026"/>
            <w:shd w:fill="DEEAF1" w:val="clear"/>
            <w:tcMar>
              <w:top w:type="dxa" w:w="80"/>
              <w:left w:type="dxa" w:w="120"/>
              <w:bottom w:type="dxa" w:w="80"/>
              <w:right w:type="dxa" w:w="120"/>
            </w:tcMar>
          </w:tcPr>
          <w:p>
            <w:r>
              <w:rPr>
                <w:rFonts w:ascii="Calibri" w:cs="Calibri" w:hAnsi="Calibri"/>
                <w:sz w:val="20"/>
              </w:rPr>
              <w:t>Databricks (USA) · Annuncio: 24 marzo 2026, Private Preview</w:t>
            </w:r>
          </w:p>
        </w:tc>
      </w:tr>
      <w:tr>
        <w:tc>
          <w:tcPr>
            <w:tcW w:type="dxa" w:w="2000"/>
            <w:shd w:fill="1F4E79" w:val="clear"/>
            <w:tcMar>
              <w:top w:type="dxa" w:w="80"/>
              <w:left w:type="dxa" w:w="120"/>
              <w:bottom w:type="dxa" w:w="80"/>
              <w:right w:type="dxa" w:w="120"/>
            </w:tcMar>
          </w:tcPr>
          <w:p>
            <w:r>
              <w:rPr>
                <w:rFonts w:ascii="Calibri" w:cs="Calibri" w:hAnsi="Calibri"/>
                <w:b/>
                <w:color w:val="FFFFFF"/>
                <w:sz w:val="20"/>
              </w:rPr>
              <w:t>Ambito</w:t>
            </w:r>
          </w:p>
        </w:tc>
        <w:tc>
          <w:tcPr>
            <w:tcW w:type="dxa" w:w="7026"/>
            <w:shd w:fill="FFFFFF" w:val="clear"/>
            <w:tcMar>
              <w:top w:type="dxa" w:w="80"/>
              <w:left w:type="dxa" w:w="120"/>
              <w:bottom w:type="dxa" w:w="80"/>
              <w:right w:type="dxa" w:w="120"/>
            </w:tcMar>
          </w:tcPr>
          <w:p>
            <w:r>
              <w:rPr>
                <w:rFonts w:ascii="Calibri" w:cs="Calibri" w:hAnsi="Calibri"/>
                <w:sz w:val="20"/>
              </w:rPr>
              <w:t>AI &amp; Threat Intelligence / SIEM next-gen</w:t>
            </w:r>
          </w:p>
        </w:tc>
      </w:tr>
      <w:tr>
        <w:tc>
          <w:tcPr>
            <w:tcW w:type="dxa" w:w="2000"/>
            <w:shd w:fill="1F4E79" w:val="clear"/>
            <w:tcMar>
              <w:top w:type="dxa" w:w="80"/>
              <w:left w:type="dxa" w:w="120"/>
              <w:bottom w:type="dxa" w:w="80"/>
              <w:right w:type="dxa" w:w="120"/>
            </w:tcMar>
          </w:tcPr>
          <w:p>
            <w:r>
              <w:rPr>
                <w:rFonts w:ascii="Calibri" w:cs="Calibri" w:hAnsi="Calibri"/>
                <w:b/>
                <w:color w:val="FFFFFF"/>
                <w:sz w:val="20"/>
              </w:rPr>
              <w:t>Cosa fa</w:t>
            </w:r>
          </w:p>
        </w:tc>
        <w:tc>
          <w:tcPr>
            <w:tcW w:type="dxa" w:w="7026"/>
            <w:shd w:fill="DEEAF1" w:val="clear"/>
            <w:tcMar>
              <w:top w:type="dxa" w:w="80"/>
              <w:left w:type="dxa" w:w="120"/>
              <w:bottom w:type="dxa" w:w="80"/>
              <w:right w:type="dxa" w:w="120"/>
            </w:tcMar>
          </w:tcPr>
          <w:p>
            <w:r>
              <w:rPr>
                <w:rFonts w:ascii="Calibri" w:cs="Calibri" w:hAnsi="Calibri"/>
                <w:sz w:val="20"/>
              </w:rPr>
              <w:t xml:space="preserve">SIEM di nuova generazione basato su lakehouse. Unifica dati sicurezza, IT e business per rilevamento minacce a scala petabyte con agenti AI personalizzabili. TCO dichiarato -80% vs SIEM legacy. Powered by Anthropic Claude per correlazione cross-domain.</w:t>
            </w:r>
          </w:p>
        </w:tc>
      </w:tr>
      <w:tr>
        <w:tc>
          <w:tcPr>
            <w:tcW w:type="dxa" w:w="2000"/>
            <w:shd w:fill="1F4E79" w:val="clear"/>
            <w:tcMar>
              <w:top w:type="dxa" w:w="80"/>
              <w:left w:type="dxa" w:w="120"/>
              <w:bottom w:type="dxa" w:w="80"/>
              <w:right w:type="dxa" w:w="120"/>
            </w:tcMar>
          </w:tcPr>
          <w:p>
            <w:r>
              <w:rPr>
                <w:rFonts w:ascii="Calibri" w:cs="Calibri" w:hAnsi="Calibri"/>
                <w:b/>
                <w:color w:val="FFFFFF"/>
                <w:sz w:val="20"/>
              </w:rPr>
              <w:t>Infrastruttura</w:t>
            </w:r>
          </w:p>
        </w:tc>
        <w:tc>
          <w:tcPr>
            <w:tcW w:type="dxa" w:w="7026"/>
            <w:shd w:fill="FFFFFF" w:val="clear"/>
            <w:tcMar>
              <w:top w:type="dxa" w:w="80"/>
              <w:left w:type="dxa" w:w="120"/>
              <w:bottom w:type="dxa" w:w="80"/>
              <w:right w:type="dxa" w:w="120"/>
            </w:tcMar>
          </w:tcPr>
          <w:p>
            <w:r>
              <w:rPr>
                <w:rFonts w:ascii="Calibri" w:cs="Calibri" w:hAnsi="Calibri"/>
                <w:sz w:val="20"/>
              </w:rPr>
              <w:t xml:space="preserve">Cloud-native SaaS su Databricks Unity Catalog. Architettura Delta Lake + AI. Open OCSF, no vendor lock-in. Lakeflow Connect per ingestione automatizzata (AWS, Okta, Zscaler). Long-term retention su object storage.</w:t>
            </w:r>
          </w:p>
        </w:tc>
      </w:tr>
      <w:tr>
        <w:tc>
          <w:tcPr>
            <w:tcW w:type="dxa" w:w="2000"/>
            <w:shd w:fill="1F4E79" w:val="clear"/>
            <w:tcMar>
              <w:top w:type="dxa" w:w="80"/>
              <w:left w:type="dxa" w:w="120"/>
              <w:bottom w:type="dxa" w:w="80"/>
              <w:right w:type="dxa" w:w="120"/>
            </w:tcMar>
          </w:tcPr>
          <w:p>
            <w:r>
              <w:rPr>
                <w:rFonts w:ascii="Calibri" w:cs="Calibri" w:hAnsi="Calibri"/>
                <w:b/>
                <w:color w:val="FFFFFF"/>
                <w:sz w:val="20"/>
              </w:rPr>
              <w:t>Target &amp; PA</w:t>
            </w:r>
          </w:p>
        </w:tc>
        <w:tc>
          <w:tcPr>
            <w:tcW w:type="dxa" w:w="7026"/>
            <w:shd w:fill="DEEAF1" w:val="clear"/>
            <w:tcMar>
              <w:top w:type="dxa" w:w="80"/>
              <w:left w:type="dxa" w:w="120"/>
              <w:bottom w:type="dxa" w:w="80"/>
              <w:right w:type="dxa" w:w="120"/>
            </w:tcMar>
          </w:tcPr>
          <w:p>
            <w:r>
              <w:rPr>
                <w:rFonts w:ascii="Calibri" w:cs="Calibri" w:hAnsi="Calibri"/>
                <w:sz w:val="20"/>
              </w:rPr>
              <w:t xml:space="preserve">Enterprise e large mid-market. PA Centrale con cloud ibrido: conformità NIS2/DORA nativa, audit trail immutabile. Richiede qualificazione ACN Cloud PA (da verificare). Non adatto a PA solo on-premise.</w:t>
            </w:r>
          </w:p>
        </w:tc>
      </w:tr>
      <w:tr>
        <w:tc>
          <w:tcPr>
            <w:tcW w:type="dxa" w:w="2000"/>
            <w:shd w:fill="1F4E79" w:val="clear"/>
            <w:tcMar>
              <w:top w:type="dxa" w:w="80"/>
              <w:left w:type="dxa" w:w="120"/>
              <w:bottom w:type="dxa" w:w="80"/>
              <w:right w:type="dxa" w:w="120"/>
            </w:tcMar>
          </w:tcPr>
          <w:p>
            <w:r>
              <w:rPr>
                <w:rFonts w:ascii="Calibri" w:cs="Calibri" w:hAnsi="Calibri"/>
                <w:b/>
                <w:color w:val="FFFFFF"/>
                <w:sz w:val="20"/>
              </w:rPr>
              <w:t>Perché ora</w:t>
            </w:r>
          </w:p>
        </w:tc>
        <w:tc>
          <w:tcPr>
            <w:tcW w:type="dxa" w:w="7026"/>
            <w:shd w:fill="FFFFFF" w:val="clear"/>
            <w:tcMar>
              <w:top w:type="dxa" w:w="80"/>
              <w:left w:type="dxa" w:w="120"/>
              <w:bottom w:type="dxa" w:w="80"/>
              <w:right w:type="dxa" w:w="120"/>
            </w:tcMar>
          </w:tcPr>
          <w:p>
            <w:r>
              <w:rPr>
                <w:rFonts w:ascii="Calibri" w:cs="Calibri" w:hAnsi="Calibri"/>
                <w:sz w:val="20"/>
              </w:rPr>
              <w:t xml:space="preserve">Crisi di costi SIEM (Splunk post-Cisco). La scadenza NIS2 ACN del 31 maggio impone dimostrazione di capacità monitoring incidenti. Disruption diretta su Splunk, IBM QRadar e Microsoft Sentinel per volumi elevati.</w:t>
            </w:r>
          </w:p>
        </w:tc>
      </w:tr>
    </w:tbl>
    <w:p>
      <w:pPr>
        <w:spacing w:after="120" w:before="120"/>
      </w:pPr>
    </w:p>
    <w:p>
      <w:pPr>
        <w:pStyle w:val="Heading2"/>
      </w:pPr>
      <w:r>
        <w:rPr>
          <w:rFonts w:ascii="Calibri" w:cs="Calibri" w:eastAsia="Calibri" w:hAnsi="Calibri"/>
          <w:b/>
          <w:color w:val="1F4E79"/>
          <w:sz w:val="24"/>
        </w:rPr>
        <w:t>2. ManageEngine Log360 Cloud — SIEM con Native SOAR</w:t>
      </w:r>
    </w:p>
    <w:tbl>
      <w:tblPr>
        <w:tblW w:type="dxa" w:w="9026"/>
        <w:tblBorders>
          <w:top w:val="single" w:color="C9C9C9" w:sz="1"/>
          <w:left w:val="single" w:color="C9C9C9" w:sz="1"/>
          <w:bottom w:val="single" w:color="C9C9C9" w:sz="1"/>
          <w:right w:val="single" w:color="C9C9C9" w:sz="1"/>
          <w:insideH w:val="single" w:color="C9C9C9" w:sz="1"/>
          <w:insideV w:val="single" w:color="C9C9C9" w:sz="1"/>
        </w:tblBorders>
      </w:tblPr>
      <w:tblGrid>
        <w:gridCol w:w="2000"/>
        <w:gridCol w:w="7026"/>
      </w:tblGrid>
      <w:tr>
        <w:tc>
          <w:tcPr>
            <w:tcW w:type="dxa" w:w="2000"/>
            <w:shd w:fill="1F4E79" w:val="clear"/>
            <w:tcMar>
              <w:top w:type="dxa" w:w="80"/>
              <w:left w:type="dxa" w:w="120"/>
              <w:bottom w:type="dxa" w:w="80"/>
              <w:right w:type="dxa" w:w="120"/>
            </w:tcMar>
          </w:tcPr>
          <w:p>
            <w:r>
              <w:rPr>
                <w:rFonts w:ascii="Calibri" w:cs="Calibri" w:hAnsi="Calibri"/>
                <w:b/>
                <w:color w:val="FFFFFF"/>
                <w:sz w:val="20"/>
              </w:rPr>
              <w:t>Vendor</w:t>
            </w:r>
          </w:p>
        </w:tc>
        <w:tc>
          <w:tcPr>
            <w:tcW w:type="dxa" w:w="7026"/>
            <w:shd w:fill="DEEAF1" w:val="clear"/>
            <w:tcMar>
              <w:top w:type="dxa" w:w="80"/>
              <w:left w:type="dxa" w:w="120"/>
              <w:bottom w:type="dxa" w:w="80"/>
              <w:right w:type="dxa" w:w="120"/>
            </w:tcMar>
          </w:tcPr>
          <w:p>
            <w:r>
              <w:rPr>
                <w:rFonts w:ascii="Calibri" w:cs="Calibri" w:hAnsi="Calibri"/>
                <w:sz w:val="20"/>
              </w:rPr>
              <w:t>ManageEngine / Zoho Corporation (India) · Annuncio: 12 maggio 2026, GA immediata</w:t>
            </w:r>
          </w:p>
        </w:tc>
      </w:tr>
      <w:tr>
        <w:tc>
          <w:tcPr>
            <w:tcW w:type="dxa" w:w="2000"/>
            <w:shd w:fill="1F4E79" w:val="clear"/>
            <w:tcMar>
              <w:top w:type="dxa" w:w="80"/>
              <w:left w:type="dxa" w:w="120"/>
              <w:bottom w:type="dxa" w:w="80"/>
              <w:right w:type="dxa" w:w="120"/>
            </w:tcMar>
          </w:tcPr>
          <w:p>
            <w:r>
              <w:rPr>
                <w:rFonts w:ascii="Calibri" w:cs="Calibri" w:hAnsi="Calibri"/>
                <w:b/>
                <w:color w:val="FFFFFF"/>
                <w:sz w:val="20"/>
              </w:rPr>
              <w:t>Ambito</w:t>
            </w:r>
          </w:p>
        </w:tc>
        <w:tc>
          <w:tcPr>
            <w:tcW w:type="dxa" w:w="7026"/>
            <w:shd w:fill="FFFFFF" w:val="clear"/>
            <w:tcMar>
              <w:top w:type="dxa" w:w="80"/>
              <w:left w:type="dxa" w:w="120"/>
              <w:bottom w:type="dxa" w:w="80"/>
              <w:right w:type="dxa" w:w="120"/>
            </w:tcMar>
          </w:tcPr>
          <w:p>
            <w:r>
              <w:rPr>
                <w:rFonts w:ascii="Calibri" w:cs="Calibri" w:hAnsi="Calibri"/>
                <w:sz w:val="20"/>
              </w:rPr>
              <w:t>AI &amp; Threat Intelligence / SIEM+SOAR</w:t>
            </w:r>
          </w:p>
        </w:tc>
      </w:tr>
      <w:tr>
        <w:tc>
          <w:tcPr>
            <w:tcW w:type="dxa" w:w="2000"/>
            <w:shd w:fill="1F4E79" w:val="clear"/>
            <w:tcMar>
              <w:top w:type="dxa" w:w="80"/>
              <w:left w:type="dxa" w:w="120"/>
              <w:bottom w:type="dxa" w:w="80"/>
              <w:right w:type="dxa" w:w="120"/>
            </w:tcMar>
          </w:tcPr>
          <w:p>
            <w:r>
              <w:rPr>
                <w:rFonts w:ascii="Calibri" w:cs="Calibri" w:hAnsi="Calibri"/>
                <w:b/>
                <w:color w:val="FFFFFF"/>
                <w:sz w:val="20"/>
              </w:rPr>
              <w:t>Cosa fa</w:t>
            </w:r>
          </w:p>
        </w:tc>
        <w:tc>
          <w:tcPr>
            <w:tcW w:type="dxa" w:w="7026"/>
            <w:shd w:fill="DEEAF1" w:val="clear"/>
            <w:tcMar>
              <w:top w:type="dxa" w:w="80"/>
              <w:left w:type="dxa" w:w="120"/>
              <w:bottom w:type="dxa" w:w="80"/>
              <w:right w:type="dxa" w:w="120"/>
            </w:tcMar>
          </w:tcPr>
          <w:p>
            <w:r>
              <w:rPr>
                <w:rFonts w:ascii="Calibri" w:cs="Calibri" w:hAnsi="Calibri"/>
                <w:sz w:val="20"/>
              </w:rPr>
              <w:t xml:space="preserve">SOAR nativo integrato nel SIEM senza modulo separato. Visual playbook builder low-code, 7 nuove integrazioni EDR/identity/threat intel, orchestration engine Zoho Qntrl Circuit. Chiude il gap detection-to-response senza costi aggiuntivi.</w:t>
            </w:r>
          </w:p>
        </w:tc>
      </w:tr>
      <w:tr>
        <w:tc>
          <w:tcPr>
            <w:tcW w:type="dxa" w:w="2000"/>
            <w:shd w:fill="1F4E79" w:val="clear"/>
            <w:tcMar>
              <w:top w:type="dxa" w:w="80"/>
              <w:left w:type="dxa" w:w="120"/>
              <w:bottom w:type="dxa" w:w="80"/>
              <w:right w:type="dxa" w:w="120"/>
            </w:tcMar>
          </w:tcPr>
          <w:p>
            <w:r>
              <w:rPr>
                <w:rFonts w:ascii="Calibri" w:cs="Calibri" w:hAnsi="Calibri"/>
                <w:b/>
                <w:color w:val="FFFFFF"/>
                <w:sz w:val="20"/>
              </w:rPr>
              <w:t>Target &amp; PA</w:t>
            </w:r>
          </w:p>
        </w:tc>
        <w:tc>
          <w:tcPr>
            <w:tcW w:type="dxa" w:w="7026"/>
            <w:shd w:fill="FFFFFF" w:val="clear"/>
            <w:tcMar>
              <w:top w:type="dxa" w:w="80"/>
              <w:left w:type="dxa" w:w="120"/>
              <w:bottom w:type="dxa" w:w="80"/>
              <w:right w:type="dxa" w:w="120"/>
            </w:tcMar>
          </w:tcPr>
          <w:p>
            <w:r>
              <w:rPr>
                <w:rFonts w:ascii="Calibri" w:cs="Calibri" w:hAnsi="Calibri"/>
                <w:sz w:val="20"/>
              </w:rPr>
              <w:t xml:space="preserve">Mid-market e PA di medie dimensioni. Versione on-premise matura per ministeri senza cloud pubblico. NIS2 art. 21 (gestione incidenti): playbook documentabili soddisfano requisiti ACN. Ottimo rapporto qualità/prezzo.</w:t>
            </w:r>
          </w:p>
        </w:tc>
      </w:tr>
      <w:tr>
        <w:tc>
          <w:tcPr>
            <w:tcW w:type="dxa" w:w="2000"/>
            <w:shd w:fill="1F4E79" w:val="clear"/>
            <w:tcMar>
              <w:top w:type="dxa" w:w="80"/>
              <w:left w:type="dxa" w:w="120"/>
              <w:bottom w:type="dxa" w:w="80"/>
              <w:right w:type="dxa" w:w="120"/>
            </w:tcMar>
          </w:tcPr>
          <w:p>
            <w:r>
              <w:rPr>
                <w:rFonts w:ascii="Calibri" w:cs="Calibri" w:hAnsi="Calibri"/>
                <w:b/>
                <w:color w:val="FFFFFF"/>
                <w:sz w:val="20"/>
              </w:rPr>
              <w:t>Perché ora</w:t>
            </w:r>
          </w:p>
        </w:tc>
        <w:tc>
          <w:tcPr>
            <w:tcW w:type="dxa" w:w="7026"/>
            <w:shd w:fill="DEEAF1" w:val="clear"/>
            <w:tcMar>
              <w:top w:type="dxa" w:w="80"/>
              <w:left w:type="dxa" w:w="120"/>
              <w:bottom w:type="dxa" w:w="80"/>
              <w:right w:type="dxa" w:w="120"/>
            </w:tcMar>
          </w:tcPr>
          <w:p>
            <w:r>
              <w:rPr>
                <w:rFonts w:ascii="Calibri" w:cs="Calibri" w:hAnsi="Calibri"/>
                <w:sz w:val="20"/>
              </w:rPr>
              <w:t xml:space="preserve">Scadenza ottobre 2026 NIS2: misure di sicurezza di base operative e documentate obbligatorie. Il SOAR nativo abbatte la barriera economica per SOC italiani con budget limitato. Risposta diretta ai requisiti D.Lgs. 138/2024.</w:t>
            </w:r>
          </w:p>
        </w:tc>
      </w:tr>
    </w:tbl>
    <w:p>
      <w:pPr>
        <w:spacing w:after="120" w:before="120"/>
      </w:pPr>
    </w:p>
    <w:p>
      <w:pPr>
        <w:pStyle w:val="Heading2"/>
      </w:pPr>
      <w:r>
        <w:rPr>
          <w:rFonts w:ascii="Calibri" w:cs="Calibri" w:eastAsia="Calibri" w:hAnsi="Calibri"/>
          <w:b/>
          <w:color w:val="1F4E79"/>
          <w:sz w:val="24"/>
        </w:rPr>
        <w:t>3. Forescout eyeInspect — Visibilità OT/IoT Infrastrutture Critiche</w:t>
      </w:r>
    </w:p>
    <w:tbl>
      <w:tblPr>
        <w:tblW w:type="dxa" w:w="9026"/>
        <w:tblBorders>
          <w:top w:val="single" w:color="C9C9C9" w:sz="1"/>
          <w:left w:val="single" w:color="C9C9C9" w:sz="1"/>
          <w:bottom w:val="single" w:color="C9C9C9" w:sz="1"/>
          <w:right w:val="single" w:color="C9C9C9" w:sz="1"/>
          <w:insideH w:val="single" w:color="C9C9C9" w:sz="1"/>
          <w:insideV w:val="single" w:color="C9C9C9" w:sz="1"/>
        </w:tblBorders>
      </w:tblPr>
      <w:tblGrid>
        <w:gridCol w:w="2000"/>
        <w:gridCol w:w="7026"/>
      </w:tblGrid>
      <w:tr>
        <w:tc>
          <w:tcPr>
            <w:tcW w:type="dxa" w:w="2000"/>
            <w:shd w:fill="1F4E79" w:val="clear"/>
            <w:tcMar>
              <w:top w:type="dxa" w:w="80"/>
              <w:left w:type="dxa" w:w="120"/>
              <w:bottom w:type="dxa" w:w="80"/>
              <w:right w:type="dxa" w:w="120"/>
            </w:tcMar>
          </w:tcPr>
          <w:p>
            <w:r>
              <w:rPr>
                <w:rFonts w:ascii="Calibri" w:cs="Calibri" w:hAnsi="Calibri"/>
                <w:b/>
                <w:color w:val="FFFFFF"/>
                <w:sz w:val="20"/>
              </w:rPr>
              <w:t>Vendor</w:t>
            </w:r>
          </w:p>
        </w:tc>
        <w:tc>
          <w:tcPr>
            <w:tcW w:type="dxa" w:w="7026"/>
            <w:shd w:fill="DEEAF1" w:val="clear"/>
            <w:tcMar>
              <w:top w:type="dxa" w:w="80"/>
              <w:left w:type="dxa" w:w="120"/>
              <w:bottom w:type="dxa" w:w="80"/>
              <w:right w:type="dxa" w:w="120"/>
            </w:tcMar>
          </w:tcPr>
          <w:p>
            <w:r>
              <w:rPr>
                <w:rFonts w:ascii="Calibri" w:cs="Calibri" w:hAnsi="Calibri"/>
                <w:sz w:val="20"/>
              </w:rPr>
              <w:t>Forescout Technologies (USA) · Report: 23 marzo 2026 · FedRAMP High ATO 2026</w:t>
            </w:r>
          </w:p>
        </w:tc>
      </w:tr>
      <w:tr>
        <w:tc>
          <w:tcPr>
            <w:tcW w:type="dxa" w:w="2000"/>
            <w:shd w:fill="1F4E79" w:val="clear"/>
            <w:tcMar>
              <w:top w:type="dxa" w:w="80"/>
              <w:left w:type="dxa" w:w="120"/>
              <w:bottom w:type="dxa" w:w="80"/>
              <w:right w:type="dxa" w:w="120"/>
            </w:tcMar>
          </w:tcPr>
          <w:p>
            <w:r>
              <w:rPr>
                <w:rFonts w:ascii="Calibri" w:cs="Calibri" w:hAnsi="Calibri"/>
                <w:b/>
                <w:color w:val="FFFFFF"/>
                <w:sz w:val="20"/>
              </w:rPr>
              <w:t>Ambito</w:t>
            </w:r>
          </w:p>
        </w:tc>
        <w:tc>
          <w:tcPr>
            <w:tcW w:type="dxa" w:w="7026"/>
            <w:shd w:fill="FFFFFF" w:val="clear"/>
            <w:tcMar>
              <w:top w:type="dxa" w:w="80"/>
              <w:left w:type="dxa" w:w="120"/>
              <w:bottom w:type="dxa" w:w="80"/>
              <w:right w:type="dxa" w:w="120"/>
            </w:tcMar>
          </w:tcPr>
          <w:p>
            <w:r>
              <w:rPr>
                <w:rFonts w:ascii="Calibri" w:cs="Calibri" w:hAnsi="Calibri"/>
                <w:sz w:val="20"/>
              </w:rPr>
              <w:t>OT/IoT &amp; Infrastrutture Critiche</w:t>
            </w:r>
          </w:p>
        </w:tc>
      </w:tr>
      <w:tr>
        <w:tc>
          <w:tcPr>
            <w:tcW w:type="dxa" w:w="2000"/>
            <w:shd w:fill="1F4E79" w:val="clear"/>
            <w:tcMar>
              <w:top w:type="dxa" w:w="80"/>
              <w:left w:type="dxa" w:w="120"/>
              <w:bottom w:type="dxa" w:w="80"/>
              <w:right w:type="dxa" w:w="120"/>
            </w:tcMar>
          </w:tcPr>
          <w:p>
            <w:r>
              <w:rPr>
                <w:rFonts w:ascii="Calibri" w:cs="Calibri" w:hAnsi="Calibri"/>
                <w:b/>
                <w:color w:val="FFFFFF"/>
                <w:sz w:val="20"/>
              </w:rPr>
              <w:t>Cosa fa</w:t>
            </w:r>
          </w:p>
        </w:tc>
        <w:tc>
          <w:tcPr>
            <w:tcW w:type="dxa" w:w="7026"/>
            <w:shd w:fill="DEEAF1" w:val="clear"/>
            <w:tcMar>
              <w:top w:type="dxa" w:w="80"/>
              <w:left w:type="dxa" w:w="120"/>
              <w:bottom w:type="dxa" w:w="80"/>
              <w:right w:type="dxa" w:w="120"/>
            </w:tcMar>
          </w:tcPr>
          <w:p>
            <w:r>
              <w:rPr>
                <w:rFonts w:ascii="Calibri" w:cs="Calibri" w:hAnsi="Calibri"/>
                <w:sz w:val="20"/>
              </w:rPr>
              <w:t xml:space="preserve">Visibilità agentless su reti IT/OT/IoT convergenti. Report 2026: 11 nuovi tipi di device a rischio (PDU, I/O module, BACnet router, RFID reader). L’infrastruttura di rete ha superato gli endpoint come categoria più rischiosa.</w:t>
            </w:r>
          </w:p>
        </w:tc>
      </w:tr>
      <w:tr>
        <w:tc>
          <w:tcPr>
            <w:tcW w:type="dxa" w:w="2000"/>
            <w:shd w:fill="1F4E79" w:val="clear"/>
            <w:tcMar>
              <w:top w:type="dxa" w:w="80"/>
              <w:left w:type="dxa" w:w="120"/>
              <w:bottom w:type="dxa" w:w="80"/>
              <w:right w:type="dxa" w:w="120"/>
            </w:tcMar>
          </w:tcPr>
          <w:p>
            <w:r>
              <w:rPr>
                <w:rFonts w:ascii="Calibri" w:cs="Calibri" w:hAnsi="Calibri"/>
                <w:b/>
                <w:color w:val="FFFFFF"/>
                <w:sz w:val="20"/>
              </w:rPr>
              <w:t>Infrastruttura</w:t>
            </w:r>
          </w:p>
        </w:tc>
        <w:tc>
          <w:tcPr>
            <w:tcW w:type="dxa" w:w="7026"/>
            <w:shd w:fill="FFFFFF" w:val="clear"/>
            <w:tcMar>
              <w:top w:type="dxa" w:w="80"/>
              <w:left w:type="dxa" w:w="120"/>
              <w:bottom w:type="dxa" w:w="80"/>
              <w:right w:type="dxa" w:w="120"/>
            </w:tcMar>
          </w:tcPr>
          <w:p>
            <w:r>
              <w:rPr>
                <w:rFonts w:ascii="Calibri" w:cs="Calibri" w:hAnsi="Calibri"/>
                <w:sz w:val="20"/>
              </w:rPr>
              <w:t xml:space="preserve">On-premise (appliance fisica/virtuale) per reti OT air-gap + cloud connector per visibilità centralizzata. Monitoring passivo senza agenti sui device OT. Integrazione SIEM, CMDB, firewall. FedRAMP High ATO.</w:t>
            </w:r>
          </w:p>
        </w:tc>
      </w:tr>
      <w:tr>
        <w:tc>
          <w:tcPr>
            <w:tcW w:type="dxa" w:w="2000"/>
            <w:shd w:fill="1F4E79" w:val="clear"/>
            <w:tcMar>
              <w:top w:type="dxa" w:w="80"/>
              <w:left w:type="dxa" w:w="120"/>
              <w:bottom w:type="dxa" w:w="80"/>
              <w:right w:type="dxa" w:w="120"/>
            </w:tcMar>
          </w:tcPr>
          <w:p>
            <w:r>
              <w:rPr>
                <w:rFonts w:ascii="Calibri" w:cs="Calibri" w:hAnsi="Calibri"/>
                <w:b/>
                <w:color w:val="FFFFFF"/>
                <w:sz w:val="20"/>
              </w:rPr>
              <w:t>Target &amp; PA</w:t>
            </w:r>
          </w:p>
        </w:tc>
        <w:tc>
          <w:tcPr>
            <w:tcW w:type="dxa" w:w="7026"/>
            <w:shd w:fill="DEEAF1" w:val="clear"/>
            <w:tcMar>
              <w:top w:type="dxa" w:w="80"/>
              <w:left w:type="dxa" w:w="120"/>
              <w:bottom w:type="dxa" w:w="80"/>
              <w:right w:type="dxa" w:w="120"/>
            </w:tcMar>
          </w:tcPr>
          <w:p>
            <w:r>
              <w:rPr>
                <w:rFonts w:ascii="Calibri" w:cs="Calibri" w:hAnsi="Calibri"/>
                <w:sz w:val="20"/>
              </w:rPr>
              <w:t xml:space="preserve">PA Centrale con edifici BMS/BACnet (ministeri, sedi istituzionali), utilities, sanità, difesa. I BACnet router degli edifici governativi italiani sono nella top-5 OT più rischiosi e quasi universalmente non monitorati.</w:t>
            </w:r>
          </w:p>
        </w:tc>
      </w:tr>
      <w:tr>
        <w:tc>
          <w:tcPr>
            <w:tcW w:type="dxa" w:w="2000"/>
            <w:shd w:fill="1F4E79" w:val="clear"/>
            <w:tcMar>
              <w:top w:type="dxa" w:w="80"/>
              <w:left w:type="dxa" w:w="120"/>
              <w:bottom w:type="dxa" w:w="80"/>
              <w:right w:type="dxa" w:w="120"/>
            </w:tcMar>
          </w:tcPr>
          <w:p>
            <w:r>
              <w:rPr>
                <w:rFonts w:ascii="Calibri" w:cs="Calibri" w:hAnsi="Calibri"/>
                <w:b/>
                <w:color w:val="FFFFFF"/>
                <w:sz w:val="20"/>
              </w:rPr>
              <w:t>Perché ora</w:t>
            </w:r>
          </w:p>
        </w:tc>
        <w:tc>
          <w:tcPr>
            <w:tcW w:type="dxa" w:w="7026"/>
            <w:shd w:fill="FFFFFF" w:val="clear"/>
            <w:tcMar>
              <w:top w:type="dxa" w:w="80"/>
              <w:left w:type="dxa" w:w="120"/>
              <w:bottom w:type="dxa" w:w="80"/>
              <w:right w:type="dxa" w:w="120"/>
            </w:tcMar>
          </w:tcPr>
          <w:p>
            <w:r>
              <w:rPr>
                <w:rFonts w:ascii="Calibri" w:cs="Calibri" w:hAnsi="Calibri"/>
                <w:sz w:val="20"/>
              </w:rPr>
              <w:t xml:space="preserve">NIS2 Allegato I: energia e infrastrutture digitali tra settori critici. PSNC identifica convergenza IT/OT come priorità. ACN richiede asset inventory OT. Un attacco BACnet può compromettere fisicamente edifici governativi (HVAC, badge, antincendio) senza toccare le reti IT.</w:t>
            </w:r>
          </w:p>
        </w:tc>
      </w:tr>
    </w:tbl>
    <w:p>
      <w:pPr>
        <w:spacing w:after="120" w:before="120"/>
      </w:pPr>
    </w:p>
    <w:p>
      <w:pPr>
        <w:pStyle w:val="Heading2"/>
      </w:pPr>
      <w:r>
        <w:rPr>
          <w:rFonts w:ascii="Calibri" w:cs="Calibri" w:eastAsia="Calibri" w:hAnsi="Calibri"/>
          <w:b/>
          <w:color w:val="1F4E79"/>
          <w:sz w:val="24"/>
        </w:rPr>
        <w:t>Segnali della settimana</w:t>
      </w:r>
    </w:p>
    <w:tbl>
      <w:tblPr>
        <w:tblW w:type="dxa" w:w="9026"/>
        <w:tblBorders>
          <w:top w:val="single" w:color="C9C9C9" w:sz="1"/>
          <w:left w:val="single" w:color="C9C9C9" w:sz="1"/>
          <w:bottom w:val="single" w:color="C9C9C9" w:sz="1"/>
          <w:right w:val="single" w:color="C9C9C9" w:sz="1"/>
          <w:insideH w:val="single" w:color="C9C9C9" w:sz="1"/>
          <w:insideV w:val="single" w:color="C9C9C9" w:sz="1"/>
        </w:tblBorders>
      </w:tblPr>
      <w:tblGrid>
        <w:gridCol w:w="6000"/>
        <w:gridCol w:w="3026"/>
      </w:tblGrid>
      <w:tr>
        <w:tc>
          <w:tcPr>
            <w:tcW w:type="dxa" w:w="6000"/>
            <w:shd w:fill="1F4E79" w:val="clear"/>
            <w:tcMar>
              <w:top w:type="dxa" w:w="80"/>
              <w:left w:type="dxa" w:w="120"/>
              <w:bottom w:type="dxa" w:w="80"/>
              <w:right w:type="dxa" w:w="120"/>
            </w:tcMar>
          </w:tcPr>
          <w:p>
            <w:r>
              <w:rPr>
                <w:rFonts w:ascii="Calibri" w:cs="Calibri" w:hAnsi="Calibri"/>
                <w:b/>
                <w:color w:val="FFFFFF"/>
                <w:sz w:val="20"/>
              </w:rPr>
              <w:t>Segnale</w:t>
            </w:r>
          </w:p>
        </w:tc>
        <w:tc>
          <w:tcPr>
            <w:tcW w:type="dxa" w:w="3026"/>
            <w:shd w:fill="1F4E79" w:val="clear"/>
            <w:tcMar>
              <w:top w:type="dxa" w:w="80"/>
              <w:left w:type="dxa" w:w="120"/>
              <w:bottom w:type="dxa" w:w="80"/>
              <w:right w:type="dxa" w:w="120"/>
            </w:tcMar>
          </w:tcPr>
          <w:p>
            <w:r>
              <w:rPr>
                <w:rFonts w:ascii="Calibri" w:cs="Calibri" w:hAnsi="Calibri"/>
                <w:b/>
                <w:color w:val="FFFFFF"/>
                <w:sz w:val="20"/>
              </w:rPr>
              <w:t>Impatto</w:t>
            </w:r>
          </w:p>
        </w:tc>
      </w:tr>
      <w:tr>
        <w:tc>
          <w:tcPr>
            <w:tcW w:type="dxa" w:w="6000"/>
            <w:shd w:fill="DEEAF1" w:val="clear"/>
            <w:tcMar>
              <w:top w:type="dxa" w:w="80"/>
              <w:left w:type="dxa" w:w="120"/>
              <w:bottom w:type="dxa" w:w="80"/>
              <w:right w:type="dxa" w:w="120"/>
            </w:tcMar>
          </w:tcPr>
          <w:p>
            <w:r>
              <w:rPr>
                <w:rFonts w:ascii="Calibri" w:cs="Calibri" w:hAnsi="Calibri"/>
                <w:sz w:val="20"/>
              </w:rPr>
              <w:t>Scadenza NIS2 ACN 31 maggio 2026: aggiornamento portale e registrazione</w:t>
            </w:r>
          </w:p>
        </w:tc>
        <w:tc>
          <w:tcPr>
            <w:tcW w:type="dxa" w:w="3026"/>
            <w:shd w:fill="DEEAF1" w:val="clear"/>
            <w:tcMar>
              <w:top w:type="dxa" w:w="80"/>
              <w:left w:type="dxa" w:w="120"/>
              <w:bottom w:type="dxa" w:w="80"/>
              <w:right w:type="dxa" w:w="120"/>
            </w:tcMar>
          </w:tcPr>
          <w:p>
            <w:r>
              <w:rPr>
                <w:rFonts w:ascii="Calibri" w:cs="Calibri" w:hAnsi="Calibri"/>
                <w:sz w:val="20"/>
              </w:rPr>
              <w:t>Critico · PA e operatori essenziali</w:t>
            </w:r>
          </w:p>
        </w:tc>
      </w:tr>
      <w:tr>
        <w:tc>
          <w:tcPr>
            <w:tcW w:type="dxa" w:w="6000"/>
            <w:shd w:fill="FFFFFF" w:val="clear"/>
            <w:tcMar>
              <w:top w:type="dxa" w:w="80"/>
              <w:left w:type="dxa" w:w="120"/>
              <w:bottom w:type="dxa" w:w="80"/>
              <w:right w:type="dxa" w:w="120"/>
            </w:tcMar>
          </w:tcPr>
          <w:p>
            <w:r>
              <w:rPr>
                <w:rFonts w:ascii="Calibri" w:cs="Calibri" w:hAnsi="Calibri"/>
                <w:sz w:val="20"/>
              </w:rPr>
              <w:t>Databricks Lakewatch Private Preview: SIEM agentico a -80% TCO</w:t>
            </w:r>
          </w:p>
        </w:tc>
        <w:tc>
          <w:tcPr>
            <w:tcW w:type="dxa" w:w="3026"/>
            <w:shd w:fill="FFFFFF" w:val="clear"/>
            <w:tcMar>
              <w:top w:type="dxa" w:w="80"/>
              <w:left w:type="dxa" w:w="120"/>
              <w:bottom w:type="dxa" w:w="80"/>
              <w:right w:type="dxa" w:w="120"/>
            </w:tcMar>
          </w:tcPr>
          <w:p>
            <w:r>
              <w:rPr>
                <w:rFonts w:ascii="Calibri" w:cs="Calibri" w:hAnsi="Calibri"/>
                <w:sz w:val="20"/>
              </w:rPr>
              <w:t>Alto · Disruption mercato SIEM enterprise</w:t>
            </w:r>
          </w:p>
        </w:tc>
      </w:tr>
      <w:tr>
        <w:tc>
          <w:tcPr>
            <w:tcW w:type="dxa" w:w="6000"/>
            <w:shd w:fill="DEEAF1" w:val="clear"/>
            <w:tcMar>
              <w:top w:type="dxa" w:w="80"/>
              <w:left w:type="dxa" w:w="120"/>
              <w:bottom w:type="dxa" w:w="80"/>
              <w:right w:type="dxa" w:w="120"/>
            </w:tcMar>
          </w:tcPr>
          <w:p>
            <w:r>
              <w:rPr>
                <w:rFonts w:ascii="Calibri" w:cs="Calibri" w:hAnsi="Calibri"/>
                <w:sz w:val="20"/>
              </w:rPr>
              <w:t>ManageEngine Log360 SOAR nativo: risposta incidenti senza costi aggiuntivi</w:t>
            </w:r>
          </w:p>
        </w:tc>
        <w:tc>
          <w:tcPr>
            <w:tcW w:type="dxa" w:w="3026"/>
            <w:shd w:fill="DEEAF1" w:val="clear"/>
            <w:tcMar>
              <w:top w:type="dxa" w:w="80"/>
              <w:left w:type="dxa" w:w="120"/>
              <w:bottom w:type="dxa" w:w="80"/>
              <w:right w:type="dxa" w:w="120"/>
            </w:tcMar>
          </w:tcPr>
          <w:p>
            <w:r>
              <w:rPr>
                <w:rFonts w:ascii="Calibri" w:cs="Calibri" w:hAnsi="Calibri"/>
                <w:sz w:val="20"/>
              </w:rPr>
              <w:t>Alto · Mid-market e PA budget-limited</w:t>
            </w:r>
          </w:p>
        </w:tc>
      </w:tr>
      <w:tr>
        <w:tc>
          <w:tcPr>
            <w:tcW w:type="dxa" w:w="6000"/>
            <w:shd w:fill="FFFFFF" w:val="clear"/>
            <w:tcMar>
              <w:top w:type="dxa" w:w="80"/>
              <w:left w:type="dxa" w:w="120"/>
              <w:bottom w:type="dxa" w:w="80"/>
              <w:right w:type="dxa" w:w="120"/>
            </w:tcMar>
          </w:tcPr>
          <w:p>
            <w:r>
              <w:rPr>
                <w:rFonts w:ascii="Calibri" w:cs="Calibri" w:hAnsi="Calibri"/>
                <w:sz w:val="20"/>
              </w:rPr>
              <w:t>Forescout: 11 nuovi device OT rischiosi, BACnet router in top-5</w:t>
            </w:r>
          </w:p>
        </w:tc>
        <w:tc>
          <w:tcPr>
            <w:tcW w:type="dxa" w:w="3026"/>
            <w:shd w:fill="FFFFFF" w:val="clear"/>
            <w:tcMar>
              <w:top w:type="dxa" w:w="80"/>
              <w:left w:type="dxa" w:w="120"/>
              <w:bottom w:type="dxa" w:w="80"/>
              <w:right w:type="dxa" w:w="120"/>
            </w:tcMar>
          </w:tcPr>
          <w:p>
            <w:r>
              <w:rPr>
                <w:rFonts w:ascii="Calibri" w:cs="Calibri" w:hAnsi="Calibri"/>
                <w:sz w:val="20"/>
              </w:rPr>
              <w:t>Alto · PA, energia, sanità</w:t>
            </w:r>
          </w:p>
        </w:tc>
      </w:tr>
      <w:tr>
        <w:tc>
          <w:tcPr>
            <w:tcW w:type="dxa" w:w="6000"/>
            <w:shd w:fill="DEEAF1" w:val="clear"/>
            <w:tcMar>
              <w:top w:type="dxa" w:w="80"/>
              <w:left w:type="dxa" w:w="120"/>
              <w:bottom w:type="dxa" w:w="80"/>
              <w:right w:type="dxa" w:w="120"/>
            </w:tcMar>
          </w:tcPr>
          <w:p>
            <w:r>
              <w:rPr>
                <w:rFonts w:ascii="Calibri" w:cs="Calibri" w:hAnsi="Calibri"/>
                <w:sz w:val="20"/>
              </w:rPr>
              <w:t>ZTNA: microsegmentazione fallisce senza governance continua delle policy</w:t>
            </w:r>
          </w:p>
        </w:tc>
        <w:tc>
          <w:tcPr>
            <w:tcW w:type="dxa" w:w="3026"/>
            <w:shd w:fill="DEEAF1" w:val="clear"/>
            <w:tcMar>
              <w:top w:type="dxa" w:w="80"/>
              <w:left w:type="dxa" w:w="120"/>
              <w:bottom w:type="dxa" w:w="80"/>
              <w:right w:type="dxa" w:w="120"/>
            </w:tcMar>
          </w:tcPr>
          <w:p>
            <w:r>
              <w:rPr>
                <w:rFonts w:ascii="Calibri" w:cs="Calibri" w:hAnsi="Calibri"/>
                <w:sz w:val="20"/>
              </w:rPr>
              <w:t>Medio · Implicazioni operative per ZTA</w:t>
            </w:r>
          </w:p>
        </w:tc>
      </w:tr>
    </w:tbl>
    <w:p>
      <w:pPr>
        <w:spacing w:after="120" w:before="240"/>
      </w:pPr>
      <w:r>
        <w:rPr>
          <w:rFonts w:ascii="Calibri" w:cs="Calibri" w:eastAsia="Calibri" w:hAnsi="Calibri"/>
          <w:i/>
          <w:color w:val="595959"/>
          <w:sz w:val="18"/>
        </w:rPr>
        <w:t xml:space="preserve">Prossimo briefing: 7 giugno 2026 · Generato automaticamente da Claude · Cowork</w:t>
      </w:r>
    </w:p>
    <w:p>
      <w:r>
        <w:br w:type="page"/>
      </w:r>
    </w:p>
    <w:p>
      <w:pPr>
        <w:pStyle w:val="Heading1"/>
      </w:pPr>
      <w:bookmarkStart w:name="bm_w21_24mag" w:id="50"/>
      <w:r>
        <w:rPr>
          <w:rFonts w:ascii="Calibri" w:cs="Calibri" w:eastAsia="Calibri" w:hAnsi="Calibri"/>
          <w:b/>
          <w:bCs/>
          <w:color w:val="1F4E79"/>
          <w:sz w:val="28"/>
          <w:szCs w:val="28"/>
        </w:rPr>
        <w:t xml:space="preserve">W21 · 24 maggio 2026</w:t>
      </w:r>
      <w:bookmarkEnd w:id="5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2"/>
        <w:gridCol w:w="2252"/>
        <w:gridCol w:w="2251"/>
        <w:gridCol w:w="2271"/>
      </w:tblGrid>
      <w:tr>
        <w:tc>
          <w:tcPr>
            <w:tcW w:type="dxa" w:w="2252"/>
            <w:tcBorders>
              <w:top w:val="single" w:color="C9C9C9" w:sz="1"/>
              <w:left w:val="single" w:color="C9C9C9" w:sz="1"/>
              <w:bottom w:val="single" w:color="C9C9C9" w:sz="1"/>
              <w:right w:val="single" w:color="C9C9C9" w:sz="1"/>
            </w:tcBorders>
            <w:shd w:fill="DEEAF1" w:val="clear"/>
            <w:tcMar>
              <w:top w:type="dxa" w:w="80"/>
              <w:left w:type="dxa" w:w="120"/>
              <w:bottom w:type="dxa" w:w="80"/>
              <w:right w:type="dxa" w:w="120"/>
            </w:tcMar>
          </w:tcPr>
          <w:p>
            <w:pPr>
              <w:spacing w:after="20" w:before="0"/>
            </w:pPr>
            <w:r>
              <w:rPr>
                <w:rFonts w:ascii="Calibri" w:cs="Calibri" w:eastAsia="Calibri" w:hAnsi="Calibri"/>
                <w:b/>
                <w:bCs/>
                <w:color w:val="1F4E79"/>
                <w:sz w:val="18"/>
                <w:szCs w:val="18"/>
              </w:rPr>
              <w:t>Data</w:t>
            </w:r>
          </w:p>
          <w:p>
            <w:pPr>
              <w:spacing w:after="0" w:before="0"/>
            </w:pPr>
            <w:r>
              <w:rPr>
                <w:rFonts w:ascii="Calibri" w:cs="Calibri" w:eastAsia="Calibri" w:hAnsi="Calibri"/>
                <w:sz w:val="22"/>
                <w:szCs w:val="22"/>
              </w:rPr>
              <w:t>24 maggio 2026</w:t>
            </w:r>
          </w:p>
        </w:tc>
        <w:tc>
          <w:tcPr>
            <w:tcW w:type="dxa" w:w="2252"/>
            <w:tcBorders>
              <w:top w:val="single" w:color="C9C9C9" w:sz="1"/>
              <w:left w:val="single" w:color="C9C9C9" w:sz="1"/>
              <w:bottom w:val="single" w:color="C9C9C9" w:sz="1"/>
              <w:right w:val="single" w:color="C9C9C9" w:sz="1"/>
            </w:tcBorders>
            <w:shd w:fill="DEEAF1" w:val="clear"/>
            <w:tcMar>
              <w:top w:type="dxa" w:w="80"/>
              <w:left w:type="dxa" w:w="120"/>
              <w:bottom w:type="dxa" w:w="80"/>
              <w:right w:type="dxa" w:w="120"/>
            </w:tcMar>
          </w:tcPr>
          <w:p>
            <w:pPr>
              <w:spacing w:after="20" w:before="0"/>
            </w:pPr>
            <w:r>
              <w:rPr>
                <w:rFonts w:ascii="Calibri" w:cs="Calibri" w:eastAsia="Calibri" w:hAnsi="Calibri"/>
                <w:b/>
                <w:bCs/>
                <w:color w:val="1F4E79"/>
                <w:sz w:val="18"/>
                <w:szCs w:val="18"/>
              </w:rPr>
              <w:t>Settimana ISO</w:t>
            </w:r>
          </w:p>
          <w:p>
            <w:pPr>
              <w:spacing w:after="0" w:before="0"/>
            </w:pPr>
            <w:r>
              <w:rPr>
                <w:rFonts w:ascii="Calibri" w:cs="Calibri" w:eastAsia="Calibri" w:hAnsi="Calibri"/>
                <w:sz w:val="22"/>
                <w:szCs w:val="22"/>
              </w:rPr>
              <w:t>W21 / 2026</w:t>
            </w:r>
          </w:p>
        </w:tc>
        <w:tc>
          <w:tcPr>
            <w:tcW w:type="dxa" w:w="2251"/>
            <w:tcBorders>
              <w:top w:val="single" w:color="C9C9C9" w:sz="1"/>
              <w:left w:val="single" w:color="C9C9C9" w:sz="1"/>
              <w:bottom w:val="single" w:color="C9C9C9" w:sz="1"/>
              <w:right w:val="single" w:color="C9C9C9" w:sz="1"/>
            </w:tcBorders>
            <w:shd w:fill="DEEAF1" w:val="clear"/>
            <w:tcMar>
              <w:top w:type="dxa" w:w="80"/>
              <w:left w:type="dxa" w:w="120"/>
              <w:bottom w:type="dxa" w:w="80"/>
              <w:right w:type="dxa" w:w="120"/>
            </w:tcMar>
          </w:tcPr>
          <w:p>
            <w:pPr>
              <w:spacing w:after="20" w:before="0"/>
            </w:pPr>
            <w:r>
              <w:rPr>
                <w:rFonts w:ascii="Calibri" w:cs="Calibri" w:eastAsia="Calibri" w:hAnsi="Calibri"/>
                <w:b/>
                <w:bCs/>
                <w:color w:val="1F4E79"/>
                <w:sz w:val="18"/>
                <w:szCs w:val="18"/>
              </w:rPr>
              <w:t>Ambiti</w:t>
            </w:r>
          </w:p>
          <w:p>
            <w:pPr>
              <w:spacing w:after="0" w:before="0"/>
            </w:pPr>
            <w:r>
              <w:rPr>
                <w:rFonts w:ascii="Calibri" w:cs="Calibri" w:eastAsia="Calibri" w:hAnsi="Calibri"/>
                <w:sz w:val="22"/>
                <w:szCs w:val="22"/>
              </w:rPr>
              <w:t>5 su 5</w:t>
            </w:r>
          </w:p>
        </w:tc>
        <w:tc>
          <w:tcPr>
            <w:tcW w:type="dxa" w:w="2271"/>
            <w:tcBorders>
              <w:top w:val="single" w:color="C9C9C9" w:sz="1"/>
              <w:left w:val="single" w:color="C9C9C9" w:sz="1"/>
              <w:bottom w:val="single" w:color="C9C9C9" w:sz="1"/>
              <w:right w:val="single" w:color="C9C9C9" w:sz="1"/>
            </w:tcBorders>
            <w:shd w:fill="DEEAF1" w:val="clear"/>
            <w:tcMar>
              <w:top w:type="dxa" w:w="80"/>
              <w:left w:type="dxa" w:w="120"/>
              <w:bottom w:type="dxa" w:w="80"/>
              <w:right w:type="dxa" w:w="120"/>
            </w:tcMar>
          </w:tcPr>
          <w:p>
            <w:pPr>
              <w:spacing w:after="20" w:before="0"/>
            </w:pPr>
            <w:r>
              <w:rPr>
                <w:rFonts w:ascii="Calibri" w:cs="Calibri" w:eastAsia="Calibri" w:hAnsi="Calibri"/>
                <w:b/>
                <w:bCs/>
                <w:color w:val="1F4E79"/>
                <w:sz w:val="18"/>
                <w:szCs w:val="18"/>
              </w:rPr>
              <w:t>Target</w:t>
            </w:r>
          </w:p>
          <w:p>
            <w:pPr>
              <w:spacing w:after="0" w:before="0"/>
            </w:pPr>
            <w:r>
              <w:rPr>
                <w:rFonts w:ascii="Calibri" w:cs="Calibri" w:eastAsia="Calibri" w:hAnsi="Calibri"/>
                <w:sz w:val="22"/>
                <w:szCs w:val="22"/>
              </w:rPr>
              <w:t xml:space="preserve">Enterprise, Mid-market &amp; PA Centrale</w:t>
            </w:r>
          </w:p>
        </w:tc>
      </w:tr>
    </w:tbl>
    <w:p>
      <w:pPr>
        <w:spacing w:after="60" w:before="240"/>
      </w:pPr>
    </w:p>
    <w:p>
      <w:pPr>
        <w:pStyle w:val="Heading2"/>
      </w:pPr>
      <w:r>
        <w:rPr>
          <w:rFonts w:ascii="Calibri" w:cs="Calibri" w:eastAsia="Calibri" w:hAnsi="Calibri"/>
          <w:b/>
          <w:bCs/>
          <w:color w:val="4472C4"/>
          <w:sz w:val="24"/>
          <w:szCs w:val="24"/>
        </w:rPr>
        <w:t>Le 3 soluzioni della settimana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gridSpan w:val="2"/>
            <w:tcBorders>
              <w:top w:val="single" w:color="C9C9C9" w:sz="1"/>
              <w:left w:val="single" w:color="C9C9C9" w:sz="1"/>
              <w:bottom w:val="single" w:color="C9C9C9" w:sz="1"/>
              <w:right w:val="single" w:color="C9C9C9" w:sz="1"/>
            </w:tcBorders>
            <w:shd w:fill="1F4E79" w:val="clear"/>
            <w:tcMar>
              <w:top w:type="dxa" w:w="100"/>
              <w:left w:type="dxa" w:w="160"/>
              <w:bottom w:type="dxa" w:w="100"/>
              <w:right w:type="dxa" w:w="160"/>
            </w:tcMar>
          </w:tcPr>
          <w:p>
            <w:r>
              <w:rPr>
                <w:rFonts w:ascii="Calibri" w:cs="Calibri" w:eastAsia="Calibri" w:hAnsi="Calibri"/>
                <w:b/>
                <w:bCs/>
                <w:color w:val="FFFFFF"/>
                <w:sz w:val="26"/>
                <w:szCs w:val="26"/>
              </w:rPr>
              <w:t xml:space="preserve">1. Palo Alto Networks — Idira</w:t>
            </w:r>
            <w:r>
              <w:rPr>
                <w:rFonts w:ascii="Calibri" w:cs="Calibri" w:eastAsia="Calibri" w:hAnsi="Calibri"/>
                <w:color w:val="BDD7EE"/>
                <w:sz w:val="20"/>
                <w:szCs w:val="20"/>
              </w:rPr>
              <w:t xml:space="preserve">  ·  Internazionale (USA)</w:t>
            </w:r>
          </w:p>
        </w:tc>
      </w:tr>
      <w:tr>
        <w:tc>
          <w:tcPr>
            <w:gridSpan w:val="2"/>
            <w:tcBorders>
              <w:top w:val="single" w:color="C9C9C9" w:sz="1"/>
              <w:left w:val="single" w:color="C9C9C9" w:sz="1"/>
              <w:bottom w:val="single" w:color="C9C9C9" w:sz="1"/>
              <w:right w:val="single" w:color="C9C9C9" w:sz="1"/>
            </w:tcBorders>
            <w:shd w:fill="DEEAF1" w:val="clear"/>
            <w:tcMar>
              <w:top w:type="dxa" w:w="60"/>
              <w:left w:type="dxa" w:w="160"/>
              <w:bottom w:type="dxa" w:w="60"/>
              <w:right w:type="dxa" w:w="160"/>
            </w:tcMar>
          </w:tcPr>
          <w:p>
            <w:r>
              <w:rPr>
                <w:rFonts w:ascii="Calibri" w:cs="Calibri" w:eastAsia="Calibri" w:hAnsi="Calibri"/>
                <w:b/>
                <w:bCs/>
                <w:color w:val="1F4E79"/>
                <w:sz w:val="22"/>
                <w:szCs w:val="22"/>
              </w:rPr>
              <w:t xml:space="preserve">Ambito: </w:t>
            </w:r>
            <w:r>
              <w:rPr>
                <w:rFonts w:ascii="Calibri" w:cs="Calibri" w:eastAsia="Calibri" w:hAnsi="Calibri"/>
                <w:i/>
                <w:iCs/>
                <w:sz w:val="22"/>
                <w:szCs w:val="22"/>
              </w:rPr>
              <w:t>Endpoint &amp; Identity (PAM, ITDR, Zero Trust)</w:t>
            </w:r>
          </w:p>
        </w:tc>
      </w:tr>
      <w:tr>
        <w:tc>
          <w:tcPr>
            <w:tcW w:type="dxa" w:w="2000"/>
            <w:tcBorders>
              <w:top w:val="single" w:color="C9C9C9" w:sz="1"/>
              <w:left w:val="single" w:color="C9C9C9" w:sz="1"/>
              <w:bottom w:val="single" w:color="C9C9C9" w:sz="1"/>
              <w:right w:val="single" w:color="C9C9C9" w:sz="1"/>
            </w:tcBorders>
            <w:shd w:fill="2E75B6" w:val="clear"/>
            <w:tcMar>
              <w:top w:type="dxa" w:w="80"/>
              <w:left w:type="dxa" w:w="160"/>
              <w:bottom w:type="dxa" w:w="80"/>
              <w:right w:type="dxa" w:w="160"/>
            </w:tcMar>
          </w:tcPr>
          <w:p>
            <w:r>
              <w:rPr>
                <w:rFonts w:ascii="Calibri" w:cs="Calibri" w:eastAsia="Calibri" w:hAnsi="Calibri"/>
                <w:b/>
                <w:bCs/>
                <w:color w:val="FFFFFF"/>
                <w:sz w:val="20"/>
                <w:szCs w:val="20"/>
              </w:rPr>
              <w:t>Cosa fa</w:t>
            </w:r>
          </w:p>
        </w:tc>
        <w:tc>
          <w:tcPr>
            <w:tcW w:type="dxa" w:w="7026"/>
            <w:tcBorders>
              <w:top w:val="single" w:color="C9C9C9" w:sz="1"/>
              <w:left w:val="single" w:color="C9C9C9" w:sz="1"/>
              <w:bottom w:val="single" w:color="C9C9C9" w:sz="1"/>
              <w:right w:val="single" w:color="C9C9C9" w:sz="1"/>
            </w:tcBorders>
            <w:tcMar>
              <w:top w:type="dxa" w:w="80"/>
              <w:left w:type="dxa" w:w="160"/>
              <w:bottom w:type="dxa" w:w="80"/>
              <w:right w:type="dxa" w:w="160"/>
            </w:tcMar>
          </w:tcPr>
          <w:p>
            <w:r>
              <w:rPr>
                <w:rFonts w:ascii="Calibri" w:cs="Calibri" w:eastAsia="Calibri" w:hAnsi="Calibri"/>
                <w:sz w:val="22"/>
                <w:szCs w:val="22"/>
              </w:rPr>
              <w:t xml:space="preserve">Piattaforma PAM di nuova generazione lanciata il 12 maggio 2026. Unifica gestione degli accessi privilegiati (PAM) con ITDR per ogni tipo di identità: umana, macchina e agente AI. Basata sulla tecnologia CyberArk (acquisita per $25 miliardi), la estende all’ecosistema AI agente.</w:t>
            </w:r>
          </w:p>
        </w:tc>
      </w:tr>
      <w:tr>
        <w:tc>
          <w:tcPr>
            <w:tcW w:type="dxa" w:w="2000"/>
            <w:tcBorders>
              <w:top w:val="single" w:color="C9C9C9" w:sz="1"/>
              <w:left w:val="single" w:color="C9C9C9" w:sz="1"/>
              <w:bottom w:val="single" w:color="C9C9C9" w:sz="1"/>
              <w:right w:val="single" w:color="C9C9C9" w:sz="1"/>
            </w:tcBorders>
            <w:shd w:fill="2E75B6" w:val="clear"/>
            <w:tcMar>
              <w:top w:type="dxa" w:w="80"/>
              <w:left w:type="dxa" w:w="160"/>
              <w:bottom w:type="dxa" w:w="80"/>
              <w:right w:type="dxa" w:w="160"/>
            </w:tcMar>
          </w:tcPr>
          <w:p>
            <w:r>
              <w:rPr>
                <w:rFonts w:ascii="Calibri" w:cs="Calibri" w:eastAsia="Calibri" w:hAnsi="Calibri"/>
                <w:b/>
                <w:bCs/>
                <w:color w:val="FFFFFF"/>
                <w:sz w:val="20"/>
                <w:szCs w:val="20"/>
              </w:rPr>
              <w:t>Perché ora</w:t>
            </w:r>
          </w:p>
        </w:tc>
        <w:tc>
          <w:tcPr>
            <w:tcW w:type="dxa" w:w="7026"/>
            <w:tcBorders>
              <w:top w:val="single" w:color="C9C9C9" w:sz="1"/>
              <w:left w:val="single" w:color="C9C9C9" w:sz="1"/>
              <w:bottom w:val="single" w:color="C9C9C9" w:sz="1"/>
              <w:right w:val="single" w:color="C9C9C9" w:sz="1"/>
            </w:tcBorders>
            <w:tcMar>
              <w:top w:type="dxa" w:w="80"/>
              <w:left w:type="dxa" w:w="160"/>
              <w:bottom w:type="dxa" w:w="80"/>
              <w:right w:type="dxa" w:w="160"/>
            </w:tcMar>
          </w:tcPr>
          <w:p>
            <w:r>
              <w:rPr>
                <w:rFonts w:ascii="Calibri" w:cs="Calibri" w:eastAsia="Calibri" w:hAnsi="Calibri"/>
                <w:sz w:val="22"/>
                <w:szCs w:val="22"/>
              </w:rPr>
              <w:t xml:space="preserve">NIS2 e PSNC richiedono controlli PAM rigorosi per infrastrutture critiche. Idira colma il gap sulle identità agentiche, nuovo vettore di attacco nell’era AI. Rilevante per PA Centrale con qualificazione ACN Cloud.</w:t>
            </w:r>
          </w:p>
        </w:tc>
      </w:tr>
      <w:tr>
        <w:tc>
          <w:tcPr>
            <w:gridSpan w:val="2"/>
            <w:tcBorders>
              <w:top w:val="single" w:color="C9C9C9" w:sz="1"/>
              <w:left w:val="single" w:color="C9C9C9" w:sz="1"/>
              <w:bottom w:val="single" w:color="C9C9C9" w:sz="1"/>
              <w:right w:val="single" w:color="C9C9C9" w:sz="1"/>
            </w:tcBorders>
            <w:shd w:fill="1F4E79" w:val="clear"/>
            <w:tcMar>
              <w:top w:type="dxa" w:w="100"/>
              <w:left w:type="dxa" w:w="160"/>
              <w:bottom w:type="dxa" w:w="100"/>
              <w:right w:type="dxa" w:w="160"/>
            </w:tcMar>
          </w:tcPr>
          <w:p>
            <w:r>
              <w:rPr>
                <w:rFonts w:ascii="Calibri" w:cs="Calibri" w:eastAsia="Calibri" w:hAnsi="Calibri"/>
                <w:b/>
                <w:bCs/>
                <w:color w:val="FFFFFF"/>
                <w:sz w:val="26"/>
                <w:szCs w:val="26"/>
              </w:rPr>
              <w:t xml:space="preserve">2. Sysdig — CNAPP con Sysdig Sage</w:t>
            </w:r>
            <w:r>
              <w:rPr>
                <w:rFonts w:ascii="Calibri" w:cs="Calibri" w:eastAsia="Calibri" w:hAnsi="Calibri"/>
                <w:color w:val="BDD7EE"/>
                <w:sz w:val="20"/>
                <w:szCs w:val="20"/>
              </w:rPr>
              <w:t xml:space="preserve">  ·  Internazionale (USA)</w:t>
            </w:r>
          </w:p>
        </w:tc>
      </w:tr>
      <w:tr>
        <w:tc>
          <w:tcPr>
            <w:gridSpan w:val="2"/>
            <w:tcBorders>
              <w:top w:val="single" w:color="C9C9C9" w:sz="1"/>
              <w:left w:val="single" w:color="C9C9C9" w:sz="1"/>
              <w:bottom w:val="single" w:color="C9C9C9" w:sz="1"/>
              <w:right w:val="single" w:color="C9C9C9" w:sz="1"/>
            </w:tcBorders>
            <w:shd w:fill="DEEAF1" w:val="clear"/>
            <w:tcMar>
              <w:top w:type="dxa" w:w="60"/>
              <w:left w:type="dxa" w:w="160"/>
              <w:bottom w:type="dxa" w:w="60"/>
              <w:right w:type="dxa" w:w="160"/>
            </w:tcMar>
          </w:tcPr>
          <w:p>
            <w:r>
              <w:rPr>
                <w:rFonts w:ascii="Calibri" w:cs="Calibri" w:eastAsia="Calibri" w:hAnsi="Calibri"/>
                <w:b/>
                <w:bCs/>
                <w:color w:val="1F4E79"/>
                <w:sz w:val="22"/>
                <w:szCs w:val="22"/>
              </w:rPr>
              <w:t xml:space="preserve">Ambito: </w:t>
            </w:r>
            <w:r>
              <w:rPr>
                <w:rFonts w:ascii="Calibri" w:cs="Calibri" w:eastAsia="Calibri" w:hAnsi="Calibri"/>
                <w:i/>
                <w:iCs/>
                <w:sz w:val="22"/>
                <w:szCs w:val="22"/>
              </w:rPr>
              <w:t>Cloud &amp; Infrastructure Security (CNAPP, CSPM, CWPP)</w:t>
            </w:r>
          </w:p>
        </w:tc>
      </w:tr>
      <w:tr>
        <w:tc>
          <w:tcPr>
            <w:tcW w:type="dxa" w:w="2000"/>
            <w:tcBorders>
              <w:top w:val="single" w:color="C9C9C9" w:sz="1"/>
              <w:left w:val="single" w:color="C9C9C9" w:sz="1"/>
              <w:bottom w:val="single" w:color="C9C9C9" w:sz="1"/>
              <w:right w:val="single" w:color="C9C9C9" w:sz="1"/>
            </w:tcBorders>
            <w:shd w:fill="2E75B6" w:val="clear"/>
            <w:tcMar>
              <w:top w:type="dxa" w:w="80"/>
              <w:left w:type="dxa" w:w="160"/>
              <w:bottom w:type="dxa" w:w="80"/>
              <w:right w:type="dxa" w:w="160"/>
            </w:tcMar>
          </w:tcPr>
          <w:p>
            <w:r>
              <w:rPr>
                <w:rFonts w:ascii="Calibri" w:cs="Calibri" w:eastAsia="Calibri" w:hAnsi="Calibri"/>
                <w:b/>
                <w:bCs/>
                <w:color w:val="FFFFFF"/>
                <w:sz w:val="20"/>
                <w:szCs w:val="20"/>
              </w:rPr>
              <w:t>Cosa fa</w:t>
            </w:r>
          </w:p>
        </w:tc>
        <w:tc>
          <w:tcPr>
            <w:tcW w:type="dxa" w:w="7026"/>
            <w:tcBorders>
              <w:top w:val="single" w:color="C9C9C9" w:sz="1"/>
              <w:left w:val="single" w:color="C9C9C9" w:sz="1"/>
              <w:bottom w:val="single" w:color="C9C9C9" w:sz="1"/>
              <w:right w:val="single" w:color="C9C9C9" w:sz="1"/>
            </w:tcBorders>
            <w:tcMar>
              <w:top w:type="dxa" w:w="80"/>
              <w:left w:type="dxa" w:w="160"/>
              <w:bottom w:type="dxa" w:w="80"/>
              <w:right w:type="dxa" w:w="160"/>
            </w:tcMar>
          </w:tcPr>
          <w:p>
            <w:r>
              <w:rPr>
                <w:rFonts w:ascii="Calibri" w:cs="Calibri" w:eastAsia="Calibri" w:hAnsi="Calibri"/>
                <w:sz w:val="22"/>
                <w:szCs w:val="22"/>
              </w:rPr>
              <w:t xml:space="preserve">Leader Forrester Wave CNAPP Q1 2026. Piattaforma cloud-native unificata (CSPM, CWPP, CIEM, runtime) con Sysdig Sage: primo analista AI agente integrato che indaga alert autonomamente, riduce MTTR del 76% e risparmia 80h/settimana di triage manuale.</w:t>
            </w:r>
          </w:p>
        </w:tc>
      </w:tr>
      <w:tr>
        <w:tc>
          <w:tcPr>
            <w:tcW w:type="dxa" w:w="2000"/>
            <w:tcBorders>
              <w:top w:val="single" w:color="C9C9C9" w:sz="1"/>
              <w:left w:val="single" w:color="C9C9C9" w:sz="1"/>
              <w:bottom w:val="single" w:color="C9C9C9" w:sz="1"/>
              <w:right w:val="single" w:color="C9C9C9" w:sz="1"/>
            </w:tcBorders>
            <w:shd w:fill="2E75B6" w:val="clear"/>
            <w:tcMar>
              <w:top w:type="dxa" w:w="80"/>
              <w:left w:type="dxa" w:w="160"/>
              <w:bottom w:type="dxa" w:w="80"/>
              <w:right w:type="dxa" w:w="160"/>
            </w:tcMar>
          </w:tcPr>
          <w:p>
            <w:r>
              <w:rPr>
                <w:rFonts w:ascii="Calibri" w:cs="Calibri" w:eastAsia="Calibri" w:hAnsi="Calibri"/>
                <w:b/>
                <w:bCs/>
                <w:color w:val="FFFFFF"/>
                <w:sz w:val="20"/>
                <w:szCs w:val="20"/>
              </w:rPr>
              <w:t>Perché ora</w:t>
            </w:r>
          </w:p>
        </w:tc>
        <w:tc>
          <w:tcPr>
            <w:tcW w:type="dxa" w:w="7026"/>
            <w:tcBorders>
              <w:top w:val="single" w:color="C9C9C9" w:sz="1"/>
              <w:left w:val="single" w:color="C9C9C9" w:sz="1"/>
              <w:bottom w:val="single" w:color="C9C9C9" w:sz="1"/>
              <w:right w:val="single" w:color="C9C9C9" w:sz="1"/>
            </w:tcBorders>
            <w:tcMar>
              <w:top w:type="dxa" w:w="80"/>
              <w:left w:type="dxa" w:w="160"/>
              <w:bottom w:type="dxa" w:w="80"/>
              <w:right w:type="dxa" w:w="160"/>
            </w:tcMar>
          </w:tcPr>
          <w:p>
            <w:r>
              <w:rPr>
                <w:rFonts w:ascii="Calibri" w:cs="Calibri" w:eastAsia="Calibri" w:hAnsi="Calibri"/>
                <w:sz w:val="22"/>
                <w:szCs w:val="22"/>
              </w:rPr>
              <w:t xml:space="preserve">Headless Cloud Security: la security diventa nativa nel ciclo AI. Per PA Centrale con PSN e cloud ACN, soddisfa requisiti NIS2 (43 misure soggetti essenziali, scadenza ottobre 2026) con visibility continua e audit trail automatizzati.</w:t>
            </w:r>
          </w:p>
        </w:tc>
      </w:tr>
      <w:tr>
        <w:tc>
          <w:tcPr>
            <w:gridSpan w:val="2"/>
            <w:tcBorders>
              <w:top w:val="single" w:color="C9C9C9" w:sz="1"/>
              <w:left w:val="single" w:color="C9C9C9" w:sz="1"/>
              <w:bottom w:val="single" w:color="C9C9C9" w:sz="1"/>
              <w:right w:val="single" w:color="C9C9C9" w:sz="1"/>
            </w:tcBorders>
            <w:shd w:fill="1F4E79" w:val="clear"/>
            <w:tcMar>
              <w:top w:type="dxa" w:w="100"/>
              <w:left w:type="dxa" w:w="160"/>
              <w:bottom w:type="dxa" w:w="100"/>
              <w:right w:type="dxa" w:w="160"/>
            </w:tcMar>
          </w:tcPr>
          <w:p>
            <w:r>
              <w:rPr>
                <w:rFonts w:ascii="Calibri" w:cs="Calibri" w:eastAsia="Calibri" w:hAnsi="Calibri"/>
                <w:b/>
                <w:bCs/>
                <w:color w:val="FFFFFF"/>
                <w:sz w:val="26"/>
                <w:szCs w:val="26"/>
              </w:rPr>
              <w:t xml:space="preserve">3. Akamai — Guardicore Platform</w:t>
            </w:r>
            <w:r>
              <w:rPr>
                <w:rFonts w:ascii="Calibri" w:cs="Calibri" w:eastAsia="Calibri" w:hAnsi="Calibri"/>
                <w:color w:val="BDD7EE"/>
                <w:sz w:val="20"/>
                <w:szCs w:val="20"/>
              </w:rPr>
              <w:t xml:space="preserve">  ·  Internazionale (USA)</w:t>
            </w:r>
          </w:p>
        </w:tc>
      </w:tr>
      <w:tr>
        <w:tc>
          <w:tcPr>
            <w:gridSpan w:val="2"/>
            <w:tcBorders>
              <w:top w:val="single" w:color="C9C9C9" w:sz="1"/>
              <w:left w:val="single" w:color="C9C9C9" w:sz="1"/>
              <w:bottom w:val="single" w:color="C9C9C9" w:sz="1"/>
              <w:right w:val="single" w:color="C9C9C9" w:sz="1"/>
            </w:tcBorders>
            <w:shd w:fill="DEEAF1" w:val="clear"/>
            <w:tcMar>
              <w:top w:type="dxa" w:w="60"/>
              <w:left w:type="dxa" w:w="160"/>
              <w:bottom w:type="dxa" w:w="60"/>
              <w:right w:type="dxa" w:w="160"/>
            </w:tcMar>
          </w:tcPr>
          <w:p>
            <w:r>
              <w:rPr>
                <w:rFonts w:ascii="Calibri" w:cs="Calibri" w:eastAsia="Calibri" w:hAnsi="Calibri"/>
                <w:b/>
                <w:bCs/>
                <w:color w:val="1F4E79"/>
                <w:sz w:val="22"/>
                <w:szCs w:val="22"/>
              </w:rPr>
              <w:t xml:space="preserve">Ambito: </w:t>
            </w:r>
            <w:r>
              <w:rPr>
                <w:rFonts w:ascii="Calibri" w:cs="Calibri" w:eastAsia="Calibri" w:hAnsi="Calibri"/>
                <w:i/>
                <w:iCs/>
                <w:sz w:val="22"/>
                <w:szCs w:val="22"/>
              </w:rPr>
              <w:t>Network Security &amp; Microsegmentazione (ZTNA, Zero Trust)</w:t>
            </w:r>
          </w:p>
        </w:tc>
      </w:tr>
      <w:tr>
        <w:tc>
          <w:tcPr>
            <w:tcW w:type="dxa" w:w="2000"/>
            <w:tcBorders>
              <w:top w:val="single" w:color="C9C9C9" w:sz="1"/>
              <w:left w:val="single" w:color="C9C9C9" w:sz="1"/>
              <w:bottom w:val="single" w:color="C9C9C9" w:sz="1"/>
              <w:right w:val="single" w:color="C9C9C9" w:sz="1"/>
            </w:tcBorders>
            <w:shd w:fill="2E75B6" w:val="clear"/>
            <w:tcMar>
              <w:top w:type="dxa" w:w="80"/>
              <w:left w:type="dxa" w:w="160"/>
              <w:bottom w:type="dxa" w:w="80"/>
              <w:right w:type="dxa" w:w="160"/>
            </w:tcMar>
          </w:tcPr>
          <w:p>
            <w:r>
              <w:rPr>
                <w:rFonts w:ascii="Calibri" w:cs="Calibri" w:eastAsia="Calibri" w:hAnsi="Calibri"/>
                <w:b/>
                <w:bCs/>
                <w:color w:val="FFFFFF"/>
                <w:sz w:val="20"/>
                <w:szCs w:val="20"/>
              </w:rPr>
              <w:t>Cosa fa</w:t>
            </w:r>
          </w:p>
        </w:tc>
        <w:tc>
          <w:tcPr>
            <w:tcW w:type="dxa" w:w="7026"/>
            <w:tcBorders>
              <w:top w:val="single" w:color="C9C9C9" w:sz="1"/>
              <w:left w:val="single" w:color="C9C9C9" w:sz="1"/>
              <w:bottom w:val="single" w:color="C9C9C9" w:sz="1"/>
              <w:right w:val="single" w:color="C9C9C9" w:sz="1"/>
            </w:tcBorders>
            <w:tcMar>
              <w:top w:type="dxa" w:w="80"/>
              <w:left w:type="dxa" w:w="160"/>
              <w:bottom w:type="dxa" w:w="80"/>
              <w:right w:type="dxa" w:w="160"/>
            </w:tcMar>
          </w:tcPr>
          <w:p>
            <w:r>
              <w:rPr>
                <w:rFonts w:ascii="Calibri" w:cs="Calibri" w:eastAsia="Calibri" w:hAnsi="Calibri"/>
                <w:sz w:val="22"/>
                <w:szCs w:val="22"/>
              </w:rPr>
              <w:t xml:space="preserve">Unica piattaforma che unifica ZTNA + microsegmentazione + MFA adattiva + DNS firewall. Da marzo 2026 con AI policy enforcement: l’AI analizza il comportamento applicativo e genera policy di segmentazione pronte all’enforcement in linguaggio naturale.</w:t>
            </w:r>
          </w:p>
        </w:tc>
      </w:tr>
      <w:tr>
        <w:tc>
          <w:tcPr>
            <w:tcW w:type="dxa" w:w="2000"/>
            <w:tcBorders>
              <w:top w:val="single" w:color="C9C9C9" w:sz="1"/>
              <w:left w:val="single" w:color="C9C9C9" w:sz="1"/>
              <w:bottom w:val="single" w:color="C9C9C9" w:sz="1"/>
              <w:right w:val="single" w:color="C9C9C9" w:sz="1"/>
            </w:tcBorders>
            <w:shd w:fill="2E75B6" w:val="clear"/>
            <w:tcMar>
              <w:top w:type="dxa" w:w="80"/>
              <w:left w:type="dxa" w:w="160"/>
              <w:bottom w:type="dxa" w:w="80"/>
              <w:right w:type="dxa" w:w="160"/>
            </w:tcMar>
          </w:tcPr>
          <w:p>
            <w:r>
              <w:rPr>
                <w:rFonts w:ascii="Calibri" w:cs="Calibri" w:eastAsia="Calibri" w:hAnsi="Calibri"/>
                <w:b/>
                <w:bCs/>
                <w:color w:val="FFFFFF"/>
                <w:sz w:val="20"/>
                <w:szCs w:val="20"/>
              </w:rPr>
              <w:t>Perché ora</w:t>
            </w:r>
          </w:p>
        </w:tc>
        <w:tc>
          <w:tcPr>
            <w:tcW w:type="dxa" w:w="7026"/>
            <w:tcBorders>
              <w:top w:val="single" w:color="C9C9C9" w:sz="1"/>
              <w:left w:val="single" w:color="C9C9C9" w:sz="1"/>
              <w:bottom w:val="single" w:color="C9C9C9" w:sz="1"/>
              <w:right w:val="single" w:color="C9C9C9" w:sz="1"/>
            </w:tcBorders>
            <w:tcMar>
              <w:top w:type="dxa" w:w="80"/>
              <w:left w:type="dxa" w:w="160"/>
              <w:bottom w:type="dxa" w:w="80"/>
              <w:right w:type="dxa" w:w="160"/>
            </w:tcMar>
          </w:tcPr>
          <w:p>
            <w:r>
              <w:rPr>
                <w:rFonts w:ascii="Calibri" w:cs="Calibri" w:eastAsia="Calibri" w:hAnsi="Calibri"/>
                <w:sz w:val="22"/>
                <w:szCs w:val="22"/>
              </w:rPr>
              <w:t xml:space="preserve">Le reti PA italiane sono storicamente piatte. NIS2 (ottobre 2026) impone segmentazione. Guardicore riduce l’implementazione da mesi a giorni tramite AI. Rilevante per enti che migrano al PSN e per compliance ACN su infrastrutture critiche.</w:t>
            </w:r>
          </w:p>
        </w:tc>
      </w:tr>
    </w:tbl>
    <w:p>
      <w:pPr>
        <w:spacing w:after="120" w:before="240"/>
      </w:pPr>
      <w:r>
        <w:rPr>
          <w:rFonts w:ascii="Calibri" w:cs="Calibri" w:eastAsia="Calibri" w:hAnsi="Calibri"/>
          <w:i/>
          <w:iCs/>
          <w:color w:val="595959"/>
          <w:sz w:val="18"/>
          <w:szCs w:val="18"/>
        </w:rPr>
        <w:t xml:space="preserve">Prossimo briefing: 31 maggio 2026 · Generato automaticamente da Claude · Cowork</w:t>
      </w:r>
    </w:p>
    <w:p>
      <w:r>
        <w:br w:type="page"/>
      </w:r>
    </w:p>
    <w:p>
      <w:pPr>
        <w:pStyle w:val="Heading1"/>
      </w:pPr>
      <w:bookmarkStart w:name="bm_w21" w:id="2"/>
      <w:r>
        <w:rPr>
          <w:rFonts w:ascii="Calibri" w:cs="Calibri" w:eastAsia="Calibri" w:hAnsi="Calibri"/>
          <w:b/>
          <w:bCs/>
          <w:color w:val="1F4E79"/>
          <w:sz w:val="28"/>
          <w:szCs w:val="28"/>
        </w:rPr>
        <w:t xml:space="preserve">W21 · 21 maggio 2026</w:t>
      </w:r>
      <w:bookmarkEnd w:id="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2"/>
        <w:gridCol w:w="2252"/>
        <w:gridCol w:w="2251"/>
        <w:gridCol w:w="2271"/>
      </w:tblGrid>
      <w:tr>
        <w:tc>
          <w:tcPr>
            <w:tcW w:type="dxa" w:w="2252"/>
            <w:tcBorders>
              <w:top w:val="single" w:color="C9C9C9" w:sz="1"/>
              <w:left w:val="single" w:color="C9C9C9" w:sz="1"/>
              <w:bottom w:val="single" w:color="C9C9C9" w:sz="1"/>
              <w:right w:val="single" w:color="C9C9C9" w:sz="1"/>
            </w:tcBorders>
            <w:shd w:fill="DEEAF1" w:val="clear"/>
            <w:tcMar>
              <w:top w:type="dxa" w:w="80"/>
              <w:left w:type="dxa" w:w="120"/>
              <w:bottom w:type="dxa" w:w="80"/>
              <w:right w:type="dxa" w:w="120"/>
            </w:tcMar>
          </w:tcPr>
          <w:p>
            <w:pPr>
              <w:spacing w:after="20" w:before="0"/>
            </w:pPr>
            <w:r>
              <w:rPr>
                <w:rFonts w:ascii="Calibri" w:cs="Calibri" w:eastAsia="Calibri" w:hAnsi="Calibri"/>
                <w:b/>
                <w:bCs/>
                <w:color w:val="1F4E79"/>
                <w:sz w:val="18"/>
                <w:szCs w:val="18"/>
              </w:rPr>
              <w:t xml:space="preserve">Data</w:t>
            </w:r>
          </w:p>
          <w:p>
            <w:pPr>
              <w:spacing w:after="0" w:before="0"/>
            </w:pPr>
            <w:r>
              <w:rPr>
                <w:rFonts w:ascii="Calibri" w:cs="Calibri" w:eastAsia="Calibri" w:hAnsi="Calibri"/>
                <w:sz w:val="22"/>
                <w:szCs w:val="22"/>
              </w:rPr>
              <w:t xml:space="preserve">21 maggio 2026</w:t>
            </w:r>
          </w:p>
        </w:tc>
        <w:tc>
          <w:tcPr>
            <w:tcW w:type="dxa" w:w="2252"/>
            <w:tcBorders>
              <w:top w:val="single" w:color="C9C9C9" w:sz="1"/>
              <w:left w:val="single" w:color="C9C9C9" w:sz="1"/>
              <w:bottom w:val="single" w:color="C9C9C9" w:sz="1"/>
              <w:right w:val="single" w:color="C9C9C9" w:sz="1"/>
            </w:tcBorders>
            <w:shd w:fill="DEEAF1" w:val="clear"/>
            <w:tcMar>
              <w:top w:type="dxa" w:w="80"/>
              <w:left w:type="dxa" w:w="120"/>
              <w:bottom w:type="dxa" w:w="80"/>
              <w:right w:type="dxa" w:w="120"/>
            </w:tcMar>
          </w:tcPr>
          <w:p>
            <w:pPr>
              <w:spacing w:after="20" w:before="0"/>
            </w:pPr>
            <w:r>
              <w:rPr>
                <w:rFonts w:ascii="Calibri" w:cs="Calibri" w:eastAsia="Calibri" w:hAnsi="Calibri"/>
                <w:b/>
                <w:bCs/>
                <w:color w:val="1F4E79"/>
                <w:sz w:val="18"/>
                <w:szCs w:val="18"/>
              </w:rPr>
              <w:t xml:space="preserve">Settimana ISO</w:t>
            </w:r>
          </w:p>
          <w:p>
            <w:pPr>
              <w:spacing w:after="0" w:before="0"/>
            </w:pPr>
            <w:r>
              <w:rPr>
                <w:rFonts w:ascii="Calibri" w:cs="Calibri" w:eastAsia="Calibri" w:hAnsi="Calibri"/>
                <w:sz w:val="22"/>
                <w:szCs w:val="22"/>
              </w:rPr>
              <w:t xml:space="preserve">W21 / 2026</w:t>
            </w:r>
          </w:p>
        </w:tc>
        <w:tc>
          <w:tcPr>
            <w:tcW w:type="dxa" w:w="2252"/>
            <w:tcBorders>
              <w:top w:val="single" w:color="C9C9C9" w:sz="1"/>
              <w:left w:val="single" w:color="C9C9C9" w:sz="1"/>
              <w:bottom w:val="single" w:color="C9C9C9" w:sz="1"/>
              <w:right w:val="single" w:color="C9C9C9" w:sz="1"/>
            </w:tcBorders>
            <w:shd w:fill="DEEAF1" w:val="clear"/>
            <w:tcMar>
              <w:top w:type="dxa" w:w="80"/>
              <w:left w:type="dxa" w:w="120"/>
              <w:bottom w:type="dxa" w:w="80"/>
              <w:right w:type="dxa" w:w="120"/>
            </w:tcMar>
          </w:tcPr>
          <w:p>
            <w:pPr>
              <w:spacing w:after="20" w:before="0"/>
            </w:pPr>
            <w:r>
              <w:rPr>
                <w:rFonts w:ascii="Calibri" w:cs="Calibri" w:eastAsia="Calibri" w:hAnsi="Calibri"/>
                <w:b/>
                <w:bCs/>
                <w:color w:val="1F4E79"/>
                <w:sz w:val="18"/>
                <w:szCs w:val="18"/>
              </w:rPr>
              <w:t xml:space="preserve">Ambiti</w:t>
            </w:r>
          </w:p>
          <w:p>
            <w:pPr>
              <w:spacing w:after="0" w:before="0"/>
            </w:pPr>
            <w:r>
              <w:rPr>
                <w:rFonts w:ascii="Calibri" w:cs="Calibri" w:eastAsia="Calibri" w:hAnsi="Calibri"/>
                <w:sz w:val="22"/>
                <w:szCs w:val="22"/>
              </w:rPr>
              <w:t xml:space="preserve">5 su 5</w:t>
            </w:r>
          </w:p>
        </w:tc>
        <w:tc>
          <w:tcPr>
            <w:tcW w:type="dxa" w:w="2252"/>
            <w:tcBorders>
              <w:top w:val="single" w:color="C9C9C9" w:sz="1"/>
              <w:left w:val="single" w:color="C9C9C9" w:sz="1"/>
              <w:bottom w:val="single" w:color="C9C9C9" w:sz="1"/>
              <w:right w:val="single" w:color="C9C9C9" w:sz="1"/>
            </w:tcBorders>
            <w:shd w:fill="DEEAF1" w:val="clear"/>
            <w:tcMar>
              <w:top w:type="dxa" w:w="80"/>
              <w:left w:type="dxa" w:w="120"/>
              <w:bottom w:type="dxa" w:w="80"/>
              <w:right w:type="dxa" w:w="120"/>
            </w:tcMar>
          </w:tcPr>
          <w:p>
            <w:pPr>
              <w:spacing w:after="20" w:before="0"/>
            </w:pPr>
            <w:r>
              <w:rPr>
                <w:rFonts w:ascii="Calibri" w:cs="Calibri" w:eastAsia="Calibri" w:hAnsi="Calibri"/>
                <w:b/>
                <w:bCs/>
                <w:color w:val="1F4E79"/>
                <w:sz w:val="18"/>
                <w:szCs w:val="18"/>
              </w:rPr>
              <w:t xml:space="preserve">Target</w:t>
            </w:r>
          </w:p>
          <w:p>
            <w:pPr>
              <w:spacing w:after="0" w:before="0"/>
            </w:pPr>
            <w:r>
              <w:rPr>
                <w:rFonts w:ascii="Calibri" w:cs="Calibri" w:eastAsia="Calibri" w:hAnsi="Calibri"/>
                <w:sz w:val="22"/>
                <w:szCs w:val="22"/>
              </w:rPr>
              <w:t xml:space="preserve">Enterprise &amp; Mid-market</w:t>
            </w:r>
          </w:p>
        </w:tc>
      </w:tr>
    </w:tbl>
    <w:p>
      <w:pPr>
        <w:spacing w:after="60" w:before="240"/>
      </w:pPr>
    </w:p>
    <w:p>
      <w:pPr>
        <w:pStyle w:val="Heading2"/>
      </w:pPr>
      <w:r>
        <w:rPr>
          <w:rFonts w:ascii="Calibri" w:cs="Calibri" w:eastAsia="Calibri" w:hAnsi="Calibri"/>
          <w:b/>
          <w:bCs/>
          <w:color w:val="4472C4"/>
          <w:sz w:val="24"/>
          <w:szCs w:val="24"/>
        </w:rPr>
        <w:t xml:space="preserve">Le 3 soluzioni della settimana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gridSpan w:val="2"/>
            <w:tcBorders>
              <w:top w:val="single" w:color="C9C9C9" w:sz="1"/>
              <w:left w:val="single" w:color="C9C9C9" w:sz="1"/>
              <w:bottom w:val="single" w:color="C9C9C9" w:sz="1"/>
              <w:right w:val="single" w:color="C9C9C9" w:sz="1"/>
            </w:tcBorders>
            <w:shd w:fill="1F4E79" w:val="clear"/>
            <w:tcMar>
              <w:top w:type="dxa" w:w="100"/>
              <w:left w:type="dxa" w:w="160"/>
              <w:bottom w:type="dxa" w:w="100"/>
              <w:right w:type="dxa" w:w="160"/>
            </w:tcMar>
          </w:tcPr>
          <w:p>
            <w:r>
              <w:rPr>
                <w:rFonts w:ascii="Calibri" w:cs="Calibri" w:eastAsia="Calibri" w:hAnsi="Calibri"/>
                <w:b/>
                <w:bCs/>
                <w:color w:val="FFFFFF"/>
                <w:sz w:val="26"/>
                <w:szCs w:val="26"/>
              </w:rPr>
              <w:t>1. Palo Alto Networks — Idira</w:t>
            </w:r>
            <w:r>
              <w:rPr>
                <w:rFonts w:ascii="Calibri" w:cs="Calibri" w:eastAsia="Calibri" w:hAnsi="Calibri"/>
                <w:color w:val="BDD7EE"/>
                <w:sz w:val="20"/>
                <w:szCs w:val="20"/>
              </w:rPr>
              <w:t xml:space="preserve">  ·  Internazionale (USA)</w:t>
            </w:r>
          </w:p>
        </w:tc>
      </w:tr>
      <w:tr>
        <w:tc>
          <w:tcPr>
            <w:gridSpan w:val="2"/>
            <w:tcBorders>
              <w:top w:val="single" w:color="C9C9C9" w:sz="1"/>
              <w:left w:val="single" w:color="C9C9C9" w:sz="1"/>
              <w:bottom w:val="single" w:color="C9C9C9" w:sz="1"/>
              <w:right w:val="single" w:color="C9C9C9" w:sz="1"/>
            </w:tcBorders>
            <w:shd w:fill="DEEAF1" w:val="clear"/>
            <w:tcMar>
              <w:top w:type="dxa" w:w="60"/>
              <w:left w:type="dxa" w:w="160"/>
              <w:bottom w:type="dxa" w:w="60"/>
              <w:right w:type="dxa" w:w="160"/>
            </w:tcMar>
          </w:tcPr>
          <w:p>
            <w:r>
              <w:rPr>
                <w:rFonts w:ascii="Calibri" w:cs="Calibri" w:eastAsia="Calibri" w:hAnsi="Calibri"/>
                <w:b/>
                <w:bCs/>
                <w:color w:val="1F4E79"/>
                <w:sz w:val="22"/>
                <w:szCs w:val="22"/>
              </w:rPr>
              <w:t xml:space="preserve">Ambito: </w:t>
            </w:r>
            <w:r>
              <w:rPr>
                <w:rFonts w:ascii="Calibri" w:cs="Calibri" w:eastAsia="Calibri" w:hAnsi="Calibri"/>
                <w:i/>
                <w:iCs/>
                <w:sz w:val="22"/>
                <w:szCs w:val="22"/>
              </w:rPr>
              <w:t xml:space="preserve">Endpoint &amp; Identity · PAM · ITDR · Agentic Identity Security</w:t>
            </w:r>
          </w:p>
        </w:tc>
      </w:tr>
      <w:tr>
        <w:tc>
          <w:tcPr>
            <w:tcW w:type="dxa" w:w="2000"/>
            <w:tcBorders>
              <w:top w:val="single" w:color="C9C9C9" w:sz="1"/>
              <w:left w:val="single" w:color="C9C9C9" w:sz="1"/>
              <w:bottom w:val="single" w:color="C9C9C9" w:sz="1"/>
              <w:right w:val="single" w:color="C9C9C9" w:sz="1"/>
            </w:tcBorders>
            <w:shd w:fill="F5F5F5" w:val="clear"/>
            <w:tcMar>
              <w:top w:type="dxa" w:w="80"/>
              <w:left w:type="dxa" w:w="160"/>
              <w:bottom w:type="dxa" w:w="80"/>
              <w:right w:type="dxa" w:w="160"/>
            </w:tcMar>
            <w:vAlign w:val="top"/>
          </w:tcPr>
          <w:p>
            <w:r>
              <w:rPr>
                <w:rFonts w:ascii="Calibri" w:cs="Calibri" w:eastAsia="Calibri" w:hAnsi="Calibri"/>
                <w:b/>
                <w:bCs/>
                <w:color w:val="1F4E79"/>
                <w:sz w:val="22"/>
                <w:szCs w:val="22"/>
              </w:rPr>
              <w:t xml:space="preserve">Cosa fa</w:t>
            </w:r>
          </w:p>
        </w:tc>
        <w:tc>
          <w:tcPr>
            <w:tcW w:type="dxa" w:w="7026"/>
            <w:tcBorders>
              <w:top w:val="single" w:color="C9C9C9" w:sz="1"/>
              <w:left w:val="single" w:color="C9C9C9" w:sz="1"/>
              <w:bottom w:val="single" w:color="C9C9C9" w:sz="1"/>
              <w:right w:val="single" w:color="C9C9C9" w:sz="1"/>
            </w:tcBorders>
            <w:tcMar>
              <w:top w:type="dxa" w:w="80"/>
              <w:left w:type="dxa" w:w="160"/>
              <w:bottom w:type="dxa" w:w="80"/>
              <w:right w:type="dxa" w:w="160"/>
            </w:tcMar>
          </w:tcPr>
          <w:p>
            <w:pPr>
              <w:spacing w:after="0" w:before="0"/>
            </w:pPr>
            <w:r>
              <w:rPr>
                <w:rFonts w:ascii="Calibri" w:cs="Calibri" w:eastAsia="Calibri" w:hAnsi="Calibri"/>
                <w:sz w:val="22"/>
                <w:szCs w:val="22"/>
              </w:rPr>
              <w:t xml:space="preserve">Piattaforma di identity security lanciata il 12 maggio 2026, nata dall'integrazione della tecnologia CyberArk (acquisita per 25 miliardi di dollari). Unifica PAM, protezione identità macchina e controllo delle identità agentiche (AI agent) in un'unica piattaforma cloud-native, con enforcement dei privilegi just-in-time.</w:t>
            </w:r>
          </w:p>
        </w:tc>
      </w:tr>
      <w:tr>
        <w:tc>
          <w:tcPr>
            <w:tcW w:type="dxa" w:w="2000"/>
            <w:tcBorders>
              <w:top w:val="single" w:color="C9C9C9" w:sz="1"/>
              <w:left w:val="single" w:color="C9C9C9" w:sz="1"/>
              <w:bottom w:val="single" w:color="C9C9C9" w:sz="1"/>
              <w:right w:val="single" w:color="C9C9C9" w:sz="1"/>
            </w:tcBorders>
            <w:shd w:fill="F5F5F5" w:val="clear"/>
            <w:tcMar>
              <w:top w:type="dxa" w:w="80"/>
              <w:left w:type="dxa" w:w="160"/>
              <w:bottom w:type="dxa" w:w="80"/>
              <w:right w:type="dxa" w:w="160"/>
            </w:tcMar>
            <w:vAlign w:val="top"/>
          </w:tcPr>
          <w:p>
            <w:r>
              <w:rPr>
                <w:rFonts w:ascii="Calibri" w:cs="Calibri" w:eastAsia="Calibri" w:hAnsi="Calibri"/>
                <w:b/>
                <w:bCs/>
                <w:color w:val="1F4E79"/>
                <w:sz w:val="22"/>
                <w:szCs w:val="22"/>
              </w:rPr>
              <w:t xml:space="preserve">Funzionali</w:t>
            </w:r>
          </w:p>
        </w:tc>
        <w:tc>
          <w:tcPr>
            <w:tcW w:type="dxa" w:w="7026"/>
            <w:tcBorders>
              <w:top w:val="single" w:color="C9C9C9" w:sz="1"/>
              <w:left w:val="single" w:color="C9C9C9" w:sz="1"/>
              <w:bottom w:val="single" w:color="C9C9C9" w:sz="1"/>
              <w:right w:val="single" w:color="C9C9C9" w:sz="1"/>
            </w:tcBorders>
            <w:tcMar>
              <w:top w:type="dxa" w:w="80"/>
              <w:left w:type="dxa" w:w="160"/>
              <w:bottom w:type="dxa" w:w="80"/>
              <w:right w:type="dxa" w:w="160"/>
            </w:tcMar>
          </w:tcPr>
          <w:p>
            <w:pPr>
              <w:pStyle w:val="ListParagraph"/>
              <w:numPr>
                <w:ilvl w:val="0"/>
                <w:numId w:val="2"/>
              </w:numPr>
              <w:spacing w:after="30" w:before="30"/>
            </w:pPr>
            <w:r>
              <w:rPr>
                <w:rFonts w:ascii="Calibri" w:cs="Calibri" w:eastAsia="Calibri" w:hAnsi="Calibri"/>
                <w:sz w:val="22"/>
                <w:szCs w:val="22"/>
              </w:rPr>
              <w:t xml:space="preserve">Discover Identity Risk: discovery continua di identità, entitlement e percorsi di accesso con remediation AI-guidata</w:t>
            </w:r>
          </w:p>
          <w:p>
            <w:pPr>
              <w:pStyle w:val="ListParagraph"/>
              <w:numPr>
                <w:ilvl w:val="0"/>
                <w:numId w:val="2"/>
              </w:numPr>
              <w:spacing w:after="30" w:before="30"/>
            </w:pPr>
            <w:r>
              <w:rPr>
                <w:rFonts w:ascii="Calibri" w:cs="Calibri" w:eastAsia="Calibri" w:hAnsi="Calibri"/>
                <w:sz w:val="22"/>
                <w:szCs w:val="22"/>
              </w:rPr>
              <w:t xml:space="preserve">Control Every Privilege: Zero Standing Privilege (ZSP) con accesso just-in-time per identità umane, macchine e AI agent</w:t>
            </w:r>
          </w:p>
          <w:p>
            <w:pPr>
              <w:pStyle w:val="ListParagraph"/>
              <w:numPr>
                <w:ilvl w:val="0"/>
                <w:numId w:val="2"/>
              </w:numPr>
              <w:spacing w:after="30" w:before="30"/>
            </w:pPr>
            <w:r>
              <w:rPr>
                <w:rFonts w:ascii="Calibri" w:cs="Calibri" w:eastAsia="Calibri" w:hAnsi="Calibri"/>
                <w:sz w:val="22"/>
                <w:szCs w:val="22"/>
              </w:rPr>
              <w:t xml:space="preserve">Automate Governance: automatizzazione dell'intero ciclo di vita delle identità con policy AI-driven</w:t>
            </w:r>
          </w:p>
          <w:p>
            <w:pPr>
              <w:pStyle w:val="ListParagraph"/>
              <w:numPr>
                <w:ilvl w:val="0"/>
                <w:numId w:val="2"/>
              </w:numPr>
              <w:spacing w:after="30" w:before="30"/>
            </w:pPr>
            <w:r>
              <w:rPr>
                <w:rFonts w:ascii="Calibri" w:cs="Calibri" w:eastAsia="Calibri" w:hAnsi="Calibri"/>
                <w:sz w:val="22"/>
                <w:szCs w:val="22"/>
              </w:rPr>
              <w:t xml:space="preserve">ITDR integrato con Cortex XDR per rilevamento e risposta alle minacce identitarie</w:t>
            </w:r>
          </w:p>
          <w:p>
            <w:pPr>
              <w:pStyle w:val="ListParagraph"/>
              <w:numPr>
                <w:ilvl w:val="0"/>
                <w:numId w:val="2"/>
              </w:numPr>
              <w:spacing w:after="30" w:before="30"/>
            </w:pPr>
            <w:r>
              <w:rPr>
                <w:rFonts w:ascii="Calibri" w:cs="Calibri" w:eastAsia="Calibri" w:hAnsi="Calibri"/>
                <w:sz w:val="22"/>
                <w:szCs w:val="22"/>
              </w:rPr>
              <w:t xml:space="preserve">Supporto nativo per identità agentiche (AI agent, service account, workload identity)</w:t>
            </w:r>
          </w:p>
        </w:tc>
      </w:tr>
      <w:tr>
        <w:tc>
          <w:tcPr>
            <w:tcW w:type="dxa" w:w="2000"/>
            <w:tcBorders>
              <w:top w:val="single" w:color="C9C9C9" w:sz="1"/>
              <w:left w:val="single" w:color="C9C9C9" w:sz="1"/>
              <w:bottom w:val="single" w:color="C9C9C9" w:sz="1"/>
              <w:right w:val="single" w:color="C9C9C9" w:sz="1"/>
            </w:tcBorders>
            <w:shd w:fill="F5F5F5" w:val="clear"/>
            <w:tcMar>
              <w:top w:type="dxa" w:w="80"/>
              <w:left w:type="dxa" w:w="160"/>
              <w:bottom w:type="dxa" w:w="80"/>
              <w:right w:type="dxa" w:w="160"/>
            </w:tcMar>
            <w:vAlign w:val="top"/>
          </w:tcPr>
          <w:p>
            <w:r>
              <w:rPr>
                <w:rFonts w:ascii="Calibri" w:cs="Calibri" w:eastAsia="Calibri" w:hAnsi="Calibri"/>
                <w:b/>
                <w:bCs/>
                <w:color w:val="1F4E79"/>
                <w:sz w:val="22"/>
                <w:szCs w:val="22"/>
              </w:rPr>
              <w:t xml:space="preserve">Infrastruttura</w:t>
            </w:r>
          </w:p>
        </w:tc>
        <w:tc>
          <w:tcPr>
            <w:tcW w:type="dxa" w:w="7026"/>
            <w:tcBorders>
              <w:top w:val="single" w:color="C9C9C9" w:sz="1"/>
              <w:left w:val="single" w:color="C9C9C9" w:sz="1"/>
              <w:bottom w:val="single" w:color="C9C9C9" w:sz="1"/>
              <w:right w:val="single" w:color="C9C9C9" w:sz="1"/>
            </w:tcBorders>
            <w:tcMar>
              <w:top w:type="dxa" w:w="80"/>
              <w:left w:type="dxa" w:w="160"/>
              <w:bottom w:type="dxa" w:w="80"/>
              <w:right w:type="dxa" w:w="160"/>
            </w:tcMar>
          </w:tcPr>
          <w:p>
            <w:pPr>
              <w:pStyle w:val="ListParagraph"/>
              <w:numPr>
                <w:ilvl w:val="0"/>
                <w:numId w:val="2"/>
              </w:numPr>
              <w:spacing w:after="30" w:before="30"/>
            </w:pPr>
            <w:r>
              <w:rPr>
                <w:rFonts w:ascii="Calibri" w:cs="Calibri" w:eastAsia="Calibri" w:hAnsi="Calibri"/>
                <w:sz w:val="22"/>
                <w:szCs w:val="22"/>
              </w:rPr>
              <w:t xml:space="preserve">Deployment: SaaS cloud-native con opzione hybrid per ambienti on-prem critici</w:t>
            </w:r>
          </w:p>
          <w:p>
            <w:pPr>
              <w:pStyle w:val="ListParagraph"/>
              <w:numPr>
                <w:ilvl w:val="0"/>
                <w:numId w:val="2"/>
              </w:numPr>
              <w:spacing w:after="30" w:before="30"/>
            </w:pPr>
            <w:r>
              <w:rPr>
                <w:rFonts w:ascii="Calibri" w:cs="Calibri" w:eastAsia="Calibri" w:hAnsi="Calibri"/>
                <w:sz w:val="22"/>
                <w:szCs w:val="22"/>
              </w:rPr>
              <w:t xml:space="preserve">Architettura API-first, eredita l'infrastruttura vault di CyberArk con layer AI proprietario</w:t>
            </w:r>
          </w:p>
          <w:p>
            <w:pPr>
              <w:pStyle w:val="ListParagraph"/>
              <w:numPr>
                <w:ilvl w:val="0"/>
                <w:numId w:val="2"/>
              </w:numPr>
              <w:spacing w:after="30" w:before="30"/>
            </w:pPr>
            <w:r>
              <w:rPr>
                <w:rFonts w:ascii="Calibri" w:cs="Calibri" w:eastAsia="Calibri" w:hAnsi="Calibri"/>
                <w:sz w:val="22"/>
                <w:szCs w:val="22"/>
              </w:rPr>
              <w:t xml:space="preserve">Agent leggero per endpoint; agentless per discovery cloud e SaaS</w:t>
            </w:r>
          </w:p>
          <w:p>
            <w:pPr>
              <w:pStyle w:val="ListParagraph"/>
              <w:numPr>
                <w:ilvl w:val="0"/>
                <w:numId w:val="2"/>
              </w:numPr>
              <w:spacing w:after="30" w:before="30"/>
            </w:pPr>
            <w:r>
              <w:rPr>
                <w:rFonts w:ascii="Calibri" w:cs="Calibri" w:eastAsia="Calibri" w:hAnsi="Calibri"/>
                <w:sz w:val="22"/>
                <w:szCs w:val="22"/>
              </w:rPr>
              <w:t xml:space="preserve">Integrazioni native: Cortex XDR, XSIAM, Palo Alto NGFW, Prisma SASE; connettori per AWS, Azure, GCP, Okta, Entra ID, SAP</w:t>
            </w:r>
          </w:p>
        </w:tc>
      </w:tr>
      <w:tr>
        <w:tc>
          <w:tcPr>
            <w:tcW w:type="dxa" w:w="2000"/>
            <w:tcBorders>
              <w:top w:val="single" w:color="C9C9C9" w:sz="1"/>
              <w:left w:val="single" w:color="C9C9C9" w:sz="1"/>
              <w:bottom w:val="single" w:color="C9C9C9" w:sz="1"/>
              <w:right w:val="single" w:color="C9C9C9" w:sz="1"/>
            </w:tcBorders>
            <w:shd w:fill="F5F5F5" w:val="clear"/>
            <w:tcMar>
              <w:top w:type="dxa" w:w="80"/>
              <w:left w:type="dxa" w:w="160"/>
              <w:bottom w:type="dxa" w:w="80"/>
              <w:right w:type="dxa" w:w="160"/>
            </w:tcMar>
            <w:vAlign w:val="top"/>
          </w:tcPr>
          <w:p>
            <w:r>
              <w:rPr>
                <w:rFonts w:ascii="Calibri" w:cs="Calibri" w:eastAsia="Calibri" w:hAnsi="Calibri"/>
                <w:b/>
                <w:bCs/>
                <w:color w:val="1F4E79"/>
                <w:sz w:val="22"/>
                <w:szCs w:val="22"/>
              </w:rPr>
              <w:t xml:space="preserve">Target</w:t>
            </w:r>
          </w:p>
        </w:tc>
        <w:tc>
          <w:tcPr>
            <w:tcW w:type="dxa" w:w="7026"/>
            <w:tcBorders>
              <w:top w:val="single" w:color="C9C9C9" w:sz="1"/>
              <w:left w:val="single" w:color="C9C9C9" w:sz="1"/>
              <w:bottom w:val="single" w:color="C9C9C9" w:sz="1"/>
              <w:right w:val="single" w:color="C9C9C9" w:sz="1"/>
            </w:tcBorders>
            <w:tcMar>
              <w:top w:type="dxa" w:w="80"/>
              <w:left w:type="dxa" w:w="160"/>
              <w:bottom w:type="dxa" w:w="80"/>
              <w:right w:type="dxa" w:w="160"/>
            </w:tcMar>
          </w:tcPr>
          <w:p>
            <w:pPr>
              <w:pStyle w:val="ListParagraph"/>
              <w:numPr>
                <w:ilvl w:val="0"/>
                <w:numId w:val="2"/>
              </w:numPr>
              <w:spacing w:after="30" w:before="30"/>
            </w:pPr>
            <w:r>
              <w:rPr>
                <w:rFonts w:ascii="Calibri" w:cs="Calibri" w:eastAsia="Calibri" w:hAnsi="Calibri"/>
                <w:sz w:val="22"/>
                <w:szCs w:val="22"/>
              </w:rPr>
              <w:t xml:space="preserve">Dimensione: Enterprise (500+ dipendenti), ideale con infrastruttura ibrida e ambienti AI/agentic</w:t>
            </w:r>
          </w:p>
          <w:p>
            <w:pPr>
              <w:pStyle w:val="ListParagraph"/>
              <w:numPr>
                <w:ilvl w:val="0"/>
                <w:numId w:val="2"/>
              </w:numPr>
              <w:spacing w:after="30" w:before="30"/>
            </w:pPr>
            <w:r>
              <w:rPr>
                <w:rFonts w:ascii="Calibri" w:cs="Calibri" w:eastAsia="Calibri" w:hAnsi="Calibri"/>
                <w:sz w:val="22"/>
                <w:szCs w:val="22"/>
              </w:rPr>
              <w:t xml:space="preserve">Settori consigliati: Finanza, PA, Manifatturiero avanzato, Healthcare</w:t>
            </w:r>
          </w:p>
          <w:p>
            <w:pPr>
              <w:pStyle w:val="ListParagraph"/>
              <w:numPr>
                <w:ilvl w:val="0"/>
                <w:numId w:val="2"/>
              </w:numPr>
              <w:spacing w:after="30" w:before="30"/>
            </w:pPr>
            <w:r>
              <w:rPr>
                <w:rFonts w:ascii="Calibri" w:cs="Calibri" w:eastAsia="Calibri" w:hAnsi="Calibri"/>
                <w:sz w:val="22"/>
                <w:szCs w:val="22"/>
              </w:rPr>
              <w:t xml:space="preserve">ROI massimo per chi è già cliente Cortex o CyberArk</w:t>
            </w:r>
          </w:p>
        </w:tc>
      </w:tr>
      <w:tr>
        <w:tc>
          <w:tcPr>
            <w:tcW w:type="dxa" w:w="2000"/>
            <w:tcBorders>
              <w:top w:val="single" w:color="C9C9C9" w:sz="1"/>
              <w:left w:val="single" w:color="C9C9C9" w:sz="1"/>
              <w:bottom w:val="single" w:color="C9C9C9" w:sz="1"/>
              <w:right w:val="single" w:color="C9C9C9" w:sz="1"/>
            </w:tcBorders>
            <w:shd w:fill="DEEAF1" w:val="clear"/>
            <w:tcMar>
              <w:top w:type="dxa" w:w="80"/>
              <w:left w:type="dxa" w:w="160"/>
              <w:bottom w:type="dxa" w:w="80"/>
              <w:right w:type="dxa" w:w="160"/>
            </w:tcMar>
            <w:vAlign w:val="top"/>
          </w:tcPr>
          <w:p>
            <w:r>
              <w:rPr>
                <w:rFonts w:ascii="Calibri" w:cs="Calibri" w:eastAsia="Calibri" w:hAnsi="Calibri"/>
                <w:b/>
                <w:bCs/>
                <w:color w:val="1F4E79"/>
                <w:sz w:val="22"/>
                <w:szCs w:val="22"/>
              </w:rPr>
              <w:t xml:space="preserve">Perché ora</w:t>
            </w:r>
          </w:p>
        </w:tc>
        <w:tc>
          <w:tcPr>
            <w:tcW w:type="dxa" w:w="7026"/>
            <w:tcBorders>
              <w:top w:val="single" w:color="C9C9C9" w:sz="1"/>
              <w:left w:val="single" w:color="C9C9C9" w:sz="1"/>
              <w:bottom w:val="single" w:color="C9C9C9" w:sz="1"/>
              <w:right w:val="single" w:color="C9C9C9" w:sz="1"/>
            </w:tcBorders>
            <w:shd w:fill="DEEAF1" w:val="clear"/>
            <w:tcMar>
              <w:top w:type="dxa" w:w="80"/>
              <w:left w:type="dxa" w:w="160"/>
              <w:bottom w:type="dxa" w:w="80"/>
              <w:right w:type="dxa" w:w="160"/>
            </w:tcMar>
          </w:tcPr>
          <w:p>
            <w:pPr>
              <w:spacing w:after="0" w:before="0"/>
            </w:pPr>
            <w:r>
              <w:rPr>
                <w:rFonts w:ascii="Calibri" w:cs="Calibri" w:eastAsia="Calibri" w:hAnsi="Calibri"/>
                <w:sz w:val="22"/>
                <w:szCs w:val="22"/>
              </w:rPr>
              <w:t xml:space="preserve">Il perimetro dell'identità si è esteso ben oltre gli utenti umani: AI agent e workload identity rappresentano oggi la superficie d'attacco più sottovalutata. Idira è la prima piattaforma commerciale a trattarle con lo stesso rigore del PAM tradizionale, anticipando i requisiti NIS2 e DORA. La convergenza PAM+ITDR in un'unica console riduce drasticamente il tempo di risposta agli attacchi identity-based, che rappresentano oltre il 70% degli initial access nei breach enterprise.</w:t>
            </w:r>
          </w:p>
        </w:tc>
      </w:tr>
      <w:tr>
        <w:tc>
          <w:tcPr>
            <w:tcW w:type="dxa" w:w="2000"/>
            <w:tcBorders>
              <w:top w:val="single" w:color="C9C9C9" w:sz="1"/>
              <w:left w:val="single" w:color="C9C9C9" w:sz="1"/>
              <w:bottom w:val="single" w:color="C9C9C9" w:sz="1"/>
              <w:right w:val="single" w:color="C9C9C9" w:sz="1"/>
            </w:tcBorders>
            <w:shd w:fill="F5F5F5" w:val="clear"/>
            <w:tcMar>
              <w:top w:type="dxa" w:w="80"/>
              <w:left w:type="dxa" w:w="160"/>
              <w:bottom w:type="dxa" w:w="80"/>
              <w:right w:type="dxa" w:w="160"/>
            </w:tcMar>
            <w:vAlign w:val="top"/>
          </w:tcPr>
          <w:p>
            <w:r>
              <w:rPr>
                <w:rFonts w:ascii="Calibri" w:cs="Calibri" w:eastAsia="Calibri" w:hAnsi="Calibri"/>
                <w:b/>
                <w:bCs/>
                <w:color w:val="1F4E79"/>
                <w:sz w:val="22"/>
                <w:szCs w:val="22"/>
              </w:rPr>
              <w:t xml:space="preserve">Approfondimenti</w:t>
            </w:r>
          </w:p>
        </w:tc>
        <w:tc>
          <w:tcPr>
            <w:tcW w:type="dxa" w:w="7026"/>
            <w:tcBorders>
              <w:top w:val="single" w:color="C9C9C9" w:sz="1"/>
              <w:left w:val="single" w:color="C9C9C9" w:sz="1"/>
              <w:bottom w:val="single" w:color="C9C9C9" w:sz="1"/>
              <w:right w:val="single" w:color="C9C9C9" w:sz="1"/>
            </w:tcBorders>
            <w:tcMar>
              <w:top w:type="dxa" w:w="80"/>
              <w:left w:type="dxa" w:w="160"/>
              <w:bottom w:type="dxa" w:w="80"/>
              <w:right w:type="dxa" w:w="160"/>
            </w:tcMar>
          </w:tcPr>
          <w:p>
            <w:pPr>
              <w:pStyle w:val="ListParagraph"/>
              <w:numPr>
                <w:ilvl w:val="0"/>
                <w:numId w:val="2"/>
              </w:numPr>
              <w:spacing w:after="30" w:before="30"/>
            </w:pPr>
            <w:hyperlink w:history="1" r:id="rId4oclznvsw_hniursvxaxf">
              <w:r>
                <w:rPr>
                  <w:rStyle w:val="Hyperlink"/>
                  <w:rFonts w:ascii="Calibri" w:cs="Calibri" w:eastAsia="Calibri" w:hAnsi="Calibri"/>
                  <w:sz w:val="22"/>
                  <w:szCs w:val="22"/>
                </w:rPr>
                <w:t xml:space="preserve">Pagina ufficiale Idira — Palo Alto Networks</w:t>
              </w:r>
            </w:hyperlink>
          </w:p>
          <w:p>
            <w:pPr>
              <w:pStyle w:val="ListParagraph"/>
              <w:numPr>
                <w:ilvl w:val="0"/>
                <w:numId w:val="2"/>
              </w:numPr>
              <w:spacing w:after="30" w:before="30"/>
            </w:pPr>
            <w:hyperlink w:history="1" r:id="rIdhfxcdrg1jx_8syo8xcsa2">
              <w:r>
                <w:rPr>
                  <w:rStyle w:val="Hyperlink"/>
                  <w:rFonts w:ascii="Calibri" w:cs="Calibri" w:eastAsia="Calibri" w:hAnsi="Calibri"/>
                  <w:sz w:val="22"/>
                  <w:szCs w:val="22"/>
                </w:rPr>
                <w:t xml:space="preserve">Press release lancio Idira (12 maggio 2026)</w:t>
              </w:r>
            </w:hyperlink>
          </w:p>
          <w:p>
            <w:pPr>
              <w:pStyle w:val="ListParagraph"/>
              <w:numPr>
                <w:ilvl w:val="0"/>
                <w:numId w:val="2"/>
              </w:numPr>
              <w:spacing w:after="30" w:before="30"/>
            </w:pPr>
            <w:hyperlink w:history="1" r:id="rIdjkxhlfgv1d2evnn9rnthc">
              <w:r>
                <w:rPr>
                  <w:rStyle w:val="Hyperlink"/>
                  <w:rFonts w:ascii="Calibri" w:cs="Calibri" w:eastAsia="Calibri" w:hAnsi="Calibri"/>
                  <w:sz w:val="22"/>
                  <w:szCs w:val="22"/>
                </w:rPr>
                <w:t xml:space="preserve">Analisi SiliconANGLE: Idira e le identità agentiche</w:t>
              </w:r>
            </w:hyperlink>
          </w:p>
        </w:tc>
      </w:tr>
    </w:tbl>
    <w:p>
      <w:pPr>
        <w:spacing w:after="0" w:before="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tcBorders>
              <w:top w:val="single" w:color="C9C9C9" w:sz="1"/>
              <w:left w:val="single" w:color="C9C9C9" w:sz="1"/>
              <w:bottom w:val="single" w:color="C9C9C9" w:sz="1"/>
              <w:right w:val="single" w:color="C9C9C9" w:sz="1"/>
            </w:tcBorders>
            <w:shd w:fill="1F4E79" w:val="clear"/>
            <w:tcMar>
              <w:top w:type="dxa" w:w="100"/>
              <w:left w:type="dxa" w:w="160"/>
              <w:bottom w:type="dxa" w:w="100"/>
              <w:right w:type="dxa" w:w="160"/>
            </w:tcMar>
          </w:tcPr>
          <w:p>
            <w:r>
              <w:rPr>
                <w:rFonts w:ascii="Calibri" w:cs="Calibri" w:eastAsia="Calibri" w:hAnsi="Calibri"/>
                <w:b/>
                <w:bCs/>
                <w:color w:val="FFFFFF"/>
                <w:sz w:val="26"/>
                <w:szCs w:val="26"/>
              </w:rPr>
              <w:t xml:space="preserve">2. Sysdig — Headless Cloud Security</w:t>
            </w:r>
            <w:r>
              <w:rPr>
                <w:rFonts w:ascii="Calibri" w:cs="Calibri" w:eastAsia="Calibri" w:hAnsi="Calibri"/>
                <w:color w:val="BDD7EE"/>
                <w:sz w:val="20"/>
                <w:szCs w:val="20"/>
              </w:rPr>
              <w:t xml:space="preserve">  ·  Internazionale (USA)</w:t>
            </w:r>
          </w:p>
        </w:tc>
      </w:tr>
      <w:tr>
        <w:tc>
          <w:tcPr>
            <w:tcW w:type="dxa" w:w="2000"/>
            <w:tcBorders>
              <w:top w:val="single" w:color="C9C9C9" w:sz="1"/>
              <w:left w:val="single" w:color="C9C9C9" w:sz="1"/>
              <w:bottom w:val="single" w:color="C9C9C9" w:sz="1"/>
              <w:right w:val="single" w:color="C9C9C9" w:sz="1"/>
            </w:tcBorders>
            <w:shd w:fill="DEEAF1" w:val="clear"/>
            <w:tcMar>
              <w:top w:type="dxa" w:w="80"/>
              <w:left w:type="dxa" w:w="120"/>
              <w:bottom w:type="dxa" w:w="80"/>
              <w:right w:type="dxa" w:w="120"/>
            </w:tcMar>
          </w:tcPr>
          <w:p>
            <w:pPr>
              <w:spacing w:after="20" w:before="0"/>
            </w:pPr>
            <w:r>
              <w:rPr>
                <w:rFonts w:ascii="Calibri" w:cs="Calibri" w:eastAsia="Calibri" w:hAnsi="Calibri"/>
                <w:b/>
                <w:bCs/>
                <w:color w:val="1F4E79"/>
                <w:sz w:val="18"/>
                <w:szCs w:val="18"/>
              </w:rPr>
              <w:t xml:space="preserve">Ambito</w:t>
            </w:r>
          </w:p>
        </w:tc>
        <w:tc>
          <w:tcPr>
            <w:tcW w:type="dxa" w:w="7026"/>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tcPr>
          <w:p>
            <w:pPr>
              <w:spacing w:after="20" w:before="0"/>
            </w:pPr>
            <w:r>
              <w:rPr>
                <w:rFonts w:ascii="Calibri" w:cs="Calibri" w:eastAsia="Calibri" w:hAnsi="Calibri"/>
                <w:color w:val="262626"/>
                <w:sz w:val="20"/>
                <w:szCs w:val="20"/>
              </w:rPr>
              <w:t xml:space="preserve">Cloud &amp; Infrastructure Security · CNAPP · CWPP · AI-Native Security</w:t>
            </w:r>
          </w:p>
        </w:tc>
      </w:tr>
      <w:tr>
        <w:tc>
          <w:tcPr>
            <w:tcW w:type="dxa" w:w="2000"/>
            <w:tcBorders>
              <w:top w:val="single" w:color="C9C9C9" w:sz="1"/>
              <w:left w:val="single" w:color="C9C9C9" w:sz="1"/>
              <w:bottom w:val="single" w:color="C9C9C9" w:sz="1"/>
              <w:right w:val="single" w:color="C9C9C9" w:sz="1"/>
            </w:tcBorders>
            <w:shd w:fill="DEEAF1" w:val="clear"/>
            <w:tcMar>
              <w:top w:type="dxa" w:w="80"/>
              <w:left w:type="dxa" w:w="120"/>
              <w:bottom w:type="dxa" w:w="80"/>
              <w:right w:type="dxa" w:w="120"/>
            </w:tcMar>
          </w:tcPr>
          <w:p>
            <w:pPr>
              <w:spacing w:after="20" w:before="0"/>
            </w:pPr>
            <w:r>
              <w:rPr>
                <w:rFonts w:ascii="Calibri" w:cs="Calibri" w:eastAsia="Calibri" w:hAnsi="Calibri"/>
                <w:b/>
                <w:bCs/>
                <w:color w:val="1F4E79"/>
                <w:sz w:val="18"/>
                <w:szCs w:val="18"/>
              </w:rPr>
              <w:t xml:space="preserve">Cosa fa</w:t>
            </w:r>
          </w:p>
        </w:tc>
        <w:tc>
          <w:tcPr>
            <w:tcW w:type="dxa" w:w="7026"/>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tcPr>
          <w:p>
            <w:pPr>
              <w:spacing w:after="20" w:before="0"/>
            </w:pPr>
            <w:r>
              <w:rPr>
                <w:rFonts w:ascii="Calibri" w:cs="Calibri" w:eastAsia="Calibri" w:hAnsi="Calibri"/>
                <w:color w:val="262626"/>
                <w:sz w:val="20"/>
                <w:szCs w:val="20"/>
              </w:rPr>
              <w:t xml:space="preserve">Sysdig annuncia in maggio 2026 la prima piattaforma cloud security headless, progettata per l’era degli agenti AI. Consente di usare agenti AI come operatori primari della difesa con Sysdig Sage come motore centrale. La security diventa machine-speed e data-driven, non piu’ human-driven.</w:t>
            </w:r>
          </w:p>
        </w:tc>
      </w:tr>
      <w:tr>
        <w:tc>
          <w:tcPr>
            <w:tcW w:type="dxa" w:w="2000"/>
            <w:tcBorders>
              <w:top w:val="single" w:color="C9C9C9" w:sz="1"/>
              <w:left w:val="single" w:color="C9C9C9" w:sz="1"/>
              <w:bottom w:val="single" w:color="C9C9C9" w:sz="1"/>
              <w:right w:val="single" w:color="C9C9C9" w:sz="1"/>
            </w:tcBorders>
            <w:shd w:fill="DEEAF1" w:val="clear"/>
            <w:tcMar>
              <w:top w:type="dxa" w:w="80"/>
              <w:left w:type="dxa" w:w="120"/>
              <w:bottom w:type="dxa" w:w="80"/>
              <w:right w:type="dxa" w:w="120"/>
            </w:tcMar>
          </w:tcPr>
          <w:p>
            <w:pPr>
              <w:spacing w:after="20" w:before="0"/>
            </w:pPr>
            <w:r>
              <w:rPr>
                <w:rFonts w:ascii="Calibri" w:cs="Calibri" w:eastAsia="Calibri" w:hAnsi="Calibri"/>
                <w:b/>
                <w:bCs/>
                <w:color w:val="1F4E79"/>
                <w:sz w:val="18"/>
                <w:szCs w:val="18"/>
              </w:rPr>
              <w:t xml:space="preserve">Funzionali</w:t>
            </w:r>
          </w:p>
        </w:tc>
        <w:tc>
          <w:tcPr>
            <w:tcW w:type="dxa" w:w="7026"/>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tcPr>
          <w:p>
            <w:pPr>
              <w:spacing w:after="20" w:before="0"/>
            </w:pPr>
            <w:r>
              <w:rPr>
                <w:rFonts w:ascii="Calibri" w:cs="Calibri" w:eastAsia="Calibri" w:hAnsi="Calibri"/>
                <w:color w:val="262626"/>
                <w:sz w:val="20"/>
                <w:szCs w:val="20"/>
              </w:rPr>
              <w:t xml:space="preserve">Sysdig Sage AI Analyst: agente AI agentico con multi-step reasoning su minacce cloud in tempo reale. Runtime-first prioritization tramite eBPF: riduzione del 95% del noise sulle vulnerabilita’. Verified Exploit Paths: connette misconfigurazioni, identita’ cloud, vulnerabilita’ e comportamenti runtime. AI Pipeline Security: protegge modelli LLM e pipeline AI da injection e data exfiltration. Headless API per integrazione con agenti AI custom.</w:t>
            </w:r>
          </w:p>
        </w:tc>
      </w:tr>
      <w:tr>
        <w:tc>
          <w:tcPr>
            <w:tcW w:type="dxa" w:w="2000"/>
            <w:tcBorders>
              <w:top w:val="single" w:color="C9C9C9" w:sz="1"/>
              <w:left w:val="single" w:color="C9C9C9" w:sz="1"/>
              <w:bottom w:val="single" w:color="C9C9C9" w:sz="1"/>
              <w:right w:val="single" w:color="C9C9C9" w:sz="1"/>
            </w:tcBorders>
            <w:shd w:fill="DEEAF1" w:val="clear"/>
            <w:tcMar>
              <w:top w:type="dxa" w:w="80"/>
              <w:left w:type="dxa" w:w="120"/>
              <w:bottom w:type="dxa" w:w="80"/>
              <w:right w:type="dxa" w:w="120"/>
            </w:tcMar>
          </w:tcPr>
          <w:p>
            <w:pPr>
              <w:spacing w:after="20" w:before="0"/>
            </w:pPr>
            <w:r>
              <w:rPr>
                <w:rFonts w:ascii="Calibri" w:cs="Calibri" w:eastAsia="Calibri" w:hAnsi="Calibri"/>
                <w:b/>
                <w:bCs/>
                <w:color w:val="1F4E79"/>
                <w:sz w:val="18"/>
                <w:szCs w:val="18"/>
              </w:rPr>
              <w:t xml:space="preserve">Infrastruttura</w:t>
            </w:r>
          </w:p>
        </w:tc>
        <w:tc>
          <w:tcPr>
            <w:tcW w:type="dxa" w:w="7026"/>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tcPr>
          <w:p>
            <w:pPr>
              <w:spacing w:after="20" w:before="0"/>
            </w:pPr>
            <w:r>
              <w:rPr>
                <w:rFonts w:ascii="Calibri" w:cs="Calibri" w:eastAsia="Calibri" w:hAnsi="Calibri"/>
                <w:color w:val="262626"/>
                <w:sz w:val="20"/>
                <w:szCs w:val="20"/>
              </w:rPr>
              <w:t xml:space="preserve">Deployment: SaaS multi-tenant con eBPF agent per runtime on-premise. Architettura: sensor eBPF per runtime, motore agentless per posture via cloud API. Integrazioni: Kubernetes, EKS, AKS, GKE, AWS, Azure, GCP, GitHub Actions, ServiceNow, Slack, PagerDuty. Forrester Wave Leader Q1 2026 per CNAPP.</w:t>
            </w:r>
          </w:p>
        </w:tc>
      </w:tr>
      <w:tr>
        <w:tc>
          <w:tcPr>
            <w:tcW w:type="dxa" w:w="2000"/>
            <w:tcBorders>
              <w:top w:val="single" w:color="C9C9C9" w:sz="1"/>
              <w:left w:val="single" w:color="C9C9C9" w:sz="1"/>
              <w:bottom w:val="single" w:color="C9C9C9" w:sz="1"/>
              <w:right w:val="single" w:color="C9C9C9" w:sz="1"/>
            </w:tcBorders>
            <w:shd w:fill="DEEAF1" w:val="clear"/>
            <w:tcMar>
              <w:top w:type="dxa" w:w="80"/>
              <w:left w:type="dxa" w:w="120"/>
              <w:bottom w:type="dxa" w:w="80"/>
              <w:right w:type="dxa" w:w="120"/>
            </w:tcMar>
          </w:tcPr>
          <w:p>
            <w:pPr>
              <w:spacing w:after="20" w:before="0"/>
            </w:pPr>
            <w:r>
              <w:rPr>
                <w:rFonts w:ascii="Calibri" w:cs="Calibri" w:eastAsia="Calibri" w:hAnsi="Calibri"/>
                <w:b/>
                <w:bCs/>
                <w:color w:val="1F4E79"/>
                <w:sz w:val="18"/>
                <w:szCs w:val="18"/>
              </w:rPr>
              <w:t xml:space="preserve">Target</w:t>
            </w:r>
          </w:p>
        </w:tc>
        <w:tc>
          <w:tcPr>
            <w:tcW w:type="dxa" w:w="7026"/>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tcPr>
          <w:p>
            <w:pPr>
              <w:spacing w:after="20" w:before="0"/>
            </w:pPr>
            <w:r>
              <w:rPr>
                <w:rFonts w:ascii="Calibri" w:cs="Calibri" w:eastAsia="Calibri" w:hAnsi="Calibri"/>
                <w:color w:val="262626"/>
                <w:sz w:val="20"/>
                <w:szCs w:val="20"/>
              </w:rPr>
              <w:t xml:space="preserve">Dimensione: Mid-market e Enterprise cloud-native (da 200 dipendenti con Kubernetes o multi-cloud). Settori: Fintech, SaaS, e-commerce, healthcare digitale, media. Prerequisiti: ambienti containerizzati; maturita’ DevSecOps per le funzionalita’ headless.</w:t>
            </w:r>
          </w:p>
        </w:tc>
      </w:tr>
      <w:tr>
        <w:tc>
          <w:tcPr>
            <w:tcW w:type="dxa" w:w="2000"/>
            <w:tcBorders>
              <w:top w:val="single" w:color="C9C9C9" w:sz="1"/>
              <w:left w:val="single" w:color="C9C9C9" w:sz="1"/>
              <w:bottom w:val="single" w:color="C9C9C9" w:sz="1"/>
              <w:right w:val="single" w:color="C9C9C9" w:sz="1"/>
            </w:tcBorders>
            <w:shd w:fill="DEEAF1" w:val="clear"/>
            <w:tcMar>
              <w:top w:type="dxa" w:w="80"/>
              <w:left w:type="dxa" w:w="120"/>
              <w:bottom w:type="dxa" w:w="80"/>
              <w:right w:type="dxa" w:w="120"/>
            </w:tcMar>
          </w:tcPr>
          <w:p>
            <w:pPr>
              <w:spacing w:after="20" w:before="0"/>
            </w:pPr>
            <w:r>
              <w:rPr>
                <w:rFonts w:ascii="Calibri" w:cs="Calibri" w:eastAsia="Calibri" w:hAnsi="Calibri"/>
                <w:b/>
                <w:bCs/>
                <w:color w:val="1F4E79"/>
                <w:sz w:val="18"/>
                <w:szCs w:val="18"/>
              </w:rPr>
              <w:t xml:space="preserve">Perche’ ora</w:t>
            </w:r>
          </w:p>
        </w:tc>
        <w:tc>
          <w:tcPr>
            <w:tcW w:type="dxa" w:w="7026"/>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tcPr>
          <w:p>
            <w:pPr>
              <w:spacing w:after="20" w:before="0"/>
            </w:pPr>
            <w:r>
              <w:rPr>
                <w:rFonts w:ascii="Calibri" w:cs="Calibri" w:eastAsia="Calibri" w:hAnsi="Calibri"/>
                <w:color w:val="262626"/>
                <w:sz w:val="20"/>
                <w:szCs w:val="20"/>
              </w:rPr>
              <w:t xml:space="preserve">Il report Sysdig 2026 dichiara che la security guidata dagli umani sta finendo: velocita’ di attacco cloud di 5-10 minuti dall’accesso iniziale all’exfiltration rendono la risposta manuale impossibile. Il paradigma headless — security governata da agenti AI — e’ la risposta a questa realta’. Risultati gia’ documentati: riduzione MTTR del 76%, risparmio di 80+ ore/settimana di triage manuale.</w:t>
            </w:r>
          </w:p>
        </w:tc>
      </w:tr>
      <w:tr>
        <w:tc>
          <w:tcPr>
            <w:tcW w:type="dxa" w:w="2000"/>
            <w:tcBorders>
              <w:top w:val="single" w:color="C9C9C9" w:sz="1"/>
              <w:left w:val="single" w:color="C9C9C9" w:sz="1"/>
              <w:bottom w:val="single" w:color="C9C9C9" w:sz="1"/>
              <w:right w:val="single" w:color="C9C9C9" w:sz="1"/>
            </w:tcBorders>
            <w:shd w:fill="DEEAF1" w:val="clear"/>
            <w:tcMar>
              <w:top w:type="dxa" w:w="80"/>
              <w:left w:type="dxa" w:w="120"/>
              <w:bottom w:type="dxa" w:w="80"/>
              <w:right w:type="dxa" w:w="120"/>
            </w:tcMar>
          </w:tcPr>
          <w:p>
            <w:pPr>
              <w:spacing w:after="20" w:before="0"/>
            </w:pPr>
            <w:r>
              <w:rPr>
                <w:rFonts w:ascii="Calibri" w:cs="Calibri" w:eastAsia="Calibri" w:hAnsi="Calibri"/>
                <w:b/>
                <w:bCs/>
                <w:color w:val="1F4E79"/>
                <w:sz w:val="18"/>
                <w:szCs w:val="18"/>
              </w:rPr>
              <w:t xml:space="preserve">Approfondimenti</w:t>
            </w:r>
          </w:p>
        </w:tc>
        <w:tc>
          <w:tcPr>
            <w:tcW w:type="dxa" w:w="7026"/>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tcPr>
          <w:p>
            <w:pPr>
              <w:spacing w:after="20" w:before="0"/>
            </w:pPr>
            <w:r>
              <w:rPr>
                <w:rFonts w:ascii="Calibri" w:cs="Calibri" w:eastAsia="Calibri" w:hAnsi="Calibri"/>
                <w:color w:val="262626"/>
                <w:sz w:val="20"/>
                <w:szCs w:val="20"/>
              </w:rPr>
              <w:t xml:space="preserve">https://www.sysdig.com/press-releases/sysdig-headless-cloud-security · https://www.sysdig.com/press-releases/2026-usage-report</w:t>
            </w:r>
          </w:p>
        </w:tc>
      </w:tr>
    </w:tbl>
    <w:p>
      <w:pPr>
        <w:spacing w:after="0" w:before="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tcBorders>
              <w:top w:val="single" w:color="C9C9C9" w:sz="1"/>
              <w:left w:val="single" w:color="C9C9C9" w:sz="1"/>
              <w:bottom w:val="single" w:color="C9C9C9" w:sz="1"/>
              <w:right w:val="single" w:color="C9C9C9" w:sz="1"/>
            </w:tcBorders>
            <w:shd w:fill="1F4E79" w:val="clear"/>
            <w:tcMar>
              <w:top w:type="dxa" w:w="100"/>
              <w:left w:type="dxa" w:w="160"/>
              <w:bottom w:type="dxa" w:w="100"/>
              <w:right w:type="dxa" w:w="160"/>
            </w:tcMar>
          </w:tcPr>
          <w:p>
            <w:r>
              <w:rPr>
                <w:rFonts w:ascii="Calibri" w:cs="Calibri" w:eastAsia="Calibri" w:hAnsi="Calibri"/>
                <w:b/>
                <w:bCs/>
                <w:color w:val="FFFFFF"/>
                <w:sz w:val="26"/>
                <w:szCs w:val="26"/>
              </w:rPr>
              <w:t xml:space="preserve">3. Dragos — Platform 3.1 AI per OT</w:t>
            </w:r>
            <w:r>
              <w:rPr>
                <w:rFonts w:ascii="Calibri" w:cs="Calibri" w:eastAsia="Calibri" w:hAnsi="Calibri"/>
                <w:color w:val="BDD7EE"/>
                <w:sz w:val="20"/>
                <w:szCs w:val="20"/>
              </w:rPr>
              <w:t xml:space="preserve">  ·  Internazionale (USA)</w:t>
            </w:r>
          </w:p>
        </w:tc>
      </w:tr>
      <w:tr>
        <w:tc>
          <w:tcPr>
            <w:tcW w:type="dxa" w:w="2000"/>
            <w:tcBorders>
              <w:top w:val="single" w:color="C9C9C9" w:sz="1"/>
              <w:left w:val="single" w:color="C9C9C9" w:sz="1"/>
              <w:bottom w:val="single" w:color="C9C9C9" w:sz="1"/>
              <w:right w:val="single" w:color="C9C9C9" w:sz="1"/>
            </w:tcBorders>
            <w:shd w:fill="DEEAF1" w:val="clear"/>
            <w:tcMar>
              <w:top w:type="dxa" w:w="80"/>
              <w:left w:type="dxa" w:w="120"/>
              <w:bottom w:type="dxa" w:w="80"/>
              <w:right w:type="dxa" w:w="120"/>
            </w:tcMar>
          </w:tcPr>
          <w:p>
            <w:pPr>
              <w:spacing w:after="20" w:before="0"/>
            </w:pPr>
            <w:r>
              <w:rPr>
                <w:rFonts w:ascii="Calibri" w:cs="Calibri" w:eastAsia="Calibri" w:hAnsi="Calibri"/>
                <w:b/>
                <w:bCs/>
                <w:color w:val="1F4E79"/>
                <w:sz w:val="18"/>
                <w:szCs w:val="18"/>
              </w:rPr>
              <w:t xml:space="preserve">Ambito</w:t>
            </w:r>
          </w:p>
        </w:tc>
        <w:tc>
          <w:tcPr>
            <w:tcW w:type="dxa" w:w="7026"/>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tcPr>
          <w:p>
            <w:pPr>
              <w:spacing w:after="20" w:before="0"/>
            </w:pPr>
            <w:r>
              <w:rPr>
                <w:rFonts w:ascii="Calibri" w:cs="Calibri" w:eastAsia="Calibri" w:hAnsi="Calibri"/>
                <w:color w:val="262626"/>
                <w:sz w:val="20"/>
                <w:szCs w:val="20"/>
              </w:rPr>
              <w:t xml:space="preserve">OT/IoT &amp; Infrastrutture Critiche · ICS Security · Critical Infrastructure Protection</w:t>
            </w:r>
          </w:p>
        </w:tc>
      </w:tr>
      <w:tr>
        <w:tc>
          <w:tcPr>
            <w:tcW w:type="dxa" w:w="2000"/>
            <w:tcBorders>
              <w:top w:val="single" w:color="C9C9C9" w:sz="1"/>
              <w:left w:val="single" w:color="C9C9C9" w:sz="1"/>
              <w:bottom w:val="single" w:color="C9C9C9" w:sz="1"/>
              <w:right w:val="single" w:color="C9C9C9" w:sz="1"/>
            </w:tcBorders>
            <w:shd w:fill="DEEAF1" w:val="clear"/>
            <w:tcMar>
              <w:top w:type="dxa" w:w="80"/>
              <w:left w:type="dxa" w:w="120"/>
              <w:bottom w:type="dxa" w:w="80"/>
              <w:right w:type="dxa" w:w="120"/>
            </w:tcMar>
          </w:tcPr>
          <w:p>
            <w:pPr>
              <w:spacing w:after="20" w:before="0"/>
            </w:pPr>
            <w:r>
              <w:rPr>
                <w:rFonts w:ascii="Calibri" w:cs="Calibri" w:eastAsia="Calibri" w:hAnsi="Calibri"/>
                <w:b/>
                <w:bCs/>
                <w:color w:val="1F4E79"/>
                <w:sz w:val="18"/>
                <w:szCs w:val="18"/>
              </w:rPr>
              <w:t xml:space="preserve">Cosa fa</w:t>
            </w:r>
          </w:p>
        </w:tc>
        <w:tc>
          <w:tcPr>
            <w:tcW w:type="dxa" w:w="7026"/>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tcPr>
          <w:p>
            <w:pPr>
              <w:spacing w:after="20" w:before="0"/>
            </w:pPr>
            <w:r>
              <w:rPr>
                <w:rFonts w:ascii="Calibri" w:cs="Calibri" w:eastAsia="Calibri" w:hAnsi="Calibri"/>
                <w:color w:val="262626"/>
                <w:sz w:val="20"/>
                <w:szCs w:val="20"/>
              </w:rPr>
              <w:t xml:space="preserve">Dragos ha rilasciato Platform 3.1 (LTS) che introduce AI nel cuore della piattaforma OT/ICS. Il rilascio arriva con il report 2026 che registra 119 gruppi ransomware attivi contro infrastrutture industriali (+49% rispetto al 2024) e con CIRCIA a pieno regime da maggio 2026.</w:t>
            </w:r>
          </w:p>
        </w:tc>
      </w:tr>
      <w:tr>
        <w:tc>
          <w:tcPr>
            <w:tcW w:type="dxa" w:w="2000"/>
            <w:tcBorders>
              <w:top w:val="single" w:color="C9C9C9" w:sz="1"/>
              <w:left w:val="single" w:color="C9C9C9" w:sz="1"/>
              <w:bottom w:val="single" w:color="C9C9C9" w:sz="1"/>
              <w:right w:val="single" w:color="C9C9C9" w:sz="1"/>
            </w:tcBorders>
            <w:shd w:fill="DEEAF1" w:val="clear"/>
            <w:tcMar>
              <w:top w:type="dxa" w:w="80"/>
              <w:left w:type="dxa" w:w="120"/>
              <w:bottom w:type="dxa" w:w="80"/>
              <w:right w:type="dxa" w:w="120"/>
            </w:tcMar>
          </w:tcPr>
          <w:p>
            <w:pPr>
              <w:spacing w:after="20" w:before="0"/>
            </w:pPr>
            <w:r>
              <w:rPr>
                <w:rFonts w:ascii="Calibri" w:cs="Calibri" w:eastAsia="Calibri" w:hAnsi="Calibri"/>
                <w:b/>
                <w:bCs/>
                <w:color w:val="1F4E79"/>
                <w:sz w:val="18"/>
                <w:szCs w:val="18"/>
              </w:rPr>
              <w:t xml:space="preserve">Funzionali</w:t>
            </w:r>
          </w:p>
        </w:tc>
        <w:tc>
          <w:tcPr>
            <w:tcW w:type="dxa" w:w="7026"/>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tcPr>
          <w:p>
            <w:pPr>
              <w:spacing w:after="20" w:before="0"/>
            </w:pPr>
            <w:r>
              <w:rPr>
                <w:rFonts w:ascii="Calibri" w:cs="Calibri" w:eastAsia="Calibri" w:hAnsi="Calibri"/>
                <w:color w:val="262626"/>
                <w:sz w:val="20"/>
                <w:szCs w:val="20"/>
              </w:rPr>
              <w:t xml:space="preserve">AI-Powered Analyst Workflows: triage automatizzato degli alert OT che distingue anomalie operative da minacce reali. Asset Lifecycle Management: traccia ogni dispositivo industriale inclusi quelli end-of-support (CISA BOD 26-02). Control Loop Mapping: rileva avversari che mappano loop di controllo fisici. Threat Intelligence OT-specifica per Purdue levels e protocolli Modbus, DNP3, EtherNet/IP. Compliance CIRCIA 72h reporting e IEC 62443.</w:t>
            </w:r>
          </w:p>
        </w:tc>
      </w:tr>
      <w:tr>
        <w:tc>
          <w:tcPr>
            <w:tcW w:type="dxa" w:w="2000"/>
            <w:tcBorders>
              <w:top w:val="single" w:color="C9C9C9" w:sz="1"/>
              <w:left w:val="single" w:color="C9C9C9" w:sz="1"/>
              <w:bottom w:val="single" w:color="C9C9C9" w:sz="1"/>
              <w:right w:val="single" w:color="C9C9C9" w:sz="1"/>
            </w:tcBorders>
            <w:shd w:fill="DEEAF1" w:val="clear"/>
            <w:tcMar>
              <w:top w:type="dxa" w:w="80"/>
              <w:left w:type="dxa" w:w="120"/>
              <w:bottom w:type="dxa" w:w="80"/>
              <w:right w:type="dxa" w:w="120"/>
            </w:tcMar>
          </w:tcPr>
          <w:p>
            <w:pPr>
              <w:spacing w:after="20" w:before="0"/>
            </w:pPr>
            <w:r>
              <w:rPr>
                <w:rFonts w:ascii="Calibri" w:cs="Calibri" w:eastAsia="Calibri" w:hAnsi="Calibri"/>
                <w:b/>
                <w:bCs/>
                <w:color w:val="1F4E79"/>
                <w:sz w:val="18"/>
                <w:szCs w:val="18"/>
              </w:rPr>
              <w:t xml:space="preserve">Infrastruttura</w:t>
            </w:r>
          </w:p>
        </w:tc>
        <w:tc>
          <w:tcPr>
            <w:tcW w:type="dxa" w:w="7026"/>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tcPr>
          <w:p>
            <w:pPr>
              <w:spacing w:after="20" w:before="0"/>
            </w:pPr>
            <w:r>
              <w:rPr>
                <w:rFonts w:ascii="Calibri" w:cs="Calibri" w:eastAsia="Calibri" w:hAnsi="Calibri"/>
                <w:color w:val="262626"/>
                <w:sz w:val="20"/>
                <w:szCs w:val="20"/>
              </w:rPr>
              <w:t xml:space="preserve">Deployment: on-premise (air-gapped) o ibrido con cloud management plane opzionale. Architettura: passive network monitoring senza agent su PLC/RTU, sensori per reti IT/OT convergenti. Integrazioni: Splunk, Microsoft Sentinel, IBM QRadar, ServiceNow, firewall Fortinet e Cisco. Supporta ambienti completamente isolati da Internet.</w:t>
            </w:r>
          </w:p>
        </w:tc>
      </w:tr>
      <w:tr>
        <w:tc>
          <w:tcPr>
            <w:tcW w:type="dxa" w:w="2000"/>
            <w:tcBorders>
              <w:top w:val="single" w:color="C9C9C9" w:sz="1"/>
              <w:left w:val="single" w:color="C9C9C9" w:sz="1"/>
              <w:bottom w:val="single" w:color="C9C9C9" w:sz="1"/>
              <w:right w:val="single" w:color="C9C9C9" w:sz="1"/>
            </w:tcBorders>
            <w:shd w:fill="DEEAF1" w:val="clear"/>
            <w:tcMar>
              <w:top w:type="dxa" w:w="80"/>
              <w:left w:type="dxa" w:w="120"/>
              <w:bottom w:type="dxa" w:w="80"/>
              <w:right w:type="dxa" w:w="120"/>
            </w:tcMar>
          </w:tcPr>
          <w:p>
            <w:pPr>
              <w:spacing w:after="20" w:before="0"/>
            </w:pPr>
            <w:r>
              <w:rPr>
                <w:rFonts w:ascii="Calibri" w:cs="Calibri" w:eastAsia="Calibri" w:hAnsi="Calibri"/>
                <w:b/>
                <w:bCs/>
                <w:color w:val="1F4E79"/>
                <w:sz w:val="18"/>
                <w:szCs w:val="18"/>
              </w:rPr>
              <w:t xml:space="preserve">Target</w:t>
            </w:r>
          </w:p>
        </w:tc>
        <w:tc>
          <w:tcPr>
            <w:tcW w:type="dxa" w:w="7026"/>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tcPr>
          <w:p>
            <w:pPr>
              <w:spacing w:after="20" w:before="0"/>
            </w:pPr>
            <w:r>
              <w:rPr>
                <w:rFonts w:ascii="Calibri" w:cs="Calibri" w:eastAsia="Calibri" w:hAnsi="Calibri"/>
                <w:color w:val="262626"/>
                <w:sz w:val="20"/>
                <w:szCs w:val="20"/>
              </w:rPr>
              <w:t xml:space="preserve">Dimensione: Enterprise con infrastrutture OT/ICS (da 500 dipendenti con reti industriali). Settori: Energia (oil &amp; gas, utilities), manifatturiero, trasporti, sanita’ con dispositivi medici connessi. Rilevante per il mercato italiano: ENI, Enel, Snam, Leonardo, grandi ospedali con SCADA. Leader nel Gartner MQ per CPS Protection Platforms 2026.</w:t>
            </w:r>
          </w:p>
        </w:tc>
      </w:tr>
      <w:tr>
        <w:tc>
          <w:tcPr>
            <w:tcW w:type="dxa" w:w="2000"/>
            <w:tcBorders>
              <w:top w:val="single" w:color="C9C9C9" w:sz="1"/>
              <w:left w:val="single" w:color="C9C9C9" w:sz="1"/>
              <w:bottom w:val="single" w:color="C9C9C9" w:sz="1"/>
              <w:right w:val="single" w:color="C9C9C9" w:sz="1"/>
            </w:tcBorders>
            <w:shd w:fill="DEEAF1" w:val="clear"/>
            <w:tcMar>
              <w:top w:type="dxa" w:w="80"/>
              <w:left w:type="dxa" w:w="120"/>
              <w:bottom w:type="dxa" w:w="80"/>
              <w:right w:type="dxa" w:w="120"/>
            </w:tcMar>
          </w:tcPr>
          <w:p>
            <w:pPr>
              <w:spacing w:after="20" w:before="0"/>
            </w:pPr>
            <w:r>
              <w:rPr>
                <w:rFonts w:ascii="Calibri" w:cs="Calibri" w:eastAsia="Calibri" w:hAnsi="Calibri"/>
                <w:b/>
                <w:bCs/>
                <w:color w:val="1F4E79"/>
                <w:sz w:val="18"/>
                <w:szCs w:val="18"/>
              </w:rPr>
              <w:t xml:space="preserve">Perche’ ora</w:t>
            </w:r>
          </w:p>
        </w:tc>
        <w:tc>
          <w:tcPr>
            <w:tcW w:type="dxa" w:w="7026"/>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tcPr>
          <w:p>
            <w:pPr>
              <w:spacing w:after="20" w:before="0"/>
            </w:pPr>
            <w:r>
              <w:rPr>
                <w:rFonts w:ascii="Calibri" w:cs="Calibri" w:eastAsia="Calibri" w:hAnsi="Calibri"/>
                <w:color w:val="262626"/>
                <w:sz w:val="20"/>
                <w:szCs w:val="20"/>
              </w:rPr>
              <w:t xml:space="preserve">Maggio 2026: CIRCIA entra a pieno regime con finestra 72h per reporting (benchmark per NIS2 europea e ACN italiana). Il report Dragos 2026 e’ allarmante: gli avversari non si limitano piu’ a pre-posizionarsi nelle reti OT ma mappano attivamente i control loop fisici — salto qualitativo che prelude ad attacchi con danni fisici reali. Manufacturing: 28% di tutti gli attacchi cyber nel 2025.</w:t>
            </w:r>
          </w:p>
        </w:tc>
      </w:tr>
      <w:tr>
        <w:tc>
          <w:tcPr>
            <w:tcW w:type="dxa" w:w="2000"/>
            <w:tcBorders>
              <w:top w:val="single" w:color="C9C9C9" w:sz="1"/>
              <w:left w:val="single" w:color="C9C9C9" w:sz="1"/>
              <w:bottom w:val="single" w:color="C9C9C9" w:sz="1"/>
              <w:right w:val="single" w:color="C9C9C9" w:sz="1"/>
            </w:tcBorders>
            <w:shd w:fill="DEEAF1" w:val="clear"/>
            <w:tcMar>
              <w:top w:type="dxa" w:w="80"/>
              <w:left w:type="dxa" w:w="120"/>
              <w:bottom w:type="dxa" w:w="80"/>
              <w:right w:type="dxa" w:w="120"/>
            </w:tcMar>
          </w:tcPr>
          <w:p>
            <w:pPr>
              <w:spacing w:after="20" w:before="0"/>
            </w:pPr>
            <w:r>
              <w:rPr>
                <w:rFonts w:ascii="Calibri" w:cs="Calibri" w:eastAsia="Calibri" w:hAnsi="Calibri"/>
                <w:b/>
                <w:bCs/>
                <w:color w:val="1F4E79"/>
                <w:sz w:val="18"/>
                <w:szCs w:val="18"/>
              </w:rPr>
              <w:t xml:space="preserve">Approfondimenti</w:t>
            </w:r>
          </w:p>
        </w:tc>
        <w:tc>
          <w:tcPr>
            <w:tcW w:type="dxa" w:w="7026"/>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tcPr>
          <w:p>
            <w:pPr>
              <w:spacing w:after="20" w:before="0"/>
            </w:pPr>
            <w:r>
              <w:rPr>
                <w:rFonts w:ascii="Calibri" w:cs="Calibri" w:eastAsia="Calibri" w:hAnsi="Calibri"/>
                <w:color w:val="262626"/>
                <w:sz w:val="20"/>
                <w:szCs w:val="20"/>
              </w:rPr>
              <w:t xml:space="preserve">https://www.dragos.com/blog/dragos-platform-ai-ot-security-visibility · https://www.dragos.com/ot-cybersecurity-year-in-review</w:t>
            </w:r>
          </w:p>
        </w:tc>
      </w:tr>
    </w:tbl>
    <w:p>
      <w:pPr>
        <w:spacing w:after="60" w:before="360"/>
      </w:pPr>
    </w:p>
    <w:p>
      <w:pPr>
        <w:pStyle w:val="Heading2"/>
      </w:pPr>
      <w:r>
        <w:rPr>
          <w:rFonts w:ascii="Calibri" w:cs="Calibri" w:eastAsia="Calibri" w:hAnsi="Calibri"/>
          <w:b/>
          <w:bCs/>
          <w:color w:val="4472C4"/>
          <w:sz w:val="24"/>
          <w:szCs w:val="24"/>
        </w:rPr>
        <w:t xml:space="preserve">Segnali dal mercato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9C9C9" w:sz="1"/>
              <w:left w:val="single" w:color="C9C9C9" w:sz="1"/>
              <w:bottom w:val="single" w:color="C9C9C9" w:sz="1"/>
              <w:right w:val="single" w:color="C9C9C9" w:sz="1"/>
            </w:tcBorders>
            <w:shd w:fill="1F4E79" w:val="clear"/>
            <w:tcMar>
              <w:top w:type="dxa" w:w="80"/>
              <w:left w:type="dxa" w:w="160"/>
              <w:bottom w:type="dxa" w:w="80"/>
              <w:right w:type="dxa" w:w="160"/>
            </w:tcMar>
          </w:tcPr>
          <w:p>
            <w:r>
              <w:rPr>
                <w:rFonts w:ascii="Calibri" w:cs="Calibri" w:eastAsia="Calibri" w:hAnsi="Calibri"/>
                <w:b/>
                <w:bCs/>
                <w:color w:val="FFFFFF"/>
                <w:sz w:val="22"/>
                <w:szCs w:val="22"/>
              </w:rPr>
              <w:t xml:space="preserve">Ambito</w:t>
            </w:r>
          </w:p>
        </w:tc>
        <w:tc>
          <w:tcPr>
            <w:tcW w:type="dxa" w:w="6226"/>
            <w:tcBorders>
              <w:top w:val="single" w:color="C9C9C9" w:sz="1"/>
              <w:left w:val="single" w:color="C9C9C9" w:sz="1"/>
              <w:bottom w:val="single" w:color="C9C9C9" w:sz="1"/>
              <w:right w:val="single" w:color="C9C9C9" w:sz="1"/>
            </w:tcBorders>
            <w:shd w:fill="1F4E79" w:val="clear"/>
            <w:tcMar>
              <w:top w:type="dxa" w:w="80"/>
              <w:left w:type="dxa" w:w="160"/>
              <w:bottom w:type="dxa" w:w="80"/>
              <w:right w:type="dxa" w:w="160"/>
            </w:tcMar>
          </w:tcPr>
          <w:p>
            <w:r>
              <w:rPr>
                <w:rFonts w:ascii="Calibri" w:cs="Calibri" w:eastAsia="Calibri" w:hAnsi="Calibri"/>
                <w:b/>
                <w:bCs/>
                <w:color w:val="FFFFFF"/>
                <w:sz w:val="22"/>
                <w:szCs w:val="22"/>
              </w:rPr>
              <w:t xml:space="preserve">Segnale della settimana</w:t>
            </w:r>
          </w:p>
        </w:tc>
      </w:tr>
      <w:tr>
        <w:tc>
          <w:tcPr>
            <w:tcW w:type="dxa" w:w="2800"/>
            <w:tcBorders>
              <w:top w:val="single" w:color="C9C9C9" w:sz="1"/>
              <w:left w:val="single" w:color="C9C9C9" w:sz="1"/>
              <w:bottom w:val="single" w:color="C9C9C9" w:sz="1"/>
              <w:right w:val="single" w:color="C9C9C9" w:sz="1"/>
            </w:tcBorders>
            <w:shd w:fill="F5F5F5" w:val="clear"/>
            <w:tcMar>
              <w:top w:type="dxa" w:w="80"/>
              <w:left w:type="dxa" w:w="160"/>
              <w:bottom w:type="dxa" w:w="80"/>
              <w:right w:type="dxa" w:w="160"/>
            </w:tcMar>
          </w:tcPr>
          <w:p>
            <w:r>
              <w:rPr>
                <w:rFonts w:ascii="Calibri" w:cs="Calibri" w:eastAsia="Calibri" w:hAnsi="Calibri"/>
                <w:b/>
                <w:bCs/>
                <w:color w:val="1F4E79"/>
                <w:sz w:val="22"/>
                <w:szCs w:val="22"/>
              </w:rPr>
              <w:t xml:space="preserve">Endpoint &amp; Identity</w:t>
            </w:r>
          </w:p>
        </w:tc>
        <w:tc>
          <w:tcPr>
            <w:tcW w:type="dxa" w:w="6226"/>
            <w:tcBorders>
              <w:top w:val="single" w:color="C9C9C9" w:sz="1"/>
              <w:left w:val="single" w:color="C9C9C9" w:sz="1"/>
              <w:bottom w:val="single" w:color="C9C9C9" w:sz="1"/>
              <w:right w:val="single" w:color="C9C9C9" w:sz="1"/>
            </w:tcBorders>
            <w:shd w:fill="F5F5F5" w:val="clear"/>
            <w:tcMar>
              <w:top w:type="dxa" w:w="80"/>
              <w:left w:type="dxa" w:w="160"/>
              <w:bottom w:type="dxa" w:w="80"/>
              <w:right w:type="dxa" w:w="160"/>
            </w:tcMar>
          </w:tcPr>
          <w:p>
            <w:pPr>
              <w:spacing w:after="0" w:before="0"/>
            </w:pPr>
            <w:r>
              <w:rPr>
                <w:rFonts w:ascii="Calibri" w:cs="Calibri" w:eastAsia="Calibri" w:hAnsi="Calibri"/>
                <w:sz w:val="22"/>
                <w:szCs w:val="22"/>
              </w:rPr>
              <w:t xml:space="preserve">Le identita' agentiche sono il nuovo campo di battaglia: con Idira, Palo Alto formalizza una categoria che nei prossimi 12 mesi vedra' tutti i vendor posizionarsi. La convergenza PAM+ITDR diventa requisito emergente nelle gare enterprise.</w:t>
            </w:r>
          </w:p>
        </w:tc>
      </w:tr>
      <w:tr>
        <w:tc>
          <w:tcPr>
            <w:tcW w:type="dxa" w:w="2800"/>
            <w:tcBorders>
              <w:top w:val="single" w:color="C9C9C9" w:sz="1"/>
              <w:left w:val="single" w:color="C9C9C9" w:sz="1"/>
              <w:bottom w:val="single" w:color="C9C9C9" w:sz="1"/>
              <w:right w:val="single" w:color="C9C9C9" w:sz="1"/>
            </w:tcBorders>
            <w:shd w:fill="FFFFFF" w:val="clear"/>
            <w:tcMar>
              <w:top w:type="dxa" w:w="80"/>
              <w:left w:type="dxa" w:w="160"/>
              <w:bottom w:type="dxa" w:w="80"/>
              <w:right w:type="dxa" w:w="160"/>
            </w:tcMar>
          </w:tcPr>
          <w:p>
            <w:r>
              <w:rPr>
                <w:rFonts w:ascii="Calibri" w:cs="Calibri" w:eastAsia="Calibri" w:hAnsi="Calibri"/>
                <w:b/>
                <w:bCs/>
                <w:color w:val="1F4E79"/>
                <w:sz w:val="22"/>
                <w:szCs w:val="22"/>
              </w:rPr>
              <w:t xml:space="preserve">Cloud Security</w:t>
            </w:r>
          </w:p>
        </w:tc>
        <w:tc>
          <w:tcPr>
            <w:tcW w:type="dxa" w:w="6226"/>
            <w:tcBorders>
              <w:top w:val="single" w:color="C9C9C9" w:sz="1"/>
              <w:left w:val="single" w:color="C9C9C9" w:sz="1"/>
              <w:bottom w:val="single" w:color="C9C9C9" w:sz="1"/>
              <w:right w:val="single" w:color="C9C9C9" w:sz="1"/>
            </w:tcBorders>
            <w:shd w:fill="FFFFFF" w:val="clear"/>
            <w:tcMar>
              <w:top w:type="dxa" w:w="80"/>
              <w:left w:type="dxa" w:w="160"/>
              <w:bottom w:type="dxa" w:w="80"/>
              <w:right w:type="dxa" w:w="160"/>
            </w:tcMar>
          </w:tcPr>
          <w:p>
            <w:pPr>
              <w:spacing w:after="0" w:before="0"/>
            </w:pPr>
            <w:r>
              <w:rPr>
                <w:rFonts w:ascii="Calibri" w:cs="Calibri" w:eastAsia="Calibri" w:hAnsi="Calibri"/>
                <w:sz w:val="22"/>
                <w:szCs w:val="22"/>
              </w:rPr>
              <w:t xml:space="preserve">Il Forrester Wave CNAPP Q1 2026 ha certificato la fine della frammentazione. Chi ha ancora tool separati per CSPM, CWPP e CIEM ha 12-18 mesi per consolidare prima che NIS2 renda obbligatoria la tracciabilita' della postura cloud.</w:t>
            </w:r>
          </w:p>
        </w:tc>
      </w:tr>
      <w:tr>
        <w:tc>
          <w:tcPr>
            <w:tcW w:type="dxa" w:w="2800"/>
            <w:tcBorders>
              <w:top w:val="single" w:color="C9C9C9" w:sz="1"/>
              <w:left w:val="single" w:color="C9C9C9" w:sz="1"/>
              <w:bottom w:val="single" w:color="C9C9C9" w:sz="1"/>
              <w:right w:val="single" w:color="C9C9C9" w:sz="1"/>
            </w:tcBorders>
            <w:shd w:fill="F5F5F5" w:val="clear"/>
            <w:tcMar>
              <w:top w:type="dxa" w:w="80"/>
              <w:left w:type="dxa" w:w="160"/>
              <w:bottom w:type="dxa" w:w="80"/>
              <w:right w:type="dxa" w:w="160"/>
            </w:tcMar>
          </w:tcPr>
          <w:p>
            <w:r>
              <w:rPr>
                <w:rFonts w:ascii="Calibri" w:cs="Calibri" w:eastAsia="Calibri" w:hAnsi="Calibri"/>
                <w:b/>
                <w:bCs/>
                <w:color w:val="1F4E79"/>
                <w:sz w:val="22"/>
                <w:szCs w:val="22"/>
              </w:rPr>
              <w:t xml:space="preserve">AI &amp; Threat Intelligence</w:t>
            </w:r>
          </w:p>
        </w:tc>
        <w:tc>
          <w:tcPr>
            <w:tcW w:type="dxa" w:w="6226"/>
            <w:tcBorders>
              <w:top w:val="single" w:color="C9C9C9" w:sz="1"/>
              <w:left w:val="single" w:color="C9C9C9" w:sz="1"/>
              <w:bottom w:val="single" w:color="C9C9C9" w:sz="1"/>
              <w:right w:val="single" w:color="C9C9C9" w:sz="1"/>
            </w:tcBorders>
            <w:shd w:fill="F5F5F5" w:val="clear"/>
            <w:tcMar>
              <w:top w:type="dxa" w:w="80"/>
              <w:left w:type="dxa" w:w="160"/>
              <w:bottom w:type="dxa" w:w="80"/>
              <w:right w:type="dxa" w:w="160"/>
            </w:tcMar>
          </w:tcPr>
          <w:p>
            <w:pPr>
              <w:spacing w:after="0" w:before="0"/>
            </w:pPr>
            <w:r>
              <w:rPr>
                <w:rFonts w:ascii="Calibri" w:cs="Calibri" w:eastAsia="Calibri" w:hAnsi="Calibri"/>
                <w:sz w:val="22"/>
                <w:szCs w:val="22"/>
              </w:rPr>
              <w:t xml:space="preserve">L'inaugurazione del Gartner MQ CTI e' un evento di mercato strutturale. Nei prossimi 12 mesi assisteremo ad acquisizioni di vendor CTI niche da parte di player di piattaforma.</w:t>
            </w:r>
          </w:p>
        </w:tc>
      </w:tr>
      <w:tr>
        <w:tc>
          <w:tcPr>
            <w:tcW w:type="dxa" w:w="2800"/>
            <w:tcBorders>
              <w:top w:val="single" w:color="C9C9C9" w:sz="1"/>
              <w:left w:val="single" w:color="C9C9C9" w:sz="1"/>
              <w:bottom w:val="single" w:color="C9C9C9" w:sz="1"/>
              <w:right w:val="single" w:color="C9C9C9" w:sz="1"/>
            </w:tcBorders>
            <w:shd w:fill="FFFFFF" w:val="clear"/>
            <w:tcMar>
              <w:top w:type="dxa" w:w="80"/>
              <w:left w:type="dxa" w:w="160"/>
              <w:bottom w:type="dxa" w:w="80"/>
              <w:right w:type="dxa" w:w="160"/>
            </w:tcMar>
          </w:tcPr>
          <w:p>
            <w:r>
              <w:rPr>
                <w:rFonts w:ascii="Calibri" w:cs="Calibri" w:eastAsia="Calibri" w:hAnsi="Calibri"/>
                <w:b/>
                <w:bCs/>
                <w:color w:val="1F4E79"/>
                <w:sz w:val="22"/>
                <w:szCs w:val="22"/>
              </w:rPr>
              <w:t xml:space="preserve">OT/IoT</w:t>
            </w:r>
          </w:p>
        </w:tc>
        <w:tc>
          <w:tcPr>
            <w:tcW w:type="dxa" w:w="6226"/>
            <w:tcBorders>
              <w:top w:val="single" w:color="C9C9C9" w:sz="1"/>
              <w:left w:val="single" w:color="C9C9C9" w:sz="1"/>
              <w:bottom w:val="single" w:color="C9C9C9" w:sz="1"/>
              <w:right w:val="single" w:color="C9C9C9" w:sz="1"/>
            </w:tcBorders>
            <w:shd w:fill="FFFFFF" w:val="clear"/>
            <w:tcMar>
              <w:top w:type="dxa" w:w="80"/>
              <w:left w:type="dxa" w:w="160"/>
              <w:bottom w:type="dxa" w:w="80"/>
              <w:right w:type="dxa" w:w="160"/>
            </w:tcMar>
          </w:tcPr>
          <w:p>
            <w:pPr>
              <w:spacing w:after="0" w:before="0"/>
            </w:pPr>
            <w:r>
              <w:rPr>
                <w:rFonts w:ascii="Calibri" w:cs="Calibri" w:eastAsia="Calibri" w:hAnsi="Calibri"/>
                <w:sz w:val="22"/>
                <w:szCs w:val="22"/>
              </w:rPr>
              <w:t xml:space="preserve">Il report Dragos 2026 segnala che il 96% degli incidenti OT origina da compromissioni IT-side: non esiste piu' separazione sicura tra IT e OT. Opportunita' per chi investe in network segmentation OT-aware.</w:t>
            </w:r>
          </w:p>
        </w:tc>
      </w:tr>
      <w:tr>
        <w:tc>
          <w:tcPr>
            <w:tcW w:type="dxa" w:w="2800"/>
            <w:tcBorders>
              <w:top w:val="single" w:color="C9C9C9" w:sz="1"/>
              <w:left w:val="single" w:color="C9C9C9" w:sz="1"/>
              <w:bottom w:val="single" w:color="C9C9C9" w:sz="1"/>
              <w:right w:val="single" w:color="C9C9C9" w:sz="1"/>
            </w:tcBorders>
            <w:shd w:fill="F5F5F5" w:val="clear"/>
            <w:tcMar>
              <w:top w:type="dxa" w:w="80"/>
              <w:left w:type="dxa" w:w="160"/>
              <w:bottom w:type="dxa" w:w="80"/>
              <w:right w:type="dxa" w:w="160"/>
            </w:tcMar>
          </w:tcPr>
          <w:p>
            <w:r>
              <w:rPr>
                <w:rFonts w:ascii="Calibri" w:cs="Calibri" w:eastAsia="Calibri" w:hAnsi="Calibri"/>
                <w:b/>
                <w:bCs/>
                <w:color w:val="1F4E79"/>
                <w:sz w:val="22"/>
                <w:szCs w:val="22"/>
              </w:rPr>
              <w:t xml:space="preserve">Network &amp; Microsegmentazione</w:t>
            </w:r>
          </w:p>
        </w:tc>
        <w:tc>
          <w:tcPr>
            <w:tcW w:type="dxa" w:w="6226"/>
            <w:tcBorders>
              <w:top w:val="single" w:color="C9C9C9" w:sz="1"/>
              <w:left w:val="single" w:color="C9C9C9" w:sz="1"/>
              <w:bottom w:val="single" w:color="C9C9C9" w:sz="1"/>
              <w:right w:val="single" w:color="C9C9C9" w:sz="1"/>
            </w:tcBorders>
            <w:shd w:fill="F5F5F5" w:val="clear"/>
            <w:tcMar>
              <w:top w:type="dxa" w:w="80"/>
              <w:left w:type="dxa" w:w="160"/>
              <w:bottom w:type="dxa" w:w="80"/>
              <w:right w:type="dxa" w:w="160"/>
            </w:tcMar>
          </w:tcPr>
          <w:p>
            <w:pPr>
              <w:spacing w:after="0" w:before="0"/>
            </w:pPr>
            <w:r>
              <w:rPr>
                <w:rFonts w:ascii="Calibri" w:cs="Calibri" w:eastAsia="Calibri" w:hAnsi="Calibri"/>
                <w:sz w:val="22"/>
                <w:szCs w:val="22"/>
              </w:rPr>
              <w:t xml:space="preserve">Convergenza ZTNA+SASE come modello di riferimento. Illumio e Akamai Guardicore restano le soluzioni piu' citate per microsegmentazione workload-level. Da monitorare Universal ZTNA come layer unificante.</w:t>
            </w:r>
          </w:p>
        </w:tc>
      </w:tr>
    </w:tbl>
    <w:p>
      <w:pPr>
        <w:spacing w:after="60" w:before="360"/>
      </w:pPr>
    </w:p>
    <w:p>
      <w:pPr>
        <w:pBdr>
          <w:bottom w:val="single" w:color="1F4E79" w:sz="4" w:space="1"/>
        </w:pBdr>
        <w:spacing w:after="120" w:before="120"/>
      </w:pPr>
      <w:r>
        <w:t xml:space="preserve"/>
      </w:r>
    </w:p>
    <w:p>
      <w:pPr>
        <w:spacing w:after="60" w:before="100"/>
        <w:jc w:val="center"/>
      </w:pPr>
      <w:r>
        <w:rPr>
          <w:rFonts w:ascii="Calibri" w:cs="Calibri" w:eastAsia="Calibri" w:hAnsi="Calibri"/>
          <w:i/>
          <w:iCs/>
          <w:color w:val="595959"/>
          <w:sz w:val="18"/>
          <w:szCs w:val="18"/>
        </w:rPr>
        <w:t xml:space="preserve">Prossimo briefing: 28 maggio 2026  ·  Generato automaticamente da Claude  ·  Cowork</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spacing w:before="0"/>
      <w:jc w:val="center"/>
    </w:pPr>
    <w:r>
      <w:rPr>
        <w:rFonts w:ascii="Calibri" w:cs="Calibri" w:eastAsia="Calibri" w:hAnsi="Calibri"/>
        <w:color w:val="595959"/>
        <w:sz w:val="16"/>
        <w:szCs w:val="16"/>
      </w:rPr>
      <w:t xml:space="preserve">Generato automaticamente da Claude · Cowork  |  Pagina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tabs>
        <w:tab w:val="right" w:pos="9026"/>
      </w:tabs>
      <w:spacing w:after="0"/>
    </w:pPr>
    <w:r>
      <w:rPr>
        <w:rFonts w:ascii="Calibri" w:cs="Calibri" w:eastAsia="Calibri" w:hAnsi="Calibri"/>
        <w:color w:val="595959"/>
        <w:sz w:val="18"/>
        <w:szCs w:val="18"/>
      </w:rPr>
      <w:t xml:space="preserve">Diario Cybersecurity · Marco Taglienti</w:t>
    </w:r>
    <w:r>
      <w:rPr>
        <w:rFonts w:ascii="Calibri" w:cs="Calibri" w:eastAsia="Calibri" w:hAnsi="Calibri"/>
        <w:color w:val="595959"/>
        <w:sz w:val="18"/>
        <w:szCs w:val="18"/>
      </w:rPr>
      <w:t xml:space="preserv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F4E79"/>
      <w:sz w:val="28"/>
      <w:szCs w:val="28"/>
    </w:rPr>
  </w:style>
  <w:style w:type="paragraph" w:styleId="Heading2">
    <w:name w:val="Heading 2"/>
    <w:basedOn w:val="Normal"/>
    <w:next w:val="Normal"/>
    <w:qFormat/>
    <w:pPr>
      <w:spacing w:after="80" w:before="240"/>
      <w:outlineLvl w:val="1"/>
    </w:pPr>
    <w:rPr>
      <w:rFonts w:ascii="Calibri" w:cs="Calibri" w:eastAsia="Calibri" w:hAnsi="Calibri"/>
      <w:b/>
      <w:bCs/>
      <w:color w:val="4472C4"/>
      <w:sz w:val="24"/>
      <w:szCs w:val="24"/>
    </w:rPr>
  </w:style>
  <w:style w:type="paragraph" w:styleId="Heading3">
    <w:name w:val="Heading 3"/>
    <w:basedOn w:val="Normal"/>
    <w:next w:val="Normal"/>
    <w:qFormat/>
    <w:pPr>
      <w:spacing w:after="60" w:before="160"/>
      <w:outlineLvl w:val="2"/>
    </w:pPr>
    <w:rPr>
      <w:rFonts w:ascii="Calibri" w:cs="Calibri" w:eastAsia="Calibri" w:hAnsi="Calibri"/>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4oclznvsw_hniursvxaxf" Type="http://schemas.openxmlformats.org/officeDocument/2006/relationships/hyperlink" Target="https://www.paloaltonetworks.com/idira" TargetMode="External"/><Relationship Id="rIdhfxcdrg1jx_8syo8xcsa2" Type="http://schemas.openxmlformats.org/officeDocument/2006/relationships/hyperlink" Target="https://www.paloaltonetworks.com/company/press/2026/palo-alto-networks-introduces-idira--the-next-generation-identity-security-platform-built-for-the-ai-enterprise" TargetMode="External"/><Relationship Id="rIdjkxhlfgv1d2evnn9rnthc" Type="http://schemas.openxmlformats.org/officeDocument/2006/relationships/hyperlink" Target="https://siliconangle.com/2026/05/12/idira-launches-palo-alto-networks-extends-cyberark-tech-machine-agentic-identities" TargetMode="External"/><Relationship Id="rIdj0hxdgjxauv6in7rql60b" Type="http://schemas.openxmlformats.org/officeDocument/2006/relationships/hyperlink" Target="https://www.crowdstrike.com/en-us/products/threat-intelligence/" TargetMode="External"/><Relationship Id="rId-qf62qpzpvd5yb3nmh7sg" Type="http://schemas.openxmlformats.org/officeDocument/2006/relationships/hyperlink" Target="https://www.crowdstrike.com/en-us/press-releases/crowdstrike-named-a-leader-2026-gartner-magic-quadrant-for-cyberthreat-intelligence-technologies/" TargetMode="External"/><Relationship Id="rIdsy5qymgrpn2ieqrla76pd" Type="http://schemas.openxmlformats.org/officeDocument/2006/relationships/hyperlink" Target="https://techcoffeehouse.com/2026/05/06/crowdstrike-leads-inaugural-gartner-cyberthreat-intelligence-magic-quadrant/" TargetMode="External"/><Relationship Id="rIdq72n_ifa2ilnhcei47jsl" Type="http://schemas.openxmlformats.org/officeDocument/2006/relationships/hyperlink" Target="https://www.wiz.io/platform" TargetMode="External"/><Relationship Id="rIdotmpk5waggb6sbh0a0olq" Type="http://schemas.openxmlformats.org/officeDocument/2006/relationships/hyperlink" Target="https://www.wiz.io/blog/forrester-wave-cnapp-2026" TargetMode="External"/><Relationship Id="rIdka0tfnbuot47pziil0ieg" Type="http://schemas.openxmlformats.org/officeDocument/2006/relationships/hyperlink" Target="https://tamnoon.io/blog/cnapps-you-need-to-know-in-2026/"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2026-05-21T09:57:17.955Z</dcterms:created>
  <dcterms:modified xsi:type="dcterms:W3CDTF">2026-05-21T09:57:17.956Z</dcterms:modified>
</cp:coreProperties>
</file>

<file path=docProps/custom.xml><?xml version="1.0" encoding="utf-8"?>
<Properties xmlns="http://schemas.openxmlformats.org/officeDocument/2006/custom-properties" xmlns:vt="http://schemas.openxmlformats.org/officeDocument/2006/docPropsVTypes"/>
</file>