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pPr>
    </w:p>
    <w:p>
      <w:pPr>
        <w:spacing w:after="120" w:before="0"/>
        <w:jc w:val="center"/>
      </w:pPr>
      <w:r>
        <w:rPr>
          <w:rFonts w:ascii="Calibri" w:cs="Calibri" w:eastAsia="Calibri" w:hAnsi="Calibri"/>
          <w:b/>
          <w:bCs/>
          <w:color w:val="1F4E79"/>
          <w:spacing w:val="40"/>
          <w:sz w:val="52"/>
          <w:szCs w:val="52"/>
        </w:rPr>
        <w:t xml:space="preserve">DIARIO CYBERSECURITY</w:t>
      </w:r>
    </w:p>
    <w:p>
      <w:pPr>
        <w:spacing w:after="60" w:before="0"/>
        <w:jc w:val="center"/>
      </w:pPr>
      <w:r>
        <w:rPr>
          <w:rFonts w:ascii="Calibri" w:cs="Calibri" w:eastAsia="Calibri" w:hAnsi="Calibri"/>
          <w:i/>
          <w:iCs/>
          <w:color w:val="4472C4"/>
          <w:sz w:val="26"/>
          <w:szCs w:val="26"/>
        </w:rPr>
        <w:t xml:space="preserve">Briefing settimanale · Enterprise &amp; Mid-market</w:t>
      </w:r>
    </w:p>
    <w:p>
      <w:pPr>
        <w:pBdr>
          <w:bottom w:val="single" w:color="1F4E79" w:sz="12" w:space="1"/>
        </w:pBdr>
        <w:spacing w:after="120" w:before="120"/>
      </w:pPr>
      <w:r>
        <w:t xml:space="preserve"/>
      </w:r>
    </w:p>
    <w:p>
      <w:pPr>
        <w:spacing w:after="60" w:before="60"/>
        <w:jc w:val="center"/>
      </w:pPr>
      <w:r>
        <w:rPr>
          <w:rFonts w:ascii="Calibri" w:cs="Calibri" w:eastAsia="Calibri" w:hAnsi="Calibri"/>
          <w:color w:val="595959"/>
          <w:sz w:val="22"/>
          <w:szCs w:val="22"/>
        </w:rPr>
        <w:t xml:space="preserve">Marco Taglienti  ·  2026</w:t>
      </w:r>
    </w:p>
    <w:p>
      <w:pPr>
        <w:spacing w:after="0" w:before="720"/>
      </w:pPr>
    </w:p>
    <w:p>
      <w:pPr>
        <w:pStyle w:val="Heading1"/>
      </w:pPr>
      <w:bookmarkStart w:name="bm_indice" w:id="1"/>
      <w:r>
        <w:rPr>
          <w:rFonts w:ascii="Calibri" w:cs="Calibri" w:eastAsia="Calibri" w:hAnsi="Calibri"/>
          <w:b/>
          <w:bCs/>
          <w:color w:val="1F4E79"/>
          <w:sz w:val="28"/>
          <w:szCs w:val="28"/>
        </w:rPr>
        <w:t xml:space="preserve">Indice dei briefing</w:t>
      </w:r>
      <w:bookmarkEnd w:id="1"/>
    </w:p>
    <w:p>
      <w:pPr>
        <w:spacing w:after="60" w:before="60"/>
      </w:pPr>
      <w:r>
        <w:rPr>
          <w:rFonts w:ascii="Calibri" w:cs="Calibri" w:eastAsia="Calibri" w:hAnsi="Calibri"/>
          <w:i/>
          <w:iCs/>
          <w:color w:val="595959"/>
          <w:sz w:val="22"/>
          <w:szCs w:val="22"/>
        </w:rPr>
        <w:t xml:space="preserve">Il documento si aggiorna ogni settimana con una nuova sezione in cima. Usa il pannello di navigazione di Word (Visualizza → Riquadro di spostamento) per saltare direttamente a un briefing specifico.</w:t>
      </w:r>
    </w:p>
    <w:p>
      <w:pPr>
        <w:spacing w:after="60" w:before="120"/>
      </w:pPr>
      <w:hyperlink w:history="1" w:anchor="bm_w23">
        <w:r>
          <w:rPr>
            <w:rStyle w:val="Hyperlink"/>
            <w:rFonts w:ascii="Calibri" w:cs="Calibri" w:eastAsia="Calibri" w:hAnsi="Calibri"/>
            <w:sz w:val="22"/>
            <w:szCs w:val="22"/>
          </w:rPr>
          <w:t xml:space="preserve">W23 · 7 giugno 2026 — Sysdig Headless CNAPP · CrowdStrike Falcon Next-Gen Identity · Nozomi Vantage IQ Q2</w:t>
        </w:r>
      </w:hyperlink>
    </w:p>
    <w:p>
      <w:pPr>
        <w:spacing w:after="60" w:before="120"/>
      </w:pPr>
      <w:hyperlink w:history="1" w:anchor="bm_w22">
        <w:r>
          <w:rPr>
            <w:rStyle w:val="Hyperlink"/>
            <w:rFonts w:ascii="Calibri" w:cs="Calibri" w:eastAsia="Calibri" w:hAnsi="Calibri"/>
            <w:sz w:val="22"/>
            <w:szCs w:val="22"/>
          </w:rPr>
          <w:t xml:space="preserve">W22 · 31 maggio 2026 — Databricks Lakewatch · ManageEngine Log360 SOAR · Forescout OT/IoT</w:t>
        </w:r>
      </w:hyperlink>
    </w:p>
    <w:p>
      <w:pPr>
        <w:spacing w:after="60" w:before="120"/>
      </w:pPr>
      <w:hyperlink w:history="1" w:anchor="bm_w21_24mag">
        <w:r>
          <w:rPr>
            <w:rStyle w:val="Hyperlink"/>
            <w:rFonts w:ascii="Calibri" w:cs="Calibri" w:eastAsia="Calibri" w:hAnsi="Calibri"/>
            <w:sz w:val="22"/>
            <w:szCs w:val="22"/>
          </w:rPr>
          <w:t xml:space="preserve">W21 · 24 maggio 2026 — Idira (PANW) · Sysdig Sage CNAPP · Akamai Guardicore Platform</w:t>
        </w:r>
      </w:hyperlink>
    </w:p>
    <w:p>
      <w:pPr>
        <w:spacing w:after="60" w:before="120"/>
      </w:pPr>
      <w:hyperlink w:history="1" w:anchor="bm_w21">
        <w:r>
          <w:rPr>
            <w:rStyle w:val="Hyperlink"/>
            <w:rFonts w:ascii="Calibri" w:cs="Calibri" w:eastAsia="Calibri" w:hAnsi="Calibri"/>
            <w:sz w:val="22"/>
            <w:szCs w:val="22"/>
          </w:rPr>
          <w:t xml:space="preserve">W21 · 21 maggio 2026 — Idira (PANW) · Sysdig Headless Cloud Security · Dragos Platform 3.1</w:t>
        </w:r>
      </w:hyperlink>
    </w:p>
    <w:p>
      <w:r>
        <w:br w:type="page"/>
      </w:r>
    </w:p>
    <w:p>
      <w:pPr>
        <w:pStyle w:val="Heading1"/>
      </w:pPr>
      <w:bookmarkStart w:name="bm_w23" w:id="300"/>
      <w:r>
        <w:rPr>
          <w:rFonts w:ascii="Calibri" w:cs="Calibri" w:eastAsia="Calibri" w:hAnsi="Calibri"/>
          <w:b/>
          <w:bCs/>
          <w:color w:val="1F4E79"/>
          <w:sz w:val="28"/>
          <w:szCs w:val="28"/>
        </w:rPr>
        <w:t xml:space="preserve">W23 · 7 giugno 2026</w:t>
      </w:r>
      <w:bookmarkEnd w:id="30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Data</w:t>
            </w:r>
          </w:p>
          <w:p>
            <w:r>
              <w:rPr>
                <w:rFonts w:ascii="Calibri" w:cs="Calibri" w:eastAsia="Calibri" w:hAnsi="Calibri"/>
                <w:sz w:val="20"/>
              </w:rPr>
              <w:t>7 giugno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Settimana</w:t>
            </w:r>
          </w:p>
          <w:p>
            <w:r>
              <w:rPr>
                <w:rFonts w:ascii="Calibri" w:cs="Calibri" w:eastAsia="Calibri" w:hAnsi="Calibri"/>
                <w:sz w:val="20"/>
              </w:rPr>
              <w:t>W23 2026</w:t>
            </w:r>
          </w:p>
        </w:tc>
        <w:tc>
          <w:tcPr>
            <w:tcW w:type="dxa" w:w="225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Ambiti</w:t>
            </w:r>
          </w:p>
          <w:p>
            <w:r>
              <w:rPr>
                <w:rFonts w:ascii="Calibri" w:cs="Calibri" w:eastAsia="Calibri" w:hAnsi="Calibri"/>
                <w:sz w:val="20"/>
              </w:rPr>
              <w:t>Cloud Security · Endpoint/Identity · OT/IoT</w:t>
            </w:r>
          </w:p>
        </w:tc>
        <w:tc>
          <w:tcPr>
            <w:tcW w:type="dxa" w:w="227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Target</w:t>
            </w:r>
          </w:p>
          <w:p>
            <w:r>
              <w:rPr>
                <w:rFonts w:ascii="Calibri" w:cs="Calibri" w:eastAsia="Calibri" w:hAnsi="Calibri"/>
                <w:sz w:val="20"/>
              </w:rPr>
              <w:t>Enterprise · Mid-market · PA Centrale</w:t>
            </w:r>
          </w:p>
        </w:tc>
      </w:tr>
    </w:tbl>
    <w:p>
      <w:pPr>
        <w:spacing w:after="120" w:before="240"/>
      </w:pPr>
    </w:p>
    <w:p>
      <w:pPr>
        <w:pStyle w:val="Heading2"/>
      </w:pPr>
      <w:r>
        <w:rPr>
          <w:rFonts w:ascii="Calibri" w:cs="Calibri" w:eastAsia="Calibri" w:hAnsi="Calibri"/>
          <w:b/>
          <w:color w:val="1F4E79"/>
          <w:sz w:val="24"/>
        </w:rPr>
        <w:t>1. Sysdig Headless Cloud Security Platform</w:t>
      </w:r>
    </w:p>
    <w:tbl>
      <w:tblPr>
        <w:tblW w:type="dxa" w:w="9026"/>
        <w:tblBorders>
          <w:top w:val="single" w:color="C9C9C9" w:sz="1"/>
          <w:left w:val="single" w:color="C9C9C9" w:sz="1"/>
          <w:bottom w:val="single" w:color="C9C9C9" w:sz="1"/>
          <w:right w:val="single" w:color="C9C9C9" w:sz="1"/>
          <w:insideH w:val="single" w:color="C9C9C9" w:sz="1"/>
          <w:insideV w:val="single" w:color="C9C9C9" w:sz="1"/>
        </w:tblBorders>
      </w:tblPr>
      <w:tblGrid>
        <w:gridCol w:w="2000"/>
        <w:gridCol w:w="7026"/>
      </w:tblGrid>
      <w:tr>
        <w:tc>
          <w:tcPr>
            <w:tcW w:type="dxa" w:w="2000"/>
            <w:shd w:fill="1F4E79" w:val="clear"/>
            <w:tcMar>
              <w:top w:type="dxa" w:w="80"/>
              <w:left w:type="dxa" w:w="120"/>
              <w:bottom w:type="dxa" w:w="80"/>
              <w:right w:type="dxa" w:w="120"/>
            </w:tcMar>
          </w:tcPr>
          <w:p>
            <w:r>
              <w:rPr>
                <w:rFonts w:ascii="Calibri" w:cs="Calibri" w:hAnsi="Calibri"/>
                <w:b/>
                <w:color w:val="FFFFFF"/>
                <w:sz w:val="20"/>
              </w:rPr>
              <w:t>Vendor</w:t>
            </w:r>
          </w:p>
        </w:tc>
        <w:tc>
          <w:tcPr>
            <w:tcW w:type="dxa" w:w="7026"/>
            <w:shd w:fill="DEEAF1" w:val="clear"/>
            <w:tcMar>
              <w:top w:type="dxa" w:w="80"/>
              <w:left w:type="dxa" w:w="120"/>
              <w:bottom w:type="dxa" w:w="80"/>
              <w:right w:type="dxa" w:w="120"/>
            </w:tcMar>
          </w:tcPr>
          <w:p>
            <w:r>
              <w:rPr>
                <w:rFonts w:ascii="Calibri" w:cs="Calibri" w:hAnsi="Calibri"/>
                <w:sz w:val="20"/>
              </w:rPr>
              <w:t>Sysdig (USA) · Annuncio: 6 maggio 2026</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Ambito</w:t>
            </w:r>
          </w:p>
        </w:tc>
        <w:tc>
          <w:tcPr>
            <w:tcW w:type="dxa" w:w="7026"/>
            <w:shd w:fill="FFFFFF" w:val="clear"/>
            <w:tcMar>
              <w:top w:type="dxa" w:w="80"/>
              <w:left w:type="dxa" w:w="120"/>
              <w:bottom w:type="dxa" w:w="80"/>
              <w:right w:type="dxa" w:w="120"/>
            </w:tcMar>
          </w:tcPr>
          <w:p>
            <w:r>
              <w:rPr>
                <w:rFonts w:ascii="Calibri" w:cs="Calibri" w:hAnsi="Calibri"/>
                <w:sz w:val="20"/>
              </w:rPr>
              <w:t>Cloud &amp; Infrastructure Security (CNAPP / AI-Driven)</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Cosa fa</w:t>
            </w:r>
          </w:p>
        </w:tc>
        <w:tc>
          <w:tcPr>
            <w:tcW w:type="dxa" w:w="7026"/>
            <w:shd w:fill="DEEAF1" w:val="clear"/>
            <w:tcMar>
              <w:top w:type="dxa" w:w="80"/>
              <w:left w:type="dxa" w:w="120"/>
              <w:bottom w:type="dxa" w:w="80"/>
              <w:right w:type="dxa" w:w="120"/>
            </w:tcMar>
          </w:tcPr>
          <w:p>
            <w:r>
              <w:rPr>
                <w:rFonts w:ascii="Calibri" w:cs="Calibri" w:hAnsi="Calibri"/>
                <w:sz w:val="20"/>
              </w:rPr>
              <w:t xml:space="preserve">Prima piattaforma CNAPP “headless” al mondo: integra la sicurezza cloud direttamente negli AI coding agent (Claude Code, Codex, Cursor), CLI, MCP services e API. Gli agenti AI investigano vulnerabilità, prioritizzano rischi e generano fix — senza dashboard tradizionali.</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Caratteristiche</w:t>
            </w:r>
          </w:p>
        </w:tc>
        <w:tc>
          <w:tcPr>
            <w:tcW w:type="dxa" w:w="7026"/>
            <w:shd w:fill="FFFFFF" w:val="clear"/>
            <w:tcMar>
              <w:top w:type="dxa" w:w="80"/>
              <w:left w:type="dxa" w:w="120"/>
              <w:bottom w:type="dxa" w:w="80"/>
              <w:right w:type="dxa" w:w="120"/>
            </w:tcMar>
          </w:tcPr>
          <w:p>
            <w:r>
              <w:rPr>
                <w:rFonts w:ascii="Calibri" w:cs="Calibri" w:hAnsi="Calibri"/>
                <w:sz w:val="20"/>
              </w:rPr>
              <w:t xml:space="preserve">Vuln Management agentivo con runtime context · Posture Management autonomo · Runtime Threat Investigation · Governance con approvazione umana obbligatoria · SaaS cloud-native multi-cloud (AWS, Azure, GCP) · Integrazione MCP/CLI/API · eBPF-based (Falco)</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Rilevanza PA</w:t>
            </w:r>
          </w:p>
        </w:tc>
        <w:tc>
          <w:tcPr>
            <w:tcW w:type="dxa" w:w="7026"/>
            <w:shd w:fill="DEEAF1" w:val="clear"/>
            <w:tcMar>
              <w:top w:type="dxa" w:w="80"/>
              <w:left w:type="dxa" w:w="120"/>
              <w:bottom w:type="dxa" w:w="80"/>
              <w:right w:type="dxa" w:w="120"/>
            </w:tcMar>
          </w:tcPr>
          <w:p>
            <w:r>
              <w:rPr>
                <w:rFonts w:ascii="Calibri" w:cs="Calibri" w:hAnsi="Calibri"/>
                <w:sz w:val="20"/>
              </w:rPr>
              <w:t xml:space="preserve">Allineato NIS2 Art. 21 (gestione vuln, supply chain applicativa) · Compatibile con Cloud Qualificato ACN (AWS, Azure) · Governance granulare per requisiti PSNC · Ideale per PA con workload cloud e team DevSecOps</w:t>
            </w:r>
          </w:p>
        </w:tc>
      </w:tr>
    </w:tbl>
    <w:p>
      <w:pPr>
        <w:spacing w:after="120" w:before="240"/>
      </w:pPr>
    </w:p>
    <w:p>
      <w:pPr>
        <w:pStyle w:val="Heading2"/>
      </w:pPr>
      <w:r>
        <w:rPr>
          <w:rFonts w:ascii="Calibri" w:cs="Calibri" w:eastAsia="Calibri" w:hAnsi="Calibri"/>
          <w:b/>
          <w:color w:val="1F4E79"/>
          <w:sz w:val="24"/>
        </w:rPr>
        <w:t>2. CrowdStrike Falcon Next-Gen Identity Security (+ SGNL)</w:t>
      </w:r>
    </w:p>
    <w:tbl>
      <w:tblPr>
        <w:tblW w:type="dxa" w:w="9026"/>
        <w:tblBorders>
          <w:top w:val="single" w:color="C9C9C9" w:sz="1"/>
          <w:left w:val="single" w:color="C9C9C9" w:sz="1"/>
          <w:bottom w:val="single" w:color="C9C9C9" w:sz="1"/>
          <w:right w:val="single" w:color="C9C9C9" w:sz="1"/>
          <w:insideH w:val="single" w:color="C9C9C9" w:sz="1"/>
          <w:insideV w:val="single" w:color="C9C9C9" w:sz="1"/>
        </w:tblBorders>
      </w:tblPr>
      <w:tblGrid>
        <w:gridCol w:w="2000"/>
        <w:gridCol w:w="7026"/>
      </w:tblGrid>
      <w:tr>
        <w:tc>
          <w:tcPr>
            <w:tcW w:type="dxa" w:w="2000"/>
            <w:shd w:fill="1F4E79" w:val="clear"/>
            <w:tcMar>
              <w:top w:type="dxa" w:w="80"/>
              <w:left w:type="dxa" w:w="120"/>
              <w:bottom w:type="dxa" w:w="80"/>
              <w:right w:type="dxa" w:w="120"/>
            </w:tcMar>
          </w:tcPr>
          <w:p>
            <w:r>
              <w:rPr>
                <w:rFonts w:ascii="Calibri" w:cs="Calibri" w:hAnsi="Calibri"/>
                <w:b/>
                <w:color w:val="FFFFFF"/>
                <w:sz w:val="20"/>
              </w:rPr>
              <w:t>Vendor</w:t>
            </w:r>
          </w:p>
        </w:tc>
        <w:tc>
          <w:tcPr>
            <w:tcW w:type="dxa" w:w="7026"/>
            <w:shd w:fill="DEEAF1" w:val="clear"/>
            <w:tcMar>
              <w:top w:type="dxa" w:w="80"/>
              <w:left w:type="dxa" w:w="120"/>
              <w:bottom w:type="dxa" w:w="80"/>
              <w:right w:type="dxa" w:w="120"/>
            </w:tcMar>
          </w:tcPr>
          <w:p>
            <w:r>
              <w:rPr>
                <w:rFonts w:ascii="Calibri" w:cs="Calibri" w:hAnsi="Calibri"/>
                <w:sz w:val="20"/>
              </w:rPr>
              <w:t>CrowdStrike (USA, NASDAQ: CRWD) · Acq. SGNL $740M: 7 gen 2026 · Leader GigaOm ITDR: 26 mag 2026</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Ambito</w:t>
            </w:r>
          </w:p>
        </w:tc>
        <w:tc>
          <w:tcPr>
            <w:tcW w:type="dxa" w:w="7026"/>
            <w:shd w:fill="FFFFFF" w:val="clear"/>
            <w:tcMar>
              <w:top w:type="dxa" w:w="80"/>
              <w:left w:type="dxa" w:w="120"/>
              <w:bottom w:type="dxa" w:w="80"/>
              <w:right w:type="dxa" w:w="120"/>
            </w:tcMar>
          </w:tcPr>
          <w:p>
            <w:r>
              <w:rPr>
                <w:rFonts w:ascii="Calibri" w:cs="Calibri" w:hAnsi="Calibri"/>
                <w:sz w:val="20"/>
              </w:rPr>
              <w:t>Endpoint &amp; Identity (ITDR, PAM, Zero Trust)</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Cosa fa</w:t>
            </w:r>
          </w:p>
        </w:tc>
        <w:tc>
          <w:tcPr>
            <w:tcW w:type="dxa" w:w="7026"/>
            <w:shd w:fill="DEEAF1" w:val="clear"/>
            <w:tcMar>
              <w:top w:type="dxa" w:w="80"/>
              <w:left w:type="dxa" w:w="120"/>
              <w:bottom w:type="dxa" w:w="80"/>
              <w:right w:type="dxa" w:w="120"/>
            </w:tcMar>
          </w:tcPr>
          <w:p>
            <w:r>
              <w:rPr>
                <w:rFonts w:ascii="Calibri" w:cs="Calibri" w:hAnsi="Calibri"/>
                <w:sz w:val="20"/>
              </w:rPr>
              <w:t xml:space="preserve">Con l’acquisizione SGNL introduce Zero Standing Privilege (ZSP): accessi concessi solo quando necessari e revocati immediatamente. Unifica IAM, PAM, ITDR e protezione NHI/AI agent in un’unica piattaforma correlata con telemetria endpoint.</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Caratteristiche</w:t>
            </w:r>
          </w:p>
        </w:tc>
        <w:tc>
          <w:tcPr>
            <w:tcW w:type="dxa" w:w="7026"/>
            <w:shd w:fill="FFFFFF" w:val="clear"/>
            <w:tcMar>
              <w:top w:type="dxa" w:w="80"/>
              <w:left w:type="dxa" w:w="120"/>
              <w:bottom w:type="dxa" w:w="80"/>
              <w:right w:type="dxa" w:w="120"/>
            </w:tcMar>
          </w:tcPr>
          <w:p>
            <w:r>
              <w:rPr>
                <w:rFonts w:ascii="Calibri" w:cs="Calibri" w:hAnsi="Calibri"/>
                <w:sz w:val="20"/>
              </w:rPr>
              <w:t xml:space="preserve">Just-in-Time access cross-sistema (AD, Entra ID, AWS IAM, Okta) · Protezione NHI (service account, API key, AI agent) · ITDR con AI triage · CAEP enforcement downstream · FalconID FIDO2/passkey · Score 5/5 GigaOm · Leader Frost &amp; Sullivan ITDR 2026</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Rilevanza PA</w:t>
            </w:r>
          </w:p>
        </w:tc>
        <w:tc>
          <w:tcPr>
            <w:tcW w:type="dxa" w:w="7026"/>
            <w:shd w:fill="DEEAF1" w:val="clear"/>
            <w:tcMar>
              <w:top w:type="dxa" w:w="80"/>
              <w:left w:type="dxa" w:w="120"/>
              <w:bottom w:type="dxa" w:w="80"/>
              <w:right w:type="dxa" w:w="120"/>
            </w:tcMar>
          </w:tcPr>
          <w:p>
            <w:r>
              <w:rPr>
                <w:rFonts w:ascii="Calibri" w:cs="Calibri" w:hAnsi="Calibri"/>
                <w:sz w:val="20"/>
              </w:rPr>
              <w:t xml:space="preserve">NIS2 Art. 21(b) gestione accessi privilegiati · Linee guida ACN/PSNC gestione identità · Protezione NHI strategica per PA con RPA/AI · Maturità certificata per procurement CONSIP/MePa · Ambienti ibridi AD on-premise + cloud</w:t>
            </w:r>
          </w:p>
        </w:tc>
      </w:tr>
    </w:tbl>
    <w:p>
      <w:pPr>
        <w:spacing w:after="120" w:before="240"/>
      </w:pPr>
    </w:p>
    <w:p>
      <w:pPr>
        <w:pStyle w:val="Heading2"/>
      </w:pPr>
      <w:r>
        <w:rPr>
          <w:rFonts w:ascii="Calibri" w:cs="Calibri" w:eastAsia="Calibri" w:hAnsi="Calibri"/>
          <w:b/>
          <w:color w:val="1F4E79"/>
          <w:sz w:val="24"/>
        </w:rPr>
        <w:t>3. Nozomi Networks Vantage IQ — Update Q2 2026</w:t>
      </w:r>
    </w:p>
    <w:tbl>
      <w:tblPr>
        <w:tblW w:type="dxa" w:w="9026"/>
        <w:tblBorders>
          <w:top w:val="single" w:color="C9C9C9" w:sz="1"/>
          <w:left w:val="single" w:color="C9C9C9" w:sz="1"/>
          <w:bottom w:val="single" w:color="C9C9C9" w:sz="1"/>
          <w:right w:val="single" w:color="C9C9C9" w:sz="1"/>
          <w:insideH w:val="single" w:color="C9C9C9" w:sz="1"/>
          <w:insideV w:val="single" w:color="C9C9C9" w:sz="1"/>
        </w:tblBorders>
      </w:tblPr>
      <w:tblGrid>
        <w:gridCol w:w="2000"/>
        <w:gridCol w:w="7026"/>
      </w:tblGrid>
      <w:tr>
        <w:tc>
          <w:tcPr>
            <w:tcW w:type="dxa" w:w="2000"/>
            <w:shd w:fill="1F4E79" w:val="clear"/>
            <w:tcMar>
              <w:top w:type="dxa" w:w="80"/>
              <w:left w:type="dxa" w:w="120"/>
              <w:bottom w:type="dxa" w:w="80"/>
              <w:right w:type="dxa" w:w="120"/>
            </w:tcMar>
          </w:tcPr>
          <w:p>
            <w:r>
              <w:rPr>
                <w:rFonts w:ascii="Calibri" w:cs="Calibri" w:hAnsi="Calibri"/>
                <w:b/>
                <w:color w:val="FFFFFF"/>
                <w:sz w:val="20"/>
              </w:rPr>
              <w:t>Vendor</w:t>
            </w:r>
          </w:p>
        </w:tc>
        <w:tc>
          <w:tcPr>
            <w:tcW w:type="dxa" w:w="7026"/>
            <w:shd w:fill="DEEAF1" w:val="clear"/>
            <w:tcMar>
              <w:top w:type="dxa" w:w="80"/>
              <w:left w:type="dxa" w:w="120"/>
              <w:bottom w:type="dxa" w:w="80"/>
              <w:right w:type="dxa" w:w="120"/>
            </w:tcMar>
          </w:tcPr>
          <w:p>
            <w:r>
              <w:rPr>
                <w:rFonts w:ascii="Calibri" w:cs="Calibri" w:hAnsi="Calibri"/>
                <w:sz w:val="20"/>
              </w:rPr>
              <w:t>Nozomi Networks (USA/Svizzera, uffici diretti in Italia) · Vantage IQ: 15 gen 2026 · Q2 update: mag/giu 2026</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Ambito</w:t>
            </w:r>
          </w:p>
        </w:tc>
        <w:tc>
          <w:tcPr>
            <w:tcW w:type="dxa" w:w="7026"/>
            <w:shd w:fill="FFFFFF" w:val="clear"/>
            <w:tcMar>
              <w:top w:type="dxa" w:w="80"/>
              <w:left w:type="dxa" w:w="120"/>
              <w:bottom w:type="dxa" w:w="80"/>
              <w:right w:type="dxa" w:w="120"/>
            </w:tcMar>
          </w:tcPr>
          <w:p>
            <w:r>
              <w:rPr>
                <w:rFonts w:ascii="Calibri" w:cs="Calibri" w:hAnsi="Calibri"/>
                <w:sz w:val="20"/>
              </w:rPr>
              <w:t>OT/IoT &amp; Infrastrutture Critiche</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Cosa fa</w:t>
            </w:r>
          </w:p>
        </w:tc>
        <w:tc>
          <w:tcPr>
            <w:tcW w:type="dxa" w:w="7026"/>
            <w:shd w:fill="DEEAF1" w:val="clear"/>
            <w:tcMar>
              <w:top w:type="dxa" w:w="80"/>
              <w:left w:type="dxa" w:w="120"/>
              <w:bottom w:type="dxa" w:w="80"/>
              <w:right w:type="dxa" w:w="120"/>
            </w:tcMar>
          </w:tcPr>
          <w:p>
            <w:r>
              <w:rPr>
                <w:rFonts w:ascii="Calibri" w:cs="Calibri" w:hAnsi="Calibri"/>
                <w:sz w:val="20"/>
              </w:rPr>
              <w:t xml:space="preserve">Vantage IQ è il primo assistente AI privato al mondo per OT/IoT security. Il Q2 2026 update introduce AI Integration Builder (costruisce integrazioni bidirezionali in giorni, non settimane) e Guardian Air per visibilità full-spectrum RF.</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Caratteristiche</w:t>
            </w:r>
          </w:p>
        </w:tc>
        <w:tc>
          <w:tcPr>
            <w:tcW w:type="dxa" w:w="7026"/>
            <w:shd w:fill="FFFFFF" w:val="clear"/>
            <w:tcMar>
              <w:top w:type="dxa" w:w="80"/>
              <w:left w:type="dxa" w:w="120"/>
              <w:bottom w:type="dxa" w:w="80"/>
              <w:right w:type="dxa" w:w="120"/>
            </w:tcMar>
          </w:tcPr>
          <w:p>
            <w:r>
              <w:rPr>
                <w:rFonts w:ascii="Calibri" w:cs="Calibri" w:hAnsi="Calibri"/>
                <w:sz w:val="20"/>
              </w:rPr>
              <w:t xml:space="preserve">LLM privato addestrato su dati OT dell’org · AI triage e investigation guidato · Integration Builder AI-powered (30+ integr. in Q1 2026) · Guardian Air: RF spectrum (Zigbee, LoRa, BLE, 802.15.4) · Passive monitoring agentless · Board-ready reporting · Disponibile su Google Cloud Marketplace</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Rilevanza PA</w:t>
            </w:r>
          </w:p>
        </w:tc>
        <w:tc>
          <w:tcPr>
            <w:tcW w:type="dxa" w:w="7026"/>
            <w:shd w:fill="DEEAF1" w:val="clear"/>
            <w:tcMar>
              <w:top w:type="dxa" w:w="80"/>
              <w:left w:type="dxa" w:w="120"/>
              <w:bottom w:type="dxa" w:w="80"/>
              <w:right w:type="dxa" w:w="120"/>
            </w:tcMar>
          </w:tcPr>
          <w:p>
            <w:r>
              <w:rPr>
                <w:rFonts w:ascii="Calibri" w:cs="Calibri" w:hAnsi="Calibri"/>
                <w:sz w:val="20"/>
              </w:rPr>
              <w:t xml:space="preserve">Inventario asset OT richiesto da NIS2/ACN (scadenza 30 giu 2026) · PSNC: energia, sanità, trasporti priorità assoluta · Integration Builder accelera deploy con SIEM PA esistenti · GSE, Terna, RFI, ENAV, SSN: target primario · Dati OT mai fuori dall’ambiente (LLM privato)</w:t>
            </w:r>
          </w:p>
        </w:tc>
      </w:tr>
    </w:tbl>
    <w:p>
      <w:pPr>
        <w:spacing w:after="120" w:before="240"/>
      </w:pPr>
    </w:p>
    <w:p>
      <w:pPr>
        <w:pStyle w:val="Heading2"/>
      </w:pPr>
      <w:r>
        <w:rPr>
          <w:rFonts w:ascii="Calibri" w:cs="Calibri" w:eastAsia="Calibri" w:hAnsi="Calibri"/>
          <w:b/>
          <w:color w:val="1F4E79"/>
          <w:sz w:val="24"/>
        </w:rPr>
        <w:t>Segnali da tenere d’occhio</w:t>
      </w:r>
    </w:p>
    <w:tbl>
      <w:tblPr>
        <w:tblW w:type="dxa" w:w="9026"/>
        <w:tblBorders>
          <w:top w:val="single" w:color="C9C9C9" w:sz="1"/>
          <w:left w:val="single" w:color="C9C9C9" w:sz="1"/>
          <w:bottom w:val="single" w:color="C9C9C9" w:sz="1"/>
          <w:right w:val="single" w:color="C9C9C9" w:sz="1"/>
          <w:insideH w:val="single" w:color="C9C9C9" w:sz="1"/>
          <w:insideV w:val="single" w:color="C9C9C9" w:sz="1"/>
        </w:tblBorders>
      </w:tblPr>
      <w:tblGrid>
        <w:gridCol w:w="3500"/>
        <w:gridCol w:w="3500"/>
        <w:gridCol w:w="2026"/>
      </w:tblGrid>
      <w:tr>
        <w:tc>
          <w:tcPr>
            <w:tcW w:type="dxa" w:w="3500"/>
            <w:shd w:fill="1F4E79" w:val="clear"/>
            <w:tcMar>
              <w:top w:type="dxa" w:w="80"/>
              <w:left w:type="dxa" w:w="120"/>
              <w:bottom w:type="dxa" w:w="80"/>
              <w:right w:type="dxa" w:w="120"/>
            </w:tcMar>
          </w:tcPr>
          <w:p>
            <w:r>
              <w:rPr>
                <w:rFonts w:ascii="Calibri" w:cs="Calibri" w:hAnsi="Calibri"/>
                <w:b/>
                <w:color w:val="FFFFFF"/>
                <w:sz w:val="20"/>
              </w:rPr>
              <w:t>Segnale</w:t>
            </w:r>
          </w:p>
        </w:tc>
        <w:tc>
          <w:tcPr>
            <w:tcW w:type="dxa" w:w="3500"/>
            <w:shd w:fill="1F4E79" w:val="clear"/>
            <w:tcMar>
              <w:top w:type="dxa" w:w="80"/>
              <w:left w:type="dxa" w:w="120"/>
              <w:bottom w:type="dxa" w:w="80"/>
              <w:right w:type="dxa" w:w="120"/>
            </w:tcMar>
          </w:tcPr>
          <w:p>
            <w:r>
              <w:rPr>
                <w:rFonts w:ascii="Calibri" w:cs="Calibri" w:hAnsi="Calibri"/>
                <w:b/>
                <w:color w:val="FFFFFF"/>
                <w:sz w:val="20"/>
              </w:rPr>
              <w:t>Impatto atteso</w:t>
            </w:r>
          </w:p>
        </w:tc>
        <w:tc>
          <w:tcPr>
            <w:tcW w:type="dxa" w:w="2026"/>
            <w:shd w:fill="1F4E79" w:val="clear"/>
            <w:tcMar>
              <w:top w:type="dxa" w:w="80"/>
              <w:left w:type="dxa" w:w="120"/>
              <w:bottom w:type="dxa" w:w="80"/>
              <w:right w:type="dxa" w:w="120"/>
            </w:tcMar>
          </w:tcPr>
          <w:p>
            <w:r>
              <w:rPr>
                <w:rFonts w:ascii="Calibri" w:cs="Calibri" w:hAnsi="Calibri"/>
                <w:b/>
                <w:color w:val="FFFFFF"/>
                <w:sz w:val="20"/>
              </w:rPr>
              <w:t>Orizzonte</w:t>
            </w:r>
          </w:p>
        </w:tc>
      </w:tr>
      <w:tr>
        <w:tc>
          <w:tcPr>
            <w:tcW w:type="dxa" w:w="3500"/>
            <w:shd w:fill="DEEAF1" w:val="clear"/>
            <w:tcMar>
              <w:top w:type="dxa" w:w="80"/>
              <w:left w:type="dxa" w:w="120"/>
              <w:bottom w:type="dxa" w:w="80"/>
              <w:right w:type="dxa" w:w="120"/>
            </w:tcMar>
          </w:tcPr>
          <w:p>
            <w:r>
              <w:rPr>
                <w:rFonts w:ascii="Calibri" w:cs="Calibri" w:hAnsi="Calibri"/>
                <w:sz w:val="20"/>
              </w:rPr>
              <w:t>Scadenza NIS2/ACN categorizzazione 30 giu 2026</w:t>
            </w:r>
          </w:p>
        </w:tc>
        <w:tc>
          <w:tcPr>
            <w:tcW w:type="dxa" w:w="3500"/>
            <w:shd w:fill="FFFFFF" w:val="clear"/>
            <w:tcMar>
              <w:top w:type="dxa" w:w="80"/>
              <w:left w:type="dxa" w:w="120"/>
              <w:bottom w:type="dxa" w:w="80"/>
              <w:right w:type="dxa" w:w="120"/>
            </w:tcMar>
          </w:tcPr>
          <w:p>
            <w:r>
              <w:rPr>
                <w:rFonts w:ascii="Calibri" w:cs="Calibri" w:hAnsi="Calibri"/>
                <w:sz w:val="20"/>
              </w:rPr>
              <w:t>Accelerazione acquisti tool inventory/assessment PA</w:t>
            </w:r>
          </w:p>
        </w:tc>
        <w:tc>
          <w:tcPr>
            <w:tcW w:type="dxa" w:w="2026"/>
            <w:shd w:fill="DEEAF1" w:val="clear"/>
            <w:tcMar>
              <w:top w:type="dxa" w:w="80"/>
              <w:left w:type="dxa" w:w="120"/>
              <w:bottom w:type="dxa" w:w="80"/>
              <w:right w:type="dxa" w:w="120"/>
            </w:tcMar>
          </w:tcPr>
          <w:p>
            <w:r>
              <w:rPr>
                <w:rFonts w:ascii="Calibri" w:cs="Calibri" w:hAnsi="Calibri"/>
                <w:sz w:val="20"/>
              </w:rPr>
              <w:t>Immediato</w:t>
            </w:r>
          </w:p>
        </w:tc>
      </w:tr>
      <w:tr>
        <w:tc>
          <w:tcPr>
            <w:tcW w:type="dxa" w:w="3500"/>
            <w:shd w:fill="DEEAF1" w:val="clear"/>
            <w:tcMar>
              <w:top w:type="dxa" w:w="80"/>
              <w:left w:type="dxa" w:w="120"/>
              <w:bottom w:type="dxa" w:w="80"/>
              <w:right w:type="dxa" w:w="120"/>
            </w:tcMar>
          </w:tcPr>
          <w:p>
            <w:r>
              <w:rPr>
                <w:rFonts w:ascii="Calibri" w:cs="Calibri" w:hAnsi="Calibri"/>
                <w:sz w:val="20"/>
              </w:rPr>
              <w:t>Forum PA 2026 (9-11 giu, Roma) — ACN roadmap linee guida settoriali</w:t>
            </w:r>
          </w:p>
        </w:tc>
        <w:tc>
          <w:tcPr>
            <w:tcW w:type="dxa" w:w="3500"/>
            <w:shd w:fill="FFFFFF" w:val="clear"/>
            <w:tcMar>
              <w:top w:type="dxa" w:w="80"/>
              <w:left w:type="dxa" w:w="120"/>
              <w:bottom w:type="dxa" w:w="80"/>
              <w:right w:type="dxa" w:w="120"/>
            </w:tcMar>
          </w:tcPr>
          <w:p>
            <w:r>
              <w:rPr>
                <w:rFonts w:ascii="Calibri" w:cs="Calibri" w:hAnsi="Calibri"/>
                <w:sz w:val="20"/>
              </w:rPr>
              <w:t>Nuovi requisiti tecnici settoriali in arrivo</w:t>
            </w:r>
          </w:p>
        </w:tc>
        <w:tc>
          <w:tcPr>
            <w:tcW w:type="dxa" w:w="2026"/>
            <w:shd w:fill="DEEAF1" w:val="clear"/>
            <w:tcMar>
              <w:top w:type="dxa" w:w="80"/>
              <w:left w:type="dxa" w:w="120"/>
              <w:bottom w:type="dxa" w:w="80"/>
              <w:right w:type="dxa" w:w="120"/>
            </w:tcMar>
          </w:tcPr>
          <w:p>
            <w:r>
              <w:rPr>
                <w:rFonts w:ascii="Calibri" w:cs="Calibri" w:hAnsi="Calibri"/>
                <w:sz w:val="20"/>
              </w:rPr>
              <w:t>Questa settimana</w:t>
            </w:r>
          </w:p>
        </w:tc>
      </w:tr>
      <w:tr>
        <w:tc>
          <w:tcPr>
            <w:tcW w:type="dxa" w:w="3500"/>
            <w:shd w:fill="DEEAF1" w:val="clear"/>
            <w:tcMar>
              <w:top w:type="dxa" w:w="80"/>
              <w:left w:type="dxa" w:w="120"/>
              <w:bottom w:type="dxa" w:w="80"/>
              <w:right w:type="dxa" w:w="120"/>
            </w:tcMar>
          </w:tcPr>
          <w:p>
            <w:r>
              <w:rPr>
                <w:rFonts w:ascii="Calibri" w:cs="Calibri" w:hAnsi="Calibri"/>
                <w:sz w:val="20"/>
              </w:rPr>
              <w:t>Zero Standing Privilege come nuovo standard: pressione su PAM tradizionali</w:t>
            </w:r>
          </w:p>
        </w:tc>
        <w:tc>
          <w:tcPr>
            <w:tcW w:type="dxa" w:w="3500"/>
            <w:shd w:fill="FFFFFF" w:val="clear"/>
            <w:tcMar>
              <w:top w:type="dxa" w:w="80"/>
              <w:left w:type="dxa" w:w="120"/>
              <w:bottom w:type="dxa" w:w="80"/>
              <w:right w:type="dxa" w:w="120"/>
            </w:tcMar>
          </w:tcPr>
          <w:p>
            <w:r>
              <w:rPr>
                <w:rFonts w:ascii="Calibri" w:cs="Calibri" w:hAnsi="Calibri"/>
                <w:sz w:val="20"/>
              </w:rPr>
              <w:t>Possibile sostituzione CyberArk/BeyondTrust in favore di soluzioni dinamiche</w:t>
            </w:r>
          </w:p>
        </w:tc>
        <w:tc>
          <w:tcPr>
            <w:tcW w:type="dxa" w:w="2026"/>
            <w:shd w:fill="DEEAF1" w:val="clear"/>
            <w:tcMar>
              <w:top w:type="dxa" w:w="80"/>
              <w:left w:type="dxa" w:w="120"/>
              <w:bottom w:type="dxa" w:w="80"/>
              <w:right w:type="dxa" w:w="120"/>
            </w:tcMar>
          </w:tcPr>
          <w:p>
            <w:r>
              <w:rPr>
                <w:rFonts w:ascii="Calibri" w:cs="Calibri" w:hAnsi="Calibri"/>
                <w:sz w:val="20"/>
              </w:rPr>
              <w:t>12-18 mesi</w:t>
            </w:r>
          </w:p>
        </w:tc>
      </w:tr>
    </w:tbl>
    <w:p>
      <w:pPr>
        <w:spacing w:after="120" w:before="240"/>
      </w:pPr>
    </w:p>
    <w:p>
      <w:pPr>
        <w:spacing w:after="60" w:before="60"/>
        <w:jc w:val="center"/>
      </w:pPr>
      <w:r>
        <w:rPr>
          <w:rFonts w:ascii="Calibri" w:cs="Calibri" w:eastAsia="Calibri" w:hAnsi="Calibri"/>
          <w:i/>
          <w:color w:val="595959"/>
          <w:sz w:val="18"/>
        </w:rPr>
        <w:t xml:space="preserve">Prossimo briefing: 14 giugno 2026 · Generato automaticamente da Claude · Cowork</w:t>
      </w:r>
    </w:p>
    <w:p>
      <w:r>
        <w:br w:type="page"/>
      </w:r>
    </w:p>
    <w:p>
      <w:pPr>
        <w:pStyle w:val="Heading1"/>
      </w:pPr>
      <w:bookmarkStart w:name="bm_w22" w:id="200"/>
      <w:r>
        <w:rPr>
          <w:rFonts w:ascii="Calibri" w:cs="Calibri" w:eastAsia="Calibri" w:hAnsi="Calibri"/>
          <w:b/>
          <w:bCs/>
          <w:color w:val="1F4E79"/>
          <w:sz w:val="28"/>
          <w:szCs w:val="28"/>
        </w:rPr>
        <w:t xml:space="preserve">W22 · 31 maggio 2026</w:t>
      </w:r>
      <w:bookmarkEnd w:id="20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Data</w:t>
            </w:r>
          </w:p>
          <w:p>
            <w:r>
              <w:rPr>
                <w:rFonts w:ascii="Calibri" w:cs="Calibri" w:eastAsia="Calibri" w:hAnsi="Calibri"/>
                <w:sz w:val="20"/>
              </w:rPr>
              <w:t>31 maggio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Settimana</w:t>
            </w:r>
          </w:p>
          <w:p>
            <w:r>
              <w:rPr>
                <w:rFonts w:ascii="Calibri" w:cs="Calibri" w:eastAsia="Calibri" w:hAnsi="Calibri"/>
                <w:sz w:val="20"/>
              </w:rPr>
              <w:t>W22 2026</w:t>
            </w:r>
          </w:p>
        </w:tc>
        <w:tc>
          <w:tcPr>
            <w:tcW w:type="dxa" w:w="225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Ambiti</w:t>
            </w:r>
          </w:p>
          <w:p>
            <w:r>
              <w:rPr>
                <w:rFonts w:ascii="Calibri" w:cs="Calibri" w:eastAsia="Calibri" w:hAnsi="Calibri"/>
                <w:sz w:val="20"/>
              </w:rPr>
              <w:t>AI/SIEM · OT/IoT · Network</w:t>
            </w:r>
          </w:p>
        </w:tc>
        <w:tc>
          <w:tcPr>
            <w:tcW w:type="dxa" w:w="227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Target</w:t>
            </w:r>
          </w:p>
          <w:p>
            <w:r>
              <w:rPr>
                <w:rFonts w:ascii="Calibri" w:cs="Calibri" w:eastAsia="Calibri" w:hAnsi="Calibri"/>
                <w:sz w:val="20"/>
              </w:rPr>
              <w:t>Enterprise · Mid-market · PA Centrale</w:t>
            </w:r>
          </w:p>
        </w:tc>
      </w:tr>
    </w:tbl>
    <w:p>
      <w:pPr>
        <w:spacing w:after="120" w:before="240"/>
      </w:pPr>
    </w:p>
    <w:p>
      <w:pPr>
        <w:pStyle w:val="Heading2"/>
      </w:pPr>
      <w:r>
        <w:rPr>
          <w:rFonts w:ascii="Calibri" w:cs="Calibri" w:eastAsia="Calibri" w:hAnsi="Calibri"/>
          <w:b/>
          <w:color w:val="1F4E79"/>
          <w:sz w:val="24"/>
        </w:rPr>
        <w:t>1. Databricks Lakewatch — SIEM Open Agentico</w:t>
      </w:r>
    </w:p>
    <w:tbl>
      <w:tblPr>
        <w:tblW w:type="dxa" w:w="9026"/>
        <w:tblBorders>
          <w:top w:val="single" w:color="C9C9C9" w:sz="1"/>
          <w:left w:val="single" w:color="C9C9C9" w:sz="1"/>
          <w:bottom w:val="single" w:color="C9C9C9" w:sz="1"/>
          <w:right w:val="single" w:color="C9C9C9" w:sz="1"/>
          <w:insideH w:val="single" w:color="C9C9C9" w:sz="1"/>
          <w:insideV w:val="single" w:color="C9C9C9" w:sz="1"/>
        </w:tblBorders>
      </w:tblPr>
      <w:tblGrid>
        <w:gridCol w:w="2000"/>
        <w:gridCol w:w="7026"/>
      </w:tblGrid>
      <w:tr>
        <w:tc>
          <w:tcPr>
            <w:tcW w:type="dxa" w:w="2000"/>
            <w:shd w:fill="1F4E79" w:val="clear"/>
            <w:tcMar>
              <w:top w:type="dxa" w:w="80"/>
              <w:left w:type="dxa" w:w="120"/>
              <w:bottom w:type="dxa" w:w="80"/>
              <w:right w:type="dxa" w:w="120"/>
            </w:tcMar>
          </w:tcPr>
          <w:p>
            <w:r>
              <w:rPr>
                <w:rFonts w:ascii="Calibri" w:cs="Calibri" w:hAnsi="Calibri"/>
                <w:b/>
                <w:color w:val="FFFFFF"/>
                <w:sz w:val="20"/>
              </w:rPr>
              <w:t>Vendor</w:t>
            </w:r>
          </w:p>
        </w:tc>
        <w:tc>
          <w:tcPr>
            <w:tcW w:type="dxa" w:w="7026"/>
            <w:shd w:fill="DEEAF1" w:val="clear"/>
            <w:tcMar>
              <w:top w:type="dxa" w:w="80"/>
              <w:left w:type="dxa" w:w="120"/>
              <w:bottom w:type="dxa" w:w="80"/>
              <w:right w:type="dxa" w:w="120"/>
            </w:tcMar>
          </w:tcPr>
          <w:p>
            <w:r>
              <w:rPr>
                <w:rFonts w:ascii="Calibri" w:cs="Calibri" w:hAnsi="Calibri"/>
                <w:sz w:val="20"/>
              </w:rPr>
              <w:t>Databricks (USA) · Annuncio: 24 marzo 2026, Private Preview</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Ambito</w:t>
            </w:r>
          </w:p>
        </w:tc>
        <w:tc>
          <w:tcPr>
            <w:tcW w:type="dxa" w:w="7026"/>
            <w:shd w:fill="FFFFFF" w:val="clear"/>
            <w:tcMar>
              <w:top w:type="dxa" w:w="80"/>
              <w:left w:type="dxa" w:w="120"/>
              <w:bottom w:type="dxa" w:w="80"/>
              <w:right w:type="dxa" w:w="120"/>
            </w:tcMar>
          </w:tcPr>
          <w:p>
            <w:r>
              <w:rPr>
                <w:rFonts w:ascii="Calibri" w:cs="Calibri" w:hAnsi="Calibri"/>
                <w:sz w:val="20"/>
              </w:rPr>
              <w:t>AI &amp; Threat Intelligence / SIEM next-gen</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Cosa fa</w:t>
            </w:r>
          </w:p>
        </w:tc>
        <w:tc>
          <w:tcPr>
            <w:tcW w:type="dxa" w:w="7026"/>
            <w:shd w:fill="DEEAF1" w:val="clear"/>
            <w:tcMar>
              <w:top w:type="dxa" w:w="80"/>
              <w:left w:type="dxa" w:w="120"/>
              <w:bottom w:type="dxa" w:w="80"/>
              <w:right w:type="dxa" w:w="120"/>
            </w:tcMar>
          </w:tcPr>
          <w:p>
            <w:r>
              <w:rPr>
                <w:rFonts w:ascii="Calibri" w:cs="Calibri" w:hAnsi="Calibri"/>
                <w:sz w:val="20"/>
              </w:rPr>
              <w:t xml:space="preserve">SIEM di nuova generazione basato su lakehouse. Unifica dati sicurezza, IT e business per rilevamento minacce a scala petabyte con agenti AI personalizzabili. TCO dichiarato -80% vs SIEM legacy. Powered by Anthropic Claude per correlazione cross-domain.</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Infrastruttura</w:t>
            </w:r>
          </w:p>
        </w:tc>
        <w:tc>
          <w:tcPr>
            <w:tcW w:type="dxa" w:w="7026"/>
            <w:shd w:fill="FFFFFF" w:val="clear"/>
            <w:tcMar>
              <w:top w:type="dxa" w:w="80"/>
              <w:left w:type="dxa" w:w="120"/>
              <w:bottom w:type="dxa" w:w="80"/>
              <w:right w:type="dxa" w:w="120"/>
            </w:tcMar>
          </w:tcPr>
          <w:p>
            <w:r>
              <w:rPr>
                <w:rFonts w:ascii="Calibri" w:cs="Calibri" w:hAnsi="Calibri"/>
                <w:sz w:val="20"/>
              </w:rPr>
              <w:t xml:space="preserve">Cloud-native SaaS su Databricks Unity Catalog. Architettura Delta Lake + AI. Open OCSF, no vendor lock-in. Lakeflow Connect per ingestione automatizzata (AWS, Okta, Zscaler). Long-term retention su object storage.</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Target &amp; PA</w:t>
            </w:r>
          </w:p>
        </w:tc>
        <w:tc>
          <w:tcPr>
            <w:tcW w:type="dxa" w:w="7026"/>
            <w:shd w:fill="DEEAF1" w:val="clear"/>
            <w:tcMar>
              <w:top w:type="dxa" w:w="80"/>
              <w:left w:type="dxa" w:w="120"/>
              <w:bottom w:type="dxa" w:w="80"/>
              <w:right w:type="dxa" w:w="120"/>
            </w:tcMar>
          </w:tcPr>
          <w:p>
            <w:r>
              <w:rPr>
                <w:rFonts w:ascii="Calibri" w:cs="Calibri" w:hAnsi="Calibri"/>
                <w:sz w:val="20"/>
              </w:rPr>
              <w:t xml:space="preserve">Enterprise e large mid-market. PA Centrale con cloud ibrido: conformità NIS2/DORA nativa, audit trail immutabile. Richiede qualificazione ACN Cloud PA (da verificare). Non adatto a PA solo on-premise.</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Perché ora</w:t>
            </w:r>
          </w:p>
        </w:tc>
        <w:tc>
          <w:tcPr>
            <w:tcW w:type="dxa" w:w="7026"/>
            <w:shd w:fill="FFFFFF" w:val="clear"/>
            <w:tcMar>
              <w:top w:type="dxa" w:w="80"/>
              <w:left w:type="dxa" w:w="120"/>
              <w:bottom w:type="dxa" w:w="80"/>
              <w:right w:type="dxa" w:w="120"/>
            </w:tcMar>
          </w:tcPr>
          <w:p>
            <w:r>
              <w:rPr>
                <w:rFonts w:ascii="Calibri" w:cs="Calibri" w:hAnsi="Calibri"/>
                <w:sz w:val="20"/>
              </w:rPr>
              <w:t xml:space="preserve">Crisi di costi SIEM (Splunk post-Cisco). La scadenza NIS2 ACN del 31 maggio impone dimostrazione di capacità monitoring incidenti. Disruption diretta su Splunk, IBM QRadar e Microsoft Sentinel per volumi elevati.</w:t>
            </w:r>
          </w:p>
        </w:tc>
      </w:tr>
    </w:tbl>
    <w:p>
      <w:pPr>
        <w:spacing w:after="120" w:before="120"/>
      </w:pPr>
    </w:p>
    <w:p>
      <w:pPr>
        <w:pStyle w:val="Heading2"/>
      </w:pPr>
      <w:r>
        <w:rPr>
          <w:rFonts w:ascii="Calibri" w:cs="Calibri" w:eastAsia="Calibri" w:hAnsi="Calibri"/>
          <w:b/>
          <w:color w:val="1F4E79"/>
          <w:sz w:val="24"/>
        </w:rPr>
        <w:t>2. ManageEngine Log360 Cloud — SIEM con Native SOAR</w:t>
      </w:r>
    </w:p>
    <w:tbl>
      <w:tblPr>
        <w:tblW w:type="dxa" w:w="9026"/>
        <w:tblBorders>
          <w:top w:val="single" w:color="C9C9C9" w:sz="1"/>
          <w:left w:val="single" w:color="C9C9C9" w:sz="1"/>
          <w:bottom w:val="single" w:color="C9C9C9" w:sz="1"/>
          <w:right w:val="single" w:color="C9C9C9" w:sz="1"/>
          <w:insideH w:val="single" w:color="C9C9C9" w:sz="1"/>
          <w:insideV w:val="single" w:color="C9C9C9" w:sz="1"/>
        </w:tblBorders>
      </w:tblPr>
      <w:tblGrid>
        <w:gridCol w:w="2000"/>
        <w:gridCol w:w="7026"/>
      </w:tblGrid>
      <w:tr>
        <w:tc>
          <w:tcPr>
            <w:tcW w:type="dxa" w:w="2000"/>
            <w:shd w:fill="1F4E79" w:val="clear"/>
            <w:tcMar>
              <w:top w:type="dxa" w:w="80"/>
              <w:left w:type="dxa" w:w="120"/>
              <w:bottom w:type="dxa" w:w="80"/>
              <w:right w:type="dxa" w:w="120"/>
            </w:tcMar>
          </w:tcPr>
          <w:p>
            <w:r>
              <w:rPr>
                <w:rFonts w:ascii="Calibri" w:cs="Calibri" w:hAnsi="Calibri"/>
                <w:b/>
                <w:color w:val="FFFFFF"/>
                <w:sz w:val="20"/>
              </w:rPr>
              <w:t>Vendor</w:t>
            </w:r>
          </w:p>
        </w:tc>
        <w:tc>
          <w:tcPr>
            <w:tcW w:type="dxa" w:w="7026"/>
            <w:shd w:fill="DEEAF1" w:val="clear"/>
            <w:tcMar>
              <w:top w:type="dxa" w:w="80"/>
              <w:left w:type="dxa" w:w="120"/>
              <w:bottom w:type="dxa" w:w="80"/>
              <w:right w:type="dxa" w:w="120"/>
            </w:tcMar>
          </w:tcPr>
          <w:p>
            <w:r>
              <w:rPr>
                <w:rFonts w:ascii="Calibri" w:cs="Calibri" w:hAnsi="Calibri"/>
                <w:sz w:val="20"/>
              </w:rPr>
              <w:t>ManageEngine / Zoho Corporation (India) · Annuncio: 12 maggio 2026, GA immediata</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Ambito</w:t>
            </w:r>
          </w:p>
        </w:tc>
        <w:tc>
          <w:tcPr>
            <w:tcW w:type="dxa" w:w="7026"/>
            <w:shd w:fill="FFFFFF" w:val="clear"/>
            <w:tcMar>
              <w:top w:type="dxa" w:w="80"/>
              <w:left w:type="dxa" w:w="120"/>
              <w:bottom w:type="dxa" w:w="80"/>
              <w:right w:type="dxa" w:w="120"/>
            </w:tcMar>
          </w:tcPr>
          <w:p>
            <w:r>
              <w:rPr>
                <w:rFonts w:ascii="Calibri" w:cs="Calibri" w:hAnsi="Calibri"/>
                <w:sz w:val="20"/>
              </w:rPr>
              <w:t>AI &amp; Threat Intelligence / SIEM+SOAR</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Cosa fa</w:t>
            </w:r>
          </w:p>
        </w:tc>
        <w:tc>
          <w:tcPr>
            <w:tcW w:type="dxa" w:w="7026"/>
            <w:shd w:fill="DEEAF1" w:val="clear"/>
            <w:tcMar>
              <w:top w:type="dxa" w:w="80"/>
              <w:left w:type="dxa" w:w="120"/>
              <w:bottom w:type="dxa" w:w="80"/>
              <w:right w:type="dxa" w:w="120"/>
            </w:tcMar>
          </w:tcPr>
          <w:p>
            <w:r>
              <w:rPr>
                <w:rFonts w:ascii="Calibri" w:cs="Calibri" w:hAnsi="Calibri"/>
                <w:sz w:val="20"/>
              </w:rPr>
              <w:t xml:space="preserve">SOAR nativo integrato nel SIEM senza modulo separato. Visual playbook builder low-code, 7 nuove integrazioni EDR/identity/threat intel, orchestration engine Zoho Qntrl Circuit. Chiude il gap detection-to-response senza costi aggiuntivi.</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Target &amp; PA</w:t>
            </w:r>
          </w:p>
        </w:tc>
        <w:tc>
          <w:tcPr>
            <w:tcW w:type="dxa" w:w="7026"/>
            <w:shd w:fill="FFFFFF" w:val="clear"/>
            <w:tcMar>
              <w:top w:type="dxa" w:w="80"/>
              <w:left w:type="dxa" w:w="120"/>
              <w:bottom w:type="dxa" w:w="80"/>
              <w:right w:type="dxa" w:w="120"/>
            </w:tcMar>
          </w:tcPr>
          <w:p>
            <w:r>
              <w:rPr>
                <w:rFonts w:ascii="Calibri" w:cs="Calibri" w:hAnsi="Calibri"/>
                <w:sz w:val="20"/>
              </w:rPr>
              <w:t xml:space="preserve">Mid-market e PA di medie dimensioni. Versione on-premise matura per ministeri senza cloud pubblico. NIS2 art. 21 (gestione incidenti): playbook documentabili soddisfano requisiti ACN. Ottimo rapporto qualità/prezzo.</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Perché ora</w:t>
            </w:r>
          </w:p>
        </w:tc>
        <w:tc>
          <w:tcPr>
            <w:tcW w:type="dxa" w:w="7026"/>
            <w:shd w:fill="DEEAF1" w:val="clear"/>
            <w:tcMar>
              <w:top w:type="dxa" w:w="80"/>
              <w:left w:type="dxa" w:w="120"/>
              <w:bottom w:type="dxa" w:w="80"/>
              <w:right w:type="dxa" w:w="120"/>
            </w:tcMar>
          </w:tcPr>
          <w:p>
            <w:r>
              <w:rPr>
                <w:rFonts w:ascii="Calibri" w:cs="Calibri" w:hAnsi="Calibri"/>
                <w:sz w:val="20"/>
              </w:rPr>
              <w:t xml:space="preserve">Scadenza ottobre 2026 NIS2: misure di sicurezza di base operative e documentate obbligatorie. Il SOAR nativo abbatte la barriera economica per SOC italiani con budget limitato. Risposta diretta ai requisiti D.Lgs. 138/2024.</w:t>
            </w:r>
          </w:p>
        </w:tc>
      </w:tr>
    </w:tbl>
    <w:p>
      <w:pPr>
        <w:spacing w:after="120" w:before="120"/>
      </w:pPr>
    </w:p>
    <w:p>
      <w:pPr>
        <w:pStyle w:val="Heading2"/>
      </w:pPr>
      <w:r>
        <w:rPr>
          <w:rFonts w:ascii="Calibri" w:cs="Calibri" w:eastAsia="Calibri" w:hAnsi="Calibri"/>
          <w:b/>
          <w:color w:val="1F4E79"/>
          <w:sz w:val="24"/>
        </w:rPr>
        <w:t>3. Forescout eyeInspect — Visibilità OT/IoT Infrastrutture Critiche</w:t>
      </w:r>
    </w:p>
    <w:tbl>
      <w:tblPr>
        <w:tblW w:type="dxa" w:w="9026"/>
        <w:tblBorders>
          <w:top w:val="single" w:color="C9C9C9" w:sz="1"/>
          <w:left w:val="single" w:color="C9C9C9" w:sz="1"/>
          <w:bottom w:val="single" w:color="C9C9C9" w:sz="1"/>
          <w:right w:val="single" w:color="C9C9C9" w:sz="1"/>
          <w:insideH w:val="single" w:color="C9C9C9" w:sz="1"/>
          <w:insideV w:val="single" w:color="C9C9C9" w:sz="1"/>
        </w:tblBorders>
      </w:tblPr>
      <w:tblGrid>
        <w:gridCol w:w="2000"/>
        <w:gridCol w:w="7026"/>
      </w:tblGrid>
      <w:tr>
        <w:tc>
          <w:tcPr>
            <w:tcW w:type="dxa" w:w="2000"/>
            <w:shd w:fill="1F4E79" w:val="clear"/>
            <w:tcMar>
              <w:top w:type="dxa" w:w="80"/>
              <w:left w:type="dxa" w:w="120"/>
              <w:bottom w:type="dxa" w:w="80"/>
              <w:right w:type="dxa" w:w="120"/>
            </w:tcMar>
          </w:tcPr>
          <w:p>
            <w:r>
              <w:rPr>
                <w:rFonts w:ascii="Calibri" w:cs="Calibri" w:hAnsi="Calibri"/>
                <w:b/>
                <w:color w:val="FFFFFF"/>
                <w:sz w:val="20"/>
              </w:rPr>
              <w:t>Vendor</w:t>
            </w:r>
          </w:p>
        </w:tc>
        <w:tc>
          <w:tcPr>
            <w:tcW w:type="dxa" w:w="7026"/>
            <w:shd w:fill="DEEAF1" w:val="clear"/>
            <w:tcMar>
              <w:top w:type="dxa" w:w="80"/>
              <w:left w:type="dxa" w:w="120"/>
              <w:bottom w:type="dxa" w:w="80"/>
              <w:right w:type="dxa" w:w="120"/>
            </w:tcMar>
          </w:tcPr>
          <w:p>
            <w:r>
              <w:rPr>
                <w:rFonts w:ascii="Calibri" w:cs="Calibri" w:hAnsi="Calibri"/>
                <w:sz w:val="20"/>
              </w:rPr>
              <w:t>Forescout Technologies (USA) · Report: 23 marzo 2026 · FedRAMP High ATO 2026</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Ambito</w:t>
            </w:r>
          </w:p>
        </w:tc>
        <w:tc>
          <w:tcPr>
            <w:tcW w:type="dxa" w:w="7026"/>
            <w:shd w:fill="FFFFFF" w:val="clear"/>
            <w:tcMar>
              <w:top w:type="dxa" w:w="80"/>
              <w:left w:type="dxa" w:w="120"/>
              <w:bottom w:type="dxa" w:w="80"/>
              <w:right w:type="dxa" w:w="120"/>
            </w:tcMar>
          </w:tcPr>
          <w:p>
            <w:r>
              <w:rPr>
                <w:rFonts w:ascii="Calibri" w:cs="Calibri" w:hAnsi="Calibri"/>
                <w:sz w:val="20"/>
              </w:rPr>
              <w:t>OT/IoT &amp; Infrastrutture Critiche</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Cosa fa</w:t>
            </w:r>
          </w:p>
        </w:tc>
        <w:tc>
          <w:tcPr>
            <w:tcW w:type="dxa" w:w="7026"/>
            <w:shd w:fill="DEEAF1" w:val="clear"/>
            <w:tcMar>
              <w:top w:type="dxa" w:w="80"/>
              <w:left w:type="dxa" w:w="120"/>
              <w:bottom w:type="dxa" w:w="80"/>
              <w:right w:type="dxa" w:w="120"/>
            </w:tcMar>
          </w:tcPr>
          <w:p>
            <w:r>
              <w:rPr>
                <w:rFonts w:ascii="Calibri" w:cs="Calibri" w:hAnsi="Calibri"/>
                <w:sz w:val="20"/>
              </w:rPr>
              <w:t xml:space="preserve">Visibilità agentless su reti IT/OT/IoT convergenti. Report 2026: 11 nuovi tipi di device a rischio (PDU, I/O module, BACnet router, RFID reader). L’infrastruttura di rete ha superato gli endpoint come categoria più rischiosa.</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Infrastruttura</w:t>
            </w:r>
          </w:p>
        </w:tc>
        <w:tc>
          <w:tcPr>
            <w:tcW w:type="dxa" w:w="7026"/>
            <w:shd w:fill="FFFFFF" w:val="clear"/>
            <w:tcMar>
              <w:top w:type="dxa" w:w="80"/>
              <w:left w:type="dxa" w:w="120"/>
              <w:bottom w:type="dxa" w:w="80"/>
              <w:right w:type="dxa" w:w="120"/>
            </w:tcMar>
          </w:tcPr>
          <w:p>
            <w:r>
              <w:rPr>
                <w:rFonts w:ascii="Calibri" w:cs="Calibri" w:hAnsi="Calibri"/>
                <w:sz w:val="20"/>
              </w:rPr>
              <w:t xml:space="preserve">On-premise (appliance fisica/virtuale) per reti OT air-gap + cloud connector per visibilità centralizzata. Monitoring passivo senza agenti sui device OT. Integrazione SIEM, CMDB, firewall. FedRAMP High ATO.</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Target &amp; PA</w:t>
            </w:r>
          </w:p>
        </w:tc>
        <w:tc>
          <w:tcPr>
            <w:tcW w:type="dxa" w:w="7026"/>
            <w:shd w:fill="DEEAF1" w:val="clear"/>
            <w:tcMar>
              <w:top w:type="dxa" w:w="80"/>
              <w:left w:type="dxa" w:w="120"/>
              <w:bottom w:type="dxa" w:w="80"/>
              <w:right w:type="dxa" w:w="120"/>
            </w:tcMar>
          </w:tcPr>
          <w:p>
            <w:r>
              <w:rPr>
                <w:rFonts w:ascii="Calibri" w:cs="Calibri" w:hAnsi="Calibri"/>
                <w:sz w:val="20"/>
              </w:rPr>
              <w:t xml:space="preserve">PA Centrale con edifici BMS/BACnet (ministeri, sedi istituzionali), utilities, sanità, difesa. I BACnet router degli edifici governativi italiani sono nella top-5 OT più rischiosi e quasi universalmente non monitorati.</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Perché ora</w:t>
            </w:r>
          </w:p>
        </w:tc>
        <w:tc>
          <w:tcPr>
            <w:tcW w:type="dxa" w:w="7026"/>
            <w:shd w:fill="FFFFFF" w:val="clear"/>
            <w:tcMar>
              <w:top w:type="dxa" w:w="80"/>
              <w:left w:type="dxa" w:w="120"/>
              <w:bottom w:type="dxa" w:w="80"/>
              <w:right w:type="dxa" w:w="120"/>
            </w:tcMar>
          </w:tcPr>
          <w:p>
            <w:r>
              <w:rPr>
                <w:rFonts w:ascii="Calibri" w:cs="Calibri" w:hAnsi="Calibri"/>
                <w:sz w:val="20"/>
              </w:rPr>
              <w:t xml:space="preserve">NIS2 Allegato I: energia e infrastrutture digitali tra settori critici. PSNC identifica convergenza IT/OT come priorità. ACN richiede asset inventory OT. Un attacco BACnet può compromettere fisicamente edifici governativi (HVAC, badge, antincendio) senza toccare le reti IT.</w:t>
            </w:r>
          </w:p>
        </w:tc>
      </w:tr>
    </w:tbl>
    <w:p>
      <w:pPr>
        <w:spacing w:after="120" w:before="120"/>
      </w:pPr>
    </w:p>
    <w:p>
      <w:pPr>
        <w:pStyle w:val="Heading2"/>
      </w:pPr>
      <w:r>
        <w:rPr>
          <w:rFonts w:ascii="Calibri" w:cs="Calibri" w:eastAsia="Calibri" w:hAnsi="Calibri"/>
          <w:b/>
          <w:color w:val="1F4E79"/>
          <w:sz w:val="24"/>
        </w:rPr>
        <w:t>Segnali della settimana</w:t>
      </w:r>
    </w:p>
    <w:tbl>
      <w:tblPr>
        <w:tblW w:type="dxa" w:w="9026"/>
        <w:tblBorders>
          <w:top w:val="single" w:color="C9C9C9" w:sz="1"/>
          <w:left w:val="single" w:color="C9C9C9" w:sz="1"/>
          <w:bottom w:val="single" w:color="C9C9C9" w:sz="1"/>
          <w:right w:val="single" w:color="C9C9C9" w:sz="1"/>
          <w:insideH w:val="single" w:color="C9C9C9" w:sz="1"/>
          <w:insideV w:val="single" w:color="C9C9C9" w:sz="1"/>
        </w:tblBorders>
      </w:tblPr>
      <w:tblGrid>
        <w:gridCol w:w="6000"/>
        <w:gridCol w:w="3026"/>
      </w:tblGrid>
      <w:tr>
        <w:tc>
          <w:tcPr>
            <w:tcW w:type="dxa" w:w="6000"/>
            <w:shd w:fill="1F4E79" w:val="clear"/>
            <w:tcMar>
              <w:top w:type="dxa" w:w="80"/>
              <w:left w:type="dxa" w:w="120"/>
              <w:bottom w:type="dxa" w:w="80"/>
              <w:right w:type="dxa" w:w="120"/>
            </w:tcMar>
          </w:tcPr>
          <w:p>
            <w:r>
              <w:rPr>
                <w:rFonts w:ascii="Calibri" w:cs="Calibri" w:hAnsi="Calibri"/>
                <w:b/>
                <w:color w:val="FFFFFF"/>
                <w:sz w:val="20"/>
              </w:rPr>
              <w:t>Segnale</w:t>
            </w:r>
          </w:p>
        </w:tc>
        <w:tc>
          <w:tcPr>
            <w:tcW w:type="dxa" w:w="3026"/>
            <w:shd w:fill="1F4E79" w:val="clear"/>
            <w:tcMar>
              <w:top w:type="dxa" w:w="80"/>
              <w:left w:type="dxa" w:w="120"/>
              <w:bottom w:type="dxa" w:w="80"/>
              <w:right w:type="dxa" w:w="120"/>
            </w:tcMar>
          </w:tcPr>
          <w:p>
            <w:r>
              <w:rPr>
                <w:rFonts w:ascii="Calibri" w:cs="Calibri" w:hAnsi="Calibri"/>
                <w:b/>
                <w:color w:val="FFFFFF"/>
                <w:sz w:val="20"/>
              </w:rPr>
              <w:t>Impatto</w:t>
            </w:r>
          </w:p>
        </w:tc>
      </w:tr>
      <w:tr>
        <w:tc>
          <w:tcPr>
            <w:tcW w:type="dxa" w:w="6000"/>
            <w:shd w:fill="DEEAF1" w:val="clear"/>
            <w:tcMar>
              <w:top w:type="dxa" w:w="80"/>
              <w:left w:type="dxa" w:w="120"/>
              <w:bottom w:type="dxa" w:w="80"/>
              <w:right w:type="dxa" w:w="120"/>
            </w:tcMar>
          </w:tcPr>
          <w:p>
            <w:r>
              <w:rPr>
                <w:rFonts w:ascii="Calibri" w:cs="Calibri" w:hAnsi="Calibri"/>
                <w:sz w:val="20"/>
              </w:rPr>
              <w:t>Scadenza NIS2 ACN 31 maggio 2026: aggiornamento portale e registrazione</w:t>
            </w:r>
          </w:p>
        </w:tc>
        <w:tc>
          <w:tcPr>
            <w:tcW w:type="dxa" w:w="3026"/>
            <w:shd w:fill="DEEAF1" w:val="clear"/>
            <w:tcMar>
              <w:top w:type="dxa" w:w="80"/>
              <w:left w:type="dxa" w:w="120"/>
              <w:bottom w:type="dxa" w:w="80"/>
              <w:right w:type="dxa" w:w="120"/>
            </w:tcMar>
          </w:tcPr>
          <w:p>
            <w:r>
              <w:rPr>
                <w:rFonts w:ascii="Calibri" w:cs="Calibri" w:hAnsi="Calibri"/>
                <w:sz w:val="20"/>
              </w:rPr>
              <w:t>Critico · PA e operatori essenziali</w:t>
            </w:r>
          </w:p>
        </w:tc>
      </w:tr>
      <w:tr>
        <w:tc>
          <w:tcPr>
            <w:tcW w:type="dxa" w:w="6000"/>
            <w:shd w:fill="FFFFFF" w:val="clear"/>
            <w:tcMar>
              <w:top w:type="dxa" w:w="80"/>
              <w:left w:type="dxa" w:w="120"/>
              <w:bottom w:type="dxa" w:w="80"/>
              <w:right w:type="dxa" w:w="120"/>
            </w:tcMar>
          </w:tcPr>
          <w:p>
            <w:r>
              <w:rPr>
                <w:rFonts w:ascii="Calibri" w:cs="Calibri" w:hAnsi="Calibri"/>
                <w:sz w:val="20"/>
              </w:rPr>
              <w:t>Databricks Lakewatch Private Preview: SIEM agentico a -80% TCO</w:t>
            </w:r>
          </w:p>
        </w:tc>
        <w:tc>
          <w:tcPr>
            <w:tcW w:type="dxa" w:w="3026"/>
            <w:shd w:fill="FFFFFF" w:val="clear"/>
            <w:tcMar>
              <w:top w:type="dxa" w:w="80"/>
              <w:left w:type="dxa" w:w="120"/>
              <w:bottom w:type="dxa" w:w="80"/>
              <w:right w:type="dxa" w:w="120"/>
            </w:tcMar>
          </w:tcPr>
          <w:p>
            <w:r>
              <w:rPr>
                <w:rFonts w:ascii="Calibri" w:cs="Calibri" w:hAnsi="Calibri"/>
                <w:sz w:val="20"/>
              </w:rPr>
              <w:t>Alto · Disruption mercato SIEM enterprise</w:t>
            </w:r>
          </w:p>
        </w:tc>
      </w:tr>
      <w:tr>
        <w:tc>
          <w:tcPr>
            <w:tcW w:type="dxa" w:w="6000"/>
            <w:shd w:fill="DEEAF1" w:val="clear"/>
            <w:tcMar>
              <w:top w:type="dxa" w:w="80"/>
              <w:left w:type="dxa" w:w="120"/>
              <w:bottom w:type="dxa" w:w="80"/>
              <w:right w:type="dxa" w:w="120"/>
            </w:tcMar>
          </w:tcPr>
          <w:p>
            <w:r>
              <w:rPr>
                <w:rFonts w:ascii="Calibri" w:cs="Calibri" w:hAnsi="Calibri"/>
                <w:sz w:val="20"/>
              </w:rPr>
              <w:t>ManageEngine Log360 SOAR nativo: risposta incidenti senza costi aggiuntivi</w:t>
            </w:r>
          </w:p>
        </w:tc>
        <w:tc>
          <w:tcPr>
            <w:tcW w:type="dxa" w:w="3026"/>
            <w:shd w:fill="DEEAF1" w:val="clear"/>
            <w:tcMar>
              <w:top w:type="dxa" w:w="80"/>
              <w:left w:type="dxa" w:w="120"/>
              <w:bottom w:type="dxa" w:w="80"/>
              <w:right w:type="dxa" w:w="120"/>
            </w:tcMar>
          </w:tcPr>
          <w:p>
            <w:r>
              <w:rPr>
                <w:rFonts w:ascii="Calibri" w:cs="Calibri" w:hAnsi="Calibri"/>
                <w:sz w:val="20"/>
              </w:rPr>
              <w:t>Alto · Mid-market e PA budget-limited</w:t>
            </w:r>
          </w:p>
        </w:tc>
      </w:tr>
      <w:tr>
        <w:tc>
          <w:tcPr>
            <w:tcW w:type="dxa" w:w="6000"/>
            <w:shd w:fill="FFFFFF" w:val="clear"/>
            <w:tcMar>
              <w:top w:type="dxa" w:w="80"/>
              <w:left w:type="dxa" w:w="120"/>
              <w:bottom w:type="dxa" w:w="80"/>
              <w:right w:type="dxa" w:w="120"/>
            </w:tcMar>
          </w:tcPr>
          <w:p>
            <w:r>
              <w:rPr>
                <w:rFonts w:ascii="Calibri" w:cs="Calibri" w:hAnsi="Calibri"/>
                <w:sz w:val="20"/>
              </w:rPr>
              <w:t>Forescout: 11 nuovi device OT rischiosi, BACnet router in top-5</w:t>
            </w:r>
          </w:p>
        </w:tc>
        <w:tc>
          <w:tcPr>
            <w:tcW w:type="dxa" w:w="3026"/>
            <w:shd w:fill="FFFFFF" w:val="clear"/>
            <w:tcMar>
              <w:top w:type="dxa" w:w="80"/>
              <w:left w:type="dxa" w:w="120"/>
              <w:bottom w:type="dxa" w:w="80"/>
              <w:right w:type="dxa" w:w="120"/>
            </w:tcMar>
          </w:tcPr>
          <w:p>
            <w:r>
              <w:rPr>
                <w:rFonts w:ascii="Calibri" w:cs="Calibri" w:hAnsi="Calibri"/>
                <w:sz w:val="20"/>
              </w:rPr>
              <w:t>Alto · PA, energia, sanità</w:t>
            </w:r>
          </w:p>
        </w:tc>
      </w:tr>
      <w:tr>
        <w:tc>
          <w:tcPr>
            <w:tcW w:type="dxa" w:w="6000"/>
            <w:shd w:fill="DEEAF1" w:val="clear"/>
            <w:tcMar>
              <w:top w:type="dxa" w:w="80"/>
              <w:left w:type="dxa" w:w="120"/>
              <w:bottom w:type="dxa" w:w="80"/>
              <w:right w:type="dxa" w:w="120"/>
            </w:tcMar>
          </w:tcPr>
          <w:p>
            <w:r>
              <w:rPr>
                <w:rFonts w:ascii="Calibri" w:cs="Calibri" w:hAnsi="Calibri"/>
                <w:sz w:val="20"/>
              </w:rPr>
              <w:t>ZTNA: microsegmentazione fallisce senza governance continua delle policy</w:t>
            </w:r>
          </w:p>
        </w:tc>
        <w:tc>
          <w:tcPr>
            <w:tcW w:type="dxa" w:w="3026"/>
            <w:shd w:fill="DEEAF1" w:val="clear"/>
            <w:tcMar>
              <w:top w:type="dxa" w:w="80"/>
              <w:left w:type="dxa" w:w="120"/>
              <w:bottom w:type="dxa" w:w="80"/>
              <w:right w:type="dxa" w:w="120"/>
            </w:tcMar>
          </w:tcPr>
          <w:p>
            <w:r>
              <w:rPr>
                <w:rFonts w:ascii="Calibri" w:cs="Calibri" w:hAnsi="Calibri"/>
                <w:sz w:val="20"/>
              </w:rPr>
              <w:t>Medio · Implicazioni operative per ZTA</w:t>
            </w:r>
          </w:p>
        </w:tc>
      </w:tr>
    </w:tbl>
    <w:p>
      <w:pPr>
        <w:spacing w:after="120" w:before="240"/>
      </w:pPr>
      <w:r>
        <w:rPr>
          <w:rFonts w:ascii="Calibri" w:cs="Calibri" w:eastAsia="Calibri" w:hAnsi="Calibri"/>
          <w:i/>
          <w:color w:val="595959"/>
          <w:sz w:val="18"/>
        </w:rPr>
        <w:t xml:space="preserve">Prossimo briefing: 7 giugno 2026 · Generato automaticamente da Claude · Cowork</w:t>
      </w:r>
    </w:p>
    <w:p>
      <w:r>
        <w:br w:type="page"/>
      </w:r>
    </w:p>
    <w:p>
      <w:pPr>
        <w:pStyle w:val="Heading1"/>
      </w:pPr>
      <w:bookmarkStart w:name="bm_w21_24mag" w:id="50"/>
      <w:r>
        <w:rPr>
          <w:rFonts w:ascii="Calibri" w:cs="Calibri" w:eastAsia="Calibri" w:hAnsi="Calibri"/>
          <w:b/>
          <w:bCs/>
          <w:color w:val="1F4E79"/>
          <w:sz w:val="28"/>
          <w:szCs w:val="28"/>
        </w:rPr>
        <w:t xml:space="preserve">W21 · 24 maggio 2026</w:t>
      </w:r>
      <w:bookmarkEnd w:id="5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Data</w:t>
            </w:r>
          </w:p>
          <w:p>
            <w:pPr>
              <w:spacing w:after="0" w:before="0"/>
            </w:pPr>
            <w:r>
              <w:rPr>
                <w:rFonts w:ascii="Calibri" w:cs="Calibri" w:eastAsia="Calibri" w:hAnsi="Calibri"/>
                <w:sz w:val="22"/>
                <w:szCs w:val="22"/>
              </w:rPr>
              <w:t>24 maggio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Settimana ISO</w:t>
            </w:r>
          </w:p>
          <w:p>
            <w:pPr>
              <w:spacing w:after="0" w:before="0"/>
            </w:pPr>
            <w:r>
              <w:rPr>
                <w:rFonts w:ascii="Calibri" w:cs="Calibri" w:eastAsia="Calibri" w:hAnsi="Calibri"/>
                <w:sz w:val="22"/>
                <w:szCs w:val="22"/>
              </w:rPr>
              <w:t>W21 / 2026</w:t>
            </w:r>
          </w:p>
        </w:tc>
        <w:tc>
          <w:tcPr>
            <w:tcW w:type="dxa" w:w="225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Ambiti</w:t>
            </w:r>
          </w:p>
          <w:p>
            <w:pPr>
              <w:spacing w:after="0" w:before="0"/>
            </w:pPr>
            <w:r>
              <w:rPr>
                <w:rFonts w:ascii="Calibri" w:cs="Calibri" w:eastAsia="Calibri" w:hAnsi="Calibri"/>
                <w:sz w:val="22"/>
                <w:szCs w:val="22"/>
              </w:rPr>
              <w:t>5 su 5</w:t>
            </w:r>
          </w:p>
        </w:tc>
        <w:tc>
          <w:tcPr>
            <w:tcW w:type="dxa" w:w="227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Target</w:t>
            </w:r>
          </w:p>
          <w:p>
            <w:pPr>
              <w:spacing w:after="0" w:before="0"/>
            </w:pPr>
            <w:r>
              <w:rPr>
                <w:rFonts w:ascii="Calibri" w:cs="Calibri" w:eastAsia="Calibri" w:hAnsi="Calibri"/>
                <w:sz w:val="22"/>
                <w:szCs w:val="22"/>
              </w:rPr>
              <w:t xml:space="preserve">Enterprise, Mid-market &amp; PA Centrale</w:t>
            </w:r>
          </w:p>
        </w:tc>
      </w:tr>
    </w:tbl>
    <w:p>
      <w:pPr>
        <w:spacing w:after="60" w:before="240"/>
      </w:pPr>
    </w:p>
    <w:p>
      <w:pPr>
        <w:pStyle w:val="Heading2"/>
      </w:pPr>
      <w:r>
        <w:rPr>
          <w:rFonts w:ascii="Calibri" w:cs="Calibri" w:eastAsia="Calibri" w:hAnsi="Calibri"/>
          <w:b/>
          <w:bCs/>
          <w:color w:val="4472C4"/>
          <w:sz w:val="24"/>
          <w:szCs w:val="24"/>
        </w:rPr>
        <w:t>Le 3 soluzioni della settimana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gridSpan w:val="2"/>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 xml:space="preserve">1. Palo Alto Networks — Idira</w:t>
            </w:r>
            <w:r>
              <w:rPr>
                <w:rFonts w:ascii="Calibri" w:cs="Calibri" w:eastAsia="Calibri" w:hAnsi="Calibri"/>
                <w:color w:val="BDD7EE"/>
                <w:sz w:val="20"/>
                <w:szCs w:val="20"/>
              </w:rPr>
              <w:t xml:space="preserve">  ·  Internazionale (USA)</w:t>
            </w:r>
          </w:p>
        </w:tc>
      </w:tr>
      <w:tr>
        <w:tc>
          <w:tcPr>
            <w:gridSpan w:val="2"/>
            <w:tcBorders>
              <w:top w:val="single" w:color="C9C9C9" w:sz="1"/>
              <w:left w:val="single" w:color="C9C9C9" w:sz="1"/>
              <w:bottom w:val="single" w:color="C9C9C9" w:sz="1"/>
              <w:right w:val="single" w:color="C9C9C9" w:sz="1"/>
            </w:tcBorders>
            <w:shd w:fill="DEEAF1" w:val="clear"/>
            <w:tcMar>
              <w:top w:type="dxa" w:w="60"/>
              <w:left w:type="dxa" w:w="160"/>
              <w:bottom w:type="dxa" w:w="60"/>
              <w:right w:type="dxa" w:w="160"/>
            </w:tcMar>
          </w:tcPr>
          <w:p>
            <w:r>
              <w:rPr>
                <w:rFonts w:ascii="Calibri" w:cs="Calibri" w:eastAsia="Calibri" w:hAnsi="Calibri"/>
                <w:b/>
                <w:bCs/>
                <w:color w:val="1F4E79"/>
                <w:sz w:val="22"/>
                <w:szCs w:val="22"/>
              </w:rPr>
              <w:t xml:space="preserve">Ambito: </w:t>
            </w:r>
            <w:r>
              <w:rPr>
                <w:rFonts w:ascii="Calibri" w:cs="Calibri" w:eastAsia="Calibri" w:hAnsi="Calibri"/>
                <w:i/>
                <w:iCs/>
                <w:sz w:val="22"/>
                <w:szCs w:val="22"/>
              </w:rPr>
              <w:t>Endpoint &amp; Identity (PAM, ITDR, Zero Trust)</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Cosa fa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Piattaforma PAM di nuova generazione lanciata il 12 maggio 2026. Unifica gestione degli accessi privilegiati (PAM) con ITDR per ogni tipo di identità: umana, macchina e agente AI. Basata sulla tecnologia CyberArk (acquisita per $25 miliardi), la estende all’ecosistema AI agente.</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Perché ora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NIS2 e PSNC richiedono controlli PAM rigorosi per infrastrutture critiche. Idira colma il gap sulle identità agentiche, nuovo vettore di attacco nell’era AI. Rilevante per PA Centrale con qualificazione ACN Cloud.</w:t>
            </w:r>
          </w:p>
        </w:tc>
      </w:tr>
      <w:tr>
        <w:tc>
          <w:tcPr>
            <w:gridSpan w:val="2"/>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 xml:space="preserve">2. Sysdig — CNAPP con Sysdig Sage</w:t>
            </w:r>
            <w:r>
              <w:rPr>
                <w:rFonts w:ascii="Calibri" w:cs="Calibri" w:eastAsia="Calibri" w:hAnsi="Calibri"/>
                <w:color w:val="BDD7EE"/>
                <w:sz w:val="20"/>
                <w:szCs w:val="20"/>
              </w:rPr>
              <w:t xml:space="preserve">  ·  Internazionale (USA)</w:t>
            </w:r>
          </w:p>
        </w:tc>
      </w:tr>
      <w:tr>
        <w:tc>
          <w:tcPr>
            <w:gridSpan w:val="2"/>
            <w:tcBorders>
              <w:top w:val="single" w:color="C9C9C9" w:sz="1"/>
              <w:left w:val="single" w:color="C9C9C9" w:sz="1"/>
              <w:bottom w:val="single" w:color="C9C9C9" w:sz="1"/>
              <w:right w:val="single" w:color="C9C9C9" w:sz="1"/>
            </w:tcBorders>
            <w:shd w:fill="DEEAF1" w:val="clear"/>
            <w:tcMar>
              <w:top w:type="dxa" w:w="60"/>
              <w:left w:type="dxa" w:w="160"/>
              <w:bottom w:type="dxa" w:w="60"/>
              <w:right w:type="dxa" w:w="160"/>
            </w:tcMar>
          </w:tcPr>
          <w:p>
            <w:r>
              <w:rPr>
                <w:rFonts w:ascii="Calibri" w:cs="Calibri" w:eastAsia="Calibri" w:hAnsi="Calibri"/>
                <w:b/>
                <w:bCs/>
                <w:color w:val="1F4E79"/>
                <w:sz w:val="22"/>
                <w:szCs w:val="22"/>
              </w:rPr>
              <w:t xml:space="preserve">Ambito: </w:t>
            </w:r>
            <w:r>
              <w:rPr>
                <w:rFonts w:ascii="Calibri" w:cs="Calibri" w:eastAsia="Calibri" w:hAnsi="Calibri"/>
                <w:i/>
                <w:iCs/>
                <w:sz w:val="22"/>
                <w:szCs w:val="22"/>
              </w:rPr>
              <w:t>Cloud &amp; Infrastructure Security (CNAPP, CSPM, CWPP)</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Cosa fa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Leader Forrester Wave CNAPP Q1 2026. Piattaforma cloud-native unificata (CSPM, CWPP, CIEM, runtime) con Sysdig Sage: primo analista AI agente integrato che indaga alert autonomamente, riduce MTTR del 76% e risparmia 80h/settimana di triage manuale.</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Perché ora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Headless Cloud Security: la security diventa nativa nel ciclo AI. Per PA Centrale con PSN e cloud ACN, soddisfa requisiti NIS2 (43 misure soggetti essenziali, scadenza ottobre 2026) con visibility continua e audit trail automatizzati.</w:t>
            </w:r>
          </w:p>
        </w:tc>
      </w:tr>
      <w:tr>
        <w:tc>
          <w:tcPr>
            <w:gridSpan w:val="2"/>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 xml:space="preserve">3. Akamai — Guardicore Platform</w:t>
            </w:r>
            <w:r>
              <w:rPr>
                <w:rFonts w:ascii="Calibri" w:cs="Calibri" w:eastAsia="Calibri" w:hAnsi="Calibri"/>
                <w:color w:val="BDD7EE"/>
                <w:sz w:val="20"/>
                <w:szCs w:val="20"/>
              </w:rPr>
              <w:t xml:space="preserve">  ·  Internazionale (USA)</w:t>
            </w:r>
          </w:p>
        </w:tc>
      </w:tr>
      <w:tr>
        <w:tc>
          <w:tcPr>
            <w:gridSpan w:val="2"/>
            <w:tcBorders>
              <w:top w:val="single" w:color="C9C9C9" w:sz="1"/>
              <w:left w:val="single" w:color="C9C9C9" w:sz="1"/>
              <w:bottom w:val="single" w:color="C9C9C9" w:sz="1"/>
              <w:right w:val="single" w:color="C9C9C9" w:sz="1"/>
            </w:tcBorders>
            <w:shd w:fill="DEEAF1" w:val="clear"/>
            <w:tcMar>
              <w:top w:type="dxa" w:w="60"/>
              <w:left w:type="dxa" w:w="160"/>
              <w:bottom w:type="dxa" w:w="60"/>
              <w:right w:type="dxa" w:w="160"/>
            </w:tcMar>
          </w:tcPr>
          <w:p>
            <w:r>
              <w:rPr>
                <w:rFonts w:ascii="Calibri" w:cs="Calibri" w:eastAsia="Calibri" w:hAnsi="Calibri"/>
                <w:b/>
                <w:bCs/>
                <w:color w:val="1F4E79"/>
                <w:sz w:val="22"/>
                <w:szCs w:val="22"/>
              </w:rPr>
              <w:t xml:space="preserve">Ambito: </w:t>
            </w:r>
            <w:r>
              <w:rPr>
                <w:rFonts w:ascii="Calibri" w:cs="Calibri" w:eastAsia="Calibri" w:hAnsi="Calibri"/>
                <w:i/>
                <w:iCs/>
                <w:sz w:val="22"/>
                <w:szCs w:val="22"/>
              </w:rPr>
              <w:t>Network Security &amp; Microsegmentazione (ZTNA, Zero Trust)</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Cosa fa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Unica piattaforma che unifica ZTNA + microsegmentazione + MFA adattiva + DNS firewall. Da marzo 2026 con AI policy enforcement: l’AI analizza il comportamento applicativo e genera policy di segmentazione pronte all’enforcement in linguaggio naturale.</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Perché ora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Le reti PA italiane sono storicamente piatte. NIS2 (ottobre 2026) impone segmentazione. Guardicore riduce l’implementazione da mesi a giorni tramite AI. Rilevante per enti che migrano al PSN e per compliance ACN su infrastrutture critiche.</w:t>
            </w:r>
          </w:p>
        </w:tc>
      </w:tr>
    </w:tbl>
    <w:p>
      <w:pPr>
        <w:spacing w:after="120" w:before="240"/>
      </w:pPr>
      <w:r>
        <w:rPr>
          <w:rFonts w:ascii="Calibri" w:cs="Calibri" w:eastAsia="Calibri" w:hAnsi="Calibri"/>
          <w:i/>
          <w:iCs/>
          <w:color w:val="595959"/>
          <w:sz w:val="18"/>
          <w:szCs w:val="18"/>
        </w:rPr>
        <w:t xml:space="preserve">Prossimo briefing: 31 maggio 2026 · Generato automaticamente da Claude · Cowork</w:t>
      </w:r>
    </w:p>
    <w:p>
      <w:r>
        <w:br w:type="page"/>
      </w:r>
    </w:p>
    <w:p>
      <w:pPr>
        <w:pStyle w:val="Heading1"/>
      </w:pPr>
      <w:bookmarkStart w:name="bm_w21" w:id="2"/>
      <w:r>
        <w:rPr>
          <w:rFonts w:ascii="Calibri" w:cs="Calibri" w:eastAsia="Calibri" w:hAnsi="Calibri"/>
          <w:b/>
          <w:bCs/>
          <w:color w:val="1F4E79"/>
          <w:sz w:val="28"/>
          <w:szCs w:val="28"/>
        </w:rPr>
        <w:t xml:space="preserve">W21 · 21 maggio 2026</w:t>
      </w:r>
      <w:bookmarkEnd w:id="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Data</w:t>
            </w:r>
          </w:p>
          <w:p>
            <w:pPr>
              <w:spacing w:after="0" w:before="0"/>
            </w:pPr>
            <w:r>
              <w:rPr>
                <w:rFonts w:ascii="Calibri" w:cs="Calibri" w:eastAsia="Calibri" w:hAnsi="Calibri"/>
                <w:sz w:val="22"/>
                <w:szCs w:val="22"/>
              </w:rPr>
              <w:t xml:space="preserve">21 maggio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Settimana ISO</w:t>
            </w:r>
          </w:p>
          <w:p>
            <w:pPr>
              <w:spacing w:after="0" w:before="0"/>
            </w:pPr>
            <w:r>
              <w:rPr>
                <w:rFonts w:ascii="Calibri" w:cs="Calibri" w:eastAsia="Calibri" w:hAnsi="Calibri"/>
                <w:sz w:val="22"/>
                <w:szCs w:val="22"/>
              </w:rPr>
              <w:t xml:space="preserve">W21 /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Ambiti</w:t>
            </w:r>
          </w:p>
          <w:p>
            <w:pPr>
              <w:spacing w:after="0" w:before="0"/>
            </w:pPr>
            <w:r>
              <w:rPr>
                <w:rFonts w:ascii="Calibri" w:cs="Calibri" w:eastAsia="Calibri" w:hAnsi="Calibri"/>
                <w:sz w:val="22"/>
                <w:szCs w:val="22"/>
              </w:rPr>
              <w:t xml:space="preserve">5 su 5</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Target</w:t>
            </w:r>
          </w:p>
          <w:p>
            <w:pPr>
              <w:spacing w:after="0" w:before="0"/>
            </w:pPr>
            <w:r>
              <w:rPr>
                <w:rFonts w:ascii="Calibri" w:cs="Calibri" w:eastAsia="Calibri" w:hAnsi="Calibri"/>
                <w:sz w:val="22"/>
                <w:szCs w:val="22"/>
              </w:rPr>
              <w:t xml:space="preserve">Enterprise &amp; Mid-market</w:t>
            </w:r>
          </w:p>
        </w:tc>
      </w:tr>
    </w:tbl>
    <w:p>
      <w:pPr>
        <w:spacing w:after="60" w:before="240"/>
      </w:pPr>
    </w:p>
    <w:p>
      <w:pPr>
        <w:pStyle w:val="Heading2"/>
      </w:pPr>
      <w:r>
        <w:rPr>
          <w:rFonts w:ascii="Calibri" w:cs="Calibri" w:eastAsia="Calibri" w:hAnsi="Calibri"/>
          <w:b/>
          <w:bCs/>
          <w:color w:val="4472C4"/>
          <w:sz w:val="24"/>
          <w:szCs w:val="24"/>
        </w:rPr>
        <w:t xml:space="preserve">Le 3 soluzioni della settimana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gridSpan w:val="2"/>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1. Palo Alto Networks — Idira</w:t>
            </w:r>
            <w:r>
              <w:rPr>
                <w:rFonts w:ascii="Calibri" w:cs="Calibri" w:eastAsia="Calibri" w:hAnsi="Calibri"/>
                <w:color w:val="BDD7EE"/>
                <w:sz w:val="20"/>
                <w:szCs w:val="20"/>
              </w:rPr>
              <w:t xml:space="preserve">  ·  Internazionale (USA)</w:t>
            </w:r>
          </w:p>
        </w:tc>
      </w:tr>
      <w:tr>
        <w:tc>
          <w:tcPr>
            <w:gridSpan w:val="2"/>
            <w:tcBorders>
              <w:top w:val="single" w:color="C9C9C9" w:sz="1"/>
              <w:left w:val="single" w:color="C9C9C9" w:sz="1"/>
              <w:bottom w:val="single" w:color="C9C9C9" w:sz="1"/>
              <w:right w:val="single" w:color="C9C9C9" w:sz="1"/>
            </w:tcBorders>
            <w:shd w:fill="DEEAF1" w:val="clear"/>
            <w:tcMar>
              <w:top w:type="dxa" w:w="60"/>
              <w:left w:type="dxa" w:w="160"/>
              <w:bottom w:type="dxa" w:w="60"/>
              <w:right w:type="dxa" w:w="160"/>
            </w:tcMar>
          </w:tcPr>
          <w:p>
            <w:r>
              <w:rPr>
                <w:rFonts w:ascii="Calibri" w:cs="Calibri" w:eastAsia="Calibri" w:hAnsi="Calibri"/>
                <w:b/>
                <w:bCs/>
                <w:color w:val="1F4E79"/>
                <w:sz w:val="22"/>
                <w:szCs w:val="22"/>
              </w:rPr>
              <w:t xml:space="preserve">Ambito: </w:t>
            </w:r>
            <w:r>
              <w:rPr>
                <w:rFonts w:ascii="Calibri" w:cs="Calibri" w:eastAsia="Calibri" w:hAnsi="Calibri"/>
                <w:i/>
                <w:iCs/>
                <w:sz w:val="22"/>
                <w:szCs w:val="22"/>
              </w:rPr>
              <w:t xml:space="preserve">Endpoint &amp; Identity · PAM · ITDR · Agentic Identity Security</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Cosa fa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spacing w:after="0" w:before="0"/>
            </w:pPr>
            <w:r>
              <w:rPr>
                <w:rFonts w:ascii="Calibri" w:cs="Calibri" w:eastAsia="Calibri" w:hAnsi="Calibri"/>
                <w:sz w:val="22"/>
                <w:szCs w:val="22"/>
              </w:rPr>
              <w:t xml:space="preserve">Piattaforma di identity security lanciata il 12 maggio 2026, nata dall'integrazione della tecnologia CyberArk (acquisita per 25 miliardi di dollari). Unifica PAM, protezione identità macchina e controllo delle identità agentiche (AI agent) in un'unica piattaforma cloud-native, con enforcement dei privilegi just-in-time.</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Funzionali</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sz w:val="22"/>
                <w:szCs w:val="22"/>
              </w:rPr>
              <w:t xml:space="preserve">Discover Identity Risk: discovery continua di identità, entitlement e percorsi di accesso con remediation AI-guidata</w:t>
            </w:r>
          </w:p>
          <w:p>
            <w:pPr>
              <w:pStyle w:val="ListParagraph"/>
              <w:numPr>
                <w:ilvl w:val="0"/>
                <w:numId w:val="2"/>
              </w:numPr>
              <w:spacing w:after="30" w:before="30"/>
            </w:pPr>
            <w:r>
              <w:rPr>
                <w:rFonts w:ascii="Calibri" w:cs="Calibri" w:eastAsia="Calibri" w:hAnsi="Calibri"/>
                <w:sz w:val="22"/>
                <w:szCs w:val="22"/>
              </w:rPr>
              <w:t xml:space="preserve">Control Every Privilege: Zero Standing Privilege (ZSP) con accesso just-in-time per identità umane, macchine e AI agent</w:t>
            </w:r>
          </w:p>
          <w:p>
            <w:pPr>
              <w:pStyle w:val="ListParagraph"/>
              <w:numPr>
                <w:ilvl w:val="0"/>
                <w:numId w:val="2"/>
              </w:numPr>
              <w:spacing w:after="30" w:before="30"/>
            </w:pPr>
            <w:r>
              <w:rPr>
                <w:rFonts w:ascii="Calibri" w:cs="Calibri" w:eastAsia="Calibri" w:hAnsi="Calibri"/>
                <w:sz w:val="22"/>
                <w:szCs w:val="22"/>
              </w:rPr>
              <w:t xml:space="preserve">Automate Governance: automatizzazione dell'intero ciclo di vita delle identità con policy AI-driven</w:t>
            </w:r>
          </w:p>
          <w:p>
            <w:pPr>
              <w:pStyle w:val="ListParagraph"/>
              <w:numPr>
                <w:ilvl w:val="0"/>
                <w:numId w:val="2"/>
              </w:numPr>
              <w:spacing w:after="30" w:before="30"/>
            </w:pPr>
            <w:r>
              <w:rPr>
                <w:rFonts w:ascii="Calibri" w:cs="Calibri" w:eastAsia="Calibri" w:hAnsi="Calibri"/>
                <w:sz w:val="22"/>
                <w:szCs w:val="22"/>
              </w:rPr>
              <w:t xml:space="preserve">ITDR integrato con Cortex XDR per rilevamento e risposta alle minacce identitarie</w:t>
            </w:r>
          </w:p>
          <w:p>
            <w:pPr>
              <w:pStyle w:val="ListParagraph"/>
              <w:numPr>
                <w:ilvl w:val="0"/>
                <w:numId w:val="2"/>
              </w:numPr>
              <w:spacing w:after="30" w:before="30"/>
            </w:pPr>
            <w:r>
              <w:rPr>
                <w:rFonts w:ascii="Calibri" w:cs="Calibri" w:eastAsia="Calibri" w:hAnsi="Calibri"/>
                <w:sz w:val="22"/>
                <w:szCs w:val="22"/>
              </w:rPr>
              <w:t xml:space="preserve">Supporto nativo per identità agentiche (AI agent, service account, workload identity)</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Infrastruttura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sz w:val="22"/>
                <w:szCs w:val="22"/>
              </w:rPr>
              <w:t xml:space="preserve">Deployment: SaaS cloud-native con opzione hybrid per ambienti on-prem critici</w:t>
            </w:r>
          </w:p>
          <w:p>
            <w:pPr>
              <w:pStyle w:val="ListParagraph"/>
              <w:numPr>
                <w:ilvl w:val="0"/>
                <w:numId w:val="2"/>
              </w:numPr>
              <w:spacing w:after="30" w:before="30"/>
            </w:pPr>
            <w:r>
              <w:rPr>
                <w:rFonts w:ascii="Calibri" w:cs="Calibri" w:eastAsia="Calibri" w:hAnsi="Calibri"/>
                <w:sz w:val="22"/>
                <w:szCs w:val="22"/>
              </w:rPr>
              <w:t xml:space="preserve">Architettura API-first, eredita l'infrastruttura vault di CyberArk con layer AI proprietario</w:t>
            </w:r>
          </w:p>
          <w:p>
            <w:pPr>
              <w:pStyle w:val="ListParagraph"/>
              <w:numPr>
                <w:ilvl w:val="0"/>
                <w:numId w:val="2"/>
              </w:numPr>
              <w:spacing w:after="30" w:before="30"/>
            </w:pPr>
            <w:r>
              <w:rPr>
                <w:rFonts w:ascii="Calibri" w:cs="Calibri" w:eastAsia="Calibri" w:hAnsi="Calibri"/>
                <w:sz w:val="22"/>
                <w:szCs w:val="22"/>
              </w:rPr>
              <w:t xml:space="preserve">Agent leggero per endpoint; agentless per discovery cloud e SaaS</w:t>
            </w:r>
          </w:p>
          <w:p>
            <w:pPr>
              <w:pStyle w:val="ListParagraph"/>
              <w:numPr>
                <w:ilvl w:val="0"/>
                <w:numId w:val="2"/>
              </w:numPr>
              <w:spacing w:after="30" w:before="30"/>
            </w:pPr>
            <w:r>
              <w:rPr>
                <w:rFonts w:ascii="Calibri" w:cs="Calibri" w:eastAsia="Calibri" w:hAnsi="Calibri"/>
                <w:sz w:val="22"/>
                <w:szCs w:val="22"/>
              </w:rPr>
              <w:t xml:space="preserve">Integrazioni native: Cortex XDR, XSIAM, Palo Alto NGFW, Prisma SASE; connettori per AWS, Azure, GCP, Okta, Entra ID, SAP</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Target</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sz w:val="22"/>
                <w:szCs w:val="22"/>
              </w:rPr>
              <w:t xml:space="preserve">Dimensione: Enterprise (500+ dipendenti), ideale con infrastruttura ibrida e ambienti AI/agentic</w:t>
            </w:r>
          </w:p>
          <w:p>
            <w:pPr>
              <w:pStyle w:val="ListParagraph"/>
              <w:numPr>
                <w:ilvl w:val="0"/>
                <w:numId w:val="2"/>
              </w:numPr>
              <w:spacing w:after="30" w:before="30"/>
            </w:pPr>
            <w:r>
              <w:rPr>
                <w:rFonts w:ascii="Calibri" w:cs="Calibri" w:eastAsia="Calibri" w:hAnsi="Calibri"/>
                <w:sz w:val="22"/>
                <w:szCs w:val="22"/>
              </w:rPr>
              <w:t xml:space="preserve">Settori consigliati: Finanza, PA, Manifatturiero avanzato, Healthcare</w:t>
            </w:r>
          </w:p>
          <w:p>
            <w:pPr>
              <w:pStyle w:val="ListParagraph"/>
              <w:numPr>
                <w:ilvl w:val="0"/>
                <w:numId w:val="2"/>
              </w:numPr>
              <w:spacing w:after="30" w:before="30"/>
            </w:pPr>
            <w:r>
              <w:rPr>
                <w:rFonts w:ascii="Calibri" w:cs="Calibri" w:eastAsia="Calibri" w:hAnsi="Calibri"/>
                <w:sz w:val="22"/>
                <w:szCs w:val="22"/>
              </w:rPr>
              <w:t xml:space="preserve">ROI massimo per chi è già cliente Cortex o CyberArk</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Perché ora</w:t>
            </w:r>
          </w:p>
        </w:tc>
        <w:tc>
          <w:tcPr>
            <w:tcW w:type="dxa" w:w="7026"/>
            <w:tcBorders>
              <w:top w:val="single" w:color="C9C9C9" w:sz="1"/>
              <w:left w:val="single" w:color="C9C9C9" w:sz="1"/>
              <w:bottom w:val="single" w:color="C9C9C9" w:sz="1"/>
              <w:right w:val="single" w:color="C9C9C9" w:sz="1"/>
            </w:tcBorders>
            <w:shd w:fill="DEEAF1" w:val="clear"/>
            <w:tcMar>
              <w:top w:type="dxa" w:w="80"/>
              <w:left w:type="dxa" w:w="160"/>
              <w:bottom w:type="dxa" w:w="80"/>
              <w:right w:type="dxa" w:w="160"/>
            </w:tcMar>
          </w:tcPr>
          <w:p>
            <w:pPr>
              <w:spacing w:after="0" w:before="0"/>
            </w:pPr>
            <w:r>
              <w:rPr>
                <w:rFonts w:ascii="Calibri" w:cs="Calibri" w:eastAsia="Calibri" w:hAnsi="Calibri"/>
                <w:sz w:val="22"/>
                <w:szCs w:val="22"/>
              </w:rPr>
              <w:t xml:space="preserve">Il perimetro dell'identità si è esteso ben oltre gli utenti umani: AI agent e workload identity rappresentano oggi la superficie d'attacco più sottovalutata. Idira è la prima piattaforma commerciale a trattarle con lo stesso rigore del PAM tradizionale, anticipando i requisiti NIS2 e DORA. La convergenza PAM+ITDR in un'unica console riduce drasticamente il tempo di risposta agli attacchi identity-based, che rappresentano oltre il 70% degli initial access nei breach enterprise.</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Approfondimenti</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pStyle w:val="ListParagraph"/>
              <w:numPr>
                <w:ilvl w:val="0"/>
                <w:numId w:val="2"/>
              </w:numPr>
              <w:spacing w:after="30" w:before="30"/>
            </w:pPr>
            <w:hyperlink w:history="1" r:id="rId4oclznvsw_hniursvxaxf">
              <w:r>
                <w:rPr>
                  <w:rStyle w:val="Hyperlink"/>
                  <w:rFonts w:ascii="Calibri" w:cs="Calibri" w:eastAsia="Calibri" w:hAnsi="Calibri"/>
                  <w:sz w:val="22"/>
                  <w:szCs w:val="22"/>
                </w:rPr>
                <w:t xml:space="preserve">Pagina ufficiale Idira — Palo Alto Networks</w:t>
              </w:r>
            </w:hyperlink>
          </w:p>
          <w:p>
            <w:pPr>
              <w:pStyle w:val="ListParagraph"/>
              <w:numPr>
                <w:ilvl w:val="0"/>
                <w:numId w:val="2"/>
              </w:numPr>
              <w:spacing w:after="30" w:before="30"/>
            </w:pPr>
            <w:hyperlink w:history="1" r:id="rIdhfxcdrg1jx_8syo8xcsa2">
              <w:r>
                <w:rPr>
                  <w:rStyle w:val="Hyperlink"/>
                  <w:rFonts w:ascii="Calibri" w:cs="Calibri" w:eastAsia="Calibri" w:hAnsi="Calibri"/>
                  <w:sz w:val="22"/>
                  <w:szCs w:val="22"/>
                </w:rPr>
                <w:t xml:space="preserve">Press release lancio Idira (12 maggio 2026)</w:t>
              </w:r>
            </w:hyperlink>
          </w:p>
          <w:p>
            <w:pPr>
              <w:pStyle w:val="ListParagraph"/>
              <w:numPr>
                <w:ilvl w:val="0"/>
                <w:numId w:val="2"/>
              </w:numPr>
              <w:spacing w:after="30" w:before="30"/>
            </w:pPr>
            <w:hyperlink w:history="1" r:id="rIdjkxhlfgv1d2evnn9rnthc">
              <w:r>
                <w:rPr>
                  <w:rStyle w:val="Hyperlink"/>
                  <w:rFonts w:ascii="Calibri" w:cs="Calibri" w:eastAsia="Calibri" w:hAnsi="Calibri"/>
                  <w:sz w:val="22"/>
                  <w:szCs w:val="22"/>
                </w:rPr>
                <w:t xml:space="preserve">Analisi SiliconANGLE: Idira e le identità agentiche</w:t>
              </w:r>
            </w:hyperlink>
          </w:p>
        </w:tc>
      </w:tr>
    </w:tbl>
    <w:p>
      <w:pPr>
        <w:spacing w:after="0" w:before="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9026"/>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 xml:space="preserve">2. Sysdig — Headless Cloud Security</w:t>
            </w:r>
            <w:r>
              <w:rPr>
                <w:rFonts w:ascii="Calibri" w:cs="Calibri" w:eastAsia="Calibri" w:hAnsi="Calibri"/>
                <w:color w:val="BDD7EE"/>
                <w:sz w:val="20"/>
                <w:szCs w:val="20"/>
              </w:rPr>
              <w:t xml:space="preserve">  ·  Internazionale (USA)</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Ambito</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Cloud &amp; Infrastructure Security · CNAPP · CWPP · AI-Native Security</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Cosa fa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Sysdig annuncia in maggio 2026 la prima piattaforma cloud security headless, progettata per l’era degli agenti AI. Consente di usare agenti AI come operatori primari della difesa con Sysdig Sage come motore centrale. La security diventa machine-speed e data-driven, non piu’ human-driven.</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Funzionali</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Sysdig Sage AI Analyst: agente AI agentico con multi-step reasoning su minacce cloud in tempo reale. Runtime-first prioritization tramite eBPF: riduzione del 95% del noise sulle vulnerabilita’. Verified Exploit Paths: connette misconfigurazioni, identita’ cloud, vulnerabilita’ e comportamenti runtime. AI Pipeline Security: protegge modelli LLM e pipeline AI da injection e data exfiltration. Headless API per integrazione con agenti AI custom.</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Infrastruttura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Deployment: SaaS multi-tenant con eBPF agent per runtime on-premise. Architettura: sensor eBPF per runtime, motore agentless per posture via cloud API. Integrazioni: Kubernetes, EKS, AKS, GKE, AWS, Azure, GCP, GitHub Actions, ServiceNow, Slack, PagerDuty. Forrester Wave Leader Q1 2026 per CNAPP.</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Target</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Dimensione: Mid-market e Enterprise cloud-native (da 200 dipendenti con Kubernetes o multi-cloud). Settori: Fintech, SaaS, e-commerce, healthcare digitale, media. Prerequisiti: ambienti containerizzati; maturita’ DevSecOps per le funzionalita’ headless.</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Perche’ ora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Il report Sysdig 2026 dichiara che la security guidata dagli umani sta finendo: velocita’ di attacco cloud di 5-10 minuti dall’accesso iniziale all’exfiltration rendono la risposta manuale impossibile. Il paradigma headless — security governata da agenti AI — e’ la risposta a questa realta’. Risultati gia’ documentati: riduzione MTTR del 76%, risparmio di 80+ ore/settimana di triage manuale.</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Approfondimenti</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https://www.sysdig.com/press-releases/sysdig-headless-cloud-security · https://www.sysdig.com/press-releases/2026-usage-report</w:t>
            </w:r>
          </w:p>
        </w:tc>
      </w:tr>
    </w:tbl>
    <w:p>
      <w:pPr>
        <w:spacing w:after="0" w:before="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9026"/>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 xml:space="preserve">3. Dragos — Platform 3.1 AI per OT</w:t>
            </w:r>
            <w:r>
              <w:rPr>
                <w:rFonts w:ascii="Calibri" w:cs="Calibri" w:eastAsia="Calibri" w:hAnsi="Calibri"/>
                <w:color w:val="BDD7EE"/>
                <w:sz w:val="20"/>
                <w:szCs w:val="20"/>
              </w:rPr>
              <w:t xml:space="preserve">  ·  Internazionale (USA)</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Ambito</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OT/IoT &amp; Infrastrutture Critiche · ICS Security · Critical Infrastructure Protection</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Cosa fa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Dragos ha rilasciato Platform 3.1 (LTS) che introduce AI nel cuore della piattaforma OT/ICS. Il rilascio arriva con il report 2026 che registra 119 gruppi ransomware attivi contro infrastrutture industriali (+49% rispetto al 2024) e con CIRCIA a pieno regime da maggio 2026.</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Funzionali</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AI-Powered Analyst Workflows: triage automatizzato degli alert OT che distingue anomalie operative da minacce reali. Asset Lifecycle Management: traccia ogni dispositivo industriale inclusi quelli end-of-support (CISA BOD 26-02). Control Loop Mapping: rileva avversari che mappano loop di controllo fisici. Threat Intelligence OT-specifica per Purdue levels e protocolli Modbus, DNP3, EtherNet/IP. Compliance CIRCIA 72h reporting e IEC 62443.</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Infrastruttura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Deployment: on-premise (air-gapped) o ibrido con cloud management plane opzionale. Architettura: passive network monitoring senza agent su PLC/RTU, sensori per reti IT/OT convergenti. Integrazioni: Splunk, Microsoft Sentinel, IBM QRadar, ServiceNow, firewall Fortinet e Cisco. Supporta ambienti completamente isolati da Internet.</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Target</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Dimensione: Enterprise con infrastrutture OT/ICS (da 500 dipendenti con reti industriali). Settori: Energia (oil &amp; gas, utilities), manifatturiero, trasporti, sanita’ con dispositivi medici connessi. Rilevante per il mercato italiano: ENI, Enel, Snam, Leonardo, grandi ospedali con SCADA. Leader nel Gartner MQ per CPS Protection Platforms 2026.</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Perche’ ora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Maggio 2026: CIRCIA entra a pieno regime con finestra 72h per reporting (benchmark per NIS2 europea e ACN italiana). Il report Dragos 2026 e’ allarmante: gli avversari non si limitano piu’ a pre-posizionarsi nelle reti OT ma mappano attivamente i control loop fisici — salto qualitativo che prelude ad attacchi con danni fisici reali. Manufacturing: 28% di tutti gli attacchi cyber nel 2025.</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Approfondimenti</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https://www.dragos.com/blog/dragos-platform-ai-ot-security-visibility · https://www.dragos.com/ot-cybersecurity-year-in-review</w:t>
            </w:r>
          </w:p>
        </w:tc>
      </w:tr>
    </w:tbl>
    <w:p>
      <w:pPr>
        <w:spacing w:after="60" w:before="360"/>
      </w:pPr>
    </w:p>
    <w:p>
      <w:pPr>
        <w:pStyle w:val="Heading2"/>
      </w:pPr>
      <w:r>
        <w:rPr>
          <w:rFonts w:ascii="Calibri" w:cs="Calibri" w:eastAsia="Calibri" w:hAnsi="Calibri"/>
          <w:b/>
          <w:bCs/>
          <w:color w:val="4472C4"/>
          <w:sz w:val="24"/>
          <w:szCs w:val="24"/>
        </w:rPr>
        <w:t xml:space="preserve">Segnali dal mercato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9C9C9" w:sz="1"/>
              <w:left w:val="single" w:color="C9C9C9" w:sz="1"/>
              <w:bottom w:val="single" w:color="C9C9C9" w:sz="1"/>
              <w:right w:val="single" w:color="C9C9C9" w:sz="1"/>
            </w:tcBorders>
            <w:shd w:fill="1F4E79" w:val="clear"/>
            <w:tcMar>
              <w:top w:type="dxa" w:w="80"/>
              <w:left w:type="dxa" w:w="160"/>
              <w:bottom w:type="dxa" w:w="80"/>
              <w:right w:type="dxa" w:w="160"/>
            </w:tcMar>
          </w:tcPr>
          <w:p>
            <w:r>
              <w:rPr>
                <w:rFonts w:ascii="Calibri" w:cs="Calibri" w:eastAsia="Calibri" w:hAnsi="Calibri"/>
                <w:b/>
                <w:bCs/>
                <w:color w:val="FFFFFF"/>
                <w:sz w:val="22"/>
                <w:szCs w:val="22"/>
              </w:rPr>
              <w:t xml:space="preserve">Ambito</w:t>
            </w:r>
          </w:p>
        </w:tc>
        <w:tc>
          <w:tcPr>
            <w:tcW w:type="dxa" w:w="6226"/>
            <w:tcBorders>
              <w:top w:val="single" w:color="C9C9C9" w:sz="1"/>
              <w:left w:val="single" w:color="C9C9C9" w:sz="1"/>
              <w:bottom w:val="single" w:color="C9C9C9" w:sz="1"/>
              <w:right w:val="single" w:color="C9C9C9" w:sz="1"/>
            </w:tcBorders>
            <w:shd w:fill="1F4E79" w:val="clear"/>
            <w:tcMar>
              <w:top w:type="dxa" w:w="80"/>
              <w:left w:type="dxa" w:w="160"/>
              <w:bottom w:type="dxa" w:w="80"/>
              <w:right w:type="dxa" w:w="160"/>
            </w:tcMar>
          </w:tcPr>
          <w:p>
            <w:r>
              <w:rPr>
                <w:rFonts w:ascii="Calibri" w:cs="Calibri" w:eastAsia="Calibri" w:hAnsi="Calibri"/>
                <w:b/>
                <w:bCs/>
                <w:color w:val="FFFFFF"/>
                <w:sz w:val="22"/>
                <w:szCs w:val="22"/>
              </w:rPr>
              <w:t xml:space="preserve">Segnale della settimana</w:t>
            </w:r>
          </w:p>
        </w:tc>
      </w:tr>
      <w:tr>
        <w:tc>
          <w:tcPr>
            <w:tcW w:type="dxa" w:w="28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r>
              <w:rPr>
                <w:rFonts w:ascii="Calibri" w:cs="Calibri" w:eastAsia="Calibri" w:hAnsi="Calibri"/>
                <w:b/>
                <w:bCs/>
                <w:color w:val="1F4E79"/>
                <w:sz w:val="22"/>
                <w:szCs w:val="22"/>
              </w:rPr>
              <w:t xml:space="preserve">Endpoint &amp; Identity</w:t>
            </w:r>
          </w:p>
        </w:tc>
        <w:tc>
          <w:tcPr>
            <w:tcW w:type="dxa" w:w="6226"/>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pPr>
              <w:spacing w:after="0" w:before="0"/>
            </w:pPr>
            <w:r>
              <w:rPr>
                <w:rFonts w:ascii="Calibri" w:cs="Calibri" w:eastAsia="Calibri" w:hAnsi="Calibri"/>
                <w:sz w:val="22"/>
                <w:szCs w:val="22"/>
              </w:rPr>
              <w:t xml:space="preserve">Le identita' agentiche sono il nuovo campo di battaglia: con Idira, Palo Alto formalizza una categoria che nei prossimi 12 mesi vedra' tutti i vendor posizionarsi. La convergenza PAM+ITDR diventa requisito emergente nelle gare enterprise.</w:t>
            </w:r>
          </w:p>
        </w:tc>
      </w:tr>
      <w:tr>
        <w:tc>
          <w:tcPr>
            <w:tcW w:type="dxa" w:w="2800"/>
            <w:tcBorders>
              <w:top w:val="single" w:color="C9C9C9" w:sz="1"/>
              <w:left w:val="single" w:color="C9C9C9" w:sz="1"/>
              <w:bottom w:val="single" w:color="C9C9C9" w:sz="1"/>
              <w:right w:val="single" w:color="C9C9C9" w:sz="1"/>
            </w:tcBorders>
            <w:shd w:fill="FFFFFF" w:val="clear"/>
            <w:tcMar>
              <w:top w:type="dxa" w:w="80"/>
              <w:left w:type="dxa" w:w="160"/>
              <w:bottom w:type="dxa" w:w="80"/>
              <w:right w:type="dxa" w:w="160"/>
            </w:tcMar>
          </w:tcPr>
          <w:p>
            <w:r>
              <w:rPr>
                <w:rFonts w:ascii="Calibri" w:cs="Calibri" w:eastAsia="Calibri" w:hAnsi="Calibri"/>
                <w:b/>
                <w:bCs/>
                <w:color w:val="1F4E79"/>
                <w:sz w:val="22"/>
                <w:szCs w:val="22"/>
              </w:rPr>
              <w:t xml:space="preserve">Cloud Security</w:t>
            </w:r>
          </w:p>
        </w:tc>
        <w:tc>
          <w:tcPr>
            <w:tcW w:type="dxa" w:w="6226"/>
            <w:tcBorders>
              <w:top w:val="single" w:color="C9C9C9" w:sz="1"/>
              <w:left w:val="single" w:color="C9C9C9" w:sz="1"/>
              <w:bottom w:val="single" w:color="C9C9C9" w:sz="1"/>
              <w:right w:val="single" w:color="C9C9C9" w:sz="1"/>
            </w:tcBorders>
            <w:shd w:fill="FFFFFF" w:val="clear"/>
            <w:tcMar>
              <w:top w:type="dxa" w:w="80"/>
              <w:left w:type="dxa" w:w="160"/>
              <w:bottom w:type="dxa" w:w="80"/>
              <w:right w:type="dxa" w:w="160"/>
            </w:tcMar>
          </w:tcPr>
          <w:p>
            <w:pPr>
              <w:spacing w:after="0" w:before="0"/>
            </w:pPr>
            <w:r>
              <w:rPr>
                <w:rFonts w:ascii="Calibri" w:cs="Calibri" w:eastAsia="Calibri" w:hAnsi="Calibri"/>
                <w:sz w:val="22"/>
                <w:szCs w:val="22"/>
              </w:rPr>
              <w:t xml:space="preserve">Il Forrester Wave CNAPP Q1 2026 ha certificato la fine della frammentazione. Chi ha ancora tool separati per CSPM, CWPP e CIEM ha 12-18 mesi per consolidare prima che NIS2 renda obbligatoria la tracciabilita' della postura cloud.</w:t>
            </w:r>
          </w:p>
        </w:tc>
      </w:tr>
      <w:tr>
        <w:tc>
          <w:tcPr>
            <w:tcW w:type="dxa" w:w="28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r>
              <w:rPr>
                <w:rFonts w:ascii="Calibri" w:cs="Calibri" w:eastAsia="Calibri" w:hAnsi="Calibri"/>
                <w:b/>
                <w:bCs/>
                <w:color w:val="1F4E79"/>
                <w:sz w:val="22"/>
                <w:szCs w:val="22"/>
              </w:rPr>
              <w:t xml:space="preserve">AI &amp; Threat Intelligence</w:t>
            </w:r>
          </w:p>
        </w:tc>
        <w:tc>
          <w:tcPr>
            <w:tcW w:type="dxa" w:w="6226"/>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pPr>
              <w:spacing w:after="0" w:before="0"/>
            </w:pPr>
            <w:r>
              <w:rPr>
                <w:rFonts w:ascii="Calibri" w:cs="Calibri" w:eastAsia="Calibri" w:hAnsi="Calibri"/>
                <w:sz w:val="22"/>
                <w:szCs w:val="22"/>
              </w:rPr>
              <w:t xml:space="preserve">L'inaugurazione del Gartner MQ CTI e' un evento di mercato strutturale. Nei prossimi 12 mesi assisteremo ad acquisizioni di vendor CTI niche da parte di player di piattaforma.</w:t>
            </w:r>
          </w:p>
        </w:tc>
      </w:tr>
      <w:tr>
        <w:tc>
          <w:tcPr>
            <w:tcW w:type="dxa" w:w="2800"/>
            <w:tcBorders>
              <w:top w:val="single" w:color="C9C9C9" w:sz="1"/>
              <w:left w:val="single" w:color="C9C9C9" w:sz="1"/>
              <w:bottom w:val="single" w:color="C9C9C9" w:sz="1"/>
              <w:right w:val="single" w:color="C9C9C9" w:sz="1"/>
            </w:tcBorders>
            <w:shd w:fill="FFFFFF" w:val="clear"/>
            <w:tcMar>
              <w:top w:type="dxa" w:w="80"/>
              <w:left w:type="dxa" w:w="160"/>
              <w:bottom w:type="dxa" w:w="80"/>
              <w:right w:type="dxa" w:w="160"/>
            </w:tcMar>
          </w:tcPr>
          <w:p>
            <w:r>
              <w:rPr>
                <w:rFonts w:ascii="Calibri" w:cs="Calibri" w:eastAsia="Calibri" w:hAnsi="Calibri"/>
                <w:b/>
                <w:bCs/>
                <w:color w:val="1F4E79"/>
                <w:sz w:val="22"/>
                <w:szCs w:val="22"/>
              </w:rPr>
              <w:t xml:space="preserve">OT/IoT</w:t>
            </w:r>
          </w:p>
        </w:tc>
        <w:tc>
          <w:tcPr>
            <w:tcW w:type="dxa" w:w="6226"/>
            <w:tcBorders>
              <w:top w:val="single" w:color="C9C9C9" w:sz="1"/>
              <w:left w:val="single" w:color="C9C9C9" w:sz="1"/>
              <w:bottom w:val="single" w:color="C9C9C9" w:sz="1"/>
              <w:right w:val="single" w:color="C9C9C9" w:sz="1"/>
            </w:tcBorders>
            <w:shd w:fill="FFFFFF" w:val="clear"/>
            <w:tcMar>
              <w:top w:type="dxa" w:w="80"/>
              <w:left w:type="dxa" w:w="160"/>
              <w:bottom w:type="dxa" w:w="80"/>
              <w:right w:type="dxa" w:w="160"/>
            </w:tcMar>
          </w:tcPr>
          <w:p>
            <w:pPr>
              <w:spacing w:after="0" w:before="0"/>
            </w:pPr>
            <w:r>
              <w:rPr>
                <w:rFonts w:ascii="Calibri" w:cs="Calibri" w:eastAsia="Calibri" w:hAnsi="Calibri"/>
                <w:sz w:val="22"/>
                <w:szCs w:val="22"/>
              </w:rPr>
              <w:t xml:space="preserve">Il report Dragos 2026 segnala che il 96% degli incidenti OT origina da compromissioni IT-side: non esiste piu' separazione sicura tra IT e OT. Opportunita' per chi investe in network segmentation OT-aware.</w:t>
            </w:r>
          </w:p>
        </w:tc>
      </w:tr>
      <w:tr>
        <w:tc>
          <w:tcPr>
            <w:tcW w:type="dxa" w:w="28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r>
              <w:rPr>
                <w:rFonts w:ascii="Calibri" w:cs="Calibri" w:eastAsia="Calibri" w:hAnsi="Calibri"/>
                <w:b/>
                <w:bCs/>
                <w:color w:val="1F4E79"/>
                <w:sz w:val="22"/>
                <w:szCs w:val="22"/>
              </w:rPr>
              <w:t xml:space="preserve">Network &amp; Microsegmentazione</w:t>
            </w:r>
          </w:p>
        </w:tc>
        <w:tc>
          <w:tcPr>
            <w:tcW w:type="dxa" w:w="6226"/>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pPr>
              <w:spacing w:after="0" w:before="0"/>
            </w:pPr>
            <w:r>
              <w:rPr>
                <w:rFonts w:ascii="Calibri" w:cs="Calibri" w:eastAsia="Calibri" w:hAnsi="Calibri"/>
                <w:sz w:val="22"/>
                <w:szCs w:val="22"/>
              </w:rPr>
              <w:t xml:space="preserve">Convergenza ZTNA+SASE come modello di riferimento. Illumio e Akamai Guardicore restano le soluzioni piu' citate per microsegmentazione workload-level. Da monitorare Universal ZTNA come layer unificante.</w:t>
            </w:r>
          </w:p>
        </w:tc>
      </w:tr>
    </w:tbl>
    <w:p>
      <w:pPr>
        <w:spacing w:after="60" w:before="360"/>
      </w:pPr>
    </w:p>
    <w:p>
      <w:pPr>
        <w:pBdr>
          <w:bottom w:val="single" w:color="1F4E79" w:sz="4" w:space="1"/>
        </w:pBdr>
        <w:spacing w:after="120" w:before="120"/>
      </w:pPr>
      <w:r>
        <w:t xml:space="preserve"/>
      </w:r>
    </w:p>
    <w:p>
      <w:pPr>
        <w:spacing w:after="60" w:before="100"/>
        <w:jc w:val="center"/>
      </w:pPr>
      <w:r>
        <w:rPr>
          <w:rFonts w:ascii="Calibri" w:cs="Calibri" w:eastAsia="Calibri" w:hAnsi="Calibri"/>
          <w:i/>
          <w:iCs/>
          <w:color w:val="595959"/>
          <w:sz w:val="18"/>
          <w:szCs w:val="18"/>
        </w:rPr>
        <w:t xml:space="preserve">Prossimo briefing: 28 maggio 2026  ·  Generato automaticamente da Claude  ·  Cowork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1"/>
      </w:pBdr>
      <w:spacing w:before="0"/>
      <w:jc w:val="center"/>
    </w:pPr>
    <w:r>
      <w:rPr>
        <w:rFonts w:ascii="Calibri" w:cs="Calibri" w:eastAsia="Calibri" w:hAnsi="Calibri"/>
        <w:color w:val="595959"/>
        <w:sz w:val="16"/>
        <w:szCs w:val="16"/>
      </w:rPr>
      <w:t xml:space="preserve">Generato automaticamente da Claude · Cowork  |  Pagina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tabs>
        <w:tab w:val="right" w:pos="9026"/>
      </w:tabs>
      <w:spacing w:after="0"/>
    </w:pPr>
    <w:r>
      <w:rPr>
        <w:rFonts w:ascii="Calibri" w:cs="Calibri" w:eastAsia="Calibri" w:hAnsi="Calibri"/>
        <w:color w:val="595959"/>
        <w:sz w:val="18"/>
        <w:szCs w:val="18"/>
      </w:rPr>
      <w:t xml:space="preserve">Diario Cybersecurity · Marco Taglienti</w:t>
    </w:r>
    <w:r>
      <w:rPr>
        <w:rFonts w:ascii="Calibri" w:cs="Calibri" w:eastAsia="Calibri" w:hAnsi="Calibri"/>
        <w:color w:val="595959"/>
        <w:sz w:val="18"/>
        <w:szCs w:val="18"/>
      </w:rPr>
      <w:t xml:space="preserv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4E79"/>
      <w:sz w:val="28"/>
      <w:szCs w:val="28"/>
    </w:rPr>
  </w:style>
  <w:style w:type="paragraph" w:styleId="Heading2">
    <w:name w:val="Heading 2"/>
    <w:basedOn w:val="Normal"/>
    <w:next w:val="Normal"/>
    <w:qFormat/>
    <w:pPr>
      <w:spacing w:after="80" w:before="240"/>
      <w:outlineLvl w:val="1"/>
    </w:pPr>
    <w:rPr>
      <w:rFonts w:ascii="Calibri" w:cs="Calibri" w:eastAsia="Calibri" w:hAnsi="Calibri"/>
      <w:b/>
      <w:bCs/>
      <w:color w:val="4472C4"/>
      <w:sz w:val="24"/>
      <w:szCs w:val="24"/>
    </w:rPr>
  </w:style>
  <w:style w:type="paragraph" w:styleId="Heading3">
    <w:name w:val="Heading 3"/>
    <w:basedOn w:val="Normal"/>
    <w:next w:val="Normal"/>
    <w:qFormat/>
    <w:pPr>
      <w:spacing w:after="60" w:before="160"/>
      <w:outlineLvl w:val="2"/>
    </w:pPr>
    <w:rPr>
      <w:rFonts w:ascii="Calibri" w:cs="Calibri" w:eastAsia="Calibri" w:hAnsi="Calibri"/>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oclznvsw_hniursvxaxf" Type="http://schemas.openxmlformats.org/officeDocument/2006/relationships/hyperlink" Target="https://www.paloaltonetworks.com/idira" TargetMode="External"/><Relationship Id="rIdhfxcdrg1jx_8syo8xcsa2" Type="http://schemas.openxmlformats.org/officeDocument/2006/relationships/hyperlink" Target="https://www.paloaltonetworks.com/company/press/2026/palo-alto-networks-introduces-idira--the-next-generation-identity-security-platform-built-for-the-ai-enterprise" TargetMode="External"/><Relationship Id="rIdjkxhlfgv1d2evnn9rnthc" Type="http://schemas.openxmlformats.org/officeDocument/2006/relationships/hyperlink" Target="https://siliconangle.com/2026/05/12/idira-launches-palo-alto-networks-extends-cyberark-tech-machine-agentic-identities" TargetMode="External"/><Relationship Id="rIdj0hxdgjxauv6in7rql60b" Type="http://schemas.openxmlformats.org/officeDocument/2006/relationships/hyperlink" Target="https://www.crowdstrike.com/en-us/products/threat-intelligence/" TargetMode="External"/><Relationship Id="rId-qf62qpzpvd5yb3nmh7sg" Type="http://schemas.openxmlformats.org/officeDocument/2006/relationships/hyperlink" Target="https://www.crowdstrike.com/en-us/press-releases/crowdstrike-named-a-leader-2026-gartner-magic-quadrant-for-cyberthreat-intelligence-technologies/" TargetMode="External"/><Relationship Id="rIdsy5qymgrpn2ieqrla76pd" Type="http://schemas.openxmlformats.org/officeDocument/2006/relationships/hyperlink" Target="https://techcoffeehouse.com/2026/05/06/crowdstrike-leads-inaugural-gartner-cyberthreat-intelligence-magic-quadrant/" TargetMode="External"/><Relationship Id="rIdq72n_ifa2ilnhcei47jsl" Type="http://schemas.openxmlformats.org/officeDocument/2006/relationships/hyperlink" Target="https://www.wiz.io/platform" TargetMode="External"/><Relationship Id="rIdotmpk5waggb6sbh0a0olq" Type="http://schemas.openxmlformats.org/officeDocument/2006/relationships/hyperlink" Target="https://www.wiz.io/blog/forrester-wave-cnapp-2026" TargetMode="External"/><Relationship Id="rIdka0tfnbuot47pziil0ieg" Type="http://schemas.openxmlformats.org/officeDocument/2006/relationships/hyperlink" Target="https://tamnoon.io/blog/cnapps-you-need-to-know-in-2026/"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2026-05-21T09:57:17.955Z</dcterms:created>
  <dcterms:modified xsi:type="dcterms:W3CDTF">2026-05-21T09:57:17.956Z</dcterms:modified>
</cp:coreProperties>
</file>

<file path=docProps/custom.xml><?xml version="1.0" encoding="utf-8"?>
<Properties xmlns="http://schemas.openxmlformats.org/officeDocument/2006/custom-properties" xmlns:vt="http://schemas.openxmlformats.org/officeDocument/2006/docPropsVTypes"/>
</file>