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6A5040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D54215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D54215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r w:rsidR="00C444C8" w:rsidRPr="00C21F77">
              <w:rPr>
                <w:rFonts w:cs="Tahoma"/>
              </w:rPr>
              <w:t>соц.сети</w:t>
            </w:r>
            <w:proofErr w:type="spell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E332E1">
        <w:trPr>
          <w:trHeight w:val="216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6A5040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6A5040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07DF464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2B300D6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6A5040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6A5040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6A5040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t>TEGoVA</w:t>
            </w:r>
            <w:proofErr w:type="spellEnd"/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proofErr w:type="spellStart"/>
            <w:r w:rsidRPr="00E820FE">
              <w:rPr>
                <w:rFonts w:cs="Tahoma"/>
                <w:b/>
                <w:bCs/>
                <w:lang w:val="ru-RU"/>
              </w:rPr>
              <w:t>Product</w:t>
            </w:r>
            <w:proofErr w:type="spellEnd"/>
            <w:r w:rsidRPr="00E820FE">
              <w:rPr>
                <w:rFonts w:cs="Tahoma"/>
                <w:b/>
                <w:bCs/>
                <w:lang w:val="ru-RU"/>
              </w:rPr>
              <w:t xml:space="preserve"> </w:t>
            </w:r>
            <w:proofErr w:type="spellStart"/>
            <w:r w:rsidRPr="00E820FE">
              <w:rPr>
                <w:rFonts w:cs="Tahoma"/>
                <w:b/>
                <w:bCs/>
                <w:lang w:val="ru-RU"/>
              </w:rPr>
              <w:t>Camp</w:t>
            </w:r>
            <w:proofErr w:type="spellEnd"/>
            <w:r w:rsidRPr="00E820FE">
              <w:rPr>
                <w:rFonts w:cs="Tahoma"/>
                <w:b/>
                <w:bCs/>
                <w:lang w:val="ru-RU"/>
              </w:rPr>
              <w:t>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</w:t>
            </w:r>
            <w:r w:rsidR="005106EC">
              <w:rPr>
                <w:rFonts w:cs="Tahoma"/>
              </w:rPr>
              <w:t>1</w:t>
            </w:r>
            <w:r w:rsidRPr="004B0570">
              <w:rPr>
                <w:rFonts w:cs="Tahoma"/>
              </w:rPr>
              <w:t xml:space="preserve"> — Средн</w:t>
            </w:r>
            <w:r w:rsidR="005106EC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6A5040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 xml:space="preserve">В составе </w:t>
            </w:r>
            <w:proofErr w:type="spellStart"/>
            <w:r w:rsidRPr="002D3B4F">
              <w:rPr>
                <w:rStyle w:val="LocationChar"/>
                <w:rFonts w:cs="Times New Roman"/>
                <w:i w:val="0"/>
                <w:iCs/>
              </w:rPr>
              <w:t>корос</w:t>
            </w:r>
            <w:proofErr w:type="spellEnd"/>
            <w:r w:rsidRPr="002D3B4F">
              <w:rPr>
                <w:rStyle w:val="LocationChar"/>
                <w:rFonts w:cs="Times New Roman"/>
                <w:i w:val="0"/>
                <w:iCs/>
              </w:rPr>
              <w:t>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Роль на проектах: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Product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Manager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>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 xml:space="preserve"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6A5040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332E1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6A5040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6A5040" w14:paraId="052992E7" w14:textId="77777777" w:rsidTr="006A5040">
        <w:trPr>
          <w:trHeight w:val="98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</w:t>
            </w:r>
            <w:r w:rsidRPr="0067188F">
              <w:rPr>
                <w:rFonts w:cs="Tahoma"/>
                <w:lang w:val="ru-RU"/>
              </w:rPr>
              <w:lastRenderedPageBreak/>
              <w:t>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6A5040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>
              <w:rPr>
                <w:rStyle w:val="LocationChar"/>
                <w:i w:val="0"/>
              </w:rPr>
              <w:t>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6A5040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</w:t>
            </w:r>
            <w:proofErr w:type="spellStart"/>
            <w:r w:rsidRPr="001A4FAF">
              <w:t>Mirax</w:t>
            </w:r>
            <w:proofErr w:type="spellEnd"/>
            <w:r w:rsidRPr="001A4FAF">
              <w:t>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 xml:space="preserve">Офисное здание ОАО «Сбербанк», 2-й </w:t>
            </w:r>
            <w:proofErr w:type="spellStart"/>
            <w:r w:rsidRPr="001A4FAF">
              <w:t>Южнопортовый</w:t>
            </w:r>
            <w:proofErr w:type="spellEnd"/>
            <w:r w:rsidRPr="001A4FAF">
              <w:t xml:space="preserve">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</w:t>
            </w:r>
            <w:proofErr w:type="spellStart"/>
            <w:r w:rsidRPr="001A4FAF">
              <w:t>ул</w:t>
            </w:r>
            <w:proofErr w:type="spellEnd"/>
            <w:r w:rsidRPr="001A4FAF">
              <w:t>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6A5040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 xml:space="preserve">За карьеру сформировал практический опыт в разных областях: телекоммуникации-строительство, </w:t>
            </w:r>
            <w:proofErr w:type="spellStart"/>
            <w:r w:rsidRPr="00B47AE6">
              <w:rPr>
                <w:rFonts w:cs="Tahoma"/>
                <w:lang w:val="ru-RU"/>
              </w:rPr>
              <w:t>гос.структуры</w:t>
            </w:r>
            <w:proofErr w:type="spellEnd"/>
            <w:r w:rsidRPr="00B47AE6">
              <w:rPr>
                <w:rFonts w:cs="Tahoma"/>
                <w:lang w:val="ru-RU"/>
              </w:rPr>
              <w:t>, финансы-консалтинг, информационные технологии: разработка-интеграция, строительство-инжиниринг</w:t>
            </w:r>
          </w:p>
          <w:p w14:paraId="6188AD49" w14:textId="34F45FC4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</w:p>
          <w:p w14:paraId="536CAADA" w14:textId="64232FF9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6790CFB8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гибкость и адаптивность к изменениям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B45EAB1" w14:textId="7B450847" w:rsidR="00113F04" w:rsidRPr="00B47AE6" w:rsidRDefault="00E332E1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E332E1">
              <w:rPr>
                <w:rFonts w:cs="Tahoma"/>
                <w:lang w:val="ru-RU"/>
              </w:rPr>
              <w:t xml:space="preserve">Я активный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Pr="00E332E1">
              <w:rPr>
                <w:rFonts w:cs="Tahoma"/>
                <w:lang w:val="ru-RU"/>
              </w:rPr>
              <w:lastRenderedPageBreak/>
              <w:t>Open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Data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Science</w:t>
            </w:r>
            <w:proofErr w:type="spellEnd"/>
            <w:r w:rsidRPr="00E332E1">
              <w:rPr>
                <w:rFonts w:cs="Tahoma"/>
                <w:lang w:val="ru-RU"/>
              </w:rPr>
              <w:t xml:space="preserve"> (</w:t>
            </w:r>
            <w:proofErr w:type="spellStart"/>
            <w:r w:rsidRPr="00E332E1">
              <w:rPr>
                <w:rFonts w:cs="Tahoma"/>
                <w:lang w:val="ru-RU"/>
              </w:rPr>
              <w:t>ods.ia</w:t>
            </w:r>
            <w:proofErr w:type="spellEnd"/>
            <w:r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Pr="00E332E1">
              <w:rPr>
                <w:rFonts w:cs="Tahoma"/>
                <w:lang w:val="ru-RU"/>
              </w:rPr>
              <w:t>кемпах</w:t>
            </w:r>
            <w:proofErr w:type="spellEnd"/>
            <w:r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r w:rsidRPr="00E332E1">
              <w:rPr>
                <w:rFonts w:cs="Tahoma"/>
                <w:lang w:val="ru-RU"/>
              </w:rPr>
              <w:t>орг.команды</w:t>
            </w:r>
            <w:proofErr w:type="spellEnd"/>
            <w:r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</w:t>
            </w:r>
            <w:proofErr w:type="spellStart"/>
            <w:r w:rsidRPr="00616AC9">
              <w:rPr>
                <w:rFonts w:cs="Tahoma"/>
                <w:lang w:val="ru-RU"/>
              </w:rPr>
              <w:t>Product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Camp</w:t>
            </w:r>
            <w:proofErr w:type="spellEnd"/>
            <w:r w:rsidRPr="00616AC9">
              <w:rPr>
                <w:rFonts w:cs="Tahoma"/>
                <w:lang w:val="ru-RU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69EB90ED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</w:t>
            </w:r>
            <w:proofErr w:type="spellStart"/>
            <w:r w:rsidRPr="00616AC9">
              <w:rPr>
                <w:rFonts w:cs="Tahoma"/>
                <w:lang w:val="ru-RU"/>
              </w:rPr>
              <w:t>Big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Data</w:t>
            </w:r>
            <w:proofErr w:type="spellEnd"/>
            <w:r w:rsidRPr="00616AC9">
              <w:rPr>
                <w:rFonts w:cs="Tahoma"/>
                <w:lang w:val="ru-RU"/>
              </w:rPr>
              <w:t>) проектами и продуктами.</w:t>
            </w:r>
          </w:p>
          <w:p w14:paraId="0D23C924" w14:textId="49B5FD7E" w:rsidR="006A5040" w:rsidRPr="0021326A" w:rsidRDefault="006A5040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 xml:space="preserve">В настоящий момент </w:t>
            </w:r>
            <w:r w:rsidR="00923961">
              <w:rPr>
                <w:rFonts w:cs="Tahoma"/>
                <w:lang w:val="ru-RU"/>
              </w:rPr>
              <w:t>участвую в орг.</w:t>
            </w:r>
            <w:r w:rsidR="002A43DC">
              <w:rPr>
                <w:rFonts w:cs="Tahoma"/>
                <w:lang w:val="ru-RU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  <w:lang w:val="ru-RU"/>
              </w:rPr>
              <w:t xml:space="preserve"> &amp; </w:t>
            </w:r>
            <w:r w:rsidR="00297C38" w:rsidRPr="00297C38">
              <w:rPr>
                <w:rFonts w:cs="Tahoma"/>
              </w:rPr>
              <w:t>Eastern</w:t>
            </w:r>
            <w:r w:rsidR="00297C38" w:rsidRPr="00297C38">
              <w:rPr>
                <w:rFonts w:cs="Tahoma"/>
                <w:lang w:val="ru-RU"/>
              </w:rPr>
              <w:t xml:space="preserve"> </w:t>
            </w:r>
            <w:r w:rsidR="00297C38" w:rsidRPr="00297C38">
              <w:rPr>
                <w:rFonts w:cs="Tahoma"/>
              </w:rPr>
              <w:t>Europe</w:t>
            </w:r>
            <w:r w:rsidR="0021326A" w:rsidRPr="0021326A">
              <w:rPr>
                <w:rFonts w:cs="Tahoma"/>
                <w:lang w:val="ru-RU"/>
              </w:rPr>
              <w:t xml:space="preserve"> </w:t>
            </w:r>
            <w:r w:rsidR="0021326A">
              <w:rPr>
                <w:rFonts w:cs="Tahoma"/>
                <w:lang w:val="ru-RU"/>
              </w:rPr>
              <w:t>–</w:t>
            </w:r>
            <w:r w:rsidR="0021326A" w:rsidRPr="0021326A">
              <w:rPr>
                <w:rFonts w:cs="Tahoma"/>
                <w:lang w:val="ru-RU"/>
              </w:rPr>
              <w:t xml:space="preserve"> </w:t>
            </w:r>
            <w:r w:rsidR="0021326A">
              <w:rPr>
                <w:rFonts w:cs="Tahoma"/>
                <w:lang w:val="ru-RU"/>
              </w:rPr>
              <w:t xml:space="preserve">крупный международный продуктовый </w:t>
            </w:r>
            <w:proofErr w:type="spellStart"/>
            <w:r w:rsidR="0021326A">
              <w:rPr>
                <w:rFonts w:cs="Tahoma"/>
                <w:lang w:val="ru-RU"/>
              </w:rPr>
              <w:t>кемп</w:t>
            </w:r>
            <w:proofErr w:type="spellEnd"/>
            <w:r w:rsidR="001F58D8">
              <w:rPr>
                <w:rFonts w:cs="Tahoma"/>
                <w:lang w:val="ru-RU"/>
              </w:rPr>
              <w:t xml:space="preserve"> (</w:t>
            </w:r>
            <w:hyperlink r:id="rId20" w:history="1">
              <w:r w:rsidR="001F58D8" w:rsidRPr="00952E5A">
                <w:rPr>
                  <w:rStyle w:val="a7"/>
                  <w:rFonts w:cs="Tahoma"/>
                  <w:lang w:val="ru-RU"/>
                </w:rPr>
                <w:t>https://www.facebook.com/ProductCampRussia</w:t>
              </w:r>
            </w:hyperlink>
            <w:r w:rsidR="001F58D8">
              <w:rPr>
                <w:rFonts w:cs="Tahoma"/>
                <w:lang w:val="ru-RU"/>
              </w:rPr>
              <w:t>)</w:t>
            </w:r>
            <w:r w:rsidR="00D26EDE">
              <w:rPr>
                <w:rFonts w:cs="Tahoma"/>
                <w:lang w:val="ru-RU"/>
              </w:rPr>
              <w:t xml:space="preserve"> и </w:t>
            </w:r>
            <w:r w:rsidR="0082232C" w:rsidRPr="0082232C">
              <w:rPr>
                <w:rFonts w:cs="Tahoma"/>
                <w:lang w:val="ru-RU"/>
              </w:rPr>
              <w:t xml:space="preserve">Главное </w:t>
            </w:r>
            <w:proofErr w:type="spellStart"/>
            <w:r w:rsidR="0082232C" w:rsidRPr="0082232C">
              <w:rPr>
                <w:rFonts w:cs="Tahoma"/>
                <w:lang w:val="ru-RU"/>
              </w:rPr>
              <w:t>Data</w:t>
            </w:r>
            <w:proofErr w:type="spellEnd"/>
            <w:r w:rsidR="0082232C" w:rsidRPr="0082232C">
              <w:rPr>
                <w:rFonts w:cs="Tahoma"/>
                <w:lang w:val="ru-RU"/>
              </w:rPr>
              <w:t xml:space="preserve"> </w:t>
            </w:r>
            <w:proofErr w:type="spellStart"/>
            <w:r w:rsidR="0082232C" w:rsidRPr="0082232C">
              <w:rPr>
                <w:rFonts w:cs="Tahoma"/>
                <w:lang w:val="ru-RU"/>
              </w:rPr>
              <w:t>Science</w:t>
            </w:r>
            <w:proofErr w:type="spellEnd"/>
            <w:r w:rsidR="0082232C" w:rsidRPr="0082232C">
              <w:rPr>
                <w:rFonts w:cs="Tahoma"/>
                <w:lang w:val="ru-RU"/>
              </w:rPr>
              <w:t xml:space="preserve"> событие года</w:t>
            </w:r>
            <w:r w:rsidR="0082232C">
              <w:rPr>
                <w:rFonts w:cs="Tahoma"/>
                <w:lang w:val="ru-RU"/>
              </w:rPr>
              <w:t xml:space="preserve"> - </w:t>
            </w:r>
            <w:proofErr w:type="spellStart"/>
            <w:r w:rsidR="00A00B8C" w:rsidRPr="00A00B8C">
              <w:rPr>
                <w:rFonts w:cs="Tahoma"/>
                <w:lang w:val="ru-RU"/>
              </w:rPr>
              <w:t>Data</w:t>
            </w:r>
            <w:proofErr w:type="spellEnd"/>
            <w:r w:rsidR="00A00B8C" w:rsidRPr="00A00B8C">
              <w:rPr>
                <w:rFonts w:cs="Tahoma"/>
                <w:lang w:val="ru-RU"/>
              </w:rPr>
              <w:t xml:space="preserve"> </w:t>
            </w:r>
            <w:proofErr w:type="spellStart"/>
            <w:r w:rsidR="00A00B8C" w:rsidRPr="00A00B8C">
              <w:rPr>
                <w:rFonts w:cs="Tahoma"/>
                <w:lang w:val="ru-RU"/>
              </w:rPr>
              <w:t>Fest</w:t>
            </w:r>
            <w:proofErr w:type="spellEnd"/>
            <w:r w:rsidR="00A00B8C" w:rsidRPr="00A00B8C">
              <w:rPr>
                <w:rFonts w:cs="Tahoma"/>
                <w:lang w:val="ru-RU"/>
              </w:rPr>
              <w:t xml:space="preserve"> 2020</w:t>
            </w:r>
            <w:r w:rsidR="00A00B8C">
              <w:rPr>
                <w:rFonts w:cs="Tahoma"/>
                <w:lang w:val="ru-RU"/>
              </w:rPr>
              <w:t xml:space="preserve"> (</w:t>
            </w:r>
            <w:hyperlink r:id="rId21" w:history="1">
              <w:r w:rsidR="00A00B8C" w:rsidRPr="00952E5A">
                <w:rPr>
                  <w:rStyle w:val="a7"/>
                  <w:rFonts w:cs="Tahoma"/>
                  <w:lang w:val="ru-RU"/>
                </w:rPr>
                <w:t>https://ods.ai/events/datafest2020</w:t>
              </w:r>
            </w:hyperlink>
            <w:r w:rsidR="00A00B8C">
              <w:rPr>
                <w:rFonts w:cs="Tahoma"/>
                <w:lang w:val="ru-RU"/>
              </w:rPr>
              <w:t>)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2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F357F5" w:rsidRDefault="00445393" w:rsidP="005839F3">
            <w:pPr>
              <w:pStyle w:val="bulletedlist"/>
              <w:spacing w:before="0" w:after="0"/>
            </w:pPr>
            <w:proofErr w:type="spellStart"/>
            <w:r w:rsidRPr="00F357F5">
              <w:t>Python</w:t>
            </w:r>
            <w:proofErr w:type="spellEnd"/>
            <w:r w:rsidRPr="00F357F5">
              <w:t>, SQL, HTML</w:t>
            </w:r>
          </w:p>
          <w:p w14:paraId="5FC0375D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Jupyter</w:t>
            </w:r>
            <w:proofErr w:type="spellEnd"/>
            <w:r w:rsidRPr="00F357F5">
              <w:rPr>
                <w:lang w:val="en-US"/>
              </w:rPr>
              <w:t xml:space="preserve"> Notebook, Yandex </w:t>
            </w:r>
            <w:proofErr w:type="spellStart"/>
            <w:r w:rsidRPr="00F357F5">
              <w:rPr>
                <w:lang w:val="en-US"/>
              </w:rPr>
              <w:t>DataSphere</w:t>
            </w:r>
            <w:proofErr w:type="spellEnd"/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2005FAB6" w14:textId="05710ECF" w:rsidR="00FB19D9" w:rsidRPr="00BE6B2D" w:rsidRDefault="00D54215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206FCCCB" w14:textId="77777777" w:rsidR="00FB19D9" w:rsidRPr="00BE6B2D" w:rsidRDefault="00D54215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7C1055D1" w14:textId="77777777" w:rsidR="00FB19D9" w:rsidRPr="00BE6B2D" w:rsidRDefault="00D54215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5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19B93D79" w14:textId="77777777" w:rsidR="00FB19D9" w:rsidRPr="00BE6B2D" w:rsidRDefault="00D54215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6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507F64E2" w14:textId="7277F8E3" w:rsidR="00FB19D9" w:rsidRPr="00FB19D9" w:rsidRDefault="00D54215" w:rsidP="00FB19D9">
            <w:pPr>
              <w:pStyle w:val="bulletedlist"/>
              <w:spacing w:before="0" w:after="0"/>
            </w:pPr>
            <w:hyperlink r:id="rId27" w:history="1"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FB19D9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FB19D9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6A5040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403B8" w14:textId="77777777" w:rsidR="00D54215" w:rsidRDefault="00D54215" w:rsidP="001B27C5">
      <w:pPr>
        <w:spacing w:line="240" w:lineRule="auto"/>
      </w:pPr>
      <w:r>
        <w:separator/>
      </w:r>
    </w:p>
  </w:endnote>
  <w:endnote w:type="continuationSeparator" w:id="0">
    <w:p w14:paraId="63FDF0EE" w14:textId="77777777" w:rsidR="00D54215" w:rsidRDefault="00D54215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1D547" w14:textId="77777777" w:rsidR="00D54215" w:rsidRDefault="00D54215" w:rsidP="001B27C5">
      <w:pPr>
        <w:spacing w:line="240" w:lineRule="auto"/>
      </w:pPr>
      <w:r>
        <w:separator/>
      </w:r>
    </w:p>
  </w:footnote>
  <w:footnote w:type="continuationSeparator" w:id="0">
    <w:p w14:paraId="754E9514" w14:textId="77777777" w:rsidR="00D54215" w:rsidRDefault="00D54215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13F04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1F58D8"/>
    <w:rsid w:val="0021326A"/>
    <w:rsid w:val="00214C2E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7C10"/>
    <w:rsid w:val="005839F3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970BA"/>
    <w:rsid w:val="006A5040"/>
    <w:rsid w:val="006C1D64"/>
    <w:rsid w:val="006D3A5E"/>
    <w:rsid w:val="006E2DF9"/>
    <w:rsid w:val="007019E0"/>
    <w:rsid w:val="00703078"/>
    <w:rsid w:val="007102D2"/>
    <w:rsid w:val="007471AE"/>
    <w:rsid w:val="00761393"/>
    <w:rsid w:val="00794F40"/>
    <w:rsid w:val="007B0A5D"/>
    <w:rsid w:val="007E0A89"/>
    <w:rsid w:val="0081157E"/>
    <w:rsid w:val="00812463"/>
    <w:rsid w:val="0082232C"/>
    <w:rsid w:val="00834FBD"/>
    <w:rsid w:val="00853F7E"/>
    <w:rsid w:val="00855BA7"/>
    <w:rsid w:val="008A5CB4"/>
    <w:rsid w:val="008D5148"/>
    <w:rsid w:val="00923961"/>
    <w:rsid w:val="009278AD"/>
    <w:rsid w:val="00933A3B"/>
    <w:rsid w:val="009357F3"/>
    <w:rsid w:val="00943348"/>
    <w:rsid w:val="0097552F"/>
    <w:rsid w:val="009B3777"/>
    <w:rsid w:val="009B7BAC"/>
    <w:rsid w:val="009D1AF9"/>
    <w:rsid w:val="009D2A10"/>
    <w:rsid w:val="009F397B"/>
    <w:rsid w:val="00A00B8C"/>
    <w:rsid w:val="00A276C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CF6822"/>
    <w:rsid w:val="00D10FC7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E14349"/>
    <w:rsid w:val="00E1578E"/>
    <w:rsid w:val="00E235A6"/>
    <w:rsid w:val="00E332E1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hyperlink" Target="https://www.sololearn.com/Certificate/1073-12500152/pdf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ods.ai/events/datafest202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8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www.facebook.com/ProductCampRussi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14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stepik.org/cert/372264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linktr.ee/pakinigor_j" TargetMode="External"/><Relationship Id="rId27" Type="http://schemas.openxmlformats.org/officeDocument/2006/relationships/hyperlink" Target="https://www.sololearn.com/Certificate/1060-12500152/pdf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8128</TotalTime>
  <Pages>5</Pages>
  <Words>2202</Words>
  <Characters>12558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113</cp:revision>
  <cp:lastPrinted>2020-08-25T12:59:00Z</cp:lastPrinted>
  <dcterms:created xsi:type="dcterms:W3CDTF">2016-01-18T19:05:00Z</dcterms:created>
  <dcterms:modified xsi:type="dcterms:W3CDTF">2020-09-28T06:35:00Z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