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all prepared for the final presentation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080"/>
        <w:tblGridChange w:id="0">
          <w:tblGrid>
            <w:gridCol w:w="1800"/>
            <w:gridCol w:w="70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8.70117187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Ethan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Built the Methodology and Models slides (slides 8, 12–13), covering the Welch PSD pipeline and the experimental setup (5-fold subject-level stratified CV, 200 subjects). </w:t>
            </w:r>
          </w:p>
        </w:tc>
      </w:tr>
      <w:tr>
        <w:trPr>
          <w:cantSplit w:val="0"/>
          <w:trHeight w:val="1667.7758789062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Ajay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Built the Results slides (slides 14–16), including the headline metrics table, side-by-side model comparison, and confusion matrices. </w:t>
            </w:r>
          </w:p>
        </w:tc>
      </w:tr>
      <w:tr>
        <w:trPr>
          <w:cantSplit w:val="0"/>
          <w:trHeight w:val="1997.7758789062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Aashay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Built the Statistical Findings and Top Features slides (slides 9–10), embedding the band power heatmaps and boxplots. </w:t>
            </w:r>
          </w:p>
        </w:tc>
      </w:tr>
      <w:tr>
        <w:trPr>
          <w:cantSplit w:val="0"/>
          <w:trHeight w:val="2087.7758789062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Built the Introduction, Observations, Future Work, and Closing slides (slides 2–4, 18–20). </w:t>
            </w:r>
          </w:p>
        </w:tc>
      </w:tr>
      <w:tr>
        <w:trPr>
          <w:cantSplit w:val="0"/>
          <w:trHeight w:val="2582.7758789062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Venkatasai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Built the Dataset Overview and Signal Visualization slides (slides 6–7), embedding the 10-second HC vs AD EEG plot and the grand-average PSD figure.</w:t>
            </w:r>
          </w:p>
        </w:tc>
      </w:tr>
      <w:tr>
        <w:trPr>
          <w:cantSplit w:val="0"/>
          <w:trHeight w:val="4073.7011718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Venkat Sai Eshwar Varma Sagi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Built the Background/Why EEG and Trade-offs slides (slides 3, 17), explaining the clinical motivation and the LR vs RF operating-point difference. 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