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EEG Brain Signal Classification</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Kaggle Datasets</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Largest Alzheimer EEG dataset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Kaggle dataset combines six public EEG datasets used in Alzheimer’s disease research (2018–2024) into a single large, uniformly preprocessed resource for model training. The dataset consists of AD-Auditory, ADFSU, ADFTD, ADSZ, APAVA, and BrainLat. All recordings are standardized by removing artifacts, aligning signals to the same 19 international 10-20 EEG channels (interpolating or selecting channels as needed across different montages), resampling everything to 128 Hz, segmenting data into 1-second samples (128 time points), filtering to the 0.5-45 Hz band, and applying per-channel standard normalization so models can be trained and fine-tuned consistently across datasets.</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EEG of Alzheimer's and Frontotemporal dementia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contains resting-state, eyes-closed EEG recordings from 88 subjects: 36 with Alzheimer’s disease (AD), 23 with frontotemporal dementia (FTD), and 29 healthy controls (CN), with cognitive status summarized using MMSE (lower scores indicate greater impairment). Recordings were collected at AHEPA General Hospital of Thessaloniki using a Nihon Kohden EEG-2100 with 19 standard 10-20 scalp electrodes (plus mastoid references A1/A2), sampled at 500 Hz, and lasting roughly 12-14 minutes per subject on average. The dataset includes both raw recordings (per subject folder) and a denoised “derivatives” version processed with a 0.5-45 Hz Butterworth bandpass, re-referencing to A1-A2, Artifact Subspace Reconstruction (ASR) to remove noisy segments, and ICA (RunICA) with automatic ICLabel-based rejection of eye/jaw artifact components. It was originally published on OpenNeuro (ds004504 v1.0.6) and mirrored here for easier access.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EEG Alzheimer's Dataset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EEG Alzheimer’s dataset is a large tabular collection of 848,640 samples with 17 columns, capturing brain electrical activity from 16 standard 10–20 EEG channels (Fp1, Fp2, F7, F3, Fz, F4, F8, T3, C3, Cz, C4, T4, T5, P3, Pz, P4) plus a categorical “status” label indicating the subject’s condition (such as AD vs. control or disease stage). All EEG channels are continuous float values, the label is an integer, and the dataset is clean with no missing values, making it well-suited for ML/DL tasks like EEG-based Alzheimer classification, feature extraction/dimensionality reduction, and time-series pattern analysis.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EEG Data Exploration: Alzheimer, FTD, and HC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Kaggle notebook (“EEG Data Exploration: Alzheimer, FTD, and HC”) uses the OpenNeuro ds004504 EEG dataset to compare resting-state, eyes-closed brain activity across Alzheimer’s (AD), healthy controls (HC), and frontotemporal dementia (FTD) groups. It loads 19-channel EEG recordings with MNE, visualizes raw traces, computes power spectral density (PSD) via the Welch method (0.5-45 Hz), summarizes band power (delta/theta/alpha/beta) across channels, and aggregates PSDs by group to plot group-level spectral differences. It also creates topographic maps from averaged spectral power to highlight spatial patterns that could serve as EEG-based biomarkers, concluding with suggestions for next steps like feature extraction, classification, and connectivity analysis.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Project Plan/Timeline: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Week 1:</w:t>
      </w:r>
      <w:r w:rsidDel="00000000" w:rsidR="00000000" w:rsidRPr="00000000">
        <w:rPr>
          <w:rFonts w:ascii="Times New Roman" w:cs="Times New Roman" w:eastAsia="Times New Roman" w:hAnsi="Times New Roman"/>
          <w:sz w:val="24"/>
          <w:szCs w:val="24"/>
          <w:rtl w:val="0"/>
        </w:rPr>
        <w:t xml:space="preserve"> Review Alzheimer’s disease fundamentals and how EEG reflects brain activity, then decide the exact classification goal such as Alzheimer’s versus healthy controls or a three class setup with Alzheimer’s, frontotemporal dementia, and healthy controls.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Weeks 2:</w:t>
      </w:r>
      <w:r w:rsidDel="00000000" w:rsidR="00000000" w:rsidRPr="00000000">
        <w:rPr>
          <w:rFonts w:ascii="Times New Roman" w:cs="Times New Roman" w:eastAsia="Times New Roman" w:hAnsi="Times New Roman"/>
          <w:sz w:val="24"/>
          <w:szCs w:val="24"/>
          <w:rtl w:val="0"/>
        </w:rPr>
        <w:t xml:space="preserve"> Work primarily with the OpenNeuro ds004504 dataset, load the cleaned derivatives first for reliability, verify channels and sampling rate, and document a consistent preprocessing pipeline you can explain. </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Week 3:</w:t>
      </w:r>
      <w:r w:rsidDel="00000000" w:rsidR="00000000" w:rsidRPr="00000000">
        <w:rPr>
          <w:rFonts w:ascii="Times New Roman" w:cs="Times New Roman" w:eastAsia="Times New Roman" w:hAnsi="Times New Roman"/>
          <w:sz w:val="24"/>
          <w:szCs w:val="24"/>
          <w:rtl w:val="0"/>
        </w:rPr>
        <w:t xml:space="preserve"> Run exploratory analysis to compare groups using power spectral density and band power, then turn those insights into a small set of clear features like relative band power and band ratios. </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Week 4:</w:t>
      </w:r>
      <w:r w:rsidDel="00000000" w:rsidR="00000000" w:rsidRPr="00000000">
        <w:rPr>
          <w:rFonts w:ascii="Times New Roman" w:cs="Times New Roman" w:eastAsia="Times New Roman" w:hAnsi="Times New Roman"/>
          <w:sz w:val="24"/>
          <w:szCs w:val="24"/>
          <w:rtl w:val="0"/>
        </w:rPr>
        <w:t xml:space="preserve"> Train lightweight models such as logistic regression or a linear SVM, tune them carefully, and keep the approach interpretable so you can connect results back to neuroscience concepts.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Week 5:</w:t>
      </w:r>
      <w:r w:rsidDel="00000000" w:rsidR="00000000" w:rsidRPr="00000000">
        <w:rPr>
          <w:rFonts w:ascii="Times New Roman" w:cs="Times New Roman" w:eastAsia="Times New Roman" w:hAnsi="Times New Roman"/>
          <w:sz w:val="24"/>
          <w:szCs w:val="24"/>
          <w:rtl w:val="0"/>
        </w:rPr>
        <w:t xml:space="preserve"> Evaluate properly using subject level splitting to avoid leakage, report metrics like accuracy, F1, and AUC, and include confusion matrices plus a simple ablation showing which features matter most. </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Week 6:</w:t>
      </w:r>
      <w:r w:rsidDel="00000000" w:rsidR="00000000" w:rsidRPr="00000000">
        <w:rPr>
          <w:rFonts w:ascii="Times New Roman" w:cs="Times New Roman" w:eastAsia="Times New Roman" w:hAnsi="Times New Roman"/>
          <w:sz w:val="24"/>
          <w:szCs w:val="24"/>
          <w:rtl w:val="0"/>
        </w:rPr>
        <w:t xml:space="preserve"> Optionally test generalization by running the same pipeline on the larger multi source preprocessed Alzheimer EEG dataset to strengthen your performance claims. </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Final:</w:t>
      </w:r>
      <w:r w:rsidDel="00000000" w:rsidR="00000000" w:rsidRPr="00000000">
        <w:rPr>
          <w:rFonts w:ascii="Times New Roman" w:cs="Times New Roman" w:eastAsia="Times New Roman" w:hAnsi="Times New Roman"/>
          <w:sz w:val="24"/>
          <w:szCs w:val="24"/>
          <w:rtl w:val="0"/>
        </w:rPr>
        <w:t xml:space="preserve"> Package the full system as a reproducible pipeline, report runtime and memory footprint, and write a clear conclusion linking the model’s strongest signals to known EEG changes in dementia.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de/thngdngvn/eeg-data-exploration-alzheimer-ftd-and-hc" TargetMode="External"/><Relationship Id="rId5" Type="http://schemas.openxmlformats.org/officeDocument/2006/relationships/styles" Target="styles.xml"/><Relationship Id="rId6" Type="http://schemas.openxmlformats.org/officeDocument/2006/relationships/hyperlink" Target="https://www.kaggle.com/datasets/codingyodha/largest-alzheimer-eeg-dataset" TargetMode="External"/><Relationship Id="rId7" Type="http://schemas.openxmlformats.org/officeDocument/2006/relationships/hyperlink" Target="https://www.kaggle.com/datasets/yosftag/open-nuro-dataset?resource=download" TargetMode="External"/><Relationship Id="rId8" Type="http://schemas.openxmlformats.org/officeDocument/2006/relationships/hyperlink" Target="https://www.kaggle.com/datasets/ucimachinelearning/eeg-alzheimer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