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32B" w:rsidRPr="00B9336B" w:rsidRDefault="00510AA9" w:rsidP="00545B79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b/>
          <w:bCs/>
          <w:sz w:val="24"/>
          <w:szCs w:val="24"/>
        </w:rPr>
        <w:t>NGO</w:t>
      </w:r>
      <w:r w:rsidR="001C5895" w:rsidRPr="00B9336B">
        <w:rPr>
          <w:rFonts w:ascii="Times New Roman" w:hAnsi="Times New Roman" w:cs="Times New Roman"/>
          <w:b/>
          <w:bCs/>
          <w:sz w:val="24"/>
          <w:szCs w:val="24"/>
        </w:rPr>
        <w:t xml:space="preserve"> GDPR Regulatory Mapping</w:t>
      </w:r>
    </w:p>
    <w:p w:rsidR="0097032B" w:rsidRPr="00B9336B" w:rsidRDefault="001C5895" w:rsidP="00545B79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>This document maps every s</w:t>
      </w:r>
      <w:r w:rsidR="00760748" w:rsidRPr="00B9336B">
        <w:rPr>
          <w:rFonts w:ascii="Times New Roman" w:hAnsi="Times New Roman" w:cs="Times New Roman"/>
          <w:sz w:val="24"/>
          <w:szCs w:val="24"/>
        </w:rPr>
        <w:t xml:space="preserve">ecurity control in the </w:t>
      </w:r>
      <w:r w:rsidRPr="00B9336B">
        <w:rPr>
          <w:rFonts w:ascii="Times New Roman" w:hAnsi="Times New Roman" w:cs="Times New Roman"/>
          <w:sz w:val="24"/>
          <w:szCs w:val="24"/>
        </w:rPr>
        <w:t>framework to its specific GDPR article. Eac</w:t>
      </w:r>
      <w:r>
        <w:rPr>
          <w:rFonts w:ascii="Times New Roman" w:hAnsi="Times New Roman" w:cs="Times New Roman"/>
          <w:sz w:val="24"/>
          <w:szCs w:val="24"/>
        </w:rPr>
        <w:t xml:space="preserve">h control is legally </w:t>
      </w:r>
      <w:r w:rsidR="00510AA9" w:rsidRPr="00B9336B">
        <w:rPr>
          <w:rFonts w:ascii="Times New Roman" w:hAnsi="Times New Roman" w:cs="Times New Roman"/>
          <w:sz w:val="24"/>
          <w:szCs w:val="24"/>
        </w:rPr>
        <w:t xml:space="preserve">grounded, </w:t>
      </w:r>
      <w:r w:rsidRPr="00B9336B">
        <w:rPr>
          <w:rFonts w:ascii="Times New Roman" w:hAnsi="Times New Roman" w:cs="Times New Roman"/>
          <w:sz w:val="24"/>
          <w:szCs w:val="24"/>
        </w:rPr>
        <w:t>not just best practice. When an NGO follows the framework, GDPR com</w:t>
      </w:r>
      <w:r>
        <w:rPr>
          <w:rFonts w:ascii="Times New Roman" w:hAnsi="Times New Roman" w:cs="Times New Roman"/>
          <w:sz w:val="24"/>
          <w:szCs w:val="24"/>
        </w:rPr>
        <w:t>pliance, they are automatically complying with GDPR.</w:t>
      </w:r>
    </w:p>
    <w:p w:rsidR="00545B79" w:rsidRDefault="001C5895" w:rsidP="00545B79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>GDPR applies to all he</w:t>
      </w:r>
      <w:r w:rsidRPr="00B9336B">
        <w:rPr>
          <w:rFonts w:ascii="Times New Roman" w:hAnsi="Times New Roman" w:cs="Times New Roman"/>
          <w:sz w:val="24"/>
          <w:szCs w:val="24"/>
        </w:rPr>
        <w:t>al</w:t>
      </w:r>
      <w:r w:rsidR="00760748" w:rsidRPr="00B9336B">
        <w:rPr>
          <w:rFonts w:ascii="Times New Roman" w:hAnsi="Times New Roman" w:cs="Times New Roman"/>
          <w:sz w:val="24"/>
          <w:szCs w:val="24"/>
        </w:rPr>
        <w:t xml:space="preserve">th NGOs regardless of size. The </w:t>
      </w:r>
      <w:r w:rsidRPr="00B9336B">
        <w:rPr>
          <w:rFonts w:ascii="Times New Roman" w:hAnsi="Times New Roman" w:cs="Times New Roman"/>
          <w:sz w:val="24"/>
          <w:szCs w:val="24"/>
        </w:rPr>
        <w:t>NGOs</w:t>
      </w:r>
      <w:r w:rsidR="00760748" w:rsidRPr="00B9336B">
        <w:rPr>
          <w:rFonts w:ascii="Times New Roman" w:hAnsi="Times New Roman" w:cs="Times New Roman"/>
          <w:sz w:val="24"/>
          <w:szCs w:val="24"/>
        </w:rPr>
        <w:t xml:space="preserve"> we interviwed</w:t>
      </w:r>
      <w:r w:rsidRPr="00B9336B">
        <w:rPr>
          <w:rFonts w:ascii="Times New Roman" w:hAnsi="Times New Roman" w:cs="Times New Roman"/>
          <w:sz w:val="24"/>
          <w:szCs w:val="24"/>
        </w:rPr>
        <w:t xml:space="preserve"> process patient</w:t>
      </w:r>
      <w:r>
        <w:rPr>
          <w:rFonts w:ascii="Times New Roman" w:hAnsi="Times New Roman" w:cs="Times New Roman"/>
          <w:sz w:val="24"/>
          <w:szCs w:val="24"/>
        </w:rPr>
        <w:t xml:space="preserve"> health records and donor data, </w:t>
      </w:r>
      <w:bookmarkStart w:id="0" w:name="_GoBack"/>
      <w:bookmarkEnd w:id="0"/>
      <w:r w:rsidR="00FD1DC6">
        <w:rPr>
          <w:rFonts w:ascii="Times New Roman" w:hAnsi="Times New Roman" w:cs="Times New Roman"/>
          <w:sz w:val="24"/>
          <w:szCs w:val="24"/>
        </w:rPr>
        <w:t>both qualify</w:t>
      </w:r>
      <w:r w:rsidRPr="00B9336B">
        <w:rPr>
          <w:rFonts w:ascii="Times New Roman" w:hAnsi="Times New Roman" w:cs="Times New Roman"/>
          <w:sz w:val="24"/>
          <w:szCs w:val="24"/>
        </w:rPr>
        <w:t xml:space="preserve"> as special cate</w:t>
      </w:r>
      <w:r w:rsidR="00FD1DC6">
        <w:rPr>
          <w:rFonts w:ascii="Times New Roman" w:hAnsi="Times New Roman" w:cs="Times New Roman"/>
          <w:sz w:val="24"/>
          <w:szCs w:val="24"/>
        </w:rPr>
        <w:t>gory data under</w:t>
      </w:r>
      <w:r w:rsidR="00760748" w:rsidRPr="00B9336B">
        <w:rPr>
          <w:rFonts w:ascii="Times New Roman" w:hAnsi="Times New Roman" w:cs="Times New Roman"/>
          <w:sz w:val="24"/>
          <w:szCs w:val="24"/>
        </w:rPr>
        <w:t xml:space="preserve"> Article 9,</w:t>
      </w:r>
      <w:r w:rsidRPr="00B9336B">
        <w:rPr>
          <w:rFonts w:ascii="Times New Roman" w:hAnsi="Times New Roman" w:cs="Times New Roman"/>
          <w:sz w:val="24"/>
          <w:szCs w:val="24"/>
        </w:rPr>
        <w:t xml:space="preserve"> </w:t>
      </w:r>
      <w:r w:rsidR="00FD1DC6">
        <w:rPr>
          <w:rFonts w:ascii="Times New Roman" w:hAnsi="Times New Roman" w:cs="Times New Roman"/>
          <w:sz w:val="24"/>
          <w:szCs w:val="24"/>
        </w:rPr>
        <w:t xml:space="preserve">which is </w:t>
      </w:r>
      <w:r w:rsidRPr="00B9336B">
        <w:rPr>
          <w:rFonts w:ascii="Times New Roman" w:hAnsi="Times New Roman" w:cs="Times New Roman"/>
          <w:sz w:val="24"/>
          <w:szCs w:val="24"/>
        </w:rPr>
        <w:t>the highest protection tier in EU law. GDPR Article 9(1) prohibits health</w:t>
      </w:r>
      <w:r w:rsidR="00FD1DC6">
        <w:rPr>
          <w:rFonts w:ascii="Times New Roman" w:hAnsi="Times New Roman" w:cs="Times New Roman"/>
          <w:sz w:val="24"/>
          <w:szCs w:val="24"/>
        </w:rPr>
        <w:t xml:space="preserve"> data processing by default. However, it can be processed </w:t>
      </w:r>
      <w:r w:rsidRPr="00B9336B">
        <w:rPr>
          <w:rFonts w:ascii="Times New Roman" w:hAnsi="Times New Roman" w:cs="Times New Roman"/>
          <w:sz w:val="24"/>
          <w:szCs w:val="24"/>
        </w:rPr>
        <w:t>unde</w:t>
      </w:r>
      <w:r w:rsidR="00760748" w:rsidRPr="00B9336B">
        <w:rPr>
          <w:rFonts w:ascii="Times New Roman" w:hAnsi="Times New Roman" w:cs="Times New Roman"/>
          <w:sz w:val="24"/>
          <w:szCs w:val="24"/>
        </w:rPr>
        <w:t>r</w:t>
      </w:r>
      <w:r w:rsidR="00FD1DC6">
        <w:rPr>
          <w:rFonts w:ascii="Times New Roman" w:hAnsi="Times New Roman" w:cs="Times New Roman"/>
          <w:sz w:val="24"/>
          <w:szCs w:val="24"/>
        </w:rPr>
        <w:t xml:space="preserve"> the conditions listed in</w:t>
      </w:r>
      <w:r w:rsidR="00760748" w:rsidRPr="00B9336B">
        <w:rPr>
          <w:rFonts w:ascii="Times New Roman" w:hAnsi="Times New Roman" w:cs="Times New Roman"/>
          <w:sz w:val="24"/>
          <w:szCs w:val="24"/>
        </w:rPr>
        <w:t xml:space="preserve"> Article 9(2)(a) when </w:t>
      </w:r>
      <w:r w:rsidRPr="00B9336B">
        <w:rPr>
          <w:rFonts w:ascii="Times New Roman" w:hAnsi="Times New Roman" w:cs="Times New Roman"/>
          <w:sz w:val="24"/>
          <w:szCs w:val="24"/>
        </w:rPr>
        <w:t>consent is ob</w:t>
      </w:r>
      <w:r w:rsidR="00FD1DC6">
        <w:rPr>
          <w:rFonts w:ascii="Times New Roman" w:hAnsi="Times New Roman" w:cs="Times New Roman"/>
          <w:sz w:val="24"/>
          <w:szCs w:val="24"/>
        </w:rPr>
        <w:t>tained from the beneficiary. F</w:t>
      </w:r>
      <w:r w:rsidRPr="00B9336B">
        <w:rPr>
          <w:rFonts w:ascii="Times New Roman" w:hAnsi="Times New Roman" w:cs="Times New Roman"/>
          <w:sz w:val="24"/>
          <w:szCs w:val="24"/>
        </w:rPr>
        <w:t xml:space="preserve">or child beneficiaries, </w:t>
      </w:r>
      <w:r w:rsidR="00FD1DC6">
        <w:rPr>
          <w:rFonts w:ascii="Times New Roman" w:hAnsi="Times New Roman" w:cs="Times New Roman"/>
          <w:sz w:val="24"/>
          <w:szCs w:val="24"/>
        </w:rPr>
        <w:t>consent must be obtained from child’s</w:t>
      </w:r>
      <w:r w:rsidRPr="00B9336B">
        <w:rPr>
          <w:rFonts w:ascii="Times New Roman" w:hAnsi="Times New Roman" w:cs="Times New Roman"/>
          <w:sz w:val="24"/>
          <w:szCs w:val="24"/>
        </w:rPr>
        <w:t xml:space="preserve"> parent or guardian. Once consent is established, Article 32 maximum security protections apply without exception.</w:t>
      </w:r>
    </w:p>
    <w:p w:rsidR="00545B79" w:rsidRDefault="00545B79" w:rsidP="00545B79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97032B" w:rsidRPr="00B9336B" w:rsidRDefault="001C5895" w:rsidP="00545B79">
      <w:pPr>
        <w:spacing w:before="60" w:after="80"/>
        <w:jc w:val="center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b/>
          <w:bCs/>
          <w:sz w:val="24"/>
          <w:szCs w:val="24"/>
        </w:rPr>
        <w:t>Co</w:t>
      </w:r>
      <w:r w:rsidRPr="00B9336B">
        <w:rPr>
          <w:rFonts w:ascii="Times New Roman" w:hAnsi="Times New Roman" w:cs="Times New Roman"/>
          <w:b/>
          <w:bCs/>
          <w:sz w:val="24"/>
          <w:szCs w:val="24"/>
        </w:rPr>
        <w:t>ntrol to GDPR Article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3760"/>
        <w:gridCol w:w="800"/>
      </w:tblGrid>
      <w:tr w:rsidR="00510AA9" w:rsidRPr="00B9336B" w:rsidT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GDPR Article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It Requires For Health NGOs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Tier</w:t>
            </w:r>
          </w:p>
        </w:tc>
      </w:tr>
      <w:tr w:rsidR="00510AA9" w:rsidRP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Multi-Factor Authentication (MFA)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760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Art. 32(1)(a),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 appropriate technical measures including access control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Mandatory on all accounts touching patient data. Without MFA a stolen password gives full access to all patient records.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10AA9" w:rsidRPr="00B9336B" w:rsidT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Default="00760748" w:rsidP="00760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Password Manager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D1DC6" w:rsidRPr="00B9336B" w:rsidRDefault="00FD1DC6" w:rsidP="00760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(Bitwarden)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760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Art. 32(1)(a),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appropriate technical measures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Each staff member must have their own individual login. No shared credentials. Bitwarden is free and eliminates weak and reused passwords.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10AA9" w:rsidRP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Automatic Software Updates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760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Art. 32(1)(b),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ongoing confidentiality, integrity, and availability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Unpatched software is the most common cyberattack</w:t>
            </w:r>
            <w:r w:rsidR="00FD1DC6">
              <w:rPr>
                <w:rFonts w:ascii="Times New Roman" w:hAnsi="Times New Roman" w:cs="Times New Roman"/>
                <w:sz w:val="24"/>
                <w:szCs w:val="24"/>
              </w:rPr>
              <w:t xml:space="preserve"> entry point. Automatic updates should be enabled on all working systems. 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10AA9" w:rsidRPr="00B9336B" w:rsidT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760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Google Drive -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Restricted Sharing by Default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760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Art. 25,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data protection by design and by default. Art. 32(1)(a)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No public links on folders containing patient or donor data. Default sharing must be Restricted at all times.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10AA9" w:rsidRP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Staff and Volunteer Offboarding Checklist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760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Art. 32(1)(b),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ongoing confidentiality measures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All system access must be revoked the same day a staff member or volunteer leaves. Former staff retaining access to patient data is a direct GDPR failure.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10AA9" w:rsidRPr="00B9336B" w:rsidT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B93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Screen Lock,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2 Minutes</w:t>
            </w: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 Inactivity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B93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Art. 32(1)(b),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confidentiality and integrity of processing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Prevents unauthorized physical access to open sessions</w:t>
            </w:r>
            <w:r w:rsidR="003A6EEE">
              <w:rPr>
                <w:rFonts w:ascii="Times New Roman" w:hAnsi="Times New Roman" w:cs="Times New Roman"/>
                <w:sz w:val="24"/>
                <w:szCs w:val="24"/>
              </w:rPr>
              <w:t>/systems</w:t>
            </w: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 on unattended devices in office and field locations.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10AA9" w:rsidRP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B93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BYOD Policy -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Personal Device Rules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B93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Art. 25,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data protection by design. Art. 32(1)(a)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Personal phones used for work are high risk. A written BYOD policy is required to demonstrate data protection by design. App-level PIN and no local downloads mandatory.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10AA9" w:rsidRPr="00B9336B" w:rsidT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Staff Awareness Training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B93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Art. 32(1)(b),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appropriate organisational measures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GDPR requires organisational as well as technical measures. Trai</w:t>
            </w:r>
            <w:r w:rsidR="00B9336B" w:rsidRPr="00B9336B">
              <w:rPr>
                <w:rFonts w:ascii="Times New Roman" w:hAnsi="Times New Roman" w:cs="Times New Roman"/>
                <w:sz w:val="24"/>
                <w:szCs w:val="24"/>
              </w:rPr>
              <w:t>ning all staff and volunteers including short-term,</w:t>
            </w: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 is a legal requirement.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10AA9" w:rsidRP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B93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Data Retention Policy: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 Time-Triggered Deletion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B933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Art. 5(1)(e),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 storage limitation principle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3A6E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Patient data must not be kept longer than necessary. 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10AA9" w:rsidRPr="00B9336B" w:rsidT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Records of Processing Activities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760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Art. 30,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records of processing activities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545B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Every NGO must maintain a written record of what data they process, why, where it is stored, and who has access. This is the asset inventory.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10AA9" w:rsidRP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Explicit Consent from Beneficiaries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760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Art. 9(2)(a),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lawful basis for processing special category data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Health data processing requires explicit consent. For child beneficiaries consent must come from the parent or guardian in writing.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10AA9" w:rsidRPr="00B9336B" w:rsidT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Encrypted Cloud Backup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760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Art. 32(1)(c),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ability to restore availability and access to personal data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Backups must exist and be restorable. Ransomware encrypts unprotected cloud syncs. Test restoration monthly.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10AA9" w:rsidRP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760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Hard Drive Encryption 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760748" w:rsidP="00FD1D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Art. 5(1)(f),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integrity and confidentiality. Art. 32(1)(a)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An unencrypted lost hard drive containing patient data triggers mandatory CNPD notification within 72 hours under Art. 33.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10AA9" w:rsidRPr="00B9336B" w:rsidT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Malwarebytes Endpoint Protection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760748" w:rsidP="00FD1D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Art. 32(1)(b),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appropriate technical and organisational measures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Malware can silently exfiltrate patient data for weeks before detection. Endpoint protection is a required security measure. Free tier is sufficient.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10AA9" w:rsidRP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Signal for Field Worker Communications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760748" w:rsidP="00FD1D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Art. 32(1)(a),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encryption of personal data in transit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WhatsApp is not appropriate for patient data. Signal provides end-to-end encryption with no third-party data storage.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10AA9" w:rsidRPr="00B9336B" w:rsidT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Incident Response Plan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760748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Art. 33,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notificat</w:t>
            </w: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ion of breach to CNPD. Art. 34,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 notification to individuals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 written incident response plan must include the CNPD 72-hour notification step and individual </w:t>
            </w:r>
            <w:r w:rsidRPr="00B933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notification where breach poses high risk.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</w:tr>
      <w:tr w:rsidR="00510AA9" w:rsidRP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Data Processing Agreements with Vendors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760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Art. 28,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processor obligations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Every third-party tool storing or pr</w:t>
            </w:r>
            <w:r w:rsidR="00760748"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ocessing patient or donor data including Google and Dropbox </w:t>
            </w: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requires a signed Data Processing Agreement.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10AA9" w:rsidRPr="00B9336B" w:rsidT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Annual CISO Assistant Assessment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760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Art. 32(1)(d), 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>regular testing and assessment of technical and organisational measures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FD1D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GDPR requires regular evaluation of security measures. CISO Assistant provides a structured assessment without a dedicated technical team.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10AA9" w:rsidRPr="00B9336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Cross-Border Data Transfer Agreements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7607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Art. 46,</w:t>
            </w:r>
            <w:r w:rsidR="001C5895" w:rsidRPr="00B9336B">
              <w:rPr>
                <w:rFonts w:ascii="Times New Roman" w:hAnsi="Times New Roman" w:cs="Times New Roman"/>
                <w:sz w:val="24"/>
                <w:szCs w:val="24"/>
              </w:rPr>
              <w:t xml:space="preserve"> transfers to third countries or international organisations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 w:rsidP="00706C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NGOs operating across multiple countries must have appropriate transfer mechanisms for data crossing EU borders.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7032B" w:rsidRPr="00B9336B" w:rsidRDefault="001C58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3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97032B" w:rsidRPr="00B9336B" w:rsidRDefault="0097032B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97032B" w:rsidRPr="00B9336B" w:rsidRDefault="0097032B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760748" w:rsidRPr="00B9336B" w:rsidRDefault="001C5895" w:rsidP="00706C8E">
      <w:pPr>
        <w:spacing w:before="280" w:after="120"/>
        <w:jc w:val="center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b/>
          <w:bCs/>
          <w:sz w:val="24"/>
          <w:szCs w:val="24"/>
        </w:rPr>
        <w:t>Control Tier Key</w:t>
      </w:r>
    </w:p>
    <w:p w:rsidR="0097032B" w:rsidRPr="00B9336B" w:rsidRDefault="005F0F2F" w:rsidP="00FD1DC6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>Tier 1:</w:t>
      </w:r>
      <w:r w:rsidR="001C5895" w:rsidRPr="00B9336B">
        <w:rPr>
          <w:rFonts w:ascii="Times New Roman" w:hAnsi="Times New Roman" w:cs="Times New Roman"/>
          <w:sz w:val="24"/>
          <w:szCs w:val="24"/>
        </w:rPr>
        <w:t xml:space="preserve"> Zero cost. Implement immediately. These are non-negotiable for GDPR compliance.</w:t>
      </w:r>
    </w:p>
    <w:p w:rsidR="0097032B" w:rsidRPr="00B9336B" w:rsidRDefault="005F0F2F" w:rsidP="00FD1DC6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 xml:space="preserve">Tier 2: </w:t>
      </w:r>
      <w:r w:rsidR="001C5895" w:rsidRPr="00B9336B">
        <w:rPr>
          <w:rFonts w:ascii="Times New Roman" w:hAnsi="Times New Roman" w:cs="Times New Roman"/>
          <w:sz w:val="24"/>
          <w:szCs w:val="24"/>
        </w:rPr>
        <w:t>Under €500 per year. Prioritize after all Tier 1 controls are in place.</w:t>
      </w:r>
    </w:p>
    <w:p w:rsidR="0097032B" w:rsidRPr="00B9336B" w:rsidRDefault="005F0F2F" w:rsidP="00FD1DC6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 xml:space="preserve">Tier 3: </w:t>
      </w:r>
      <w:r w:rsidR="001C5895" w:rsidRPr="00B9336B">
        <w:rPr>
          <w:rFonts w:ascii="Times New Roman" w:hAnsi="Times New Roman" w:cs="Times New Roman"/>
          <w:sz w:val="24"/>
          <w:szCs w:val="24"/>
        </w:rPr>
        <w:t>Moderate investment. Implement as organizational capacity grows.</w:t>
      </w:r>
    </w:p>
    <w:p w:rsidR="0097032B" w:rsidRPr="00B9336B" w:rsidRDefault="0097032B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97032B" w:rsidRPr="00B9336B" w:rsidRDefault="0097032B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B9336B" w:rsidRPr="00B9336B" w:rsidRDefault="00B9336B" w:rsidP="005F0F2F">
      <w:pPr>
        <w:spacing w:before="400" w:after="2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9336B" w:rsidRPr="00B9336B" w:rsidRDefault="00B9336B" w:rsidP="005F0F2F">
      <w:pPr>
        <w:spacing w:before="400" w:after="2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7032B" w:rsidRPr="00B9336B" w:rsidRDefault="00510AA9" w:rsidP="005F0F2F">
      <w:pPr>
        <w:spacing w:before="4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b/>
          <w:bCs/>
          <w:sz w:val="24"/>
          <w:szCs w:val="24"/>
        </w:rPr>
        <w:t>GDPR Articles</w:t>
      </w:r>
      <w:r w:rsidR="001C5895" w:rsidRPr="00B9336B">
        <w:rPr>
          <w:rFonts w:ascii="Times New Roman" w:hAnsi="Times New Roman" w:cs="Times New Roman"/>
          <w:b/>
          <w:bCs/>
          <w:sz w:val="24"/>
          <w:szCs w:val="24"/>
        </w:rPr>
        <w:t xml:space="preserve"> Reference</w:t>
      </w:r>
    </w:p>
    <w:p w:rsidR="0097032B" w:rsidRPr="00B9336B" w:rsidRDefault="0097032B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97032B" w:rsidRPr="00B9336B" w:rsidRDefault="001C5895" w:rsidP="005F0F2F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>The following are the GDPR articles referenced in the mapping table above.</w:t>
      </w:r>
    </w:p>
    <w:p w:rsidR="0097032B" w:rsidRPr="00B9336B" w:rsidRDefault="0097032B" w:rsidP="005F0F2F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97032B" w:rsidRPr="00B9336B" w:rsidRDefault="005F0F2F" w:rsidP="005F0F2F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 xml:space="preserve">Art. 5(1)(e): </w:t>
      </w:r>
      <w:r w:rsidR="001C5895" w:rsidRPr="00B9336B">
        <w:rPr>
          <w:rFonts w:ascii="Times New Roman" w:hAnsi="Times New Roman" w:cs="Times New Roman"/>
          <w:sz w:val="24"/>
          <w:szCs w:val="24"/>
        </w:rPr>
        <w:t>Storage limitation. Personal data must not be kept longer than necessary for the purpose it was collected.</w:t>
      </w:r>
    </w:p>
    <w:p w:rsidR="0097032B" w:rsidRPr="00B9336B" w:rsidRDefault="005F0F2F" w:rsidP="005F0F2F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 xml:space="preserve">Art. 5(1)(f): </w:t>
      </w:r>
      <w:r w:rsidR="001C5895" w:rsidRPr="00B9336B">
        <w:rPr>
          <w:rFonts w:ascii="Times New Roman" w:hAnsi="Times New Roman" w:cs="Times New Roman"/>
          <w:sz w:val="24"/>
          <w:szCs w:val="24"/>
        </w:rPr>
        <w:t>Integrity and confidentiality. Data must be protected against unauthorized access, loss, destruction, or damage.</w:t>
      </w:r>
    </w:p>
    <w:p w:rsidR="0097032B" w:rsidRPr="00B9336B" w:rsidRDefault="001C5895" w:rsidP="005F0F2F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>Art. 9</w:t>
      </w:r>
      <w:r w:rsidR="005F0F2F" w:rsidRPr="00B9336B">
        <w:rPr>
          <w:rFonts w:ascii="Times New Roman" w:hAnsi="Times New Roman" w:cs="Times New Roman"/>
          <w:sz w:val="24"/>
          <w:szCs w:val="24"/>
        </w:rPr>
        <w:t xml:space="preserve">(1): </w:t>
      </w:r>
      <w:r w:rsidRPr="00B9336B">
        <w:rPr>
          <w:rFonts w:ascii="Times New Roman" w:hAnsi="Times New Roman" w:cs="Times New Roman"/>
          <w:sz w:val="24"/>
          <w:szCs w:val="24"/>
        </w:rPr>
        <w:t>Processing of special category data including health data is prohibited by default.</w:t>
      </w:r>
    </w:p>
    <w:p w:rsidR="0097032B" w:rsidRPr="00B9336B" w:rsidRDefault="005F0F2F" w:rsidP="005F0F2F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lastRenderedPageBreak/>
        <w:t>Art. 9(2)(a):</w:t>
      </w:r>
      <w:r w:rsidR="001C5895" w:rsidRPr="00B9336B">
        <w:rPr>
          <w:rFonts w:ascii="Times New Roman" w:hAnsi="Times New Roman" w:cs="Times New Roman"/>
          <w:sz w:val="24"/>
          <w:szCs w:val="24"/>
        </w:rPr>
        <w:t xml:space="preserve"> Prohibition lifted when the data subject or parent/guardian has given explicit consent.</w:t>
      </w:r>
    </w:p>
    <w:p w:rsidR="0097032B" w:rsidRPr="00B9336B" w:rsidRDefault="005F0F2F" w:rsidP="005F0F2F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>Art. 25:</w:t>
      </w:r>
      <w:r w:rsidR="001C5895" w:rsidRPr="00B9336B">
        <w:rPr>
          <w:rFonts w:ascii="Times New Roman" w:hAnsi="Times New Roman" w:cs="Times New Roman"/>
          <w:sz w:val="24"/>
          <w:szCs w:val="24"/>
        </w:rPr>
        <w:t xml:space="preserve"> Data protection by design and by default. Security mu</w:t>
      </w:r>
      <w:r w:rsidR="001C5895" w:rsidRPr="00B9336B">
        <w:rPr>
          <w:rFonts w:ascii="Times New Roman" w:hAnsi="Times New Roman" w:cs="Times New Roman"/>
          <w:sz w:val="24"/>
          <w:szCs w:val="24"/>
        </w:rPr>
        <w:t>st be built in from the start. The most privacy-friendly option must be the default.</w:t>
      </w:r>
    </w:p>
    <w:p w:rsidR="0097032B" w:rsidRPr="00B9336B" w:rsidRDefault="005F0F2F" w:rsidP="005F0F2F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>Art. 28:</w:t>
      </w:r>
      <w:r w:rsidR="001C5895" w:rsidRPr="00B9336B">
        <w:rPr>
          <w:rFonts w:ascii="Times New Roman" w:hAnsi="Times New Roman" w:cs="Times New Roman"/>
          <w:sz w:val="24"/>
          <w:szCs w:val="24"/>
        </w:rPr>
        <w:t xml:space="preserve"> Processor obligations. Every third-party tool handling personal data requires a signed Data Processing Agreement.</w:t>
      </w:r>
    </w:p>
    <w:p w:rsidR="0097032B" w:rsidRPr="00B9336B" w:rsidRDefault="005F0F2F" w:rsidP="005F0F2F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 xml:space="preserve">Art. 30: </w:t>
      </w:r>
      <w:r w:rsidR="001C5895" w:rsidRPr="00B9336B">
        <w:rPr>
          <w:rFonts w:ascii="Times New Roman" w:hAnsi="Times New Roman" w:cs="Times New Roman"/>
          <w:sz w:val="24"/>
          <w:szCs w:val="24"/>
        </w:rPr>
        <w:t>Records of processing activities. Org</w:t>
      </w:r>
      <w:r w:rsidR="001C5895" w:rsidRPr="00B9336B">
        <w:rPr>
          <w:rFonts w:ascii="Times New Roman" w:hAnsi="Times New Roman" w:cs="Times New Roman"/>
          <w:sz w:val="24"/>
          <w:szCs w:val="24"/>
        </w:rPr>
        <w:t>anizations must maintain a written record of all data processing activities.</w:t>
      </w:r>
    </w:p>
    <w:p w:rsidR="0097032B" w:rsidRPr="00B9336B" w:rsidRDefault="005F0F2F" w:rsidP="005F0F2F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 xml:space="preserve">Art. 32(1)(a): </w:t>
      </w:r>
      <w:r w:rsidR="001C5895" w:rsidRPr="00B9336B">
        <w:rPr>
          <w:rFonts w:ascii="Times New Roman" w:hAnsi="Times New Roman" w:cs="Times New Roman"/>
          <w:sz w:val="24"/>
          <w:szCs w:val="24"/>
        </w:rPr>
        <w:t>Appropriate technical measures including encryption and access control proportionate to the risk.</w:t>
      </w:r>
    </w:p>
    <w:p w:rsidR="0097032B" w:rsidRPr="00B9336B" w:rsidRDefault="005F0F2F" w:rsidP="005F0F2F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 xml:space="preserve">Art. 32(1)(b): </w:t>
      </w:r>
      <w:r w:rsidR="001C5895" w:rsidRPr="00B9336B">
        <w:rPr>
          <w:rFonts w:ascii="Times New Roman" w:hAnsi="Times New Roman" w:cs="Times New Roman"/>
          <w:sz w:val="24"/>
          <w:szCs w:val="24"/>
        </w:rPr>
        <w:t>Ongoing confidentiality, integrity, and availabil</w:t>
      </w:r>
      <w:r w:rsidR="001C5895" w:rsidRPr="00B9336B">
        <w:rPr>
          <w:rFonts w:ascii="Times New Roman" w:hAnsi="Times New Roman" w:cs="Times New Roman"/>
          <w:sz w:val="24"/>
          <w:szCs w:val="24"/>
        </w:rPr>
        <w:t>ity including staff training and offboarding procedures.</w:t>
      </w:r>
    </w:p>
    <w:p w:rsidR="0097032B" w:rsidRPr="00B9336B" w:rsidRDefault="005F0F2F" w:rsidP="005F0F2F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 xml:space="preserve">Art. 32(1)(c): </w:t>
      </w:r>
      <w:r w:rsidR="001C5895" w:rsidRPr="00B9336B">
        <w:rPr>
          <w:rFonts w:ascii="Times New Roman" w:hAnsi="Times New Roman" w:cs="Times New Roman"/>
          <w:sz w:val="24"/>
          <w:szCs w:val="24"/>
        </w:rPr>
        <w:t>Ability to restore availability and access to personal data in a timely manner after an incident.</w:t>
      </w:r>
    </w:p>
    <w:p w:rsidR="0097032B" w:rsidRPr="00B9336B" w:rsidRDefault="005F0F2F" w:rsidP="005F0F2F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 xml:space="preserve">Art. 32(1)(d): </w:t>
      </w:r>
      <w:r w:rsidR="001C5895" w:rsidRPr="00B9336B">
        <w:rPr>
          <w:rFonts w:ascii="Times New Roman" w:hAnsi="Times New Roman" w:cs="Times New Roman"/>
          <w:sz w:val="24"/>
          <w:szCs w:val="24"/>
        </w:rPr>
        <w:t xml:space="preserve"> Regular testing and assessment of the effectiveness of technical and </w:t>
      </w:r>
      <w:r w:rsidR="001C5895" w:rsidRPr="00B9336B">
        <w:rPr>
          <w:rFonts w:ascii="Times New Roman" w:hAnsi="Times New Roman" w:cs="Times New Roman"/>
          <w:sz w:val="24"/>
          <w:szCs w:val="24"/>
        </w:rPr>
        <w:t>organisational security measures.</w:t>
      </w:r>
    </w:p>
    <w:p w:rsidR="0097032B" w:rsidRPr="00B9336B" w:rsidRDefault="005F0F2F" w:rsidP="005F0F2F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>Art. 33:</w:t>
      </w:r>
      <w:r w:rsidR="001C5895" w:rsidRPr="00B9336B">
        <w:rPr>
          <w:rFonts w:ascii="Times New Roman" w:hAnsi="Times New Roman" w:cs="Times New Roman"/>
          <w:sz w:val="24"/>
          <w:szCs w:val="24"/>
        </w:rPr>
        <w:t xml:space="preserve"> Notification of breach to CNPD Luxembourg within 72 hours of becoming aware. Non-negotiable.</w:t>
      </w:r>
    </w:p>
    <w:p w:rsidR="0097032B" w:rsidRPr="00B9336B" w:rsidRDefault="005F0F2F" w:rsidP="005F0F2F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>Art. 34:</w:t>
      </w:r>
      <w:r w:rsidR="001C5895" w:rsidRPr="00B9336B">
        <w:rPr>
          <w:rFonts w:ascii="Times New Roman" w:hAnsi="Times New Roman" w:cs="Times New Roman"/>
          <w:sz w:val="24"/>
          <w:szCs w:val="24"/>
        </w:rPr>
        <w:t xml:space="preserve"> Notification to affected individuals without undue delay when breach poses high risk to them.</w:t>
      </w:r>
    </w:p>
    <w:p w:rsidR="0097032B" w:rsidRPr="00760748" w:rsidRDefault="005F0F2F" w:rsidP="005F0F2F">
      <w:pPr>
        <w:spacing w:before="60" w:after="80"/>
        <w:jc w:val="both"/>
        <w:rPr>
          <w:rFonts w:ascii="Times New Roman" w:hAnsi="Times New Roman" w:cs="Times New Roman"/>
          <w:sz w:val="24"/>
          <w:szCs w:val="24"/>
        </w:rPr>
      </w:pPr>
      <w:r w:rsidRPr="00B9336B">
        <w:rPr>
          <w:rFonts w:ascii="Times New Roman" w:hAnsi="Times New Roman" w:cs="Times New Roman"/>
          <w:sz w:val="24"/>
          <w:szCs w:val="24"/>
        </w:rPr>
        <w:t xml:space="preserve">Art. 46: </w:t>
      </w:r>
      <w:r w:rsidR="001C5895" w:rsidRPr="00B9336B">
        <w:rPr>
          <w:rFonts w:ascii="Times New Roman" w:hAnsi="Times New Roman" w:cs="Times New Roman"/>
          <w:sz w:val="24"/>
          <w:szCs w:val="24"/>
        </w:rPr>
        <w:t>Appro</w:t>
      </w:r>
      <w:r w:rsidR="001C5895" w:rsidRPr="00B9336B">
        <w:rPr>
          <w:rFonts w:ascii="Times New Roman" w:hAnsi="Times New Roman" w:cs="Times New Roman"/>
          <w:sz w:val="24"/>
          <w:szCs w:val="24"/>
        </w:rPr>
        <w:t>priate safeguards required for personal data transferred outside the EU.</w:t>
      </w:r>
    </w:p>
    <w:p w:rsidR="0097032B" w:rsidRPr="00760748" w:rsidRDefault="0097032B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97032B" w:rsidRPr="00760748" w:rsidRDefault="0097032B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97032B" w:rsidRPr="00760748" w:rsidRDefault="0097032B">
      <w:pPr>
        <w:spacing w:before="60" w:after="80"/>
        <w:rPr>
          <w:rFonts w:ascii="Times New Roman" w:hAnsi="Times New Roman" w:cs="Times New Roman"/>
          <w:sz w:val="24"/>
          <w:szCs w:val="24"/>
        </w:rPr>
      </w:pPr>
    </w:p>
    <w:sectPr w:rsidR="0097032B" w:rsidRPr="0076074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9B0813"/>
    <w:multiLevelType w:val="hybridMultilevel"/>
    <w:tmpl w:val="DFEAC970"/>
    <w:lvl w:ilvl="0" w:tplc="5E0A36B6">
      <w:start w:val="1"/>
      <w:numFmt w:val="bullet"/>
      <w:lvlText w:val="●"/>
      <w:lvlJc w:val="left"/>
      <w:pPr>
        <w:ind w:left="720" w:hanging="360"/>
      </w:pPr>
    </w:lvl>
    <w:lvl w:ilvl="1" w:tplc="5CD6DC06">
      <w:start w:val="1"/>
      <w:numFmt w:val="bullet"/>
      <w:lvlText w:val="○"/>
      <w:lvlJc w:val="left"/>
      <w:pPr>
        <w:ind w:left="1440" w:hanging="360"/>
      </w:pPr>
    </w:lvl>
    <w:lvl w:ilvl="2" w:tplc="4D16ACA8">
      <w:start w:val="1"/>
      <w:numFmt w:val="bullet"/>
      <w:lvlText w:val="■"/>
      <w:lvlJc w:val="left"/>
      <w:pPr>
        <w:ind w:left="2160" w:hanging="360"/>
      </w:pPr>
    </w:lvl>
    <w:lvl w:ilvl="3" w:tplc="37ECD3F6">
      <w:start w:val="1"/>
      <w:numFmt w:val="bullet"/>
      <w:lvlText w:val="●"/>
      <w:lvlJc w:val="left"/>
      <w:pPr>
        <w:ind w:left="2880" w:hanging="360"/>
      </w:pPr>
    </w:lvl>
    <w:lvl w:ilvl="4" w:tplc="406A919C">
      <w:start w:val="1"/>
      <w:numFmt w:val="bullet"/>
      <w:lvlText w:val="○"/>
      <w:lvlJc w:val="left"/>
      <w:pPr>
        <w:ind w:left="3600" w:hanging="360"/>
      </w:pPr>
    </w:lvl>
    <w:lvl w:ilvl="5" w:tplc="B80EA4A0">
      <w:start w:val="1"/>
      <w:numFmt w:val="bullet"/>
      <w:lvlText w:val="■"/>
      <w:lvlJc w:val="left"/>
      <w:pPr>
        <w:ind w:left="4320" w:hanging="360"/>
      </w:pPr>
    </w:lvl>
    <w:lvl w:ilvl="6" w:tplc="206C154C">
      <w:start w:val="1"/>
      <w:numFmt w:val="bullet"/>
      <w:lvlText w:val="●"/>
      <w:lvlJc w:val="left"/>
      <w:pPr>
        <w:ind w:left="5040" w:hanging="360"/>
      </w:pPr>
    </w:lvl>
    <w:lvl w:ilvl="7" w:tplc="6D3061E2">
      <w:start w:val="1"/>
      <w:numFmt w:val="bullet"/>
      <w:lvlText w:val="●"/>
      <w:lvlJc w:val="left"/>
      <w:pPr>
        <w:ind w:left="5760" w:hanging="360"/>
      </w:pPr>
    </w:lvl>
    <w:lvl w:ilvl="8" w:tplc="6F4C28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32B"/>
    <w:rsid w:val="001C5895"/>
    <w:rsid w:val="003A6EEE"/>
    <w:rsid w:val="00510AA9"/>
    <w:rsid w:val="00545B79"/>
    <w:rsid w:val="005F0F2F"/>
    <w:rsid w:val="00706C8E"/>
    <w:rsid w:val="00760748"/>
    <w:rsid w:val="0097032B"/>
    <w:rsid w:val="00B9336B"/>
    <w:rsid w:val="00FD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B4410"/>
  <w15:docId w15:val="{6DDD3444-068E-4486-8164-E646A7DE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79AC4-3086-48DF-ABAC-D2E7167A9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1071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2026-05-25T10:48:00Z</dcterms:created>
  <dcterms:modified xsi:type="dcterms:W3CDTF">2026-05-25T12:28:00Z</dcterms:modified>
</cp:coreProperties>
</file>