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Charter</w:t>
      </w:r>
    </w:p>
    <w:p>
      <w:pPr>
        <w:spacing w:after="120"/>
      </w:pPr>
      <w:r>
        <w:rPr>
          <w:color w:val="595959"/>
          <w:sz w:val="20"/>
        </w:rPr>
        <w:t>Composio APM take-home · Product submission</w:t>
      </w:r>
    </w:p>
    <w:p>
      <w:pPr>
        <w:spacing w:after="180"/>
      </w:pPr>
      <w:hyperlink r:id="rId9">
        <w:r>
          <w:rPr>
            <w:color w:val="1756A9"/>
            <w:u w:val="single"/>
          </w:rPr>
          <w:t>Live prototype</w:t>
        </w:r>
      </w:hyperlink>
      <w:r>
        <w:t xml:space="preserve">  |  </w:t>
      </w:r>
      <w:hyperlink r:id="rId10">
        <w:r>
          <w:rPr>
            <w:color w:val="1756A9"/>
            <w:u w:val="single"/>
          </w:rPr>
          <w:t>Source and README</w:t>
        </w:r>
      </w:hyperlink>
      <w:r>
        <w:t xml:space="preserve">  |  </w:t>
      </w:r>
      <w:hyperlink r:id="rId11">
        <w:r>
          <w:rPr>
            <w:color w:val="1756A9"/>
            <w:u w:val="single"/>
          </w:rPr>
          <w:t>Saved research example</w:t>
        </w:r>
      </w:hyperlink>
    </w:p>
    <w:p>
      <w:r>
        <w:t>I built Charter to help developers understand what stands between a working OAuth connection and a launchable integration. It turns provider documentation into a contextual plan: applicable approvals, separate work and waiting estimates, clear owners, and a next action that a developer can hand to a coding agent.</w:t>
      </w:r>
    </w:p>
    <w:p>
      <w:pPr>
        <w:spacing w:after="140"/>
      </w:pPr>
      <w:r>
        <w:rPr>
          <w:b/>
        </w:rPr>
        <w:t xml:space="preserve">Try it in one minute: </w:t>
      </w:r>
      <w:r/>
      <w:hyperlink r:id="rId12">
        <w:r>
          <w:rPr>
            <w:color w:val="1756A9"/>
            <w:u w:val="single"/>
          </w:rPr>
          <w:t>Open Gmail</w:t>
        </w:r>
      </w:hyperlink>
      <w:r>
        <w:t xml:space="preserve"> for external customers. Compare mailbox reading with sending email only, inspect the review gates and their sources, then switch from Human to Agent mode. The guide retains its scenario and evidence.</w:t>
      </w:r>
    </w:p>
    <w:p>
      <w:pPr>
        <w:pStyle w:val="Heading1"/>
      </w:pPr>
      <w:r>
        <w:t>1. The problem and the user</w:t>
      </w:r>
    </w:p>
    <w:p>
      <w:r>
        <w:t>The primary user is a developer building a customer-facing integration with an AI coding agent. A successful OAuth callback does not resolve provider review, distribution rules or customer-admin restrictions. These can change the launch path even when implementation works. My hypothesis is that exposing them early helps developers choose scope and plan their next step. I have not validated demand through interviews or measured time savings.</w:t>
      </w:r>
    </w:p>
    <w:p>
      <w:pPr>
        <w:pStyle w:val="Heading1"/>
      </w:pPr>
      <w:r>
        <w:t>2. The decisions the prototype helps a developer make</w:t>
      </w:r>
    </w:p>
    <w:p>
      <w:r>
        <w:t>I chose three reviewed examples to test different kinds of launch decisions:</w:t>
      </w:r>
    </w:p>
    <w:tbl>
      <w:tblPr>
        <w:tblW w:type="auto" w:w="0"/>
        <w:jc w:val="center"/>
        <w:tblLayout w:type="fixed"/>
        <w:tblLook w:firstColumn="1" w:firstRow="1" w:lastColumn="0" w:lastRow="0" w:noHBand="0" w:noVBand="1" w:val="04A0"/>
      </w:tblPr>
      <w:tblGrid>
        <w:gridCol w:w="1152"/>
        <w:gridCol w:w="8928"/>
      </w:tblGrid>
      <w:tr>
        <w:trPr>
          <w:cantSplit/>
        </w:trPr>
        <w:tc>
          <w:tcPr>
            <w:tcW w:type="dxa" w:w="5040"/>
            <w:shd w:fill="EEEEEE"/>
            <w:vAlign w:val="center"/>
          </w:tcPr>
          <w:p>
            <w:pPr>
              <w:spacing w:before="60" w:after="60"/>
            </w:pPr>
            <w:r>
              <w:rPr>
                <w:b/>
                <w:sz w:val="20"/>
              </w:rPr>
              <w:t>Provider</w:t>
            </w:r>
          </w:p>
        </w:tc>
        <w:tc>
          <w:tcPr>
            <w:tcW w:type="dxa" w:w="5040"/>
            <w:shd w:fill="EEEEEE"/>
            <w:vAlign w:val="center"/>
          </w:tcPr>
          <w:p>
            <w:pPr>
              <w:spacing w:before="60" w:after="60"/>
            </w:pPr>
            <w:r>
              <w:rPr>
                <w:b/>
                <w:sz w:val="20"/>
              </w:rPr>
              <w:t>Why it is included</w:t>
            </w:r>
          </w:p>
        </w:tc>
      </w:tr>
      <w:tr>
        <w:trPr>
          <w:cantSplit/>
        </w:trPr>
        <w:tc>
          <w:tcPr>
            <w:tcW w:type="dxa" w:w="1152"/>
            <w:vAlign w:val="center"/>
          </w:tcPr>
          <w:p>
            <w:pPr>
              <w:spacing w:before="60" w:after="60"/>
            </w:pPr>
            <w:r>
              <w:rPr>
                <w:sz w:val="20"/>
              </w:rPr>
              <w:t>GitHub</w:t>
            </w:r>
          </w:p>
        </w:tc>
        <w:tc>
          <w:tcPr>
            <w:tcW w:type="dxa" w:w="8928"/>
            <w:vAlign w:val="center"/>
          </w:tcPr>
          <w:p>
            <w:pPr>
              <w:spacing w:before="60" w:after="60"/>
            </w:pPr>
            <w:r>
              <w:rPr>
                <w:sz w:val="20"/>
              </w:rPr>
              <w:t>User authorization and organization-access restrictions are separate gates.</w:t>
            </w:r>
          </w:p>
        </w:tc>
      </w:tr>
      <w:tr>
        <w:trPr>
          <w:cantSplit/>
        </w:trPr>
        <w:tc>
          <w:tcPr>
            <w:tcW w:type="dxa" w:w="1152"/>
            <w:vAlign w:val="center"/>
          </w:tcPr>
          <w:p>
            <w:pPr>
              <w:spacing w:before="60" w:after="60"/>
            </w:pPr>
            <w:r>
              <w:rPr>
                <w:sz w:val="20"/>
              </w:rPr>
              <w:t>Gmail</w:t>
            </w:r>
          </w:p>
        </w:tc>
        <w:tc>
          <w:tcPr>
            <w:tcW w:type="dxa" w:w="8928"/>
            <w:vAlign w:val="center"/>
          </w:tcPr>
          <w:p>
            <w:pPr>
              <w:spacing w:before="60" w:after="60"/>
            </w:pPr>
            <w:r>
              <w:rPr>
                <w:sz w:val="20"/>
              </w:rPr>
              <w:t>Sending and reading request different scope categories and can lead to different review requirements.</w:t>
            </w:r>
          </w:p>
        </w:tc>
      </w:tr>
      <w:tr>
        <w:trPr>
          <w:cantSplit/>
        </w:trPr>
        <w:tc>
          <w:tcPr>
            <w:tcW w:type="dxa" w:w="1152"/>
            <w:vAlign w:val="center"/>
          </w:tcPr>
          <w:p>
            <w:pPr>
              <w:spacing w:before="60" w:after="60"/>
            </w:pPr>
            <w:r>
              <w:rPr>
                <w:sz w:val="20"/>
              </w:rPr>
              <w:t>Slack</w:t>
            </w:r>
          </w:p>
        </w:tc>
        <w:tc>
          <w:tcPr>
            <w:tcW w:type="dxa" w:w="8928"/>
            <w:vAlign w:val="center"/>
          </w:tcPr>
          <w:p>
            <w:pPr>
              <w:spacing w:before="60" w:after="60"/>
            </w:pPr>
            <w:r>
              <w:rPr>
                <w:sz w:val="20"/>
              </w:rPr>
              <w:t>Pilot use and public commercial distribution follow different paths.</w:t>
            </w:r>
          </w:p>
        </w:tc>
      </w:tr>
    </w:tbl>
    <w:p>
      <w:r>
        <w:t xml:space="preserve">Gmail is the clearest example. </w:t>
      </w:r>
      <w:hyperlink r:id="rId13">
        <w:r>
          <w:rPr>
            <w:color w:val="1756A9"/>
            <w:u w:val="single"/>
          </w:rPr>
          <w:t>Google classifies</w:t>
        </w:r>
      </w:hyperlink>
      <w:r>
        <w:t xml:space="preserve"> gmail.send as sensitive and gmail.readonly as restricted. Assessment requirements also depend on data handling and applicable exemptions. A feature choice can therefore change the launch path; a provider-wide checklist would hide that distinction.</w:t>
      </w:r>
    </w:p>
    <w:p>
      <w:r>
        <w:t>I kept the initial context controls to audience, capability and stage. They make the first decision manageable, but read/write is too coarse for final permission selection. Guides keep open questions visible, separate hands-on effort from external waiting, and identify who acts next. Human, Markdown, JSON and MCP views share the underlying guide record so an agent handoff preserves the same assumptions.</w:t>
      </w:r>
    </w:p>
    <w:p>
      <w:pPr>
        <w:pStyle w:val="Heading1"/>
      </w:pPr>
      <w:r>
        <w:t>3. Where this fits with Composio</w:t>
      </w:r>
    </w:p>
    <w:p>
      <w:r/>
      <w:hyperlink r:id="rId14">
        <w:r>
          <w:rPr>
            <w:color w:val="1756A9"/>
            <w:u w:val="single"/>
          </w:rPr>
          <w:t>Composio-managed OAuth</w:t>
        </w:r>
      </w:hyperlink>
      <w:r>
        <w:t xml:space="preserve"> can remove owned-app registration for supported methods. Charter currently covers the developer-owned setup path. A proposed integration point is the moment a developer chooses custom authentication: show the requirements before they begin configuration. Automatic managed-versus-custom routing is not built.</w:t>
      </w:r>
    </w:p>
    <w:p>
      <w:r>
        <w:br w:type="page"/>
      </w:r>
    </w:p>
    <w:p>
      <w:pPr>
        <w:pStyle w:val="Heading1"/>
      </w:pPr>
      <w:r>
        <w:t>4. What I tested, learned and changed</w:t>
      </w:r>
    </w:p>
    <w:p>
      <w:r>
        <w:t>A live Linear research request fetched three documentation pages, completed Gemini synthesis in about 44 seconds and saved a shareable guide. The result was partial because approval requirements remained unresolved. This demonstrates one retrieval-to-saved-guide path; it does not establish reliable coverage across providers or prove every generated claim.</w:t>
      </w:r>
    </w:p>
    <w:p>
      <w:r>
        <w:rPr>
          <w:b/>
        </w:rPr>
        <w:t>Review exposed a misleading waiting label.</w:t>
      </w:r>
      <w:r>
        <w:t xml:space="preserve"> The generated guide said “None documented,” while some launch gates were still unknown. A developer could interpret that as no external delay. I changed the policy to mark overall waiting as unknown when unresolved gates affect the plan. The corrected view retains the original estimate and carries a policy revision, preserving the evidence behind the change.</w:t>
      </w:r>
    </w:p>
    <w:p>
      <w:r>
        <w:t>The recorded hosted acceptance run passed 15 HTTP checks across guide retrieval, saved results, context preservation, Markdown and MCP. Eight focused checks cover the waiting policy. Builds and TypeScript checks passed. These checks establish interface behavior, not factual accuracy or user value. A later live attempt returned a model-service error; fresh research still depends on provider availability.</w:t>
      </w:r>
    </w:p>
    <w:p>
      <w:pPr>
        <w:pStyle w:val="Heading1"/>
      </w:pPr>
      <w:r>
        <w:t>5. What shipped, and what I left out</w:t>
      </w:r>
    </w:p>
    <w:p>
      <w:r>
        <w:rPr>
          <w:b/>
        </w:rPr>
        <w:t>Shipped:</w:t>
      </w:r>
      <w:r>
        <w:t xml:space="preserve"> three reviewed provider guides; context-dependent plans; cited gates and ordered steps with owners; research for unfamiliar apps; saved share links; and Markdown, JSON and four MCP tools.</w:t>
      </w:r>
    </w:p>
    <w:p>
      <w:r>
        <w:t>The implementation uses Next.js and React on Vercel, with private Vercel Blob storage for research jobs, guide snapshots and quotas. Research fetches public documentation, requests structured synthesis, validates the schema, references and dependencies, then persists the result. Model and storage credentials remain server-side.</w:t>
      </w:r>
    </w:p>
    <w:p>
      <w:r>
        <w:rPr>
          <w:b/>
        </w:rPr>
        <w:t>Deferred:</w:t>
      </w:r>
      <w:r>
        <w:t xml:space="preserve"> submission tracking and live approval-status synchronization. They introduce another workflow before the guidance itself is validated. Exact-scope branching, managed-versus-custom routing and source-refresh workflows also remain unbuilt.</w:t>
      </w:r>
    </w:p>
    <w:p>
      <w:r>
        <w:t>I did not register provider apps, execute token exchanges, submit approvals or conduct user interviews. Charter provides guidance; developers, account owners, providers and customer administrators still perform their respective actions.</w:t>
      </w:r>
    </w:p>
    <w:p>
      <w:pPr>
        <w:pStyle w:val="Heading1"/>
      </w:pPr>
      <w:r>
        <w:t>6. What I would validate next</w:t>
      </w:r>
    </w:p>
    <w:p>
      <w:r>
        <w:t>I would compare developers investigating an unfamiliar integration using their normal workflow versus Charter. The primary measure would be time to a correct next action. I would also record consequential mistakes, missed approvals and whether a coding agent preserves the scenario and unresolved questions. Faster answers would not count as success if they were wrong.</w:t>
      </w:r>
    </w:p>
    <w:p>
      <w:r>
        <w:t>For expansion to 100 apps, the shared schema avoids bespoke pages, but quality and maintenance remain unproven. I would begin with small reviewed batches, measure review effort and consequential errors, and check source freshness before expanding. One 44-second generation is an example, not a throughput forecast.</w:t>
      </w:r>
    </w:p>
    <w:p>
      <w:pPr>
        <w:spacing w:after="60"/>
      </w:pPr>
      <w:r>
        <w:rPr>
          <w:b/>
          <w:sz w:val="18"/>
        </w:rPr>
        <w:t xml:space="preserve">Supporting references: </w:t>
      </w:r>
      <w:r>
        <w:rPr>
          <w:sz w:val="18"/>
        </w:rPr>
      </w:r>
      <w:hyperlink r:id="rId15">
        <w:r>
          <w:rPr>
            <w:color w:val="1756A9"/>
            <w:u w:val="single"/>
          </w:rPr>
          <w:t>Nango review guidance</w:t>
        </w:r>
      </w:hyperlink>
      <w:r>
        <w:rPr>
          <w:sz w:val="18"/>
        </w:rPr>
        <w:t xml:space="preserve"> informed the separation of implementation and approval work; </w:t>
      </w:r>
      <w:hyperlink r:id="rId16">
        <w:r>
          <w:rPr>
            <w:color w:val="1756A9"/>
            <w:u w:val="single"/>
          </w:rPr>
          <w:t>Airbyte AI-assisted configuration</w:t>
        </w:r>
      </w:hyperlink>
      <w:r>
        <w:rPr>
          <w:sz w:val="18"/>
        </w:rPr>
        <w:t xml:space="preserve"> informed the use of documentation as structured input. </w:t>
      </w:r>
      <w:hyperlink r:id="rId17">
        <w:r>
          <w:rPr>
            <w:color w:val="1756A9"/>
            <w:u w:val="single"/>
          </w:rPr>
          <w:t>Validation record</w:t>
        </w:r>
      </w:hyperlink>
      <w:r>
        <w:rPr>
          <w:sz w:val="18"/>
        </w:rPr>
        <w:t xml:space="preserve"> contains the recorded runs and limitations.</w:t>
      </w:r>
    </w:p>
    <w:p>
      <w:pPr>
        <w:spacing w:after="0"/>
      </w:pPr>
      <w:r>
        <w:rPr>
          <w:i/>
          <w:color w:val="595959"/>
          <w:sz w:val="18"/>
        </w:rPr>
        <w:t>The source repository is private; evaluators need access.</w:t>
      </w:r>
    </w:p>
    <w:sectPr w:rsidR="00FC693F" w:rsidRPr="0006063C" w:rsidSect="00034616">
      <w:footerReference w:type="default" r:id="rId18"/>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t xml:space="preserve">Charter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7" w:lineRule="auto"/>
    </w:pPr>
    <w:rPr>
      <w:rFonts w:ascii="Arial" w:hAnsi="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0202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020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rial" w:hAnsi="Arial"/>
      <w:b/>
      <w:color w:val="2020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47" w:lineRule="auto"/>
    </w:pPr>
    <w:rPr>
      <w:rFonts w:ascii="Arial" w:hAnsi="Arial"/>
      <w:color w:val="20202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7" w:lineRule="auto"/>
      <w:contextualSpacing/>
    </w:pPr>
    <w:rPr>
      <w:rFonts w:ascii="Arial" w:hAnsi="Arial"/>
      <w:color w:val="20202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rter-oauth-guide.vercel.app" TargetMode="External"/><Relationship Id="rId10" Type="http://schemas.openxmlformats.org/officeDocument/2006/relationships/hyperlink" Target="https://github.com/Pal-prakash2/charter" TargetMode="External"/><Relationship Id="rId11" Type="http://schemas.openxmlformats.org/officeDocument/2006/relationships/hyperlink" Target="https://charter-oauth-guide.vercel.app/?guide=r_1c9eedc0-9b6f-4529-bf51-48f839f1ab45" TargetMode="External"/><Relationship Id="rId12" Type="http://schemas.openxmlformats.org/officeDocument/2006/relationships/hyperlink" Target="https://charter-oauth-guide.vercel.app/?guide=gmail&amp;audience=external&amp;capability=read&amp;stage=launching" TargetMode="External"/><Relationship Id="rId13" Type="http://schemas.openxmlformats.org/officeDocument/2006/relationships/hyperlink" Target="https://developers.google.com/workspace/gmail/api/auth/scopes" TargetMode="External"/><Relationship Id="rId14" Type="http://schemas.openxmlformats.org/officeDocument/2006/relationships/hyperlink" Target="https://docs.composio.dev/toolkits/managed-auth" TargetMode="External"/><Relationship Id="rId15" Type="http://schemas.openxmlformats.org/officeDocument/2006/relationships/hyperlink" Target="https://nango.dev/docs/api-integrations/google-shared/google-security-review" TargetMode="External"/><Relationship Id="rId16" Type="http://schemas.openxmlformats.org/officeDocument/2006/relationships/hyperlink" Target="https://docs.airbyte.com/platform/connector-development/connector-builder-ui/ai-assist" TargetMode="External"/><Relationship Id="rId17" Type="http://schemas.openxmlformats.org/officeDocument/2006/relationships/hyperlink" Target="https://github.com/Pal-prakash2/charter/blob/main/docs/VALIDATION.md"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 Composio APM Product Submission</dc:title>
  <dc:subject>Product rationale, prototype, validation and next steps</dc:subject>
  <dc:creator/>
  <cp:keywords>Charter, Composio, APM, OAuth, product submission</cp:keywords>
  <dc:description>generated by python-docx</dc:description>
  <cp:lastModifiedBy/>
  <cp:revision>1</cp:revision>
  <dcterms:created xsi:type="dcterms:W3CDTF">2013-12-23T23:15:00Z</dcterms:created>
  <dcterms:modified xsi:type="dcterms:W3CDTF">2013-12-23T23:15:00Z</dcterms:modified>
  <cp:category/>
</cp:coreProperties>
</file>