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2ed47bf23a36dcada9c3f9bf306390ce4f4831"/>
    <w:p>
      <w:pPr>
        <w:pStyle w:val="Heading1"/>
      </w:pPr>
      <w:r>
        <w:t xml:space="preserve">Polkadot Tax Tool — Legal Disclaimer (DRAFT)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legal review. Not yet approved for production use.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Pala Labs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2026-05-26</w:t>
      </w:r>
      <w:r>
        <w:t xml:space="preserve"> </w:t>
      </w:r>
      <w:r>
        <w:rPr>
          <w:b/>
          <w:bCs/>
        </w:rPr>
        <w:t xml:space="preserve">Reviewer notes: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Open questions for legal</w:t>
      </w:r>
      <w:r>
        <w:t xml:space="preserve"> </w:t>
      </w:r>
      <w:r>
        <w:t xml:space="preserve">at the bottom.</w:t>
      </w:r>
    </w:p>
    <w:p>
      <w:r>
        <w:pict>
          <v:rect style="width:0;height:1.5pt" o:hralign="center" o:hrstd="t" o:hr="t"/>
        </w:pict>
      </w:r>
    </w:p>
    <w:bookmarkStart w:id="9" w:name="X801bf501b5efd3b957223ee8a15b12feec900a3"/>
    <w:p>
      <w:pPr>
        <w:pStyle w:val="Heading2"/>
      </w:pPr>
      <w:r>
        <w:t xml:space="preserve">1. Context for Reviewers</w:t>
      </w:r>
    </w:p>
    <w:p>
      <w:pPr>
        <w:pStyle w:val="FirstParagraph"/>
      </w:pPr>
      <w:r>
        <w:t xml:space="preserve">The Polkadot Tax Tool ("the Tool") is a self-service application that helps users</w:t>
      </w:r>
      <w:r>
        <w:t xml:space="preserve"> </w:t>
      </w:r>
      <w:r>
        <w:t xml:space="preserve">estimate taxable events from on-chain Polkadot ecosystem activity (staking</w:t>
      </w:r>
      <w:r>
        <w:t xml:space="preserve"> </w:t>
      </w:r>
      <w:r>
        <w:t xml:space="preserve">rewards, transfers, swaps, etc.) by reading public blockchain data for wallet</w:t>
      </w:r>
      <w:r>
        <w:t xml:space="preserve"> </w:t>
      </w:r>
      <w:r>
        <w:t xml:space="preserve">addresses the user provides.</w:t>
      </w:r>
    </w:p>
    <w:p>
      <w:pPr>
        <w:pStyle w:val="BodyText"/>
      </w:pPr>
      <w:r>
        <w:t xml:space="preserve">This document drafts the legal disclaimer that will be displayed inside the</w:t>
      </w:r>
      <w:r>
        <w:t xml:space="preserve"> </w:t>
      </w:r>
      <w:r>
        <w:t xml:space="preserve">application. The current plan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introduction (Section 3)</w:t>
      </w:r>
      <w:r>
        <w:t xml:space="preserve"> </w:t>
      </w:r>
      <w:r>
        <w:t xml:space="preserve">is shown at the top of the dialog so</w:t>
      </w:r>
      <w:r>
        <w:t xml:space="preserve"> </w:t>
      </w:r>
      <w:r>
        <w:t xml:space="preserve">the user understands what the Tool does before being asked to accept the</w:t>
      </w:r>
      <w:r>
        <w:t xml:space="preserve"> </w:t>
      </w:r>
      <w:r>
        <w:t xml:space="preserve">disclaimer.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Short-form disclaimer (Section 4)</w:t>
      </w:r>
      <w:r>
        <w:t xml:space="preserve"> </w:t>
      </w:r>
      <w:r>
        <w:t xml:space="preserve">is shown directly below the</w:t>
      </w:r>
      <w:r>
        <w:t xml:space="preserve"> </w:t>
      </w:r>
      <w:r>
        <w:t xml:space="preserve">introduction in a</w:t>
      </w:r>
      <w:r>
        <w:t xml:space="preserve"> </w:t>
      </w:r>
      <w:r>
        <w:rPr>
          <w:b/>
          <w:bCs/>
        </w:rPr>
        <w:t xml:space="preserve">must-accept dialog</w:t>
      </w:r>
      <w:r>
        <w:t xml:space="preserve"> </w:t>
      </w:r>
      <w:r>
        <w:t xml:space="preserve">the first time a user attempts to</w:t>
      </w:r>
      <w:r>
        <w:t xml:space="preserve"> </w:t>
      </w:r>
      <w:r>
        <w:t xml:space="preserve">connect or add a wallet. Acceptance is recorded in the user's browser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localStorage</w:t>
      </w:r>
      <w:r>
        <w:t xml:space="preserve">) so the dialog is not shown again on the same device.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Long-form disclaimer (Section 5)</w:t>
      </w:r>
      <w:r>
        <w:t xml:space="preserve"> </w:t>
      </w:r>
      <w:r>
        <w:t xml:space="preserve">is linked from the dialog ("Read the</w:t>
      </w:r>
      <w:r>
        <w:t xml:space="preserve"> </w:t>
      </w:r>
      <w:r>
        <w:t xml:space="preserve">full disclaimer") and from the application footer. It is intended to serve</w:t>
      </w:r>
      <w:r>
        <w:t xml:space="preserve"> </w:t>
      </w:r>
      <w:r>
        <w:t xml:space="preserve">as a standalone reference document.</w:t>
      </w:r>
    </w:p>
    <w:p>
      <w:pPr>
        <w:pStyle w:val="Compact"/>
        <w:numPr>
          <w:ilvl w:val="0"/>
          <w:numId w:val="1001"/>
        </w:numPr>
      </w:pPr>
      <w:r>
        <w:t xml:space="preserve">Both texts are</w:t>
      </w:r>
      <w:r>
        <w:t xml:space="preserve"> </w:t>
      </w:r>
      <w:r>
        <w:rPr>
          <w:b/>
          <w:bCs/>
        </w:rPr>
        <w:t xml:space="preserve">jurisdiction-neutral</w:t>
      </w:r>
      <w:r>
        <w:t xml:space="preserve"> </w:t>
      </w:r>
      <w:r>
        <w:t xml:space="preserve">in this draft. Legal may wish to add</w:t>
      </w:r>
      <w:r>
        <w:t xml:space="preserve"> </w:t>
      </w:r>
      <w:r>
        <w:t xml:space="preserve">jurisdiction-specific carve-outs (US, EU/MiCA, India/VDA, etc.) or to</w:t>
      </w:r>
      <w:r>
        <w:t xml:space="preserve"> </w:t>
      </w:r>
      <w:r>
        <w:t xml:space="preserve">reference a separate Terms of Service / Privacy Policy.</w:t>
      </w:r>
    </w:p>
    <w:p>
      <w:r>
        <w:pict>
          <v:rect style="width:0;height:1.5pt" o:hralign="center" o:hrstd="t" o:hr="t"/>
        </w:pict>
      </w:r>
    </w:p>
    <w:bookmarkEnd w:id="9"/>
    <w:bookmarkStart w:id="10" w:name="Xe008cfb481f4370bef9e2fa291ebebf3fc74230"/>
    <w:p>
      <w:pPr>
        <w:pStyle w:val="Heading2"/>
      </w:pPr>
      <w:r>
        <w:t xml:space="preserve">2. Suggested Dialog UX (for reviewer awareness)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Welcome to the Polkadot Tax Tool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[ product introduction — see Section 3 ]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Before you continue, please read:                         │</w:t>
      </w:r>
      <w:r>
        <w:br/>
      </w:r>
      <w:r>
        <w:rPr>
          <w:rStyle w:val="VerbatimChar"/>
        </w:rPr>
        <w:t xml:space="preserve">│  [ short-form disclaimer text — see Section 4 ]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[ ] I have read and understood the disclaimer above.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  [ Read the full disclaimer ]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                     [ Cancel ]   [ I Understand ]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2"/>
        </w:numPr>
      </w:pPr>
      <w:r>
        <w:t xml:space="preserve">Triggered the</w:t>
      </w:r>
      <w:r>
        <w:t xml:space="preserve"> </w:t>
      </w:r>
      <w:r>
        <w:rPr>
          <w:b/>
          <w:bCs/>
        </w:rPr>
        <w:t xml:space="preserve">first time</w:t>
      </w:r>
      <w:r>
        <w:t xml:space="preserve"> </w:t>
      </w:r>
      <w:r>
        <w:t xml:space="preserve">the user attempts to connect or add a wallet</w:t>
      </w:r>
      <w:r>
        <w:t xml:space="preserve"> </w:t>
      </w:r>
      <w:r>
        <w:t xml:space="preserve">(from either the "Connect wallet", inline "Add", or "+ Add wallet" buttons</w:t>
      </w:r>
      <w:r>
        <w:t xml:space="preserve"> </w:t>
      </w:r>
      <w:r>
        <w:t xml:space="preserve">on the Wallets dashboard).</w:t>
      </w:r>
    </w:p>
    <w:p>
      <w:pPr>
        <w:pStyle w:val="Compact"/>
        <w:numPr>
          <w:ilvl w:val="0"/>
          <w:numId w:val="1002"/>
        </w:numPr>
      </w:pPr>
      <w:r>
        <w:t xml:space="preserve">The "I Understand" button is disabled until the checkbox is ticked.</w:t>
      </w:r>
    </w:p>
    <w:p>
      <w:pPr>
        <w:pStyle w:val="Compact"/>
        <w:numPr>
          <w:ilvl w:val="0"/>
          <w:numId w:val="1002"/>
        </w:numPr>
      </w:pPr>
      <w:r>
        <w:t xml:space="preserve">"Cancel" closes the dialog without proceeding to wallet connection.</w:t>
      </w:r>
    </w:p>
    <w:p>
      <w:pPr>
        <w:pStyle w:val="Compact"/>
        <w:numPr>
          <w:ilvl w:val="0"/>
          <w:numId w:val="1002"/>
        </w:numPr>
      </w:pPr>
      <w:r>
        <w:t xml:space="preserve">The acceptance flag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includes a</w:t>
      </w:r>
      <w:r>
        <w:t xml:space="preserve"> </w:t>
      </w:r>
      <w:r>
        <w:rPr>
          <w:b/>
          <w:bCs/>
        </w:rPr>
        <w:t xml:space="preserve">version key</w:t>
      </w:r>
      <w:r>
        <w:t xml:space="preserve"> </w:t>
      </w:r>
      <w:r>
        <w:t xml:space="preserve">so that if</w:t>
      </w:r>
      <w:r>
        <w:t xml:space="preserve"> </w:t>
      </w:r>
      <w:r>
        <w:t xml:space="preserve">the disclaimer is materially updated, all users are re-prompted.</w:t>
      </w:r>
    </w:p>
    <w:p>
      <w:r>
        <w:pict>
          <v:rect style="width:0;height:1.5pt" o:hralign="center" o:hrstd="t" o:hr="t"/>
        </w:pict>
      </w:r>
    </w:p>
    <w:bookmarkEnd w:id="10"/>
    <w:bookmarkStart w:id="11" w:name="X046ee85f4ae542d8eea7a768912ac9a61e0d1fc"/>
    <w:p>
      <w:pPr>
        <w:pStyle w:val="Heading2"/>
      </w:pPr>
      <w:r>
        <w:t xml:space="preserve">3. Product Introduction (shown above the disclaimer in the dialog)</w:t>
      </w:r>
    </w:p>
    <w:p>
      <w:pPr>
        <w:pStyle w:val="BlockText"/>
      </w:pPr>
      <w:r>
        <w:rPr>
          <w:b/>
          <w:bCs/>
        </w:rPr>
        <w:t xml:space="preserve">Polkadot Tax Tool — what this app does</w:t>
      </w:r>
    </w:p>
    <w:p>
      <w:pPr>
        <w:pStyle w:val="BlockText"/>
      </w:pPr>
      <w:r>
        <w:t xml:space="preserve">The Polkadot Tax Tool helps you generate a summary of taxable events from</w:t>
      </w:r>
      <w:r>
        <w:t xml:space="preserve"> </w:t>
      </w:r>
      <w:r>
        <w:t xml:space="preserve">your activity on the Polkadot ecosystem. You connect a Polkadot-compatible</w:t>
      </w:r>
      <w:r>
        <w:t xml:space="preserve"> </w:t>
      </w:r>
      <w:r>
        <w:t xml:space="preserve">wallet — or simply paste one or more public wallet addresses — and the</w:t>
      </w:r>
      <w:r>
        <w:t xml:space="preserve"> </w:t>
      </w:r>
      <w:r>
        <w:t xml:space="preserve">Tool will:</w:t>
      </w:r>
    </w:p>
    <w:p>
      <w:pPr>
        <w:pStyle w:val="Compact"/>
        <w:numPr>
          <w:ilvl w:val="0"/>
          <w:numId w:val="1003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public on-chain history</w:t>
      </w:r>
      <w:r>
        <w:t xml:space="preserve"> </w:t>
      </w:r>
      <w:r>
        <w:t xml:space="preserve">for those addresses across the</w:t>
      </w:r>
      <w:r>
        <w:t xml:space="preserve"> </w:t>
      </w:r>
      <w:r>
        <w:t xml:space="preserve">supported networks (Polkadot, Kusama, and supported parachains);</w:t>
      </w:r>
    </w:p>
    <w:p>
      <w:pPr>
        <w:pStyle w:val="Compact"/>
        <w:numPr>
          <w:ilvl w:val="0"/>
          <w:numId w:val="1003"/>
        </w:numPr>
      </w:pPr>
      <w:r>
        <w:t xml:space="preserve">identify common</w:t>
      </w:r>
      <w:r>
        <w:t xml:space="preserve"> </w:t>
      </w:r>
      <w:r>
        <w:rPr>
          <w:b/>
          <w:bCs/>
        </w:rPr>
        <w:t xml:space="preserve">taxable events</w:t>
      </w:r>
      <w:r>
        <w:t xml:space="preserve"> </w:t>
      </w:r>
      <w:r>
        <w:t xml:space="preserve">such as staking rewards, transfers,</w:t>
      </w:r>
      <w:r>
        <w:t xml:space="preserve"> </w:t>
      </w:r>
      <w:r>
        <w:t xml:space="preserve">and swaps;</w:t>
      </w:r>
    </w:p>
    <w:p>
      <w:pPr>
        <w:pStyle w:val="Compact"/>
        <w:numPr>
          <w:ilvl w:val="0"/>
          <w:numId w:val="1003"/>
        </w:numPr>
      </w:pPr>
      <w:r>
        <w:t xml:space="preserve">convert each event to your selected</w:t>
      </w:r>
      <w:r>
        <w:t xml:space="preserve"> </w:t>
      </w:r>
      <w:r>
        <w:rPr>
          <w:b/>
          <w:bCs/>
        </w:rPr>
        <w:t xml:space="preserve">fiat currency</w:t>
      </w:r>
      <w:r>
        <w:t xml:space="preserve"> </w:t>
      </w:r>
      <w:r>
        <w:t xml:space="preserve">using historical</w:t>
      </w:r>
      <w:r>
        <w:t xml:space="preserve"> </w:t>
      </w:r>
      <w:r>
        <w:t xml:space="preserve">price data; and</w:t>
      </w:r>
    </w:p>
    <w:p>
      <w:pPr>
        <w:pStyle w:val="Compact"/>
        <w:numPr>
          <w:ilvl w:val="0"/>
          <w:numId w:val="1003"/>
        </w:numPr>
      </w:pPr>
      <w:r>
        <w:t xml:space="preserve">present the results in a dashboard you can review, filter, and export.</w:t>
      </w:r>
    </w:p>
    <w:p>
      <w:pPr>
        <w:pStyle w:val="BlockText"/>
      </w:pPr>
      <w:r>
        <w:t xml:space="preserve">The Tool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ask for your private keys or seed phrase,</w:t>
      </w:r>
      <w:r>
        <w:t xml:space="preserve"> </w:t>
      </w: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move funds, and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broadcast any on-chain transactions on</w:t>
      </w:r>
      <w:r>
        <w:t xml:space="preserve"> </w:t>
      </w:r>
      <w:r>
        <w:t xml:space="preserve">your behalf. It only reads publicly available blockchain data.</w:t>
      </w:r>
    </w:p>
    <w:p>
      <w:r>
        <w:pict>
          <v:rect style="width:0;height:1.5pt" o:hralign="center" o:hrstd="t" o:hr="t"/>
        </w:pict>
      </w:r>
    </w:p>
    <w:bookmarkEnd w:id="11"/>
    <w:bookmarkStart w:id="12" w:name="Xde7d42c7ad30f221207442afe90365d4082e57d"/>
    <w:p>
      <w:pPr>
        <w:pStyle w:val="Heading2"/>
      </w:pPr>
      <w:r>
        <w:t xml:space="preserve">4. Short-Form Disclaimer (shown in dialog)</w:t>
      </w:r>
    </w:p>
    <w:p>
      <w:pPr>
        <w:pStyle w:val="BlockText"/>
      </w:pPr>
      <w:r>
        <w:rPr>
          <w:b/>
          <w:bCs/>
        </w:rPr>
        <w:t xml:space="preserve">Important — please read before using the Polkadot Tax Tool</w:t>
      </w:r>
    </w:p>
    <w:p>
      <w:pPr>
        <w:pStyle w:val="BlockText"/>
      </w:pPr>
      <w:r>
        <w:t xml:space="preserve">The Polkadot Tax Tool ("the Tool") is provided by Pala Labs for</w:t>
      </w:r>
      <w:r>
        <w:t xml:space="preserve"> </w:t>
      </w:r>
      <w:r>
        <w:rPr>
          <w:b/>
          <w:bCs/>
        </w:rPr>
        <w:t xml:space="preserve">informational purposes only</w:t>
      </w:r>
      <w:r>
        <w:t xml:space="preserve">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tax, legal, accounting,</w:t>
      </w:r>
      <w:r>
        <w:t xml:space="preserve"> </w:t>
      </w:r>
      <w:r>
        <w:t xml:space="preserve">investment, or financial advice, and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substitute for</w:t>
      </w:r>
      <w:r>
        <w:t xml:space="preserve"> </w:t>
      </w:r>
      <w:r>
        <w:t xml:space="preserve">consultation with a qualified professional in your jurisdiction.</w:t>
      </w:r>
    </w:p>
    <w:p>
      <w:pPr>
        <w:pStyle w:val="BlockText"/>
      </w:pPr>
      <w:r>
        <w:t xml:space="preserve">The Tool produces estimates by reading public on-chain data. These estimates</w:t>
      </w:r>
      <w:r>
        <w:t xml:space="preserve"> </w:t>
      </w:r>
      <w:r>
        <w:rPr>
          <w:b/>
          <w:bCs/>
        </w:rPr>
        <w:t xml:space="preserve">may be incomplete or inaccurate</w:t>
      </w:r>
      <w:r>
        <w:t xml:space="preserve"> </w:t>
      </w:r>
      <w:r>
        <w:t xml:space="preserve">for reasons including, but not limited</w:t>
      </w:r>
      <w:r>
        <w:t xml:space="preserve"> </w:t>
      </w:r>
      <w:r>
        <w:t xml:space="preserve">to: missing or delayed indexer data, unsupported transaction types,</w:t>
      </w:r>
      <w:r>
        <w:t xml:space="preserve"> </w:t>
      </w:r>
      <w:r>
        <w:t xml:space="preserve">historical price-feed gaps, network reorganisations, and changes in tax</w:t>
      </w:r>
      <w:r>
        <w:t xml:space="preserve"> </w:t>
      </w:r>
      <w:r>
        <w:t xml:space="preserve">rules. You are</w:t>
      </w:r>
      <w:r>
        <w:t xml:space="preserve"> </w:t>
      </w:r>
      <w:r>
        <w:rPr>
          <w:b/>
          <w:bCs/>
        </w:rPr>
        <w:t xml:space="preserve">solely responsible</w:t>
      </w:r>
      <w:r>
        <w:t xml:space="preserve"> </w:t>
      </w:r>
      <w:r>
        <w:t xml:space="preserve">for verifying any figures, classifying</w:t>
      </w:r>
      <w:r>
        <w:t xml:space="preserve"> </w:t>
      </w:r>
      <w:r>
        <w:t xml:space="preserve">your transactions, and filing accurate tax returns in your jurisdiction.</w:t>
      </w:r>
    </w:p>
    <w:p>
      <w:pPr>
        <w:pStyle w:val="BlockText"/>
      </w:pPr>
      <w:r>
        <w:t xml:space="preserve">The Tool is provided</w:t>
      </w:r>
      <w:r>
        <w:t xml:space="preserve"> </w:t>
      </w:r>
      <w:r>
        <w:rPr>
          <w:b/>
          <w:bCs/>
        </w:rPr>
        <w:t xml:space="preserve">"as is"</w:t>
      </w:r>
      <w:r>
        <w:t xml:space="preserve">, without warranty of any kind. To the</w:t>
      </w:r>
      <w:r>
        <w:t xml:space="preserve"> </w:t>
      </w:r>
      <w:r>
        <w:t xml:space="preserve">maximum extent permitted by applicable law, Pala Labs and its contributors</w:t>
      </w:r>
      <w:r>
        <w:t xml:space="preserve"> </w:t>
      </w:r>
      <w:r>
        <w:t xml:space="preserve">disclaim all liability for any loss, penalty, interest, or damage arising</w:t>
      </w:r>
      <w:r>
        <w:t xml:space="preserve"> </w:t>
      </w:r>
      <w:r>
        <w:t xml:space="preserve">from your use of, or reliance on, the Tool or its output.</w:t>
      </w:r>
    </w:p>
    <w:p>
      <w:pPr>
        <w:pStyle w:val="BlockText"/>
      </w:pPr>
      <w:r>
        <w:t xml:space="preserve">Wallet addresses you enter are treated as</w:t>
      </w:r>
      <w:r>
        <w:t xml:space="preserve"> </w:t>
      </w:r>
      <w:r>
        <w:rPr>
          <w:b/>
          <w:bCs/>
        </w:rPr>
        <w:t xml:space="preserve">public on-chain data</w:t>
      </w:r>
      <w:r>
        <w:t xml:space="preserve">. The Tool</w:t>
      </w:r>
      <w:r>
        <w:t xml:space="preserve"> </w:t>
      </w:r>
      <w:r>
        <w:t xml:space="preserve">queries blockchain indexers and price feeds to compute results. See the full</w:t>
      </w:r>
      <w:r>
        <w:t xml:space="preserve"> </w:t>
      </w:r>
      <w:r>
        <w:t xml:space="preserve">disclaimer for details on what is and is not stored.</w:t>
      </w:r>
    </w:p>
    <w:p>
      <w:pPr>
        <w:pStyle w:val="BlockText"/>
      </w:pPr>
      <w:r>
        <w:t xml:space="preserve">By clicking</w:t>
      </w:r>
      <w:r>
        <w:t xml:space="preserve"> </w:t>
      </w:r>
      <w:r>
        <w:rPr>
          <w:b/>
          <w:bCs/>
        </w:rPr>
        <w:t xml:space="preserve">"I Understand"</w:t>
      </w:r>
      <w:r>
        <w:t xml:space="preserve"> </w:t>
      </w:r>
      <w:r>
        <w:t xml:space="preserve">you confirm that you have read, understood,</w:t>
      </w:r>
      <w:r>
        <w:t xml:space="preserve"> </w:t>
      </w:r>
      <w:r>
        <w:t xml:space="preserve">and accepted this disclaimer.</w:t>
      </w:r>
    </w:p>
    <w:p>
      <w:r>
        <w:pict>
          <v:rect style="width:0;height:1.5pt" o:hralign="center" o:hrstd="t" o:hr="t"/>
        </w:pict>
      </w:r>
    </w:p>
    <w:bookmarkEnd w:id="12"/>
    <w:bookmarkStart w:id="24" w:name="Xca9a14da42347a3dce7e7d528e34c51a6832515"/>
    <w:p>
      <w:pPr>
        <w:pStyle w:val="Heading2"/>
      </w:pPr>
      <w:r>
        <w:t xml:space="preserve">5. Long-Form Disclaimer (linked from dialog / footer)</w:t>
      </w:r>
    </w:p>
    <w:bookmarkStart w:id="13" w:name="X6e0bdf0cf4864223c7814d25dac42a4e7ead112"/>
    <w:p>
      <w:pPr>
        <w:pStyle w:val="Heading3"/>
      </w:pPr>
      <w:r>
        <w:t xml:space="preserve">5.1 No Professional Advice</w:t>
      </w:r>
    </w:p>
    <w:p>
      <w:pPr>
        <w:pStyle w:val="FirstParagraph"/>
      </w:pPr>
      <w:r>
        <w:t xml:space="preserve">The Polkadot Tax Tool ("the Tool", "we", "our") is operated by Pala Labs</w:t>
      </w:r>
      <w:r>
        <w:t xml:space="preserve"> </w:t>
      </w:r>
      <w:r>
        <w:t xml:space="preserve">("Pala Labs"). All content, calculations, reports, exports, and other output</w:t>
      </w:r>
      <w:r>
        <w:t xml:space="preserve"> </w:t>
      </w:r>
      <w:r>
        <w:t xml:space="preserve">produced by the Tool are provided for</w:t>
      </w:r>
      <w:r>
        <w:t xml:space="preserve"> </w:t>
      </w:r>
      <w:r>
        <w:rPr>
          <w:b/>
          <w:bCs/>
        </w:rPr>
        <w:t xml:space="preserve">general informational purposes only</w:t>
      </w:r>
      <w:r>
        <w:t xml:space="preserve">.</w:t>
      </w:r>
    </w:p>
    <w:p>
      <w:pPr>
        <w:pStyle w:val="BodyText"/>
      </w:pPr>
      <w:r>
        <w:t xml:space="preserve">Nothing produced by the Tool constitutes, or should be relied upon as:</w:t>
      </w:r>
    </w:p>
    <w:p>
      <w:pPr>
        <w:pStyle w:val="Compact"/>
        <w:numPr>
          <w:ilvl w:val="0"/>
          <w:numId w:val="1004"/>
        </w:numPr>
      </w:pPr>
      <w:r>
        <w:t xml:space="preserve">tax advice;</w:t>
      </w:r>
    </w:p>
    <w:p>
      <w:pPr>
        <w:pStyle w:val="Compact"/>
        <w:numPr>
          <w:ilvl w:val="0"/>
          <w:numId w:val="1004"/>
        </w:numPr>
      </w:pPr>
      <w:r>
        <w:t xml:space="preserve">legal advice;</w:t>
      </w:r>
    </w:p>
    <w:p>
      <w:pPr>
        <w:pStyle w:val="Compact"/>
        <w:numPr>
          <w:ilvl w:val="0"/>
          <w:numId w:val="1004"/>
        </w:numPr>
      </w:pPr>
      <w:r>
        <w:t xml:space="preserve">accounting advice;</w:t>
      </w:r>
    </w:p>
    <w:p>
      <w:pPr>
        <w:pStyle w:val="Compact"/>
        <w:numPr>
          <w:ilvl w:val="0"/>
          <w:numId w:val="1004"/>
        </w:numPr>
      </w:pPr>
      <w:r>
        <w:t xml:space="preserve">investment, trading, or financial advice; or</w:t>
      </w:r>
    </w:p>
    <w:p>
      <w:pPr>
        <w:pStyle w:val="Compact"/>
        <w:numPr>
          <w:ilvl w:val="0"/>
          <w:numId w:val="1004"/>
        </w:numPr>
      </w:pPr>
      <w:r>
        <w:t xml:space="preserve">a recommendation to take, or to refrain from taking, any action.</w:t>
      </w:r>
    </w:p>
    <w:p>
      <w:pPr>
        <w:pStyle w:val="FirstParagraph"/>
      </w:pPr>
      <w:r>
        <w:t xml:space="preserve">Cryptocurrency taxation is complex, jurisdiction-specific, and frequently</w:t>
      </w:r>
      <w:r>
        <w:t xml:space="preserve"> </w:t>
      </w:r>
      <w:r>
        <w:t xml:space="preserve">changing. You should always consult a qualified tax professional, accountant,</w:t>
      </w:r>
      <w:r>
        <w:t xml:space="preserve"> </w:t>
      </w:r>
      <w:r>
        <w:t xml:space="preserve">or legal adviser licensed in your jurisdiction before making decisions based</w:t>
      </w:r>
      <w:r>
        <w:t xml:space="preserve"> </w:t>
      </w:r>
      <w:r>
        <w:t xml:space="preserve">on output from the Tool.</w:t>
      </w:r>
    </w:p>
    <w:bookmarkEnd w:id="13"/>
    <w:bookmarkStart w:id="14" w:name="X61382462475068a7c750125815f700bb3f99b24"/>
    <w:p>
      <w:pPr>
        <w:pStyle w:val="Heading3"/>
      </w:pPr>
      <w:r>
        <w:t xml:space="preserve">5.2 Accuracy, Completeness &amp; Limitations of On-Chain Data</w:t>
      </w:r>
    </w:p>
    <w:p>
      <w:pPr>
        <w:pStyle w:val="FirstParagraph"/>
      </w:pPr>
      <w:r>
        <w:t xml:space="preserve">The Tool computes results by querying public on-chain data for wallet</w:t>
      </w:r>
      <w:r>
        <w:t xml:space="preserve"> </w:t>
      </w:r>
      <w:r>
        <w:t xml:space="preserve">addresses that you provide, combined with historical price data obtained from</w:t>
      </w:r>
      <w:r>
        <w:t xml:space="preserve"> </w:t>
      </w:r>
      <w:r>
        <w:t xml:space="preserve">third-party sources. You acknowledge and accept that:</w:t>
      </w:r>
    </w:p>
    <w:p>
      <w:pPr>
        <w:pStyle w:val="Compact"/>
        <w:numPr>
          <w:ilvl w:val="0"/>
          <w:numId w:val="1005"/>
        </w:numPr>
      </w:pPr>
      <w:r>
        <w:t xml:space="preserve">The Tool may not support every blockchain, parachain, asset, transaction</w:t>
      </w:r>
      <w:r>
        <w:t xml:space="preserve"> </w:t>
      </w:r>
      <w:r>
        <w:t xml:space="preserve">type, smart-contract interaction, or staking mechanism within the Polkadot</w:t>
      </w:r>
      <w:r>
        <w:t xml:space="preserve"> </w:t>
      </w:r>
      <w:r>
        <w:t xml:space="preserve">ecosystem.</w:t>
      </w:r>
    </w:p>
    <w:p>
      <w:pPr>
        <w:pStyle w:val="Compact"/>
        <w:numPr>
          <w:ilvl w:val="0"/>
          <w:numId w:val="1005"/>
        </w:numPr>
      </w:pPr>
      <w:r>
        <w:t xml:space="preserve">On-chain data may be incomplete, delayed, missing, or temporarily</w:t>
      </w:r>
      <w:r>
        <w:t xml:space="preserve"> </w:t>
      </w:r>
      <w:r>
        <w:t xml:space="preserve">unavailable due to indexer outages, archive-node gaps, chain</w:t>
      </w:r>
      <w:r>
        <w:t xml:space="preserve"> </w:t>
      </w:r>
      <w:r>
        <w:t xml:space="preserve">reorganisations, runtime upgrades, or other technical factors outside our</w:t>
      </w:r>
      <w:r>
        <w:t xml:space="preserve"> </w:t>
      </w:r>
      <w:r>
        <w:t xml:space="preserve">control.</w:t>
      </w:r>
    </w:p>
    <w:p>
      <w:pPr>
        <w:pStyle w:val="Compact"/>
        <w:numPr>
          <w:ilvl w:val="0"/>
          <w:numId w:val="1005"/>
        </w:numPr>
      </w:pPr>
      <w:r>
        <w:t xml:space="preserve">Historical fiat conversion values depend on third-party price feeds and</w:t>
      </w:r>
      <w:r>
        <w:t xml:space="preserve"> </w:t>
      </w:r>
      <w:r>
        <w:t xml:space="preserve">may be unavailable or inaccurate for certain timestamps, illiquid assets,</w:t>
      </w:r>
      <w:r>
        <w:t xml:space="preserve"> </w:t>
      </w:r>
      <w:r>
        <w:t xml:space="preserve">or pre-listing periods.</w:t>
      </w:r>
    </w:p>
    <w:p>
      <w:pPr>
        <w:pStyle w:val="Compact"/>
        <w:numPr>
          <w:ilvl w:val="0"/>
          <w:numId w:val="1005"/>
        </w:numPr>
      </w:pPr>
      <w:r>
        <w:t xml:space="preserve">Cost-basis methodology, taxable-event classification, and tax treatment of</w:t>
      </w:r>
      <w:r>
        <w:t xml:space="preserve"> </w:t>
      </w:r>
      <w:r>
        <w:t xml:space="preserve">events such as staking rewards, airdrops, swaps, transfers between own</w:t>
      </w:r>
      <w:r>
        <w:t xml:space="preserve"> </w:t>
      </w:r>
      <w:r>
        <w:t xml:space="preserve">wallets, and DeFi interactions vary significantly by jurisdiction. The</w:t>
      </w:r>
      <w:r>
        <w:t xml:space="preserve"> </w:t>
      </w:r>
      <w:r>
        <w:t xml:space="preserve">Tool's classification choices may not match those required by your tax</w:t>
      </w:r>
      <w:r>
        <w:t xml:space="preserve"> </w:t>
      </w:r>
      <w:r>
        <w:t xml:space="preserve">authority.</w:t>
      </w:r>
    </w:p>
    <w:p>
      <w:pPr>
        <w:pStyle w:val="Compact"/>
        <w:numPr>
          <w:ilvl w:val="0"/>
          <w:numId w:val="1005"/>
        </w:numPr>
      </w:pPr>
      <w:r>
        <w:t xml:space="preserve">Your tax position can also be affected by activity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visible</w:t>
      </w:r>
      <w:r>
        <w:t xml:space="preserve"> </w:t>
      </w:r>
      <w:r>
        <w:t xml:space="preserve">on-chain (e.g. centralised-exchange trades, off-chain transfers, gifts,</w:t>
      </w:r>
      <w:r>
        <w:t xml:space="preserve"> </w:t>
      </w:r>
      <w:r>
        <w:t xml:space="preserve">inheritance) which the Tool cannot see.</w:t>
      </w:r>
    </w:p>
    <w:p>
      <w:pPr>
        <w:pStyle w:val="FirstParagraph"/>
      </w:pPr>
      <w:r>
        <w:t xml:space="preserve">You are</w:t>
      </w:r>
      <w:r>
        <w:t xml:space="preserve"> </w:t>
      </w:r>
      <w:r>
        <w:rPr>
          <w:b/>
          <w:bCs/>
        </w:rPr>
        <w:t xml:space="preserve">solely responsible</w:t>
      </w:r>
      <w:r>
        <w:t xml:space="preserve"> </w:t>
      </w:r>
      <w:r>
        <w:t xml:space="preserve">for reviewing the Tool's output for accuracy</w:t>
      </w:r>
      <w:r>
        <w:t xml:space="preserve"> </w:t>
      </w:r>
      <w:r>
        <w:t xml:space="preserve">and completeness, for reconciling it against your own records, and for</w:t>
      </w:r>
      <w:r>
        <w:t xml:space="preserve"> </w:t>
      </w:r>
      <w:r>
        <w:t xml:space="preserve">making any corrections required before relying on it for tax filing or any</w:t>
      </w:r>
      <w:r>
        <w:t xml:space="preserve"> </w:t>
      </w:r>
      <w:r>
        <w:t xml:space="preserve">other purpose.</w:t>
      </w:r>
    </w:p>
    <w:bookmarkEnd w:id="14"/>
    <w:bookmarkStart w:id="15" w:name="Xc9c99b59f6ca177c4207b704a5cb000a7b1e5ae"/>
    <w:p>
      <w:pPr>
        <w:pStyle w:val="Heading3"/>
      </w:pPr>
      <w:r>
        <w:t xml:space="preserve">5.3 Your Responsibility</w:t>
      </w:r>
    </w:p>
    <w:p>
      <w:pPr>
        <w:pStyle w:val="FirstParagraph"/>
      </w:pPr>
      <w:r>
        <w:t xml:space="preserve">By using the Tool you agree that:</w:t>
      </w:r>
    </w:p>
    <w:p>
      <w:pPr>
        <w:pStyle w:val="Compact"/>
        <w:numPr>
          <w:ilvl w:val="0"/>
          <w:numId w:val="1006"/>
        </w:numPr>
      </w:pPr>
      <w:r>
        <w:t xml:space="preserve">You will independently verify any figures, classifications, or summaries</w:t>
      </w:r>
      <w:r>
        <w:t xml:space="preserve"> </w:t>
      </w:r>
      <w:r>
        <w:t xml:space="preserve">produced by the Tool before relying on them.</w:t>
      </w:r>
    </w:p>
    <w:p>
      <w:pPr>
        <w:pStyle w:val="Compact"/>
        <w:numPr>
          <w:ilvl w:val="0"/>
          <w:numId w:val="1006"/>
        </w:numPr>
      </w:pPr>
      <w:r>
        <w:t xml:space="preserve">You are solely responsible for the timely, accurate, and complete filing</w:t>
      </w:r>
      <w:r>
        <w:t xml:space="preserve"> </w:t>
      </w:r>
      <w:r>
        <w:t xml:space="preserve">of your tax returns and any related disclosures in your jurisdiction.</w:t>
      </w:r>
    </w:p>
    <w:p>
      <w:pPr>
        <w:pStyle w:val="Compact"/>
        <w:numPr>
          <w:ilvl w:val="0"/>
          <w:numId w:val="1006"/>
        </w:numPr>
      </w:pPr>
      <w:r>
        <w:t xml:space="preserve">You are solely responsible for the payment of any taxes, penalties,</w:t>
      </w:r>
      <w:r>
        <w:t xml:space="preserve"> </w:t>
      </w:r>
      <w:r>
        <w:t xml:space="preserve">interest, or other amounts owed to any tax authority.</w:t>
      </w:r>
    </w:p>
    <w:p>
      <w:pPr>
        <w:pStyle w:val="Compact"/>
        <w:numPr>
          <w:ilvl w:val="0"/>
          <w:numId w:val="1006"/>
        </w:numPr>
      </w:pPr>
      <w:r>
        <w:t xml:space="preserve">You will not represent or imply to any third party (including any tax</w:t>
      </w:r>
      <w:r>
        <w:t xml:space="preserve"> </w:t>
      </w:r>
      <w:r>
        <w:t xml:space="preserve">authority, accountant, regulator, or court) that output from the Tool has</w:t>
      </w:r>
      <w:r>
        <w:t xml:space="preserve"> </w:t>
      </w:r>
      <w:r>
        <w:t xml:space="preserve">been reviewed, certified, audited, or endorsed by Pala Labs.</w:t>
      </w:r>
    </w:p>
    <w:bookmarkEnd w:id="15"/>
    <w:bookmarkStart w:id="16" w:name="Xd5489e653e5d4646ea1c156b3239334fd040078"/>
    <w:p>
      <w:pPr>
        <w:pStyle w:val="Heading3"/>
      </w:pPr>
      <w:r>
        <w:t xml:space="preserve">5.4 "As Is" Provision and No Warranty</w:t>
      </w:r>
    </w:p>
    <w:p>
      <w:pPr>
        <w:pStyle w:val="FirstParagraph"/>
      </w:pPr>
      <w:r>
        <w:t xml:space="preserve">The Tool is provided on an</w:t>
      </w:r>
      <w:r>
        <w:t xml:space="preserve"> </w:t>
      </w:r>
      <w:r>
        <w:rPr>
          <w:b/>
          <w:bCs/>
        </w:rPr>
        <w:t xml:space="preserve">"as is"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"as available"</w:t>
      </w:r>
      <w:r>
        <w:t xml:space="preserve"> </w:t>
      </w:r>
      <w:r>
        <w:t xml:space="preserve">basis, without</w:t>
      </w:r>
      <w:r>
        <w:t xml:space="preserve"> </w:t>
      </w:r>
      <w:r>
        <w:t xml:space="preserve">warranties of any kind, whether express, implied, statutory, or otherwise.</w:t>
      </w:r>
      <w:r>
        <w:t xml:space="preserve"> </w:t>
      </w:r>
      <w:r>
        <w:t xml:space="preserve">To the maximum extent permitted by applicable law, Pala Labs disclaims all</w:t>
      </w:r>
      <w:r>
        <w:t xml:space="preserve"> </w:t>
      </w:r>
      <w:r>
        <w:t xml:space="preserve">warranties, including (without limitation):</w:t>
      </w:r>
    </w:p>
    <w:p>
      <w:pPr>
        <w:pStyle w:val="Compact"/>
        <w:numPr>
          <w:ilvl w:val="0"/>
          <w:numId w:val="1007"/>
        </w:numPr>
      </w:pPr>
      <w:r>
        <w:t xml:space="preserve">warranties of merchantability, fitness for a particular purpose,</w:t>
      </w:r>
      <w:r>
        <w:t xml:space="preserve"> </w:t>
      </w:r>
      <w:r>
        <w:t xml:space="preserve">non-infringement, and quiet enjoyment;</w:t>
      </w:r>
    </w:p>
    <w:p>
      <w:pPr>
        <w:pStyle w:val="Compact"/>
        <w:numPr>
          <w:ilvl w:val="0"/>
          <w:numId w:val="1007"/>
        </w:numPr>
      </w:pPr>
      <w:r>
        <w:t xml:space="preserve">warranties that the Tool will be uninterrupted, secure, error-free, free</w:t>
      </w:r>
      <w:r>
        <w:t xml:space="preserve"> </w:t>
      </w:r>
      <w:r>
        <w:t xml:space="preserve">of harmful components, or that defects will be corrected; and</w:t>
      </w:r>
    </w:p>
    <w:p>
      <w:pPr>
        <w:pStyle w:val="Compact"/>
        <w:numPr>
          <w:ilvl w:val="0"/>
          <w:numId w:val="1007"/>
        </w:numPr>
      </w:pPr>
      <w:r>
        <w:t xml:space="preserve">warranties as to the accuracy, reliability, completeness, currency, or</w:t>
      </w:r>
      <w:r>
        <w:t xml:space="preserve"> </w:t>
      </w:r>
      <w:r>
        <w:t xml:space="preserve">legality of any output of the Tool.</w:t>
      </w:r>
    </w:p>
    <w:bookmarkEnd w:id="16"/>
    <w:bookmarkStart w:id="17" w:name="X0d3391f584218305e388a4882cf12eea74feac3"/>
    <w:p>
      <w:pPr>
        <w:pStyle w:val="Heading3"/>
      </w:pPr>
      <w:r>
        <w:t xml:space="preserve">5.5 Limitation of Liability</w:t>
      </w:r>
    </w:p>
    <w:p>
      <w:pPr>
        <w:pStyle w:val="FirstParagraph"/>
      </w:pPr>
      <w:r>
        <w:t xml:space="preserve">To the maximum extent permitted by applicable law, in no event shall Pala</w:t>
      </w:r>
      <w:r>
        <w:t xml:space="preserve"> </w:t>
      </w:r>
      <w:r>
        <w:t xml:space="preserve">Labs, its affiliates, officers, employees, contractors, or contributors be</w:t>
      </w:r>
      <w:r>
        <w:t xml:space="preserve"> </w:t>
      </w:r>
      <w:r>
        <w:t xml:space="preserve">liable to you or to any third party for any direct, indirect, incidental,</w:t>
      </w:r>
      <w:r>
        <w:t xml:space="preserve"> </w:t>
      </w:r>
      <w:r>
        <w:t xml:space="preserve">special, consequential, exemplary, or punitive damages, or for any loss of</w:t>
      </w:r>
      <w:r>
        <w:t xml:space="preserve"> </w:t>
      </w:r>
      <w:r>
        <w:t xml:space="preserve">profits, revenue, data, goodwill, tax refunds, or other intangible losses</w:t>
      </w:r>
      <w:r>
        <w:t xml:space="preserve"> </w:t>
      </w:r>
      <w:r>
        <w:t xml:space="preserve">arising out of or relating to your access to, use of, or inability to use</w:t>
      </w:r>
      <w:r>
        <w:t xml:space="preserve"> </w:t>
      </w:r>
      <w:r>
        <w:t xml:space="preserve">the Tool, or to any reliance placed on its output — including, without</w:t>
      </w:r>
      <w:r>
        <w:t xml:space="preserve"> </w:t>
      </w:r>
      <w:r>
        <w:t xml:space="preserve">limitation, any tax penalties, interest, or assessments imposed on you by</w:t>
      </w:r>
      <w:r>
        <w:t xml:space="preserve"> </w:t>
      </w:r>
      <w:r>
        <w:t xml:space="preserve">any tax authority.</w:t>
      </w:r>
    </w:p>
    <w:bookmarkEnd w:id="17"/>
    <w:bookmarkStart w:id="18" w:name="Xaf0c81e9f3bd095ad48606c5490f37faa69d2f0"/>
    <w:p>
      <w:pPr>
        <w:pStyle w:val="Heading3"/>
      </w:pPr>
      <w:r>
        <w:t xml:space="preserve">5.6 Wallet Addresses and On-Chain Data</w:t>
      </w:r>
    </w:p>
    <w:p>
      <w:pPr>
        <w:pStyle w:val="FirstParagraph"/>
      </w:pPr>
      <w:r>
        <w:t xml:space="preserve">The wallet addresses you submit to the Tool refer to</w:t>
      </w:r>
      <w:r>
        <w:t xml:space="preserve"> </w:t>
      </w:r>
      <w:r>
        <w:rPr>
          <w:b/>
          <w:bCs/>
        </w:rPr>
        <w:t xml:space="preserve">public on-chain</w:t>
      </w:r>
      <w:r>
        <w:rPr>
          <w:b/>
          <w:bCs/>
        </w:rPr>
        <w:t xml:space="preserve"> </w:t>
      </w:r>
      <w:r>
        <w:rPr>
          <w:b/>
          <w:bCs/>
        </w:rPr>
        <w:t xml:space="preserve">identifiers</w:t>
      </w:r>
      <w:r>
        <w:t xml:space="preserve">. The transactions associated with those addresses are</w:t>
      </w:r>
      <w:r>
        <w:t xml:space="preserve"> </w:t>
      </w:r>
      <w:r>
        <w:t xml:space="preserve">publicly visible on the relevant blockchains and can be read by anyone</w:t>
      </w:r>
      <w:r>
        <w:t xml:space="preserve"> </w:t>
      </w:r>
      <w:r>
        <w:t xml:space="preserve">operating, or querying, the corresponding network or its indexers.</w:t>
      </w:r>
    </w:p>
    <w:p>
      <w:pPr>
        <w:pStyle w:val="BodyText"/>
      </w:pPr>
      <w:r>
        <w:t xml:space="preserve">Submitting a wallet address to the Tool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grant the Tool any</w:t>
      </w:r>
      <w:r>
        <w:t xml:space="preserve"> </w:t>
      </w:r>
      <w:r>
        <w:t xml:space="preserve">ability to move funds, sign transactions, or otherwise control assets held</w:t>
      </w:r>
      <w:r>
        <w:t xml:space="preserve"> </w:t>
      </w:r>
      <w:r>
        <w:t xml:space="preserve">at that address. The Tool does not request, transmit, or store private</w:t>
      </w:r>
      <w:r>
        <w:t xml:space="preserve"> </w:t>
      </w:r>
      <w:r>
        <w:t xml:space="preserve">keys, seed phrases, or signing credentials, and you should never share</w:t>
      </w:r>
      <w:r>
        <w:t xml:space="preserve"> </w:t>
      </w:r>
      <w:r>
        <w:t xml:space="preserve">those with the Tool or with anyone claiming to represent it.</w:t>
      </w:r>
    </w:p>
    <w:p>
      <w:pPr>
        <w:pStyle w:val="BodyText"/>
      </w:pPr>
      <w:r>
        <w:t xml:space="preserve">For information about how the Tool collects, processes, and stores data</w:t>
      </w:r>
      <w:r>
        <w:t xml:space="preserve"> </w:t>
      </w:r>
      <w:r>
        <w:t xml:space="preserve">associated with your use of the application (including any analytics,</w:t>
      </w:r>
      <w:r>
        <w:t xml:space="preserve"> </w:t>
      </w:r>
      <w:r>
        <w:t xml:space="preserve">caching, and operational logs), please refer to the</w:t>
      </w:r>
      <w:r>
        <w:t xml:space="preserve"> </w:t>
      </w:r>
      <w:r>
        <w:rPr>
          <w:b/>
          <w:bCs/>
        </w:rPr>
        <w:t xml:space="preserve">Privacy Policy</w:t>
      </w:r>
      <w:r>
        <w:t xml:space="preserve"> </w:t>
      </w:r>
      <w:r>
        <w:t xml:space="preserve">[link TBD].</w:t>
      </w:r>
    </w:p>
    <w:bookmarkEnd w:id="18"/>
    <w:bookmarkStart w:id="19" w:name="Xd39637b3b897cdae2baefeadbd3c45e7d67a4a5"/>
    <w:p>
      <w:pPr>
        <w:pStyle w:val="Heading3"/>
      </w:pPr>
      <w:r>
        <w:t xml:space="preserve">5.7 Third-Party Services</w:t>
      </w:r>
    </w:p>
    <w:p>
      <w:pPr>
        <w:pStyle w:val="FirstParagraph"/>
      </w:pPr>
      <w:r>
        <w:t xml:space="preserve">The Tool relies on third-party services, including blockchain RPC</w:t>
      </w:r>
      <w:r>
        <w:t xml:space="preserve"> </w:t>
      </w:r>
      <w:r>
        <w:t xml:space="preserve">endpoints, indexers, and price-data providers. We do not control those</w:t>
      </w:r>
      <w:r>
        <w:t xml:space="preserve"> </w:t>
      </w:r>
      <w:r>
        <w:t xml:space="preserve">services and are not responsible for their availability, accuracy, terms,</w:t>
      </w:r>
      <w:r>
        <w:t xml:space="preserve"> </w:t>
      </w:r>
      <w:r>
        <w:t xml:space="preserve">or privacy practices. Use of the Tool is subject to the terms and policies</w:t>
      </w:r>
      <w:r>
        <w:t xml:space="preserve"> </w:t>
      </w:r>
      <w:r>
        <w:t xml:space="preserve">of those third parties to the extent applicable.</w:t>
      </w:r>
    </w:p>
    <w:bookmarkEnd w:id="19"/>
    <w:bookmarkStart w:id="20" w:name="X677f8bea406c1abec0340e0e21e46facc4f7e73"/>
    <w:p>
      <w:pPr>
        <w:pStyle w:val="Heading3"/>
      </w:pPr>
      <w:r>
        <w:t xml:space="preserve">5.8 Changes to This Disclaimer</w:t>
      </w:r>
    </w:p>
    <w:p>
      <w:pPr>
        <w:pStyle w:val="FirstParagraph"/>
      </w:pPr>
      <w:r>
        <w:t xml:space="preserve">Pala Labs may update this disclaimer from time to time. Material changes</w:t>
      </w:r>
      <w:r>
        <w:t xml:space="preserve"> </w:t>
      </w:r>
      <w:r>
        <w:t xml:space="preserve">will cause you to be re-prompted to accept the updated disclaimer the next</w:t>
      </w:r>
      <w:r>
        <w:t xml:space="preserve"> </w:t>
      </w:r>
      <w:r>
        <w:t xml:space="preserve">time you use the Tool. The date at the top of this document indicates when</w:t>
      </w:r>
      <w:r>
        <w:t xml:space="preserve"> </w:t>
      </w:r>
      <w:r>
        <w:t xml:space="preserve">it was last revised. Your continued use of the Tool after such a change</w:t>
      </w:r>
      <w:r>
        <w:t xml:space="preserve"> </w:t>
      </w:r>
      <w:r>
        <w:t xml:space="preserve">constitutes acceptance of the updated disclaimer.</w:t>
      </w:r>
    </w:p>
    <w:bookmarkEnd w:id="20"/>
    <w:bookmarkStart w:id="21" w:name="X56777cbbaf2b7b26b02ed029cfa143f36d067b8"/>
    <w:p>
      <w:pPr>
        <w:pStyle w:val="Heading3"/>
      </w:pPr>
      <w:r>
        <w:t xml:space="preserve">5.9 Severability</w:t>
      </w:r>
    </w:p>
    <w:p>
      <w:pPr>
        <w:pStyle w:val="FirstParagraph"/>
      </w:pPr>
      <w:r>
        <w:t xml:space="preserve">If any provision of this disclaimer is held to be unenforceable or invalid</w:t>
      </w:r>
      <w:r>
        <w:t xml:space="preserve"> </w:t>
      </w:r>
      <w:r>
        <w:t xml:space="preserve">under any applicable law, the remaining provisions shall continue in full</w:t>
      </w:r>
      <w:r>
        <w:t xml:space="preserve"> </w:t>
      </w:r>
      <w:r>
        <w:t xml:space="preserve">force and effect, and the unenforceable provision shall be interpreted to</w:t>
      </w:r>
      <w:r>
        <w:t xml:space="preserve"> </w:t>
      </w:r>
      <w:r>
        <w:t xml:space="preserve">fulfil its intended purpose to the maximum extent permitted by law.</w:t>
      </w:r>
    </w:p>
    <w:bookmarkEnd w:id="21"/>
    <w:bookmarkStart w:id="22" w:name="Xbe48075955f1fa05f03ce32adf14ae879a6c1a0"/>
    <w:p>
      <w:pPr>
        <w:pStyle w:val="Heading3"/>
      </w:pPr>
      <w:r>
        <w:t xml:space="preserve">5.10 Governing Law</w:t>
      </w:r>
    </w:p>
    <w:p>
      <w:pPr>
        <w:pStyle w:val="FirstParagraph"/>
      </w:pPr>
      <w:r>
        <w:t xml:space="preserve">This disclaimer is governed by and construed in accordance with the laws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[GOVERNING JURISDICTION — TBD by legal]</w:t>
      </w:r>
      <w:r>
        <w:t xml:space="preserve">, without regard to its</w:t>
      </w:r>
      <w:r>
        <w:t xml:space="preserve"> </w:t>
      </w:r>
      <w:r>
        <w:t xml:space="preserve">conflict-of-laws provisions.</w:t>
      </w:r>
    </w:p>
    <w:bookmarkEnd w:id="22"/>
    <w:bookmarkStart w:id="23" w:name="Xa55b271a0c0ae44220f2c2b33462638e371e631"/>
    <w:p>
      <w:pPr>
        <w:pStyle w:val="Heading3"/>
      </w:pPr>
      <w:r>
        <w:t xml:space="preserve">5.11 Contact</w:t>
      </w:r>
    </w:p>
    <w:p>
      <w:pPr>
        <w:pStyle w:val="FirstParagraph"/>
      </w:pPr>
      <w:r>
        <w:t xml:space="preserve">Questions about this disclaimer can be sent to</w:t>
      </w:r>
      <w:r>
        <w:t xml:space="preserve"> </w:t>
      </w:r>
      <w:r>
        <w:rPr>
          <w:b/>
          <w:bCs/>
        </w:rPr>
        <w:t xml:space="preserve">[CONTACT EMAIL — TBD by</w:t>
      </w:r>
      <w:r>
        <w:rPr>
          <w:b/>
          <w:bCs/>
        </w:rPr>
        <w:t xml:space="preserve"> </w:t>
      </w:r>
      <w:r>
        <w:rPr>
          <w:b/>
          <w:bCs/>
        </w:rPr>
        <w:t xml:space="preserve">legal]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60b7fd86f62ebd140f2e870cb899bc8b933e843"/>
    <w:p>
      <w:pPr>
        <w:pStyle w:val="Heading2"/>
      </w:pPr>
      <w:r>
        <w:t xml:space="preserve">6. Open Questions for Legal</w:t>
      </w:r>
    </w:p>
    <w:p>
      <w:pPr>
        <w:pStyle w:val="FirstParagraph"/>
      </w:pPr>
      <w:r>
        <w:t xml:space="preserve">Items below are placeholders or open decisions intended for the legal team: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Operating entity name &amp; form.</w:t>
      </w:r>
      <w:r>
        <w:t xml:space="preserve"> </w:t>
      </w:r>
      <w:r>
        <w:t xml:space="preserve">Confirm the exact legal entity to</w:t>
      </w:r>
      <w:r>
        <w:t xml:space="preserve"> </w:t>
      </w:r>
      <w:r>
        <w:t xml:space="preserve">reference — currently "Pala Labs". If a specific operating entity (LLC,</w:t>
      </w:r>
      <w:r>
        <w:t xml:space="preserve"> </w:t>
      </w:r>
      <w:r>
        <w:t xml:space="preserve">Pvt. Ltd., GmbH, etc.) should be named, please supply.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Governing law / venue.</w:t>
      </w:r>
      <w:r>
        <w:t xml:space="preserve"> </w:t>
      </w:r>
      <w:r>
        <w:t xml:space="preserve">Section 5.10 needs a governing-law clause</w:t>
      </w:r>
      <w:r>
        <w:t xml:space="preserve"> </w:t>
      </w:r>
      <w:r>
        <w:t xml:space="preserve">(and, if desired, a venue / arbitration clause).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Jurisdiction-specific carve-outs.</w:t>
      </w:r>
      <w:r>
        <w:t xml:space="preserve"> </w:t>
      </w:r>
      <w:r>
        <w:t xml:space="preserve">Should we add explicit references</w:t>
      </w:r>
      <w:r>
        <w:t xml:space="preserve"> </w:t>
      </w:r>
      <w:r>
        <w:t xml:space="preserve">for any of:</w:t>
      </w:r>
    </w:p>
    <w:p>
      <w:pPr>
        <w:pStyle w:val="Compact"/>
        <w:numPr>
          <w:ilvl w:val="1"/>
          <w:numId w:val="1009"/>
        </w:numPr>
      </w:pPr>
      <w:r>
        <w:t xml:space="preserve">United States (IRS / Circular 230 / state-level taxes)</w:t>
      </w:r>
    </w:p>
    <w:p>
      <w:pPr>
        <w:pStyle w:val="Compact"/>
        <w:numPr>
          <w:ilvl w:val="1"/>
          <w:numId w:val="1009"/>
        </w:numPr>
      </w:pPr>
      <w:r>
        <w:t xml:space="preserve">India (Income Tax Act, VDA provisions u/s 2(47A), Section 115BBH, TDS</w:t>
      </w:r>
      <w:r>
        <w:t xml:space="preserve"> </w:t>
      </w:r>
      <w:r>
        <w:t xml:space="preserve">u/s 194S, CBDT guidance)</w:t>
      </w:r>
    </w:p>
    <w:p>
      <w:pPr>
        <w:pStyle w:val="Compact"/>
        <w:numPr>
          <w:ilvl w:val="1"/>
          <w:numId w:val="1009"/>
        </w:numPr>
      </w:pPr>
      <w:r>
        <w:t xml:space="preserve">European Union (MiCA, DAC8)</w:t>
      </w:r>
    </w:p>
    <w:p>
      <w:pPr>
        <w:pStyle w:val="Compact"/>
        <w:numPr>
          <w:ilvl w:val="1"/>
          <w:numId w:val="1009"/>
        </w:numPr>
      </w:pPr>
      <w:r>
        <w:t xml:space="preserve">United Kingdom (HMRC cryptoassets manual)</w:t>
      </w:r>
    </w:p>
    <w:p>
      <w:pPr>
        <w:pStyle w:val="Compact"/>
        <w:numPr>
          <w:ilvl w:val="1"/>
          <w:numId w:val="1009"/>
        </w:numPr>
      </w:pPr>
      <w:r>
        <w:t xml:space="preserve">Other priority markets?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Relationship to Terms of Service / Privacy Policy.</w:t>
      </w:r>
      <w:r>
        <w:t xml:space="preserve"> </w:t>
      </w:r>
      <w:r>
        <w:t xml:space="preserve">Should this</w:t>
      </w:r>
      <w:r>
        <w:t xml:space="preserve"> </w:t>
      </w:r>
      <w:r>
        <w:t xml:space="preserve">disclaimer remain standalone, or be folded into a broader ToS document?</w:t>
      </w:r>
      <w:r>
        <w:t xml:space="preserve"> </w:t>
      </w:r>
      <w:r>
        <w:t xml:space="preserve">Section 5.6 references a Privacy Policy that does not yet exist.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Re-acceptance triggers.</w:t>
      </w:r>
      <w:r>
        <w:t xml:space="preserve"> </w:t>
      </w:r>
      <w:r>
        <w:t xml:space="preserve">We plan to re-prompt users only on</w:t>
      </w:r>
      <w:r>
        <w:t xml:space="preserve"> </w:t>
      </w:r>
      <w:r>
        <w:rPr>
          <w:i/>
          <w:iCs/>
        </w:rPr>
        <w:t xml:space="preserve">material</w:t>
      </w:r>
      <w:r>
        <w:t xml:space="preserve"> </w:t>
      </w:r>
      <w:r>
        <w:t xml:space="preserve">updates (tracked via a version key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).</w:t>
      </w:r>
      <w:r>
        <w:t xml:space="preserve"> </w:t>
      </w:r>
      <w:r>
        <w:t xml:space="preserve">Confirm this is acceptable, or whether re-acceptance should be required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revision.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Output-document footer.</w:t>
      </w:r>
      <w:r>
        <w:t xml:space="preserve"> </w:t>
      </w:r>
      <w:r>
        <w:t xml:space="preserve">Should generated exports (CSV / PDF tax</w:t>
      </w:r>
      <w:r>
        <w:t xml:space="preserve"> </w:t>
      </w:r>
      <w:r>
        <w:t xml:space="preserve">reports) carry an abbreviated disclaimer footer? If yes, please draft</w:t>
      </w:r>
      <w:r>
        <w:t xml:space="preserve"> </w:t>
      </w:r>
      <w:r>
        <w:t xml:space="preserve">the language to include.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Limitation-of-liability cap.</w:t>
      </w:r>
      <w:r>
        <w:t xml:space="preserve"> </w:t>
      </w:r>
      <w:r>
        <w:t xml:space="preserve">Section 5.5 currently disclaims</w:t>
      </w:r>
      <w:r>
        <w:t xml:space="preserve"> </w:t>
      </w:r>
      <w:r>
        <w:t xml:space="preserve">liability "to the maximum extent permitted by applicable law" without a</w:t>
      </w:r>
      <w:r>
        <w:t xml:space="preserve"> </w:t>
      </w:r>
      <w:r>
        <w:t xml:space="preserve">monetary cap. Confirm whether a cap (e.g. fees paid in the prior 12</w:t>
      </w:r>
      <w:r>
        <w:t xml:space="preserve"> </w:t>
      </w:r>
      <w:r>
        <w:t xml:space="preserve">months, or a fixed amount) is preferred.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Audience-specific warnings.</w:t>
      </w:r>
      <w:r>
        <w:t xml:space="preserve"> </w:t>
      </w:r>
      <w:r>
        <w:t xml:space="preserve">Should we warn specific user categories</w:t>
      </w:r>
      <w:r>
        <w:t xml:space="preserve"> </w:t>
      </w:r>
      <w:r>
        <w:t xml:space="preserve">(e.g. professional tax preparers, businesses, regulated entities) that</w:t>
      </w:r>
      <w:r>
        <w:t xml:space="preserve"> </w:t>
      </w:r>
      <w:r>
        <w:t xml:space="preserve">the Tool is intended for</w:t>
      </w:r>
      <w:r>
        <w:t xml:space="preserve"> </w:t>
      </w:r>
      <w:r>
        <w:rPr>
          <w:b/>
          <w:bCs/>
        </w:rPr>
        <w:t xml:space="preserve">individual informational use only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draft.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2026-05-26T16:34:52Z</dcterms:created>
  <dcterms:modified xsi:type="dcterms:W3CDTF">2026-05-26T16:34:52Z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