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D2E"/>
          <w:sz w:val="40"/>
        </w:rPr>
        <w:t>iTrust Pediatrics – Changes I Directed</w:t>
      </w:r>
    </w:p>
    <w:p>
      <w:r>
        <w:rPr>
          <w:rFonts w:ascii="Calibri" w:hAnsi="Calibri"/>
          <w:i/>
          <w:color w:val="68746B"/>
          <w:sz w:val="21"/>
        </w:rPr>
        <w:t>Design and content decisions made on my own call, outside Lea’s (CEO) feedback. Generated September 02, 2026.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7488"/>
      </w:tblGrid>
      <w:tr>
        <w:tc>
          <w:tcPr>
            <w:tcW w:type="dxa" w:w="5112"/>
            <w:shd w:val="clear" w:fill="1F4D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112"/>
            <w:shd w:val="clear" w:fill="1F4D2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we did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Family connection band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 xml:space="preserve">Explored 30+ design directions and landed on the </w:t>
            </w:r>
            <w:r>
              <w:rPr>
                <w:rFonts w:ascii="Calibri" w:hAnsi="Calibri"/>
                <w:b/>
                <w:color w:val="33413A"/>
                <w:sz w:val="19"/>
              </w:rPr>
              <w:t>“Framed Stamps” (Design 27)</w:t>
            </w:r>
            <w:r>
              <w:rPr>
                <w:rFonts w:ascii="Calibri" w:hAnsi="Calibri"/>
                <w:color w:val="33413A"/>
                <w:sz w:val="19"/>
              </w:rPr>
              <w:t xml:space="preserve"> with a distinct green palette per practice. Tuned the tile and section sizing with live sliders, switched all three brand logos to full color, and </w:t>
            </w:r>
            <w:r>
              <w:rPr>
                <w:rFonts w:ascii="Calibri" w:hAnsi="Calibri"/>
                <w:b/>
                <w:color w:val="33413A"/>
                <w:sz w:val="19"/>
              </w:rPr>
              <w:t>enlarged the Pediatrics logo so all three wordmarks read at the same size</w:t>
            </w:r>
            <w:r>
              <w:rPr>
                <w:rFonts w:ascii="Calibri" w:hAnsi="Calibri"/>
                <w:color w:val="33413A"/>
                <w:sz w:val="19"/>
              </w:rPr>
              <w:t xml:space="preserve"> across the three sites.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Clinical Services section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 xml:space="preserve">Explored 40+ layouts and pop-up styles; landed on a </w:t>
            </w:r>
            <w:r>
              <w:rPr>
                <w:rFonts w:ascii="Calibri" w:hAnsi="Calibri"/>
                <w:b/>
                <w:color w:val="33413A"/>
                <w:sz w:val="19"/>
              </w:rPr>
              <w:t>numbered-tile grid that opens a full-screen pop-up (Design 6)</w:t>
            </w:r>
            <w:r>
              <w:rPr>
                <w:rFonts w:ascii="Calibri" w:hAnsi="Calibri"/>
                <w:color w:val="33413A"/>
                <w:sz w:val="19"/>
              </w:rPr>
              <w:t>. Added a fitting photo to each condition’s pop-up (you approved the set), balanced the layout, and removed the three promise cards.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Signs section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>Added a photo + layout, a separator line, and “auto-close on scroll” behavior for the accordions.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About section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>Redesigned into interactive hover cards (Design A); new mission statement; pinned the banner photo, tuned with a slider.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“Why It Matters” / Spotlight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>Replaced the placeholder video with a static image, then restored a play button so it reads as a video area.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Cleanups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>Removed the duplicate Signs section from the Services page; removed the “Book a Visit” CTA on the Team page and tuned the spacing; fixed the “wobbly” heart icon in How It Works.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Copy polish (your direction)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>“Schedule An Initial Appointment” CTA; one-line sub-headings; trimmed “Reach out anyway”; rephrased the Get Started and contact lines for a more professional tone.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Contact details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 xml:space="preserve">Verified where the phone/email originated, checked iTrust Wellness for the official details, and added the </w:t>
            </w:r>
            <w:r>
              <w:rPr>
                <w:rFonts w:ascii="Calibri" w:hAnsi="Calibri"/>
                <w:b/>
                <w:color w:val="33413A"/>
                <w:sz w:val="19"/>
              </w:rPr>
              <w:t>Fax (864-640-4400)</w:t>
            </w:r>
            <w:r>
              <w:rPr>
                <w:rFonts w:ascii="Calibri" w:hAnsi="Calibri"/>
                <w:color w:val="33413A"/>
                <w:sz w:val="19"/>
              </w:rPr>
              <w:t>. Phone and email left as-is per your call.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/>
                <w:color w:val="33413A"/>
                <w:sz w:val="19"/>
              </w:rPr>
              <w:t>Brand consistency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33413A"/>
                <w:sz w:val="19"/>
              </w:rPr>
              <w:t xml:space="preserve">Confirmed the whole site uses the brand fonts – </w:t>
            </w:r>
            <w:r>
              <w:rPr>
                <w:rFonts w:ascii="Calibri" w:hAnsi="Calibri"/>
                <w:b/>
                <w:color w:val="33413A"/>
                <w:sz w:val="19"/>
              </w:rPr>
              <w:t>GT Super Display</w:t>
            </w:r>
            <w:r>
              <w:rPr>
                <w:rFonts w:ascii="Calibri" w:hAnsi="Calibri"/>
                <w:color w:val="33413A"/>
                <w:sz w:val="19"/>
              </w:rPr>
              <w:t xml:space="preserve"> headings, </w:t>
            </w:r>
            <w:r>
              <w:rPr>
                <w:rFonts w:ascii="Calibri" w:hAnsi="Calibri"/>
                <w:b/>
                <w:color w:val="33413A"/>
                <w:sz w:val="19"/>
              </w:rPr>
              <w:t>Plus Jakarta Sans</w:t>
            </w:r>
            <w:r>
              <w:rPr>
                <w:rFonts w:ascii="Calibri" w:hAnsi="Calibri"/>
                <w:color w:val="33413A"/>
                <w:sz w:val="19"/>
              </w:rPr>
              <w:t xml:space="preserve"> body – and the official logo kit.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