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2E"/>
          <w:sz w:val="40"/>
        </w:rPr>
        <w:t>iTrust Pediatrics Website Revision Summary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76"/>
        <w:gridCol w:w="6192"/>
      </w:tblGrid>
      <w:tr>
        <w:tc>
          <w:tcPr>
            <w:tcW w:type="dxa" w:w="5256"/>
            <w:shd w:val="clear" w:fill="1F4D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Lea asked for</w:t>
            </w:r>
          </w:p>
        </w:tc>
        <w:tc>
          <w:tcPr>
            <w:tcW w:type="dxa" w:w="5256"/>
            <w:shd w:val="clear" w:fill="1F4D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we did</w:t>
            </w:r>
          </w:p>
        </w:tc>
      </w:tr>
      <w:tr>
        <w:tc>
          <w:tcPr>
            <w:tcW w:type="dxa" w:w="4176"/>
          </w:tcPr>
          <w:p>
            <w:r>
              <w:rPr>
                <w:rFonts w:ascii="Calibri" w:hAnsi="Calibri"/>
                <w:color w:val="33413A"/>
                <w:sz w:val="18"/>
              </w:rPr>
              <w:t>Connect all three practices across every site. Position iTrust Pediatrics &amp; Cares as part of iTrust Wellness; show all three logos and explain how they work together (care across the lifespan, ~age 6 through older adulthood). Leverage Wellness’s ~8 years of experience.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33413A"/>
                <w:sz w:val="18"/>
              </w:rPr>
              <w:t xml:space="preserve">Added a shared </w:t>
            </w:r>
            <w:r>
              <w:rPr>
                <w:rFonts w:ascii="Calibri" w:hAnsi="Calibri"/>
                <w:b/>
                <w:color w:val="33413A"/>
                <w:sz w:val="18"/>
              </w:rPr>
              <w:t>“One iTrust Family”</w:t>
            </w:r>
            <w:r>
              <w:rPr>
                <w:rFonts w:ascii="Calibri" w:hAnsi="Calibri"/>
                <w:color w:val="33413A"/>
                <w:sz w:val="18"/>
              </w:rPr>
              <w:t xml:space="preserve"> band to all three sites. It shows all three logos and the lifespan path – Children &amp; adolescents → Adults → Older adults – with each site’s “You are here” marker and links to the other two. Lead line: “iTrust Pediatrics is part of iTrust Wellness.” Built as a solid branded card design and rolled out with full-color logos across all three sites.</w:t>
            </w:r>
          </w:p>
        </w:tc>
      </w:tr>
      <w:tr>
        <w:tc>
          <w:tcPr>
            <w:tcW w:type="dxa" w:w="4176"/>
          </w:tcPr>
          <w:p>
            <w:r>
              <w:rPr>
                <w:rFonts w:ascii="Calibri" w:hAnsi="Calibri"/>
                <w:color w:val="33413A"/>
                <w:sz w:val="18"/>
              </w:rPr>
              <w:t>Two clear referral pathways: one for referral partners/providers and one for self-referring patients/parents. Self-referral links to the current form.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33413A"/>
                <w:sz w:val="18"/>
              </w:rPr>
              <w:t xml:space="preserve">Contact page now has </w:t>
            </w:r>
            <w:r>
              <w:rPr>
                <w:rFonts w:ascii="Calibri" w:hAnsi="Calibri"/>
                <w:b/>
                <w:color w:val="33413A"/>
                <w:sz w:val="18"/>
              </w:rPr>
              <w:t>“Two ways to begin”</w:t>
            </w:r>
            <w:r>
              <w:rPr>
                <w:rFonts w:ascii="Calibri" w:hAnsi="Calibri"/>
                <w:color w:val="33413A"/>
                <w:sz w:val="18"/>
              </w:rPr>
              <w:t>: a Parents / self-referral card that links to the appointment form, and a Referring Providers card with phone &amp; email to refer a patient.</w:t>
            </w:r>
          </w:p>
        </w:tc>
      </w:tr>
      <w:tr>
        <w:tc>
          <w:tcPr>
            <w:tcW w:type="dxa" w:w="4176"/>
          </w:tcPr>
          <w:p>
            <w:r>
              <w:rPr>
                <w:rFonts w:ascii="Calibri" w:hAnsi="Calibri"/>
                <w:color w:val="33413A"/>
                <w:sz w:val="18"/>
              </w:rPr>
              <w:t>Weave key messaging throughout: “Emotional and cognitive well-being can affect individuals of all ages”; a “skilled, experienced” provider team; compassionate care; evidence-based treatment; mental health as integral to a child’s health.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33413A"/>
                <w:sz w:val="18"/>
              </w:rPr>
              <w:t>Applied site-wide: the family-band lead uses “Emotional and cognitive well-being can affect individuals of all ages.” Hero reads “Compassionate Behavioral &amp; Mental Health Care.” Team subhead: “Skilled, experienced psychiatric providers.” “Evidence-based” runs through the About and Clinical Services copy.</w:t>
            </w:r>
            <w:r>
              <w:br/>
            </w:r>
            <w:r>
              <w:rPr>
                <w:rFonts w:ascii="Calibri" w:hAnsi="Calibri"/>
                <w:color w:val="33413A"/>
                <w:sz w:val="18"/>
              </w:rPr>
            </w:r>
            <w:r>
              <w:rPr>
                <w:rFonts w:ascii="Calibri" w:hAnsi="Calibri"/>
                <w:i/>
                <w:color w:val="33413A"/>
                <w:sz w:val="18"/>
              </w:rPr>
              <w:t>Note: the exact line “Mental health is an integral part of a child’s overall health” isn’t placed verbatim yet – easy to add on request.</w:t>
            </w:r>
          </w:p>
        </w:tc>
      </w:tr>
      <w:tr>
        <w:tc>
          <w:tcPr>
            <w:tcW w:type="dxa" w:w="4176"/>
          </w:tcPr>
          <w:p>
            <w:r>
              <w:rPr>
                <w:rFonts w:ascii="Calibri" w:hAnsi="Calibri"/>
                <w:color w:val="33413A"/>
                <w:sz w:val="18"/>
              </w:rPr>
              <w:t>Add content early on the home page answering “How do I know if my child needs mental health care?” Acknowledge it’s hard to tell (developmental / situational / needs support), give brief common signs, then a clear next step (schedule an initial consultation/evaluation).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33413A"/>
                <w:sz w:val="18"/>
              </w:rPr>
              <w:t xml:space="preserve">Added the </w:t>
            </w:r>
            <w:r>
              <w:rPr>
                <w:rFonts w:ascii="Calibri" w:hAnsi="Calibri"/>
                <w:b/>
                <w:color w:val="33413A"/>
                <w:sz w:val="18"/>
              </w:rPr>
              <w:t>“Signs It May Be Time to Reach Out”</w:t>
            </w:r>
            <w:r>
              <w:rPr>
                <w:rFonts w:ascii="Calibri" w:hAnsi="Calibri"/>
                <w:color w:val="33413A"/>
                <w:sz w:val="18"/>
              </w:rPr>
              <w:t xml:space="preserve"> section high on the home page, with the reassuring paragraph (“Recognizing the signs can be hard… a normal part of growing up, a reaction to something happening now, or something that needs a little more support”), four common-signs panels, and a “Schedule An Initial Appointment” button.</w:t>
            </w:r>
          </w:p>
        </w:tc>
      </w:tr>
      <w:tr>
        <w:tc>
          <w:tcPr>
            <w:tcW w:type="dxa" w:w="4176"/>
          </w:tcPr>
          <w:p>
            <w:r>
              <w:rPr>
                <w:rFonts w:ascii="Calibri" w:hAnsi="Calibri"/>
                <w:color w:val="33413A"/>
                <w:sz w:val="18"/>
              </w:rPr>
              <w:t>Opening content says “Teens.” Start broadly with “children and adolescents”; introduce “teens” later.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33413A"/>
                <w:sz w:val="18"/>
              </w:rPr>
              <w:t xml:space="preserve">Changed the body copy from “children and teens” to </w:t>
            </w:r>
            <w:r>
              <w:rPr>
                <w:rFonts w:ascii="Calibri" w:hAnsi="Calibri"/>
                <w:b/>
                <w:color w:val="33413A"/>
                <w:sz w:val="18"/>
              </w:rPr>
              <w:t>“children and adolescents”</w:t>
            </w:r>
            <w:r>
              <w:rPr>
                <w:rFonts w:ascii="Calibri" w:hAnsi="Calibri"/>
                <w:color w:val="33413A"/>
                <w:sz w:val="18"/>
              </w:rPr>
              <w:t xml:space="preserve"> across the hero, About, Services, and FAQ. “Teens” now only remains in the Team filter chips and SEO/meta (per your call).</w:t>
            </w:r>
          </w:p>
        </w:tc>
      </w:tr>
      <w:tr>
        <w:tc>
          <w:tcPr>
            <w:tcW w:type="dxa" w:w="4176"/>
          </w:tcPr>
          <w:p>
            <w:r>
              <w:rPr>
                <w:rFonts w:ascii="Calibri" w:hAnsi="Calibri"/>
                <w:color w:val="33413A"/>
                <w:sz w:val="18"/>
              </w:rPr>
              <w:t>The ages 5–17 reference is a chance to introduce the Pediatrics→Wellness relationship and how patients transition into Wellness as they age (continuity, not “aging out”).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33413A"/>
                <w:sz w:val="18"/>
              </w:rPr>
              <w:t>The “Ages we serve” card now reads: “When your child turns 18, we’ll help transition their care to our adult practice at iTrust Wellness,” and the family band visualizes that continuity across the lifespan.</w:t>
            </w:r>
          </w:p>
        </w:tc>
      </w:tr>
      <w:tr>
        <w:tc>
          <w:tcPr>
            <w:tcW w:type="dxa" w:w="4176"/>
          </w:tcPr>
          <w:p>
            <w:r>
              <w:rPr>
                <w:rFonts w:ascii="Calibri" w:hAnsi="Calibri"/>
                <w:color w:val="33413A"/>
                <w:sz w:val="18"/>
              </w:rPr>
              <w:t>“What We Do”: reframe “we don’t provide talk therapy” around a collaborative-care model (collaborate with therapy practices / professionals when appropriate). Do the same with assessments – say what we DO provide and how we help families navigate outside services.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33413A"/>
                <w:sz w:val="18"/>
              </w:rPr>
              <w:t xml:space="preserve">Reframed as </w:t>
            </w:r>
            <w:r>
              <w:rPr>
                <w:rFonts w:ascii="Calibri" w:hAnsi="Calibri"/>
                <w:b/>
                <w:color w:val="33413A"/>
                <w:sz w:val="18"/>
              </w:rPr>
              <w:t>“Our Collaborative Care Model”</w:t>
            </w:r>
            <w:r>
              <w:rPr>
                <w:rFonts w:ascii="Calibri" w:hAnsi="Calibri"/>
                <w:color w:val="33413A"/>
                <w:sz w:val="18"/>
              </w:rPr>
              <w:t>: “We provide psychiatric care, and we collaborate for the rest… when a fuller approach would help, such as talk therapy or additional testing, we work alongside trusted therapy practices and help your family navigate services from another provider.”</w:t>
            </w:r>
          </w:p>
        </w:tc>
      </w:tr>
      <w:tr>
        <w:tc>
          <w:tcPr>
            <w:tcW w:type="dxa" w:w="4176"/>
          </w:tcPr>
          <w:p>
            <w:r>
              <w:rPr>
                <w:rFonts w:ascii="Calibri" w:hAnsi="Calibri"/>
                <w:color w:val="33413A"/>
                <w:sz w:val="18"/>
              </w:rPr>
              <w:t>“Why It Matters” quote attributed to “Owner &amp; CEO” (Steve) should be “Owner &amp; Founder” (he now has a CEO).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33413A"/>
                <w:sz w:val="18"/>
              </w:rPr>
              <w:t xml:space="preserve">Updated the attribution to </w:t>
            </w:r>
            <w:r>
              <w:rPr>
                <w:rFonts w:ascii="Calibri" w:hAnsi="Calibri"/>
                <w:b/>
                <w:color w:val="33413A"/>
                <w:sz w:val="18"/>
              </w:rPr>
              <w:t>“Owner and Founder, iTrust Pediatrics.”</w:t>
            </w:r>
          </w:p>
        </w:tc>
      </w:tr>
      <w:tr>
        <w:tc>
          <w:tcPr>
            <w:tcW w:type="dxa" w:w="4176"/>
          </w:tcPr>
          <w:p>
            <w:r>
              <w:rPr>
                <w:rFonts w:ascii="Calibri" w:hAnsi="Calibri"/>
                <w:color w:val="33413A"/>
                <w:sz w:val="18"/>
              </w:rPr>
              <w:t>Services – reconsider the word “Careful” under Our Clinical Services.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33413A"/>
                <w:sz w:val="18"/>
              </w:rPr>
              <w:t>Removed “careful” and rephrased: “…our prescribers offer conservative medication support that’s closely monitored over time.” (The whole Clinical Services section was also redesigned.)</w:t>
            </w:r>
          </w:p>
        </w:tc>
      </w:tr>
      <w:tr>
        <w:tc>
          <w:tcPr>
            <w:tcW w:type="dxa" w:w="4176"/>
          </w:tcPr>
          <w:p>
            <w:r>
              <w:rPr>
                <w:rFonts w:ascii="Calibri" w:hAnsi="Calibri"/>
                <w:color w:val="33413A"/>
                <w:sz w:val="18"/>
              </w:rPr>
              <w:t>“The Whole Family” – if kept, use a visual patient/family journey or roadmap: Pediatrics → Wellness → Cares.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33413A"/>
                <w:sz w:val="18"/>
              </w:rPr>
              <w:t xml:space="preserve">Delivered as the family band – a visual roadmap of </w:t>
            </w:r>
            <w:r>
              <w:rPr>
                <w:rFonts w:ascii="Calibri" w:hAnsi="Calibri"/>
                <w:b/>
                <w:color w:val="33413A"/>
                <w:sz w:val="18"/>
              </w:rPr>
              <w:t>Pediatrics → Wellness → Cares</w:t>
            </w:r>
            <w:r>
              <w:rPr>
                <w:rFonts w:ascii="Calibri" w:hAnsi="Calibri"/>
                <w:color w:val="33413A"/>
                <w:sz w:val="18"/>
              </w:rPr>
              <w:t xml:space="preserve"> across life stages, on every site.</w:t>
            </w:r>
          </w:p>
        </w:tc>
      </w:tr>
      <w:tr>
        <w:tc>
          <w:tcPr>
            <w:tcW w:type="dxa" w:w="4176"/>
          </w:tcPr>
          <w:p>
            <w:r>
              <w:rPr>
                <w:rFonts w:ascii="Calibri" w:hAnsi="Calibri"/>
                <w:color w:val="33413A"/>
                <w:sz w:val="18"/>
              </w:rPr>
              <w:t>Contact – change “We’d love to care…” (no “love”); warmer but professional.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33413A"/>
                <w:sz w:val="18"/>
              </w:rPr>
              <w:t xml:space="preserve">Changed to </w:t>
            </w:r>
            <w:r>
              <w:rPr>
                <w:rFonts w:ascii="Calibri" w:hAnsi="Calibri"/>
                <w:b/>
                <w:color w:val="33413A"/>
                <w:sz w:val="18"/>
              </w:rPr>
              <w:t>“We’re here to help your family take the next step.”</w:t>
            </w:r>
          </w:p>
        </w:tc>
      </w:tr>
      <w:tr>
        <w:tc>
          <w:tcPr>
            <w:tcW w:type="dxa" w:w="4176"/>
          </w:tcPr>
          <w:p>
            <w:r>
              <w:rPr>
                <w:rFonts w:ascii="Calibri" w:hAnsi="Calibri"/>
                <w:color w:val="33413A"/>
                <w:sz w:val="18"/>
              </w:rPr>
              <w:t>Change “Meet the People” to “Meet Our Team” or “Meet Our Experienced Providers” (“People” feels too casual).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33413A"/>
                <w:sz w:val="18"/>
              </w:rPr>
              <w:t xml:space="preserve">Team heading is now </w:t>
            </w:r>
            <w:r>
              <w:rPr>
                <w:rFonts w:ascii="Calibri" w:hAnsi="Calibri"/>
                <w:b/>
                <w:color w:val="33413A"/>
                <w:sz w:val="18"/>
              </w:rPr>
              <w:t>“Meet Our Experienced Providers.”</w:t>
            </w:r>
          </w:p>
        </w:tc>
      </w:tr>
      <w:tr>
        <w:tc>
          <w:tcPr>
            <w:tcW w:type="dxa" w:w="4176"/>
          </w:tcPr>
          <w:p>
            <w:r>
              <w:rPr>
                <w:rFonts w:ascii="Calibri" w:hAnsi="Calibri"/>
                <w:color w:val="33413A"/>
                <w:sz w:val="18"/>
              </w:rPr>
              <w:t>Under “Get Started,” drop the “a real person” language; use something like “Connect with our team.”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33413A"/>
                <w:sz w:val="18"/>
              </w:rPr>
              <w:t>“Real person” language removed. The Get Started line now reads: “Request an appointment or ask a question, our team will respond promptly.”</w:t>
            </w:r>
          </w:p>
        </w:tc>
      </w:tr>
      <w:tr>
        <w:tc>
          <w:tcPr>
            <w:tcW w:type="dxa" w:w="4176"/>
          </w:tcPr>
          <w:p>
            <w:r>
              <w:rPr>
                <w:rFonts w:ascii="Calibri" w:hAnsi="Calibri"/>
                <w:color w:val="33413A"/>
                <w:sz w:val="18"/>
              </w:rPr>
              <w:t>Overall: warm, reassuring, approachable for parents, yet clinically credible and professional – experienced team, evidence-based, collaborative, part of a larger lifespan organization. The three sites must feel connected, not like three unrelated companies.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33413A"/>
                <w:sz w:val="18"/>
              </w:rPr>
              <w:t>De-AI’d and professionalized the copy across the site. The shared family band + consistent messaging + unified logos tie the three practices together, while each keeps its own identity and audience.</w:t>
            </w:r>
          </w:p>
        </w:tc>
      </w:tr>
      <w:tr>
        <w:tc>
          <w:tcPr>
            <w:tcW w:type="dxa" w:w="4176"/>
          </w:tcPr>
          <w:p>
            <w:r>
              <w:rPr>
                <w:rFonts w:ascii="Calibri" w:hAnsi="Calibri"/>
                <w:b/>
                <w:color w:val="33413A"/>
                <w:sz w:val="18"/>
              </w:rPr>
              <w:t>Additional CEO feedback (a later, separate message):</w:t>
            </w:r>
            <w:r>
              <w:rPr>
                <w:rFonts w:ascii="Calibri" w:hAnsi="Calibri"/>
                <w:color w:val="33413A"/>
                <w:sz w:val="18"/>
              </w:rPr>
              <w:t xml:space="preserve"> the address and hours were wrong; provide the correct address (121 Commons Way, Greenville, SC 29611) and hours (Mon–Thu 8–4, Fri 8–12); add a real map.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color w:val="33413A"/>
                <w:sz w:val="18"/>
              </w:rPr>
              <w:t xml:space="preserve">Updated the </w:t>
            </w:r>
            <w:r>
              <w:rPr>
                <w:rFonts w:ascii="Calibri" w:hAnsi="Calibri"/>
                <w:b/>
                <w:color w:val="33413A"/>
                <w:sz w:val="18"/>
              </w:rPr>
              <w:t>address everywhere</w:t>
            </w:r>
            <w:r>
              <w:rPr>
                <w:rFonts w:ascii="Calibri" w:hAnsi="Calibri"/>
                <w:color w:val="33413A"/>
                <w:sz w:val="18"/>
              </w:rPr>
              <w:t xml:space="preserve"> (footers on all pages, contact card, legal text, structured data), set the </w:t>
            </w:r>
            <w:r>
              <w:rPr>
                <w:rFonts w:ascii="Calibri" w:hAnsi="Calibri"/>
                <w:b/>
                <w:color w:val="33413A"/>
                <w:sz w:val="18"/>
              </w:rPr>
              <w:t>new hours</w:t>
            </w:r>
            <w:r>
              <w:rPr>
                <w:rFonts w:ascii="Calibri" w:hAnsi="Calibri"/>
                <w:color w:val="33413A"/>
                <w:sz w:val="18"/>
              </w:rPr>
              <w:t xml:space="preserve"> (table + live “open/closed” status), and embedded a </w:t>
            </w:r>
            <w:r>
              <w:rPr>
                <w:rFonts w:ascii="Calibri" w:hAnsi="Calibri"/>
                <w:b/>
                <w:color w:val="33413A"/>
                <w:sz w:val="18"/>
              </w:rPr>
              <w:t>real interactive map</w:t>
            </w:r>
            <w:r>
              <w:rPr>
                <w:rFonts w:ascii="Calibri" w:hAnsi="Calibri"/>
                <w:color w:val="33413A"/>
                <w:sz w:val="18"/>
              </w:rPr>
              <w:t xml:space="preserve"> in the footer “Visit us” card.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