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November   8, 2021 (07:04:32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9"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1" w:name="boolean-parameters"/>
    <w:p>
      <w:pPr>
        <w:pStyle w:val="Heading4"/>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1"/>
    <w:bookmarkStart w:id="192"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2"/>
    <w:bookmarkStart w:id="193"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3"/>
    <w:bookmarkEnd w:id="194"/>
    <w:bookmarkStart w:id="198"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8"/>
        </w:numPr>
        <w:pStyle w:val="Compact"/>
      </w:pPr>
      <w:r>
        <w:t xml:space="preserve">To validate input before calling a method</w:t>
      </w:r>
    </w:p>
    <w:p>
      <w:pPr>
        <w:numPr>
          <w:ilvl w:val="0"/>
          <w:numId w:val="1348"/>
        </w:numPr>
        <w:pStyle w:val="Compact"/>
      </w:pPr>
      <w:r>
        <w:t xml:space="preserve">Inside a method, to interact with the user</w:t>
      </w:r>
    </w:p>
    <w:p>
      <w:pPr>
        <w:numPr>
          <w:ilvl w:val="0"/>
          <w:numId w:val="1348"/>
        </w:numPr>
        <w:pStyle w:val="Compact"/>
      </w:pPr>
      <w:r>
        <w:t xml:space="preserve">Inside a method, to take repeated action based on the object’s attributes</w:t>
      </w:r>
    </w:p>
    <w:p>
      <w:pPr>
        <w:numPr>
          <w:ilvl w:val="0"/>
          <w:numId w:val="1348"/>
        </w:numPr>
        <w:pStyle w:val="Compact"/>
      </w:pPr>
      <w:r>
        <w:t xml:space="preserve">To control program behavior based on the return value of a method</w:t>
      </w:r>
    </w:p>
    <w:bookmarkStart w:id="195" w:name="input-validation-with-objects"/>
    <w:p>
      <w:pPr>
        <w:pStyle w:val="Heading4"/>
      </w:pPr>
      <w:r>
        <w:t xml:space="preserve">Input Validation with Objects</w:t>
      </w:r>
    </w:p>
    <w:p>
      <w:pPr>
        <w:numPr>
          <w:ilvl w:val="0"/>
          <w:numId w:val="1349"/>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9"/>
        </w:numPr>
      </w:pPr>
      <w:r>
        <w:t xml:space="preserve">This is a useful technique to use before initializing an object’s attributes with user-provided data</w:t>
      </w:r>
    </w:p>
    <w:p>
      <w:pPr>
        <w:numPr>
          <w:ilvl w:val="0"/>
          <w:numId w:val="1349"/>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0"/>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0"/>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0"/>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9"/>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9"/>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1"/>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1"/>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1"/>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9"/>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2"/>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2"/>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2"/>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5"/>
    <w:bookmarkStart w:id="196" w:name="using-loops-inside-methods"/>
    <w:p>
      <w:pPr>
        <w:pStyle w:val="Heading4"/>
      </w:pPr>
      <w:r>
        <w:t xml:space="preserve">Using Loops Inside Methods</w:t>
      </w:r>
    </w:p>
    <w:p>
      <w:pPr>
        <w:numPr>
          <w:ilvl w:val="0"/>
          <w:numId w:val="1353"/>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3"/>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4"/>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4"/>
        </w:numPr>
      </w:pPr>
      <w:r>
        <w:t xml:space="preserve">This method is similar to a setter, but it has no parameters because its only input comes from the user</w:t>
      </w:r>
    </w:p>
    <w:p>
      <w:pPr>
        <w:numPr>
          <w:ilvl w:val="1"/>
          <w:numId w:val="1354"/>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4"/>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4"/>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3"/>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5"/>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5"/>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6"/>
    <w:bookmarkStart w:id="197" w:name="using-methods-to-control-loops"/>
    <w:p>
      <w:pPr>
        <w:pStyle w:val="Heading4"/>
      </w:pPr>
      <w:r>
        <w:t xml:space="preserve">Using Methods to Control Loops</w:t>
      </w:r>
    </w:p>
    <w:p>
      <w:pPr>
        <w:numPr>
          <w:ilvl w:val="0"/>
          <w:numId w:val="1356"/>
        </w:numPr>
      </w:pPr>
      <w:r>
        <w:t xml:space="preserve">Methods can return Boolean values, as we showed previously in the section on Boolean instance variables</w:t>
      </w:r>
    </w:p>
    <w:p>
      <w:pPr>
        <w:numPr>
          <w:ilvl w:val="0"/>
          <w:numId w:val="1356"/>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6"/>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7"/>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7"/>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7"/>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7"/>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7"/>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7"/>
    <w:bookmarkEnd w:id="198"/>
    <w:bookmarkEnd w:id="199"/>
    <w:bookmarkStart w:id="201"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0">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1"/>
    <w:bookmarkStart w:id="21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8"/>
        </w:numPr>
        <w:pStyle w:val="Compact"/>
      </w:pPr>
      <w:r>
        <w:t xml:space="preserve">Usually all the elements of an array have the same type.</w:t>
      </w:r>
    </w:p>
    <w:p>
      <w:pPr>
        <w:numPr>
          <w:ilvl w:val="0"/>
          <w:numId w:val="1358"/>
        </w:numPr>
        <w:pStyle w:val="Compact"/>
      </w:pPr>
      <w:r>
        <w:t xml:space="preserve">You limit the type of array elements when you declare the array.</w:t>
      </w:r>
    </w:p>
    <w:p>
      <w:pPr>
        <w:numPr>
          <w:ilvl w:val="0"/>
          <w:numId w:val="1358"/>
        </w:numPr>
        <w:pStyle w:val="Compact"/>
      </w:pPr>
      <w:r>
        <w:t xml:space="preserve">If you want the array to store elements of any type, you can specify object as its type.</w:t>
      </w:r>
    </w:p>
    <w:p>
      <w:pPr>
        <w:pStyle w:val="FirstParagraph"/>
      </w:pPr>
      <w:r>
        <w:t xml:space="preserve">An array can be:</w:t>
      </w:r>
    </w:p>
    <w:p>
      <w:pPr>
        <w:numPr>
          <w:ilvl w:val="0"/>
          <w:numId w:val="1359"/>
        </w:numPr>
        <w:pStyle w:val="Compact"/>
      </w:pPr>
      <w:r>
        <w:t xml:space="preserve">Single-Dimensional</w:t>
      </w:r>
    </w:p>
    <w:p>
      <w:pPr>
        <w:numPr>
          <w:ilvl w:val="0"/>
          <w:numId w:val="1359"/>
        </w:numPr>
        <w:pStyle w:val="Compact"/>
      </w:pPr>
      <w:r>
        <w:t xml:space="preserve">Multidimensional (not covered)</w:t>
      </w:r>
    </w:p>
    <w:p>
      <w:pPr>
        <w:numPr>
          <w:ilvl w:val="0"/>
          <w:numId w:val="1359"/>
        </w:numPr>
        <w:pStyle w:val="Compact"/>
      </w:pPr>
      <w:r>
        <w:t xml:space="preserve">Jagged (not covered)</w:t>
      </w:r>
    </w:p>
    <w:p>
      <w:pPr>
        <w:pStyle w:val="FirstParagraph"/>
      </w:pPr>
      <w:r>
        <w:t xml:space="preserve">Arrays are useful, for instance,</w:t>
      </w:r>
    </w:p>
    <w:p>
      <w:pPr>
        <w:numPr>
          <w:ilvl w:val="0"/>
          <w:numId w:val="1360"/>
        </w:numPr>
        <w:pStyle w:val="Compact"/>
      </w:pPr>
      <w:r>
        <w:t xml:space="preserve">When you want to store a collection of related values,</w:t>
      </w:r>
    </w:p>
    <w:p>
      <w:pPr>
        <w:numPr>
          <w:ilvl w:val="0"/>
          <w:numId w:val="1360"/>
        </w:numPr>
        <w:pStyle w:val="Compact"/>
      </w:pPr>
      <w:r>
        <w:t xml:space="preserve">When you don’t know in advance how many variables we need.</w:t>
      </w:r>
    </w:p>
    <w:p>
      <w:pPr>
        <w:numPr>
          <w:ilvl w:val="0"/>
          <w:numId w:val="1360"/>
        </w:numPr>
        <w:pStyle w:val="Compact"/>
      </w:pPr>
      <w:r>
        <w:t xml:space="preserve">When you need too many variables of the same type.</w:t>
      </w:r>
    </w:p>
    <w:bookmarkStart w:id="206"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2"/>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2">
        <w:r>
          <w:rPr>
            <w:rStyle w:val="Hyperlink"/>
          </w:rPr>
          <w:t xml:space="preserve">in this answer on Computer Science Educators</w:t>
        </w:r>
      </w:hyperlink>
      <w:r>
        <w:t xml:space="preserve">.</w:t>
      </w:r>
    </w:p>
    <w:bookmarkStart w:id="203"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3"/>
    <w:bookmarkStart w:id="204"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4"/>
    <w:bookmarkStart w:id="205"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5"/>
    <w:bookmarkEnd w:id="206"/>
    <w:bookmarkStart w:id="211"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7"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3"/>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7"/>
    <w:bookmarkStart w:id="208"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8"/>
    <w:bookmarkStart w:id="209"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09"/>
    <w:bookmarkStart w:id="210"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0"/>
    <w:bookmarkEnd w:id="211"/>
    <w:bookmarkStart w:id="21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2"/>
    <w:bookmarkEnd w:id="213"/>
    <w:bookmarkEnd w:id="214"/>
    <w:bookmarkStart w:id="227" w:name="for-loops"/>
    <w:p>
      <w:pPr>
        <w:pStyle w:val="Heading1"/>
      </w:pPr>
      <w:r>
        <w:t xml:space="preserve">For Loops</w:t>
      </w:r>
    </w:p>
    <w:bookmarkStart w:id="215" w:name="counter-controlled-loops"/>
    <w:p>
      <w:pPr>
        <w:pStyle w:val="Heading4"/>
      </w:pPr>
      <w:r>
        <w:t xml:space="preserve">Counter-controlled loops</w:t>
      </w:r>
    </w:p>
    <w:p>
      <w:pPr>
        <w:numPr>
          <w:ilvl w:val="0"/>
          <w:numId w:val="136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4"/>
        </w:numPr>
      </w:pPr>
      <w:r>
        <w:t xml:space="preserve">Although counter-controlled loops can perform many different kinds of actions in the body of the loop, they all use very similar code for managing the counter variable</w:t>
      </w:r>
    </w:p>
    <w:p>
      <w:pPr>
        <w:numPr>
          <w:ilvl w:val="0"/>
          <w:numId w:val="136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5"/>
        </w:numPr>
        <w:pStyle w:val="Compact"/>
      </w:pPr>
      <w:r>
        <w:t xml:space="preserve">Increment the counter variable at the end of each loop iteration, as the last line of the body</w:t>
      </w:r>
    </w:p>
    <w:bookmarkEnd w:id="215"/>
    <w:bookmarkStart w:id="216" w:name="for-loop-example-and-syntax"/>
    <w:p>
      <w:pPr>
        <w:pStyle w:val="Heading4"/>
      </w:pPr>
      <w:r>
        <w:rPr>
          <w:rStyle w:val="KeywordTok"/>
        </w:rPr>
        <w:t xml:space="preserve">for</w:t>
      </w:r>
      <w:r>
        <w:t xml:space="preserve"> </w:t>
      </w:r>
      <w:r>
        <w:t xml:space="preserve">loop example and syntax</w:t>
      </w:r>
    </w:p>
    <w:p>
      <w:pPr>
        <w:numPr>
          <w:ilvl w:val="0"/>
          <w:numId w:val="136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8"/>
        </w:numPr>
        <w:pStyle w:val="Compact"/>
      </w:pPr>
      <w:r>
        <w:t xml:space="preserve">The initialization statement is executed once, when the program first reaches the loop. This is where you declare and initialize the counter variable.</w:t>
      </w:r>
    </w:p>
    <w:p>
      <w:pPr>
        <w:numPr>
          <w:ilvl w:val="1"/>
          <w:numId w:val="136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6"/>
        </w:numPr>
      </w:pPr>
      <w:r>
        <w:t xml:space="preserve">Examining the example in detail</w:t>
      </w:r>
    </w:p>
    <w:p>
      <w:pPr>
        <w:numPr>
          <w:ilvl w:val="1"/>
          <w:numId w:val="136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9"/>
        </w:numPr>
        <w:pStyle w:val="Compact"/>
      </w:pPr>
      <w:r>
        <w:t xml:space="preserve">Then it returns to the beginning of the loop and evaluates the condition again. Since it is still true, it executes the loop body again.</w:t>
      </w:r>
    </w:p>
    <w:p>
      <w:pPr>
        <w:numPr>
          <w:ilvl w:val="1"/>
          <w:numId w:val="136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6"/>
    <w:bookmarkStart w:id="22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7"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0"/>
        </w:numPr>
      </w:pPr>
      <w:r>
        <w:t xml:space="preserve">This means your loop’s initialization statement will need to assign the variable its starting value, but not declare it</w:t>
      </w:r>
    </w:p>
    <w:p>
      <w:pPr>
        <w:numPr>
          <w:ilvl w:val="0"/>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7"/>
    <w:bookmarkStart w:id="218" w:name="accidentally-re-declaring-a-variable"/>
    <w:p>
      <w:pPr>
        <w:pStyle w:val="Heading4"/>
      </w:pPr>
      <w:r>
        <w:t xml:space="preserve">Accidentally re-declaring a variable</w:t>
      </w:r>
    </w:p>
    <w:p>
      <w:pPr>
        <w:numPr>
          <w:ilvl w:val="0"/>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8"/>
    <w:bookmarkStart w:id="219" w:name="X2c38d73846d9064e9d28d5d0d4cffcde006ac21"/>
    <w:p>
      <w:pPr>
        <w:pStyle w:val="Heading4"/>
      </w:pPr>
      <w:r>
        <w:t xml:space="preserve">Accidentally double-incrementing the counter</w:t>
      </w:r>
    </w:p>
    <w:p>
      <w:pPr>
        <w:numPr>
          <w:ilvl w:val="0"/>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9"/>
    <w:bookmarkEnd w:id="220"/>
    <w:bookmarkStart w:id="225"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1" w:name="complex-condition-statements"/>
    <w:p>
      <w:pPr>
        <w:pStyle w:val="Heading4"/>
      </w:pPr>
      <w:r>
        <w:t xml:space="preserve">Complex condition statements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1"/>
    <w:bookmarkStart w:id="222" w:name="complex-update-statements"/>
    <w:p>
      <w:pPr>
        <w:pStyle w:val="Heading4"/>
      </w:pPr>
      <w:r>
        <w:t xml:space="preserve">Complex update statements</w:t>
      </w:r>
    </w:p>
    <w:p>
      <w:pPr>
        <w:numPr>
          <w:ilvl w:val="0"/>
          <w:numId w:val="1374"/>
        </w:numPr>
      </w:pPr>
      <w:r>
        <w:t xml:space="preserve">The update statement can be anything, not just an increment operation</w:t>
      </w:r>
    </w:p>
    <w:p>
      <w:pPr>
        <w:numPr>
          <w:ilvl w:val="0"/>
          <w:numId w:val="137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2"/>
    <w:bookmarkStart w:id="223" w:name="complex-loop-bodies"/>
    <w:p>
      <w:pPr>
        <w:pStyle w:val="Heading4"/>
      </w:pPr>
      <w:r>
        <w:t xml:space="preserve">Complex loop bodies</w:t>
      </w:r>
    </w:p>
    <w:p>
      <w:pPr>
        <w:numPr>
          <w:ilvl w:val="0"/>
          <w:numId w:val="1375"/>
        </w:numPr>
      </w:pPr>
      <w:r>
        <w:t xml:space="preserve">The loop body can contain more complex statements, including other decision structures</w:t>
      </w:r>
    </w:p>
    <w:p>
      <w:pPr>
        <w:numPr>
          <w:ilvl w:val="0"/>
          <w:numId w:val="137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3"/>
    <w:bookmarkStart w:id="224"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6"/>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7"/>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7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4"/>
    <w:bookmarkEnd w:id="225"/>
    <w:bookmarkStart w:id="226" w:name="for-loops-with-arrays"/>
    <w:p>
      <w:pPr>
        <w:pStyle w:val="Heading2"/>
      </w:pPr>
      <w:r>
        <w:t xml:space="preserve">For Loops With Arrays</w:t>
      </w:r>
    </w:p>
    <w:p>
      <w:pPr>
        <w:numPr>
          <w:ilvl w:val="0"/>
          <w:numId w:val="1378"/>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8"/>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9"/>
        </w:numPr>
        <w:pStyle w:val="Compact"/>
      </w:pPr>
      <w:r>
        <w:t xml:space="preserve">Since we didn’t need to use the counter variable outside the body of the loop, we can declare it in the loop header and limit its scope to the loop’s body</w:t>
      </w:r>
    </w:p>
    <w:p>
      <w:pPr>
        <w:numPr>
          <w:ilvl w:val="0"/>
          <w:numId w:val="137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6"/>
    <w:bookmarkEnd w:id="227"/>
    <w:bookmarkStart w:id="233" w:name="the-foreach-loop"/>
    <w:p>
      <w:pPr>
        <w:pStyle w:val="Heading1"/>
      </w:pPr>
      <w:r>
        <w:t xml:space="preserve">The foreach Loop</w:t>
      </w:r>
    </w:p>
    <w:p>
      <w:pPr>
        <w:numPr>
          <w:ilvl w:val="0"/>
          <w:numId w:val="138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1"/>
        </w:numPr>
        <w:pStyle w:val="Compact"/>
      </w:pPr>
      <w:r>
        <w:t xml:space="preserve">The loop will repeat exactly as many times as there are elements in the array</w:t>
      </w:r>
    </w:p>
    <w:p>
      <w:pPr>
        <w:numPr>
          <w:ilvl w:val="1"/>
          <w:numId w:val="1381"/>
        </w:numPr>
        <w:pStyle w:val="Compact"/>
      </w:pPr>
      <w:r>
        <w:t xml:space="preserve">On each iteration of the loop, the variable will be assigned the next value from the array, in order</w:t>
      </w:r>
    </w:p>
    <w:p>
      <w:pPr>
        <w:numPr>
          <w:ilvl w:val="1"/>
          <w:numId w:val="1381"/>
        </w:numPr>
        <w:pStyle w:val="Compact"/>
      </w:pPr>
      <w:r>
        <w:t xml:space="preserve">The variable must be the same type as the array</w:t>
      </w:r>
    </w:p>
    <w:p>
      <w:pPr>
        <w:numPr>
          <w:ilvl w:val="0"/>
          <w:numId w:val="138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8" w:name="conditional-iteration"/>
    <w:p>
      <w:pPr>
        <w:pStyle w:val="Heading4"/>
      </w:pPr>
      <w:r>
        <w:t xml:space="preserve">Conditional iteration</w:t>
      </w:r>
    </w:p>
    <w:p>
      <w:pPr>
        <w:numPr>
          <w:ilvl w:val="0"/>
          <w:numId w:val="1383"/>
        </w:numPr>
      </w:pPr>
      <w:r>
        <w:t xml:space="preserve">Sometimes, you want to write a loop that will skip some iterations if a certain condition is met</w:t>
      </w:r>
    </w:p>
    <w:p>
      <w:pPr>
        <w:numPr>
          <w:ilvl w:val="0"/>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8"/>
    <w:bookmarkStart w:id="229" w:name="skipping-iterations-with-continue"/>
    <w:p>
      <w:pPr>
        <w:pStyle w:val="Heading4"/>
      </w:pPr>
      <w:r>
        <w:t xml:space="preserve">Skipping iterations with</w:t>
      </w:r>
      <w:r>
        <w:t xml:space="preserve"> </w:t>
      </w:r>
      <w:r>
        <w:rPr>
          <w:rStyle w:val="KeywordTok"/>
        </w:rPr>
        <w:t xml:space="preserve">continue</w:t>
      </w:r>
    </w:p>
    <w:p>
      <w:pPr>
        <w:numPr>
          <w:ilvl w:val="0"/>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9"/>
    <w:bookmarkStart w:id="230" w:name="loops-with-multiple-end-conditions"/>
    <w:p>
      <w:pPr>
        <w:pStyle w:val="Heading4"/>
      </w:pPr>
      <w:r>
        <w:t xml:space="preserve">Loops with multiple end conditions</w:t>
      </w:r>
    </w:p>
    <w:p>
      <w:pPr>
        <w:numPr>
          <w:ilvl w:val="0"/>
          <w:numId w:val="1386"/>
        </w:numPr>
      </w:pPr>
      <w:r>
        <w:t xml:space="preserve">More advanced loops may have multiple conditions that affect whether the loop should continue</w:t>
      </w:r>
    </w:p>
    <w:p>
      <w:pPr>
        <w:numPr>
          <w:ilvl w:val="0"/>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0"/>
    <w:bookmarkStart w:id="231" w:name="ending-the-loop-with-break"/>
    <w:p>
      <w:pPr>
        <w:pStyle w:val="Heading4"/>
      </w:pPr>
      <w:r>
        <w:t xml:space="preserve">Ending the loop with</w:t>
      </w:r>
      <w:r>
        <w:t xml:space="preserve"> </w:t>
      </w:r>
      <w:r>
        <w:rPr>
          <w:rStyle w:val="KeywordTok"/>
        </w:rPr>
        <w:t xml:space="preserve">break</w:t>
      </w:r>
    </w:p>
    <w:p>
      <w:pPr>
        <w:numPr>
          <w:ilvl w:val="0"/>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1"/>
    <w:bookmarkEnd w:id="232"/>
    <w:bookmarkEnd w:id="233"/>
    <w:bookmarkStart w:id="245" w:name="the-static-keyword"/>
    <w:p>
      <w:pPr>
        <w:pStyle w:val="Heading1"/>
      </w:pPr>
      <w:r>
        <w:t xml:space="preserve">The</w:t>
      </w:r>
      <w:r>
        <w:t xml:space="preserve"> </w:t>
      </w:r>
      <w:r>
        <w:rPr>
          <w:rStyle w:val="KeywordTok"/>
        </w:rPr>
        <w:t xml:space="preserve">static</w:t>
      </w:r>
      <w:r>
        <w:t xml:space="preserve"> </w:t>
      </w:r>
      <w:r>
        <w:t xml:space="preserve">Keyword</w:t>
      </w:r>
    </w:p>
    <w:bookmarkStart w:id="238" w:name="static-methods"/>
    <w:p>
      <w:pPr>
        <w:pStyle w:val="Heading2"/>
      </w:pPr>
      <w:r>
        <w:t xml:space="preserve">Static Methods</w:t>
      </w:r>
    </w:p>
    <w:bookmarkStart w:id="234" w:name="different-ways-of-calling-methods"/>
    <w:p>
      <w:pPr>
        <w:pStyle w:val="Heading4"/>
      </w:pPr>
      <w:r>
        <w:t xml:space="preserve">Different ways of calling methods</w:t>
      </w:r>
    </w:p>
    <w:p>
      <w:pPr>
        <w:numPr>
          <w:ilvl w:val="0"/>
          <w:numId w:val="1392"/>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2"/>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2"/>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2"/>
        </w:numPr>
      </w:pPr>
      <w:r>
        <w:t xml:space="preserve">Methods that are called using the name of the class rather than an instance of that class are</w:t>
      </w:r>
      <w:r>
        <w:t xml:space="preserve"> </w:t>
      </w:r>
      <w:r>
        <w:rPr>
          <w:bCs/>
          <w:b/>
        </w:rPr>
        <w:t xml:space="preserve">static methods</w:t>
      </w:r>
    </w:p>
    <w:bookmarkEnd w:id="234"/>
    <w:bookmarkStart w:id="235"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3"/>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3"/>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3"/>
        </w:numPr>
      </w:pPr>
      <w:r>
        <w:t xml:space="preserve">Thus, you do not need an object (instance of the class) to call a static method; you only need the name of the class</w:t>
      </w:r>
    </w:p>
    <w:bookmarkEnd w:id="235"/>
    <w:bookmarkStart w:id="236" w:name="static-methods-and-instances"/>
    <w:p>
      <w:pPr>
        <w:pStyle w:val="Heading4"/>
      </w:pPr>
      <w:r>
        <w:rPr>
          <w:rStyle w:val="KeywordTok"/>
        </w:rPr>
        <w:t xml:space="preserve">static</w:t>
      </w:r>
      <w:r>
        <w:t xml:space="preserve"> </w:t>
      </w:r>
      <w:r>
        <w:t xml:space="preserve">methods and instances</w:t>
      </w:r>
    </w:p>
    <w:p>
      <w:pPr>
        <w:numPr>
          <w:ilvl w:val="0"/>
          <w:numId w:val="1394"/>
        </w:numPr>
      </w:pPr>
      <w:r>
        <w:t xml:space="preserve">Normal, non-static methods are always associated with a particular instance (object)</w:t>
      </w:r>
    </w:p>
    <w:p>
      <w:pPr>
        <w:numPr>
          <w:ilvl w:val="0"/>
          <w:numId w:val="1394"/>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5"/>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4"/>
        </w:numPr>
      </w:pPr>
      <w:r>
        <w:t xml:space="preserve">Static methods are not associated with any instance, and thus</w:t>
      </w:r>
      <w:r>
        <w:t xml:space="preserve"> </w:t>
      </w:r>
      <w:r>
        <w:rPr>
          <w:bCs/>
          <w:b/>
        </w:rPr>
        <w:t xml:space="preserve">can’t use instance variables</w:t>
      </w:r>
    </w:p>
    <w:p>
      <w:pPr>
        <w:numPr>
          <w:ilvl w:val="0"/>
          <w:numId w:val="1394"/>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6"/>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6"/>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6"/>
    <w:bookmarkStart w:id="237"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7"/>
        </w:numPr>
      </w:pPr>
      <w:r>
        <w:t xml:space="preserve">Since static methods can’t access instance variables, they don’t seem very useful</w:t>
      </w:r>
    </w:p>
    <w:p>
      <w:pPr>
        <w:numPr>
          <w:ilvl w:val="0"/>
          <w:numId w:val="1397"/>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7"/>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7"/>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7"/>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8"/>
        </w:numPr>
        <w:pStyle w:val="Compact"/>
      </w:pPr>
      <w:r>
        <w:t xml:space="preserve">The .NET runtime (the interpreter that runs a C# program) must decide what code to execute to make your program start running</w:t>
      </w:r>
    </w:p>
    <w:p>
      <w:pPr>
        <w:numPr>
          <w:ilvl w:val="1"/>
          <w:numId w:val="1398"/>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7"/>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9"/>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9"/>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9"/>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7"/>
    <w:bookmarkEnd w:id="238"/>
    <w:bookmarkStart w:id="243" w:name="static-variables"/>
    <w:p>
      <w:pPr>
        <w:pStyle w:val="Heading2"/>
      </w:pPr>
      <w:r>
        <w:t xml:space="preserve">Static Variables</w:t>
      </w:r>
    </w:p>
    <w:bookmarkStart w:id="239"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0"/>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0"/>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0"/>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0"/>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0"/>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1"/>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9"/>
    <w:bookmarkStart w:id="240"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2"/>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2"/>
        </w:numPr>
      </w:pPr>
      <w:r>
        <w:t xml:space="preserve">A common use for static variables is to count the number of instances of an object that have been created so far in the program</w:t>
      </w:r>
    </w:p>
    <w:p>
      <w:pPr>
        <w:numPr>
          <w:ilvl w:val="1"/>
          <w:numId w:val="1403"/>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3"/>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3"/>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2"/>
        </w:numPr>
      </w:pPr>
      <w:r>
        <w:t xml:space="preserve">Static variables are also useful for</w:t>
      </w:r>
      <w:r>
        <w:t xml:space="preserve"> </w:t>
      </w:r>
      <w:r>
        <w:rPr>
          <w:bCs/>
          <w:b/>
        </w:rPr>
        <w:t xml:space="preserve">constants</w:t>
      </w:r>
    </w:p>
    <w:p>
      <w:pPr>
        <w:numPr>
          <w:ilvl w:val="1"/>
          <w:numId w:val="1404"/>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4"/>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4"/>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0"/>
    <w:bookmarkStart w:id="241" w:name="static-methods-and-variables"/>
    <w:p>
      <w:pPr>
        <w:pStyle w:val="Heading4"/>
      </w:pPr>
      <w:r>
        <w:t xml:space="preserve">Static methods and variables</w:t>
      </w:r>
    </w:p>
    <w:p>
      <w:pPr>
        <w:numPr>
          <w:ilvl w:val="0"/>
          <w:numId w:val="1405"/>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5"/>
        </w:numPr>
      </w:pPr>
      <w:r>
        <w:t xml:space="preserve">There’s no ambiguity when accessing a static variable: you don’t need to know which object’s variable to access, because there is only one copy of the static variable shared by all objects</w:t>
      </w:r>
    </w:p>
    <w:p>
      <w:pPr>
        <w:numPr>
          <w:ilvl w:val="0"/>
          <w:numId w:val="1405"/>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6"/>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6"/>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1"/>
    <w:bookmarkStart w:id="242"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7"/>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7"/>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2"/>
    <w:bookmarkEnd w:id="243"/>
    <w:bookmarkStart w:id="244" w:name="static-classes"/>
    <w:p>
      <w:pPr>
        <w:pStyle w:val="Heading2"/>
      </w:pPr>
      <w:r>
        <w:t xml:space="preserve">Static Classes</w:t>
      </w:r>
    </w:p>
    <w:p>
      <w:pPr>
        <w:numPr>
          <w:ilvl w:val="0"/>
          <w:numId w:val="1408"/>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8"/>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8"/>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8"/>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4"/>
    <w:bookmarkEnd w:id="245"/>
    <w:bookmarkStart w:id="248" w:name="random"/>
    <w:p>
      <w:pPr>
        <w:pStyle w:val="Heading1"/>
      </w:pPr>
      <w:r>
        <w:t xml:space="preserve">Random</w:t>
      </w:r>
    </w:p>
    <w:p>
      <w:pPr>
        <w:numPr>
          <w:ilvl w:val="0"/>
          <w:numId w:val="1409"/>
        </w:numPr>
      </w:pPr>
      <w:r>
        <w:t xml:space="preserve">Random Number Generation</w:t>
      </w:r>
    </w:p>
    <w:p>
      <w:pPr>
        <w:numPr>
          <w:ilvl w:val="1"/>
          <w:numId w:val="1410"/>
        </w:numPr>
        <w:pStyle w:val="Compact"/>
      </w:pPr>
      <w:r>
        <w:t xml:space="preserve">Produce a number within some bounds following some statistical rules.</w:t>
      </w:r>
    </w:p>
    <w:p>
      <w:pPr>
        <w:numPr>
          <w:ilvl w:val="1"/>
          <w:numId w:val="1410"/>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0"/>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0"/>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9"/>
        </w:numPr>
      </w:pPr>
      <w:r>
        <w:t xml:space="preserve">Random Class in C#</w:t>
      </w:r>
    </w:p>
    <w:p>
      <w:pPr>
        <w:numPr>
          <w:ilvl w:val="1"/>
          <w:numId w:val="1411"/>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1"/>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1"/>
        </w:numPr>
      </w:pPr>
      <w:r>
        <w:t xml:space="preserve">A seed tells the generator where to start its sequence. Using the same seed will always reproduce the same sequence of numbers.</w:t>
      </w:r>
    </w:p>
    <w:p>
      <w:pPr>
        <w:numPr>
          <w:ilvl w:val="1"/>
          <w:numId w:val="1411"/>
        </w:numPr>
      </w:pPr>
      <w:r>
        <w:t xml:space="preserve">The default constructor still has a seed value, but it is a hidden value pulled from the clock time during instantiation.</w:t>
      </w:r>
    </w:p>
    <w:p>
      <w:pPr>
        <w:numPr>
          <w:ilvl w:val="1"/>
          <w:numId w:val="1411"/>
        </w:numPr>
      </w:pPr>
      <w:r>
        <w:t xml:space="preserve">Time-based seeds only reset approximately every 15 milliseconds.</w:t>
      </w:r>
    </w:p>
    <w:p>
      <w:pPr>
        <w:numPr>
          <w:ilvl w:val="1"/>
          <w:numId w:val="1411"/>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1"/>
        </w:numPr>
      </w:pPr>
      <w:r>
        <w:t xml:space="preserve">For cryptographic randomness, use the</w:t>
      </w:r>
      <w:r>
        <w:t xml:space="preserve"> </w:t>
      </w:r>
      <w:hyperlink r:id="rId246">
        <w:r>
          <w:rPr>
            <w:rStyle w:val="Hyperlink"/>
          </w:rPr>
          <w:t xml:space="preserve">RNGCryptoServiceProvider</w:t>
        </w:r>
      </w:hyperlink>
      <w:r>
        <w:t xml:space="preserve"> </w:t>
      </w:r>
      <w:r>
        <w:t xml:space="preserve">class or</w:t>
      </w:r>
      <w:r>
        <w:t xml:space="preserve"> </w:t>
      </w:r>
      <w:hyperlink r:id="rId247">
        <w:r>
          <w:rPr>
            <w:rStyle w:val="Hyperlink"/>
          </w:rPr>
          <w:t xml:space="preserve">System.Security.Cryptography.RandomNumberGenerator</w:t>
        </w:r>
      </w:hyperlink>
      <w:r>
        <w:t xml:space="preserve">.</w:t>
      </w:r>
    </w:p>
    <w:p>
      <w:pPr>
        <w:numPr>
          <w:ilvl w:val="0"/>
          <w:numId w:val="1409"/>
        </w:numPr>
      </w:pPr>
      <w:r>
        <w:t xml:space="preserve">Using Random</w:t>
      </w:r>
    </w:p>
    <w:p>
      <w:pPr>
        <w:numPr>
          <w:ilvl w:val="1"/>
          <w:numId w:val="1412"/>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2"/>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2"/>
        </w:numPr>
      </w:pPr>
      <w:r>
        <w:t xml:space="preserve">What if we wanted to create a random number between 0 and 100?</w:t>
      </w:r>
    </w:p>
    <w:p>
      <w:pPr>
        <w:numPr>
          <w:ilvl w:val="1"/>
          <w:numId w:val="1412"/>
        </w:numPr>
      </w:pPr>
      <w:r>
        <w:t xml:space="preserve">We could use rand.Next() and then use modulo to cut down the answer range!</w:t>
      </w:r>
    </w:p>
    <w:p>
      <w:pPr>
        <w:numPr>
          <w:ilvl w:val="1"/>
          <w:numId w:val="1412"/>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2"/>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 still exclusive, but the floor is</w:t>
      </w:r>
      <w:r>
        <w:t xml:space="preserve"> </w:t>
      </w:r>
      <w:r>
        <w:rPr>
          <w:bCs/>
          <w:b/>
        </w:rPr>
        <w:t xml:space="preserve">inclusive</w:t>
      </w:r>
      <w:r>
        <w:t xml:space="preserve">.</w:t>
      </w:r>
    </w:p>
    <w:p>
      <w:pPr>
        <w:numPr>
          <w:ilvl w:val="1"/>
          <w:numId w:val="1412"/>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2"/>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2"/>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2"/>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9"/>
        </w:numPr>
      </w:pPr>
      <w:r>
        <w:t xml:space="preserve">Creating Random Strings</w:t>
      </w:r>
    </w:p>
    <w:p>
      <w:pPr>
        <w:numPr>
          <w:ilvl w:val="1"/>
          <w:numId w:val="1413"/>
        </w:numPr>
      </w:pPr>
      <w:r>
        <w:t xml:space="preserve">What if we want to construct random strings made of a, b, c, and d?</w:t>
      </w:r>
    </w:p>
    <w:p>
      <w:pPr>
        <w:numPr>
          <w:ilvl w:val="1"/>
          <w:numId w:val="1413"/>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2021-11-09T00:06:49Z</dcterms:created>
  <dcterms:modified xsi:type="dcterms:W3CDTF">2021-11-09T00:06:49Z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(07:04:32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