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Booleans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November  23, 2021 (02:24:03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lab serves four core goals:</w:t>
      </w:r>
    </w:p>
    <w:p>
      <w:pPr>
        <w:numPr>
          <w:ilvl w:val="0"/>
          <w:numId w:val="1001"/>
        </w:numPr>
        <w:pStyle w:val="Compact"/>
      </w:pPr>
      <w:r>
        <w:t xml:space="preserve">To help you manipulate boolean values,</w:t>
      </w:r>
    </w:p>
    <w:p>
      <w:pPr>
        <w:numPr>
          <w:ilvl w:val="0"/>
          <w:numId w:val="1001"/>
        </w:numPr>
        <w:pStyle w:val="Compact"/>
      </w:pPr>
      <w:r>
        <w:t xml:space="preserve">To practice boolean operators,</w:t>
      </w:r>
    </w:p>
    <w:p>
      <w:pPr>
        <w:numPr>
          <w:ilvl w:val="0"/>
          <w:numId w:val="1001"/>
        </w:numPr>
        <w:pStyle w:val="Compact"/>
      </w:pPr>
      <w:r>
        <w:t xml:space="preserve">To understand the concept of</w:t>
      </w:r>
      <w:r>
        <w:t xml:space="preserve"> </w:t>
      </w:r>
      <w:r>
        <w:rPr>
          <w:iCs/>
          <w:i/>
        </w:rPr>
        <w:t xml:space="preserve">precedence</w:t>
      </w:r>
      <w:r>
        <w:t xml:space="preserve">,</w:t>
      </w:r>
    </w:p>
    <w:p>
      <w:pPr>
        <w:numPr>
          <w:ilvl w:val="0"/>
          <w:numId w:val="1001"/>
        </w:numPr>
        <w:pStyle w:val="Compact"/>
      </w:pPr>
      <w:r>
        <w:t xml:space="preserve">To practice simple mental calculations.</w:t>
      </w:r>
    </w:p>
    <w:bookmarkStart w:id="24" w:name="truth-tables"/>
    <w:p>
      <w:pPr>
        <w:pStyle w:val="Heading1"/>
      </w:pPr>
      <w:r>
        <w:t xml:space="preserve">Truth Tables</w:t>
      </w:r>
    </w:p>
    <w:p>
      <w:pPr>
        <w:numPr>
          <w:ilvl w:val="0"/>
          <w:numId w:val="1002"/>
        </w:numPr>
        <w:pStyle w:val="Compact"/>
      </w:pPr>
      <w:r>
        <w:t xml:space="preserve">Copy-and-paste the following code into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of a new project:</w:t>
      </w:r>
    </w:p>
    <w:p>
      <w:p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"Conjunction (and, &amp;&amp;)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&amp;&amp;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--------||--------------|--------"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"Negation (not, !) truth table:"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 value 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! 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--------||----------"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\t</w:t>
      </w:r>
      <w:r>
        <w:rPr>
          <w:rStyle w:val="StringTok"/>
        </w:rPr>
        <w:t xml:space="preserve">||  "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br/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</w:t>
      </w:r>
      <w:r>
        <w:rPr>
          <w:rStyle w:val="SpecialCharTok"/>
        </w:rPr>
        <w:t xml:space="preserve">\n\n</w:t>
      </w:r>
      <w:r>
        <w:rPr>
          <w:rStyle w:val="StringTok"/>
        </w:rPr>
        <w:t xml:space="preserve">*-*-*-*-*-*-*-*-*-*-*-*-*-*-*-*-*-*</w:t>
      </w:r>
      <w:r>
        <w:rPr>
          <w:rStyle w:val="SpecialCharTok"/>
        </w:rPr>
        <w:t xml:space="preserve">\n</w:t>
      </w:r>
      <w:r>
        <w:rPr>
          <w:rStyle w:val="StringTok"/>
        </w:rPr>
        <w:t xml:space="preserve">"</w:t>
      </w:r>
      <w:r>
        <w:rPr>
          <w:rStyle w:val="OperatorTok"/>
        </w:rPr>
        <w:t xml:space="preserve">);</w:t>
      </w:r>
    </w:p>
    <w:p>
      <w:pPr>
        <w:numPr>
          <w:ilvl w:val="0"/>
          <w:numId w:val="1003"/>
        </w:numPr>
        <w:pStyle w:val="Compact"/>
      </w:pPr>
      <w:r>
        <w:t xml:space="preserve">Compile and execute it. This should display to the screen truth tables for conjunction (and,</w:t>
      </w:r>
      <w:r>
        <w:t xml:space="preserve"> </w:t>
      </w:r>
      <w:r>
        <w:rPr>
          <w:rStyle w:val="OperatorTok"/>
        </w:rPr>
        <w:t xml:space="preserve">&amp;&amp;</w:t>
      </w:r>
      <w:r>
        <w:t xml:space="preserve">) and negation (not,</w:t>
      </w:r>
      <w:r>
        <w:t xml:space="preserve"> </w:t>
      </w:r>
      <w:r>
        <w:rPr>
          <w:rStyle w:val="OperatorTok"/>
        </w:rPr>
        <w:t xml:space="preserve">!</w:t>
      </w:r>
      <w:r>
        <w:t xml:space="preserve">).</w:t>
      </w:r>
    </w:p>
    <w:p>
      <w:pPr>
        <w:numPr>
          <w:ilvl w:val="0"/>
          <w:numId w:val="1003"/>
        </w:numPr>
        <w:pStyle w:val="Compact"/>
      </w:pPr>
      <w:r>
        <w:t xml:space="preserve">Make sure you understand both the code and its output.</w:t>
      </w:r>
    </w:p>
    <w:p>
      <w:pPr>
        <w:numPr>
          <w:ilvl w:val="0"/>
          <w:numId w:val="1003"/>
        </w:numPr>
        <w:pStyle w:val="Compact"/>
      </w:pPr>
      <w:r>
        <w:t xml:space="preserve">Add after the truth table for the negation, write code to display truth tables for</w:t>
      </w:r>
    </w:p>
    <w:p>
      <w:pPr>
        <w:numPr>
          <w:ilvl w:val="1"/>
          <w:numId w:val="1004"/>
        </w:numPr>
        <w:pStyle w:val="Compact"/>
      </w:pPr>
      <w:r>
        <w:t xml:space="preserve">the binary operators disjunction (or,</w:t>
      </w:r>
      <w:r>
        <w:t xml:space="preserve"> </w:t>
      </w:r>
      <w:r>
        <w:rPr>
          <w:rStyle w:val="OperatorTok"/>
        </w:rPr>
        <w:t xml:space="preserve">||</w:t>
      </w:r>
      <w:r>
        <w:t xml:space="preserve">),</w:t>
      </w:r>
    </w:p>
    <w:p>
      <w:pPr>
        <w:numPr>
          <w:ilvl w:val="1"/>
          <w:numId w:val="1004"/>
        </w:numPr>
        <w:pStyle w:val="Compact"/>
      </w:pPr>
      <w:r>
        <w:t xml:space="preserve">identity (equality,</w:t>
      </w:r>
      <w:r>
        <w:t xml:space="preserve"> </w:t>
      </w:r>
      <w:r>
        <w:rPr>
          <w:rStyle w:val="OperatorTok"/>
        </w:rPr>
        <w:t xml:space="preserve">==</w:t>
      </w:r>
      <w:r>
        <w:t xml:space="preserve">) and</w:t>
      </w:r>
    </w:p>
    <w:p>
      <w:pPr>
        <w:numPr>
          <w:ilvl w:val="1"/>
          <w:numId w:val="1004"/>
        </w:numPr>
        <w:pStyle w:val="Compact"/>
      </w:pPr>
      <w:r>
        <w:t xml:space="preserve">difference (inequality,</w:t>
      </w:r>
      <w:r>
        <w:t xml:space="preserve"> </w:t>
      </w:r>
      <w:r>
        <w:rPr>
          <w:rStyle w:val="OperatorTok"/>
        </w:rPr>
        <w:t xml:space="preserve">!=</w:t>
      </w:r>
      <w:r>
        <w:t xml:space="preserve">).</w:t>
      </w:r>
      <w:r>
        <w:t xml:space="preserve"> </w:t>
      </w:r>
      <w:r>
        <w:t xml:space="preserve">Normally, using the find-and-replace feature of your IDE should make this a quick and easy task.</w:t>
      </w:r>
    </w:p>
    <w:p>
      <w:pPr>
        <w:numPr>
          <w:ilvl w:val="0"/>
          <w:numId w:val="1003"/>
        </w:numPr>
        <w:pStyle w:val="Compact"/>
      </w:pPr>
      <w:r>
        <w:t xml:space="preserve">You can make sure you completed this exercise correctly by checking that your output match the truth tables on wikipedia for</w:t>
      </w:r>
      <w:r>
        <w:t xml:space="preserve"> </w:t>
      </w:r>
      <w:hyperlink r:id="rId21">
        <w:r>
          <w:rPr>
            <w:rStyle w:val="Hyperlink"/>
          </w:rPr>
          <w:t xml:space="preserve">disjunction</w:t>
        </w:r>
      </w:hyperlink>
      <w:r>
        <w:t xml:space="preserve"> </w:t>
      </w:r>
      <w:r>
        <w:t xml:space="preserve">and</w:t>
      </w:r>
      <w:r>
        <w:t xml:space="preserve"> </w:t>
      </w:r>
      <w:hyperlink r:id="rId22">
        <w:r>
          <w:rPr>
            <w:rStyle w:val="Hyperlink"/>
          </w:rPr>
          <w:t xml:space="preserve">equality</w:t>
        </w:r>
      </w:hyperlink>
      <w:r>
        <w:t xml:space="preserve">. For inequality, in this case check against the table for</w:t>
      </w:r>
      <w:r>
        <w:t xml:space="preserve"> </w:t>
      </w:r>
      <w:hyperlink r:id="rId23">
        <w:r>
          <w:rPr>
            <w:rStyle w:val="Hyperlink"/>
          </w:rPr>
          <w:t xml:space="preserve">exclusive disjunction</w:t>
        </w:r>
      </w:hyperlink>
      <w:r>
        <w:t xml:space="preserve">. Exclusive disjunction (XOR) is conceptually different than inequality, but has the same truth table.</w:t>
      </w:r>
    </w:p>
    <w:bookmarkEnd w:id="24"/>
    <w:bookmarkStart w:id="29" w:name="precedence-and-order-of-evaluation"/>
    <w:p>
      <w:pPr>
        <w:pStyle w:val="Heading1"/>
      </w:pPr>
      <w:r>
        <w:t xml:space="preserve">Precedence and Order of Evaluation</w:t>
      </w:r>
    </w:p>
    <w:bookmarkStart w:id="26" w:name="reading-and-understanding"/>
    <w:p>
      <w:pPr>
        <w:pStyle w:val="Heading2"/>
      </w:pPr>
      <w:r>
        <w:t xml:space="preserve">Reading and Understanding</w:t>
      </w:r>
    </w:p>
    <w:p>
      <w:pPr>
        <w:pStyle w:val="FirstParagraph"/>
      </w:pPr>
      <w:r>
        <w:t xml:space="preserve">If you read the</w:t>
      </w:r>
      <w:r>
        <w:t xml:space="preserve"> </w:t>
      </w:r>
      <w:hyperlink r:id="rId25">
        <w:r>
          <w:rPr>
            <w:rStyle w:val="Hyperlink"/>
          </w:rPr>
          <w:t xml:space="preserve">documentation on operator precedence</w:t>
        </w:r>
      </w:hyperlink>
      <w:r>
        <w:t xml:space="preserve">, you will see that operators are evaluated in a particular order.</w:t>
      </w:r>
      <w:r>
        <w:t xml:space="preserve"> </w:t>
      </w:r>
      <w:r>
        <w:t xml:space="preserve">From higher precedence (that is, evaluated first) to lower precedence (that is, evaluated last), this order is: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(*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(+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(&lt;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t xml:space="preserve">.</w:t>
      </w:r>
      <w:r>
        <w:t xml:space="preserve"> </w:t>
      </w:r>
      <w:r>
        <w:t xml:space="preserve">Inside each group in parenthesis, operations are evaluated from left to right.</w:t>
      </w:r>
    </w:p>
    <w:p>
      <w:pPr>
        <w:pStyle w:val="BodyText"/>
      </w:pPr>
      <w:r>
        <w:t xml:space="preserve">So that, for instance,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t xml:space="preserve"> </w:t>
      </w:r>
      <w:r>
        <w:t xml:space="preserve">will be evaluated as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2640"/>
        <w:gridCol w:w="2640"/>
        <w:gridCol w:w="2640"/>
      </w:tblGrid>
      <w:tr>
        <w:tc>
          <w:tcPr/>
          <w:p>
            <w:pPr>
              <w:pStyle w:val="Compact"/>
              <w:jc w:val="left"/>
            </w:pPr>
            <w:r>
              <w:rPr>
                <w:rStyle w:val="OperatorTok"/>
              </w:rPr>
              <w:t xml:space="preserve">!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Para>
              <m:oMathParaPr>
                <m:jc m:val="center"/>
              </m:oMathParaPr>
              <m:oMath>
                <m:r>
                  <m:rPr>
                    <m:sty m:val="p"/>
                  </m:rPr>
                  <m:t>⇒</m:t>
                </m:r>
              </m:oMath>
            </m:oMathPara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3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*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2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DecValTok"/>
              </w:rPr>
              <w:t xml:space="preserve">6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==</w:t>
            </w:r>
            <w:r>
              <w:rPr>
                <w:rStyle w:val="NormalTok"/>
              </w:rPr>
              <w:t xml:space="preserve"> </w:t>
            </w:r>
            <w:r>
              <w:rPr>
                <w:rStyle w:val="DecValTok"/>
              </w:rPr>
              <w:t xml:space="preserve">6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&amp;&amp;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true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  <w:r>
              <w:rPr>
                <w:rStyle w:val="NormalTok"/>
              </w:rPr>
              <w:t xml:space="preserve"> </w:t>
            </w:r>
            <w:r>
              <w:rPr>
                <w:rStyle w:val="OperatorTok"/>
              </w:rPr>
              <w:t xml:space="preserve">||</w:t>
            </w:r>
            <w:r>
              <w:rPr>
                <w:rStyle w:val="NormalTok"/>
              </w:rPr>
              <w:t xml:space="preserve"> </w:t>
            </w:r>
            <w:r>
              <w:rPr>
                <w:rStyle w:val="KeywordTok"/>
              </w:rPr>
              <w:t xml:space="preserve">false</w:t>
            </w:r>
          </w:p>
        </w:tc>
        <w:tc>
          <w:tcPr/>
          <w:p>
            <w:pPr>
              <w:pStyle w:val="Compact"/>
              <w:jc w:val="left"/>
            </w:pPr>
            <m:oMath>
              <m:r>
                <m:rPr>
                  <m:sty m:val="p"/>
                </m:rPr>
                <m:t>⇒</m:t>
              </m:r>
            </m:oMath>
          </w:p>
        </w:tc>
        <w:tc>
          <w:tcPr/>
          <w:p>
            <w:pPr>
              <w:pStyle w:val="Compact"/>
              <w:jc w:val="left"/>
            </w:pPr>
            <w:r>
              <w:rPr>
                <w:rStyle w:val="KeywordTok"/>
              </w:rPr>
              <w:t xml:space="preserve">false</w:t>
            </w:r>
          </w:p>
        </w:tc>
      </w:tr>
    </w:tbl>
    <w:p>
      <w:pPr>
        <w:pStyle w:val="BodyText"/>
      </w:pPr>
      <w:r>
        <w:t xml:space="preserve">Note that an expression like</w:t>
      </w:r>
      <w:r>
        <w:t xml:space="preserve"> </w:t>
      </w:r>
      <w:r>
        <w:rPr>
          <w:rStyle w:val="OperatorTok"/>
        </w:rPr>
        <w:t xml:space="preserve">!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t xml:space="preserve"> </w:t>
      </w:r>
      <w:r>
        <w:t xml:space="preserve">doesn’t make any sense: C# would try to take the negation of</w:t>
      </w:r>
      <w:r>
        <w:t xml:space="preserve"> </w:t>
      </w:r>
      <w:r>
        <w:rPr>
          <w:rStyle w:val="DecValTok"/>
        </w:rPr>
        <w:t xml:space="preserve">3</w:t>
      </w:r>
      <w:r>
        <w:t xml:space="preserve">, but you can’t negate the truth value of an integer!</w:t>
      </w:r>
      <w:r>
        <w:t xml:space="preserve"> </w:t>
      </w:r>
      <w:r>
        <w:t xml:space="preserve">Along the same lines, an expression like</w:t>
      </w:r>
      <w: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t xml:space="preserve"> </w:t>
      </w:r>
      <w:r>
        <w:t xml:space="preserve">doesn’t make any sense: you can not multiply booleans (what would be</w:t>
      </w:r>
      <w:r>
        <w:t xml:space="preserve"> </w:t>
      </w:r>
      <w:r>
        <w:t xml:space="preserve">“</w:t>
      </w:r>
      <w:r>
        <w:t xml:space="preserve">true times false</w:t>
      </w:r>
      <w:r>
        <w:t xml:space="preserve">”</w:t>
      </w:r>
      <w:r>
        <w:t xml:space="preserve">?)!</w:t>
      </w:r>
      <w:r>
        <w:t xml:space="preserve"> </w:t>
      </w:r>
      <w:r>
        <w:t xml:space="preserve">Similarly,</w:t>
      </w:r>
      <w: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%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t xml:space="preserve"> </w:t>
      </w:r>
      <w:r>
        <w:t xml:space="preserve">will cause an error: can you see why? These are all examples of</w:t>
      </w:r>
      <w:r>
        <w:t xml:space="preserve"> </w:t>
      </w:r>
      <w:r>
        <w:t xml:space="preserve">“</w:t>
      </w:r>
      <w:r>
        <w:t xml:space="preserve">illegal</w:t>
      </w:r>
      <w:r>
        <w:t xml:space="preserve">”</w:t>
      </w:r>
      <w:r>
        <w:t xml:space="preserve"> </w:t>
      </w:r>
      <w:r>
        <w:t xml:space="preserve">expressions.</w:t>
      </w:r>
    </w:p>
    <w:bookmarkEnd w:id="26"/>
    <w:bookmarkStart w:id="27" w:name="computing-simple-boolean-expressions"/>
    <w:p>
      <w:pPr>
        <w:pStyle w:val="Heading2"/>
      </w:pPr>
      <w:r>
        <w:t xml:space="preserve">Computing Simple Boolean Expressions</w:t>
      </w:r>
    </w:p>
    <w:p>
      <w:pPr>
        <w:pStyle w:val="FirstParagraph"/>
      </w:pPr>
      <w:r>
        <w:t xml:space="preserve">Evaluate the following expressions.</w:t>
      </w:r>
      <w:r>
        <w:t xml:space="preserve"> </w:t>
      </w:r>
      <w:r>
        <w:t xml:space="preserve">Try to do this</w:t>
      </w:r>
      <w:r>
        <w:t xml:space="preserve"> </w:t>
      </w:r>
      <w:r>
        <w:t xml:space="preserve">“</w:t>
      </w:r>
      <w:r>
        <w:t xml:space="preserve">by hand,</w:t>
      </w:r>
      <w:r>
        <w:t xml:space="preserve">”</w:t>
      </w:r>
      <w:r>
        <w:t xml:space="preserve"> </w:t>
      </w:r>
      <w:r>
        <w:t xml:space="preserve">and write your answers down on paper.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OperatorTok"/>
        </w:rPr>
        <w:t xml:space="preserve">!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(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false</w:t>
      </w:r>
      <w:r>
        <w:rPr>
          <w:rStyle w:val="OperatorTok"/>
        </w:rPr>
        <w:t xml:space="preserve">)</w:t>
      </w:r>
    </w:p>
    <w:p>
      <w:pPr>
        <w:numPr>
          <w:ilvl w:val="0"/>
          <w:numId w:val="1005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!(</w:t>
      </w:r>
      <w:r>
        <w:rPr>
          <w:rStyle w:val="KeywordTok"/>
        </w:rPr>
        <w:t xml:space="preserve">false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||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OperatorTok"/>
        </w:rPr>
        <w:t xml:space="preserve">)</w:t>
      </w:r>
    </w:p>
    <w:bookmarkEnd w:id="27"/>
    <w:bookmarkStart w:id="28" w:name="X89c7cde177cfe708152df79b5d1d2036704c23d"/>
    <w:p>
      <w:pPr>
        <w:pStyle w:val="Heading2"/>
      </w:pPr>
      <w:r>
        <w:t xml:space="preserve">Computing Expressions Involving Booleans and Numerical Values</w:t>
      </w:r>
    </w:p>
    <w:p>
      <w:pPr>
        <w:pStyle w:val="FirstParagraph"/>
      </w:pPr>
      <w:r>
        <w:t xml:space="preserve">For each of the following expressions, decide if it is</w:t>
      </w:r>
      <w:r>
        <w:t xml:space="preserve"> </w:t>
      </w:r>
      <w:r>
        <w:t xml:space="preserve">“</w:t>
      </w:r>
      <w:r>
        <w:t xml:space="preserve">legal</w:t>
      </w:r>
      <w:r>
        <w:t xml:space="preserve">”</w:t>
      </w:r>
      <w:r>
        <w:t xml:space="preserve"> </w:t>
      </w:r>
      <w:r>
        <w:t xml:space="preserve">or not.</w:t>
      </w:r>
      <w:r>
        <w:t xml:space="preserve"> </w:t>
      </w:r>
      <w:r>
        <w:t xml:space="preserve">If it is, give the result of its evaluation.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p>
      <w:pPr>
        <w:numPr>
          <w:ilvl w:val="0"/>
          <w:numId w:val="1006"/>
        </w:numPr>
        <w:pStyle w:val="Compact"/>
      </w:pP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&amp;&amp;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DecValTok"/>
        </w:rPr>
        <w:t xml:space="preserve">8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43</w:t>
      </w:r>
    </w:p>
    <w:p>
      <w:pPr>
        <w:numPr>
          <w:ilvl w:val="0"/>
          <w:numId w:val="1006"/>
        </w:numPr>
        <w:pStyle w:val="Compact"/>
      </w:pPr>
      <w:r>
        <w:rPr>
          <w:rStyle w:val="DecValTok"/>
        </w:rPr>
        <w:t xml:space="preserve">3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true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!=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false</w:t>
      </w:r>
    </w:p>
    <w:bookmarkEnd w:id="28"/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1"/>
  </w:num>
  <w:num w:numId="1006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5" Target="https://docs.microsoft.com/en-us/dotnet/csharp/language-reference/operators/#operator-precedence" TargetMode="External" /><Relationship Type="http://schemas.openxmlformats.org/officeDocument/2006/relationships/hyperlink" Id="rId23" Target="https://en.wikipedia.org/wiki/Truth_table#Exclusive_disjunction" TargetMode="External" /><Relationship Type="http://schemas.openxmlformats.org/officeDocument/2006/relationships/hyperlink" Id="rId21" Target="https://en.wikipedia.org/wiki/Truth_table#Logical_disjunction_(OR)" TargetMode="External" /><Relationship Type="http://schemas.openxmlformats.org/officeDocument/2006/relationships/hyperlink" Id="rId22" Target="https://en.wikipedia.org/wiki/Truth_table#Logical_equal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Booleans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2021-11-23T19:24:13Z</dcterms:created>
  <dcterms:modified xsi:type="dcterms:W3CDTF">2021-11-23T19:24:13Z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November  23, 2021 (02:24:03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