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Exercises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18, 2022 (04:17:57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Solution</w:t>
      </w:r>
    </w:p>
    <w:p>
      <w:pPr>
        <w:pStyle w:val="BodyText"/>
      </w:pPr>
      <w:r>
        <w:rPr>
          <w:rStyle w:val="NormalTok"/>
        </w:rPr>
        <w:t xml:space="preserve">code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here</w:t>
      </w:r>
      <w:r>
        <w:rPr>
          <w:rStyle w:val="OperatorTok"/>
        </w:rP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List</w:t>
      </w:r>
    </w:p>
    <w:p>
      <w:pPr>
        <w:numPr>
          <w:ilvl w:val="0"/>
          <w:numId w:val="1001"/>
        </w:numPr>
        <w:pStyle w:val="Compact"/>
      </w:pPr>
      <w:r>
        <w:t xml:space="preserve">in</w:t>
      </w:r>
      <w:r>
        <w:t xml:space="preserve"> </w:t>
      </w:r>
      <w:r>
        <w:t xml:space="preserve">-there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Exercises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2022-02-18T21:18:01Z</dcterms:created>
  <dcterms:modified xsi:type="dcterms:W3CDTF">2022-02-18T21:18:01Z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18, 2022 (04:17:57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