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March  15, 2022 (10:44:24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p>
    <w:p>
      <w:pPr>
        <w:numPr>
          <w:ilvl w:val="0"/>
          <w:numId w:val="1000"/>
        </w:numPr>
      </w:pP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numPr>
          <w:ilvl w:val="0"/>
          <w:numId w:val="1000"/>
        </w:numPr>
      </w:pPr>
      <w:r>
        <w:t xml:space="preserve">Note / known issue: when including multiple solutions, the basename should be different, for example:</w:t>
      </w:r>
      <w:r>
        <w:t xml:space="preserve"> </w:t>
      </w:r>
      <w:r>
        <w:rPr>
          <w:rStyle w:val="NormalTok"/>
        </w:rPr>
        <w:t xml:space="preserve">SomeLab</w:t>
      </w:r>
      <w:r>
        <w:t xml:space="preserve"> </w:t>
      </w:r>
      <w:r>
        <w:t xml:space="preserve">and</w:t>
      </w:r>
      <w:r>
        <w:t xml:space="preserve"> </w:t>
      </w:r>
      <w:r>
        <w:rPr>
          <w:rStyle w:val="NormalTok"/>
        </w:rPr>
        <w:t xml:space="preserve">Solution_SomeLab</w:t>
      </w:r>
      <w:r>
        <w:t xml:space="preserve"> </w:t>
      </w:r>
      <w:r>
        <w:t xml:space="preserve">(instead of</w:t>
      </w:r>
      <w:r>
        <w:t xml:space="preserve"> </w:t>
      </w:r>
      <w:r>
        <w:rPr>
          <w:rStyle w:val="NormalTok"/>
        </w:rPr>
        <w:t xml:space="preserve">SomeLabSolution</w:t>
      </w:r>
      <w:r>
        <w:t xml:space="preserve">); to ensure solutions are packaged separately from one another.</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Pr>
      <w:r>
        <w:t xml:space="preserve">Go to repository Issues (make sure issues is enabled in repository settings)</w:t>
      </w:r>
    </w:p>
    <w:p>
      <w:pPr>
        <w:numPr>
          <w:ilvl w:val="0"/>
          <w:numId w:val="1028"/>
        </w:numPr>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Pr>
      <w:r>
        <w:t xml:space="preserve">Choose</w:t>
      </w:r>
      <w:r>
        <w:t xml:space="preserve"> </w:t>
      </w:r>
      <w:r>
        <w:t xml:space="preserve">“</w:t>
      </w:r>
      <w:r>
        <w:t xml:space="preserve">utterances</w:t>
      </w:r>
      <w:r>
        <w:t xml:space="preserve">”</w:t>
      </w:r>
      <w:r>
        <w:t xml:space="preserve"> </w:t>
      </w:r>
      <w:r>
        <w:t xml:space="preserve">&gt;</w:t>
      </w:r>
      <w:r>
        <w:t xml:space="preserve"> </w:t>
      </w:r>
      <w:r>
        <w:t xml:space="preserve">“</w:t>
      </w:r>
      <w:r>
        <w:t xml:space="preserve">configure</w:t>
      </w:r>
      <w:r>
        <w:t xml:space="preserve">”</w:t>
      </w:r>
    </w:p>
    <w:p>
      <w:pPr>
        <w:numPr>
          <w:ilvl w:val="0"/>
          <w:numId w:val="1028"/>
        </w:numPr>
      </w:pPr>
      <w:r>
        <w:t xml:space="preserve">Under</w:t>
      </w:r>
      <w:r>
        <w:t xml:space="preserve"> </w:t>
      </w:r>
      <w:r>
        <w:t xml:space="preserve">“</w:t>
      </w:r>
      <w:r>
        <w:t xml:space="preserve">Repository access</w:t>
      </w:r>
      <w:r>
        <w:t xml:space="preserve">”</w:t>
      </w:r>
      <w:r>
        <w:t xml:space="preserve"> </w:t>
      </w:r>
      <w:r>
        <w:t xml:space="preserve">&gt;</w:t>
      </w:r>
      <w:r>
        <w:t xml:space="preserve"> </w:t>
      </w:r>
      <w:r>
        <w:t xml:space="preserve">“</w:t>
      </w:r>
      <w:r>
        <w:t xml:space="preserve">Only select repositories</w:t>
      </w:r>
      <w:r>
        <w:t xml:space="preserve">”</w:t>
      </w:r>
    </w:p>
    <w:p>
      <w:pPr>
        <w:numPr>
          <w:ilvl w:val="1"/>
          <w:numId w:val="1029"/>
        </w:numPr>
        <w:pStyle w:val="Compact"/>
      </w:pPr>
      <w:r>
        <w:t xml:space="preserve">select the repository created in step 1.</w:t>
      </w:r>
    </w:p>
    <w:p>
      <w:pPr>
        <w:numPr>
          <w:ilvl w:val="1"/>
          <w:numId w:val="1029"/>
        </w:numPr>
        <w:pStyle w:val="Compact"/>
      </w:pPr>
      <w:r>
        <w:t xml:space="preserve">remove the previous semester feeback repository</w:t>
      </w:r>
    </w:p>
    <w:p>
      <w:pPr>
        <w:numPr>
          <w:ilvl w:val="0"/>
          <w:numId w:val="1028"/>
        </w:numPr>
      </w:pPr>
      <w:r>
        <w:t xml:space="preserve">Save</w:t>
      </w:r>
    </w:p>
    <w:p>
      <w:pPr>
        <w:numPr>
          <w:ilvl w:val="0"/>
          <w:numId w:val="1028"/>
        </w:numPr>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Pr>
      <w:r>
        <w:t xml:space="preserve">Update utteranc.es widget code to point to the new feedback repository created in step 1.</w:t>
      </w:r>
    </w:p>
    <w:p>
      <w:pPr>
        <w:numPr>
          <w:ilvl w:val="0"/>
          <w:numId w:val="1000"/>
        </w:numPr>
        <w:pStyle w:val="SourceCode"/>
      </w:pPr>
      <w:r>
        <w:rPr>
          <w:rStyle w:val="OperatorTok"/>
        </w:rPr>
        <w:t xml:space="preserve">&lt;</w:t>
      </w:r>
      <w:r>
        <w:rPr>
          <w:rStyle w:val="NormalTok"/>
        </w:rPr>
        <w:t xml:space="preserve">script data</w:t>
      </w:r>
      <w:r>
        <w:rPr>
          <w:rStyle w:val="OperatorTok"/>
        </w:rPr>
        <w:t xml:space="preserve">-</w:t>
      </w:r>
      <w:r>
        <w:rPr>
          <w:rStyle w:val="NormalTok"/>
        </w:rPr>
        <w:t xml:space="preserve">external</w:t>
      </w:r>
      <w:r>
        <w:rPr>
          <w:rStyle w:val="OperatorTok"/>
        </w:rPr>
        <w:t xml:space="preserve">=</w:t>
      </w:r>
      <w:r>
        <w:rPr>
          <w:rStyle w:val="StringTok"/>
        </w:rPr>
        <w:t xml:space="preserve">"1"</w:t>
      </w:r>
      <w:r>
        <w:br/>
      </w:r>
      <w:r>
        <w:rPr>
          <w:rStyle w:val="NormalTok"/>
        </w:rPr>
        <w:t xml:space="preserve">        src</w:t>
      </w:r>
      <w:r>
        <w:rPr>
          <w:rStyle w:val="OperatorTok"/>
        </w:rPr>
        <w:t xml:space="preserve">=</w:t>
      </w:r>
      <w:r>
        <w:rPr>
          <w:rStyle w:val="StringTok"/>
        </w:rPr>
        <w:t xml:space="preserve">"https://utteranc.es/client.js"</w:t>
      </w:r>
      <w:r>
        <w:br/>
      </w:r>
      <w:r>
        <w:rPr>
          <w:rStyle w:val="NormalTok"/>
        </w:rPr>
        <w:t xml:space="preserve">        repo</w:t>
      </w:r>
      <w:r>
        <w:rPr>
          <w:rStyle w:val="OperatorTok"/>
        </w:rPr>
        <w:t xml:space="preserve">=</w:t>
      </w:r>
      <w:r>
        <w:rPr>
          <w:rStyle w:val="StringTok"/>
        </w:rPr>
        <w:t xml:space="preserve">"csci-1301/{REPOSITORY_NAME}"</w:t>
      </w:r>
      <w:r>
        <w:br/>
      </w:r>
      <w:r>
        <w:rPr>
          <w:rStyle w:val="NormalTok"/>
        </w:rPr>
        <w:t xml:space="preserve">        label</w:t>
      </w:r>
      <w:r>
        <w:rPr>
          <w:rStyle w:val="OperatorTok"/>
        </w:rPr>
        <w:t xml:space="preserve">=</w:t>
      </w:r>
      <w:r>
        <w:rPr>
          <w:rStyle w:val="StringTok"/>
        </w:rPr>
        <w:t xml:space="preserve">"comment"</w:t>
      </w:r>
      <w:r>
        <w:rPr>
          <w:rStyle w:val="NormalTok"/>
        </w:rPr>
        <w:t xml:space="preserve"> …</w:t>
      </w:r>
      <w:r>
        <w:rPr>
          <w:rStyle w:val="OperatorTok"/>
        </w:rPr>
        <w:t xml:space="preserve">&gt;</w:t>
      </w:r>
      <w:r>
        <w:br/>
      </w:r>
      <w:r>
        <w:rPr>
          <w:rStyle w:val="OperatorTok"/>
        </w:rPr>
        <w:t xml:space="preserve">&lt;/</w:t>
      </w:r>
      <w:r>
        <w:rPr>
          <w:rStyle w:val="NormalTok"/>
        </w:rPr>
        <w:t xml:space="preserve">script</w:t>
      </w:r>
      <w:r>
        <w:rPr>
          <w:rStyle w:val="OperatorTok"/>
        </w:rPr>
        <w:t xml:space="preserve">&gt;</w:t>
      </w:r>
    </w:p>
    <w:p>
      <w:pPr>
        <w:numPr>
          <w:ilvl w:val="0"/>
          <w:numId w:val="1028"/>
        </w:numPr>
      </w:pPr>
      <w:r>
        <w:t xml:space="preserve">Commit change to template.html</w:t>
      </w:r>
    </w:p>
    <w:p>
      <w:pPr>
        <w:numPr>
          <w:ilvl w:val="0"/>
          <w:numId w:val="1028"/>
        </w:numPr>
      </w:pPr>
      <w:r>
        <w:t xml:space="preserve">Make sure the feedback works after migration. If it does not, retrace your steps.</w:t>
      </w:r>
    </w:p>
    <w:p>
      <w:pPr>
        <w:numPr>
          <w:ilvl w:val="0"/>
          <w:numId w:val="1028"/>
        </w:numPr>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2022-03-15T14:44:39Z</dcterms:created>
  <dcterms:modified xsi:type="dcterms:W3CDTF">2022-03-15T14:44:39Z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15, 2022 (10:44:24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