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40"/>
      </w:pPr>
      <w:r>
        <w:t>Student Hub Portal</w:t>
      </w:r>
    </w:p>
    <w:p>
      <w:r>
        <w:t>Student Hub is a student-portal and web-development practical project. It combines public academic information pages with PHP/MySQL sign-in, student and administrator dashboards, student-record and event management, and course revision materials.</w:t>
      </w:r>
    </w:p>
    <w:p>
      <w:pPr>
        <w:ind w:left="230" w:right="115"/>
        <w:shd w:fill="EAF2F8"/>
      </w:pPr>
      <w:r>
        <w:rPr>
          <w:b/>
        </w:rPr>
        <w:t>Local/demo project:</w:t>
      </w:r>
      <w:r>
        <w:t xml:space="preserve"> Do not publish this installation as-is. The accompanying </w:t>
      </w:r>
      <w:hyperlink r:id="rId11">
        <w:r>
          <w:rPr>
            <w:color w:val="2878C8"/>
            <w:u w:val="single"/>
          </w:rPr>
          <w:t>test and security report</w:t>
        </w:r>
      </w:hyperlink>
      <w:r>
        <w:t xml:space="preserve"> documents publicly accessible student/contact data, a public database test page, and other deployment risks that need attention first.</w:t>
      </w:r>
    </w:p>
    <w:p>
      <w:pPr>
        <w:pStyle w:val="Heading1"/>
      </w:pPr>
      <w:r>
        <w:t>Features</w:t>
      </w:r>
    </w:p>
    <w:p>
      <w:pPr>
        <w:pStyle w:val="ListBullet"/>
        <w:spacing w:after="40"/>
      </w:pPr>
      <w:r>
        <w:t>Student and Admin sign-in, role-specific navigation, protected PHP pages, and a 30-minute inactivity timeout.</w:t>
      </w:r>
    </w:p>
    <w:p>
      <w:pPr>
        <w:pStyle w:val="ListBullet"/>
        <w:spacing w:after="40"/>
      </w:pPr>
      <w:r>
        <w:t>Personalized student dashboard and profile.</w:t>
      </w:r>
    </w:p>
    <w:p>
      <w:pPr>
        <w:pStyle w:val="ListBullet"/>
        <w:spacing w:after="40"/>
      </w:pPr>
      <w:r>
        <w:t>Admin dashboard with database-backed statistics, recent registrations, and audit-log entries.</w:t>
      </w:r>
    </w:p>
    <w:p>
      <w:pPr>
        <w:pStyle w:val="ListBullet"/>
        <w:spacing w:after="40"/>
      </w:pPr>
      <w:r>
        <w:t>Admin student-record search, course/status filtering, add/edit, soft-delete, and the Fetch/JSON API.</w:t>
      </w:r>
    </w:p>
    <w:p>
      <w:pPr>
        <w:pStyle w:val="ListBullet"/>
        <w:spacing w:after="40"/>
      </w:pPr>
      <w:r>
        <w:t>Admin event management, including create/edit/delete and image poster upload.</w:t>
      </w:r>
    </w:p>
    <w:p>
      <w:pPr>
        <w:pStyle w:val="ListBullet"/>
        <w:spacing w:after="40"/>
      </w:pPr>
      <w:r>
        <w:t>Public information pages for courses, faculty, attendance, notices, fees, leave, results, and contact.</w:t>
      </w:r>
    </w:p>
    <w:p>
      <w:pPr>
        <w:pStyle w:val="ListBullet"/>
        <w:spacing w:after="40"/>
      </w:pPr>
      <w:r>
        <w:t>Course Materials library for DSA, DBMS, Operating Systems, and Computer Networks, with original revision-guide PDFs and external references.</w:t>
      </w:r>
    </w:p>
    <w:p>
      <w:pPr>
        <w:pStyle w:val="ListBullet"/>
        <w:spacing w:after="40"/>
      </w:pPr>
      <w:r>
        <w:t>Registration and contact forms, plus educational PDO/API practical pages.</w:t>
      </w:r>
    </w:p>
    <w:p>
      <w:pPr>
        <w:pStyle w:val="Heading1"/>
      </w:pPr>
      <w:r>
        <w:t>Project layout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Path</w:t>
            </w:r>
          </w:p>
        </w:tc>
        <w:tc>
          <w:tcPr>
            <w:tcW w:type="dxa" w:w="508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63445"/>
                <w:sz w:val="18"/>
              </w:rPr>
            </w:r>
            <w:r>
              <w:rPr>
                <w:rFonts w:ascii="Aptos" w:hAnsi="Aptos"/>
                <w:color w:val="263445"/>
                <w:sz w:val="18"/>
              </w:rPr>
              <w:t>php/</w:t>
            </w:r>
          </w:p>
        </w:tc>
        <w:tc>
          <w:tcPr>
            <w:tcW w:type="dxa" w:w="508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63445"/>
                <w:sz w:val="18"/>
              </w:rPr>
            </w:r>
            <w:r>
              <w:rPr>
                <w:rFonts w:ascii="Aptos" w:hAnsi="Aptos"/>
                <w:color w:val="263445"/>
                <w:sz w:val="18"/>
              </w:rPr>
              <w:t>Main PHP implementations for authentication, dashboards, student records, event management, database access, and form handling.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3F6F9"/>
          </w:tcPr>
          <w:p>
            <w:pPr>
              <w:spacing w:after="0"/>
            </w:pPr>
            <w:r>
              <w:rPr>
                <w:rFonts w:ascii="Aptos" w:hAnsi="Aptos"/>
                <w:color w:val="263445"/>
                <w:sz w:val="18"/>
              </w:rPr>
            </w:r>
            <w:r>
              <w:rPr>
                <w:rFonts w:ascii="Aptos" w:hAnsi="Aptos"/>
                <w:color w:val="263445"/>
                <w:sz w:val="18"/>
              </w:rPr>
              <w:t xml:space="preserve">Root </w:t>
            </w:r>
            <w:r>
              <w:rPr>
                <w:rFonts w:ascii="Aptos" w:hAnsi="Aptos"/>
                <w:color w:val="263445"/>
                <w:sz w:val="18"/>
              </w:rPr>
              <w:t>*.php</w:t>
            </w:r>
            <w:r>
              <w:rPr>
                <w:rFonts w:ascii="Aptos" w:hAnsi="Aptos"/>
                <w:color w:val="263445"/>
                <w:sz w:val="18"/>
              </w:rPr>
              <w:t xml:space="preserve"> files</w:t>
            </w:r>
          </w:p>
        </w:tc>
        <w:tc>
          <w:tcPr>
            <w:tcW w:type="dxa" w:w="508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3F6F9"/>
          </w:tcPr>
          <w:p>
            <w:pPr>
              <w:spacing w:after="0"/>
            </w:pPr>
            <w:r>
              <w:rPr>
                <w:rFonts w:ascii="Aptos" w:hAnsi="Aptos"/>
                <w:color w:val="263445"/>
                <w:sz w:val="18"/>
              </w:rPr>
            </w:r>
            <w:r>
              <w:rPr>
                <w:rFonts w:ascii="Aptos" w:hAnsi="Aptos"/>
                <w:color w:val="263445"/>
                <w:sz w:val="18"/>
              </w:rPr>
              <w:t xml:space="preserve">Web entry points that route requests to the matching implementation in </w:t>
            </w:r>
            <w:r>
              <w:rPr>
                <w:rFonts w:ascii="Aptos" w:hAnsi="Aptos"/>
                <w:color w:val="263445"/>
                <w:sz w:val="18"/>
              </w:rPr>
              <w:t>php/</w:t>
            </w:r>
            <w:r>
              <w:rPr>
                <w:rFonts w:ascii="Aptos" w:hAnsi="Aptos"/>
                <w:color w:val="263445"/>
                <w:sz w:val="18"/>
              </w:rPr>
              <w:t>.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63445"/>
                <w:sz w:val="18"/>
              </w:rPr>
            </w:r>
            <w:r>
              <w:rPr>
                <w:rFonts w:ascii="Aptos" w:hAnsi="Aptos"/>
                <w:color w:val="263445"/>
                <w:sz w:val="18"/>
              </w:rPr>
              <w:t>sql/schema.sql</w:t>
            </w:r>
          </w:p>
        </w:tc>
        <w:tc>
          <w:tcPr>
            <w:tcW w:type="dxa" w:w="508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63445"/>
                <w:sz w:val="18"/>
              </w:rPr>
            </w:r>
            <w:r>
              <w:rPr>
                <w:rFonts w:ascii="Aptos" w:hAnsi="Aptos"/>
                <w:color w:val="263445"/>
                <w:sz w:val="18"/>
              </w:rPr>
              <w:t>Complete schema and sample data for a fresh local database.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3F6F9"/>
          </w:tcPr>
          <w:p>
            <w:pPr>
              <w:spacing w:after="0"/>
            </w:pPr>
            <w:r>
              <w:rPr>
                <w:rFonts w:ascii="Aptos" w:hAnsi="Aptos"/>
                <w:color w:val="263445"/>
                <w:sz w:val="18"/>
              </w:rPr>
            </w:r>
            <w:r>
              <w:rPr>
                <w:rFonts w:ascii="Aptos" w:hAnsi="Aptos"/>
                <w:color w:val="263445"/>
                <w:sz w:val="18"/>
              </w:rPr>
              <w:t>sql/*_migration.sql</w:t>
            </w:r>
          </w:p>
        </w:tc>
        <w:tc>
          <w:tcPr>
            <w:tcW w:type="dxa" w:w="508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3F6F9"/>
          </w:tcPr>
          <w:p>
            <w:pPr>
              <w:spacing w:after="0"/>
            </w:pPr>
            <w:r>
              <w:rPr>
                <w:rFonts w:ascii="Aptos" w:hAnsi="Aptos"/>
                <w:color w:val="263445"/>
                <w:sz w:val="18"/>
              </w:rPr>
            </w:r>
            <w:r>
              <w:rPr>
                <w:rFonts w:ascii="Aptos" w:hAnsi="Aptos"/>
                <w:color w:val="263445"/>
                <w:sz w:val="18"/>
              </w:rPr>
              <w:t>One-time migrations for older database installations; see the database warning below.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63445"/>
                <w:sz w:val="18"/>
              </w:rPr>
            </w:r>
            <w:r>
              <w:rPr>
                <w:rFonts w:ascii="Aptos" w:hAnsi="Aptos"/>
                <w:color w:val="263445"/>
                <w:sz w:val="18"/>
              </w:rPr>
              <w:t>css/</w:t>
            </w:r>
            <w:r>
              <w:rPr>
                <w:rFonts w:ascii="Aptos" w:hAnsi="Aptos"/>
                <w:color w:val="263445"/>
                <w:sz w:val="18"/>
              </w:rPr>
              <w:t xml:space="preserve">, </w:t>
            </w:r>
            <w:r>
              <w:rPr>
                <w:rFonts w:ascii="Aptos" w:hAnsi="Aptos"/>
                <w:color w:val="263445"/>
                <w:sz w:val="18"/>
              </w:rPr>
              <w:t>js/</w:t>
            </w:r>
          </w:p>
        </w:tc>
        <w:tc>
          <w:tcPr>
            <w:tcW w:type="dxa" w:w="508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63445"/>
                <w:sz w:val="18"/>
              </w:rPr>
            </w:r>
            <w:r>
              <w:rPr>
                <w:rFonts w:ascii="Aptos" w:hAnsi="Aptos"/>
                <w:color w:val="263445"/>
                <w:sz w:val="18"/>
              </w:rPr>
              <w:t>Stylesheets and client-side behavior.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3F6F9"/>
          </w:tcPr>
          <w:p>
            <w:pPr>
              <w:spacing w:after="0"/>
            </w:pPr>
            <w:r>
              <w:rPr>
                <w:rFonts w:ascii="Aptos" w:hAnsi="Aptos"/>
                <w:color w:val="263445"/>
                <w:sz w:val="18"/>
              </w:rPr>
            </w:r>
            <w:r>
              <w:rPr>
                <w:rFonts w:ascii="Aptos" w:hAnsi="Aptos"/>
                <w:color w:val="263445"/>
                <w:sz w:val="18"/>
              </w:rPr>
              <w:t>data/</w:t>
            </w:r>
          </w:p>
        </w:tc>
        <w:tc>
          <w:tcPr>
            <w:tcW w:type="dxa" w:w="508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3F6F9"/>
          </w:tcPr>
          <w:p>
            <w:pPr>
              <w:spacing w:after="0"/>
            </w:pPr>
            <w:r>
              <w:rPr>
                <w:rFonts w:ascii="Aptos" w:hAnsi="Aptos"/>
                <w:color w:val="263445"/>
                <w:sz w:val="18"/>
              </w:rPr>
            </w:r>
            <w:r>
              <w:rPr>
                <w:rFonts w:ascii="Aptos" w:hAnsi="Aptos"/>
                <w:color w:val="263445"/>
                <w:sz w:val="18"/>
              </w:rPr>
              <w:t xml:space="preserve">JSON/CSV sample and form data. </w:t>
            </w:r>
            <w:r>
              <w:rPr>
                <w:rFonts w:ascii="Aptos" w:hAnsi="Aptos"/>
                <w:b/>
                <w:color w:val="263445"/>
                <w:sz w:val="18"/>
              </w:rPr>
              <w:t>Currently web-accessible; do not put real personal data here.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63445"/>
                <w:sz w:val="18"/>
              </w:rPr>
            </w:r>
            <w:r>
              <w:rPr>
                <w:rFonts w:ascii="Aptos" w:hAnsi="Aptos"/>
                <w:color w:val="263445"/>
                <w:sz w:val="18"/>
              </w:rPr>
              <w:t>materials/</w:t>
            </w:r>
          </w:p>
        </w:tc>
        <w:tc>
          <w:tcPr>
            <w:tcW w:type="dxa" w:w="508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63445"/>
                <w:sz w:val="18"/>
              </w:rPr>
            </w:r>
            <w:r>
              <w:rPr>
                <w:rFonts w:ascii="Aptos" w:hAnsi="Aptos"/>
                <w:color w:val="263445"/>
                <w:sz w:val="18"/>
              </w:rPr>
              <w:t>Course revision-guide PDFs.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3F6F9"/>
          </w:tcPr>
          <w:p>
            <w:pPr>
              <w:spacing w:after="0"/>
            </w:pPr>
            <w:r>
              <w:rPr>
                <w:rFonts w:ascii="Aptos" w:hAnsi="Aptos"/>
                <w:color w:val="263445"/>
                <w:sz w:val="18"/>
              </w:rPr>
            </w:r>
            <w:r>
              <w:rPr>
                <w:rFonts w:ascii="Aptos" w:hAnsi="Aptos"/>
                <w:color w:val="263445"/>
                <w:sz w:val="18"/>
              </w:rPr>
              <w:t>uploads/event-posters/</w:t>
            </w:r>
          </w:p>
        </w:tc>
        <w:tc>
          <w:tcPr>
            <w:tcW w:type="dxa" w:w="508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3F6F9"/>
          </w:tcPr>
          <w:p>
            <w:pPr>
              <w:spacing w:after="0"/>
            </w:pPr>
            <w:r>
              <w:rPr>
                <w:rFonts w:ascii="Aptos" w:hAnsi="Aptos"/>
                <w:color w:val="263445"/>
                <w:sz w:val="18"/>
              </w:rPr>
            </w:r>
            <w:r>
              <w:rPr>
                <w:rFonts w:ascii="Aptos" w:hAnsi="Aptos"/>
                <w:color w:val="263445"/>
                <w:sz w:val="18"/>
              </w:rPr>
              <w:t>Event poster uploads.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63445"/>
                <w:sz w:val="18"/>
              </w:rPr>
            </w:r>
            <w:r>
              <w:rPr>
                <w:rFonts w:ascii="Aptos" w:hAnsi="Aptos"/>
                <w:color w:val="263445"/>
                <w:sz w:val="18"/>
              </w:rPr>
              <w:t>images/</w:t>
            </w:r>
            <w:r>
              <w:rPr>
                <w:rFonts w:ascii="Aptos" w:hAnsi="Aptos"/>
                <w:color w:val="263445"/>
                <w:sz w:val="18"/>
              </w:rPr>
              <w:t xml:space="preserve">, </w:t>
            </w:r>
            <w:r>
              <w:rPr>
                <w:rFonts w:ascii="Aptos" w:hAnsi="Aptos"/>
                <w:color w:val="263445"/>
                <w:sz w:val="18"/>
              </w:rPr>
              <w:t>assests/</w:t>
            </w:r>
          </w:p>
        </w:tc>
        <w:tc>
          <w:tcPr>
            <w:tcW w:type="dxa" w:w="508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63445"/>
                <w:sz w:val="18"/>
              </w:rPr>
            </w:r>
            <w:r>
              <w:rPr>
                <w:rFonts w:ascii="Aptos" w:hAnsi="Aptos"/>
                <w:color w:val="263445"/>
                <w:sz w:val="18"/>
              </w:rPr>
              <w:t>Static images and project assets. (</w:t>
            </w:r>
            <w:r>
              <w:rPr>
                <w:rFonts w:ascii="Aptos" w:hAnsi="Aptos"/>
                <w:color w:val="263445"/>
                <w:sz w:val="18"/>
              </w:rPr>
              <w:t>assests</w:t>
            </w:r>
            <w:r>
              <w:rPr>
                <w:rFonts w:ascii="Aptos" w:hAnsi="Aptos"/>
                <w:color w:val="263445"/>
                <w:sz w:val="18"/>
              </w:rPr>
              <w:t xml:space="preserve"> is the existing folder spelling.)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3F6F9"/>
          </w:tcPr>
          <w:p>
            <w:pPr>
              <w:spacing w:after="0"/>
            </w:pPr>
            <w:r>
              <w:rPr>
                <w:rFonts w:ascii="Aptos" w:hAnsi="Aptos"/>
                <w:color w:val="263445"/>
                <w:sz w:val="18"/>
              </w:rPr>
            </w:r>
            <w:r>
              <w:rPr>
                <w:rFonts w:ascii="Aptos" w:hAnsi="Aptos"/>
                <w:color w:val="263445"/>
                <w:sz w:val="18"/>
              </w:rPr>
              <w:t>webDev/</w:t>
            </w:r>
            <w:r>
              <w:rPr>
                <w:rFonts w:ascii="Aptos" w:hAnsi="Aptos"/>
                <w:color w:val="263445"/>
                <w:sz w:val="18"/>
              </w:rPr>
              <w:t xml:space="preserve">, </w:t>
            </w:r>
            <w:r>
              <w:rPr>
                <w:rFonts w:ascii="Aptos" w:hAnsi="Aptos"/>
                <w:color w:val="263445"/>
                <w:sz w:val="18"/>
              </w:rPr>
              <w:t>practice/</w:t>
            </w:r>
          </w:p>
        </w:tc>
        <w:tc>
          <w:tcPr>
            <w:tcW w:type="dxa" w:w="508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3F6F9"/>
          </w:tcPr>
          <w:p>
            <w:pPr>
              <w:spacing w:after="0"/>
            </w:pPr>
            <w:r>
              <w:rPr>
                <w:rFonts w:ascii="Aptos" w:hAnsi="Aptos"/>
                <w:color w:val="263445"/>
                <w:sz w:val="18"/>
              </w:rPr>
            </w:r>
            <w:r>
              <w:rPr>
                <w:rFonts w:ascii="Aptos" w:hAnsi="Aptos"/>
                <w:color w:val="263445"/>
                <w:sz w:val="18"/>
              </w:rPr>
              <w:t>Separate practical/demo pages.</w:t>
            </w:r>
          </w:p>
        </w:tc>
      </w:tr>
    </w:tbl>
    <w:p>
      <w:pPr>
        <w:spacing w:after="20"/>
      </w:pPr>
    </w:p>
    <w:p>
      <w:pPr>
        <w:pStyle w:val="Heading1"/>
      </w:pPr>
      <w:r>
        <w:t>Local setup (Windows/XAMPP)</w:t>
      </w:r>
    </w:p>
    <w:p>
      <w:pPr>
        <w:pStyle w:val="ListNumber"/>
        <w:spacing w:after="60"/>
      </w:pPr>
      <w:r>
        <w:t xml:space="preserve">Install XAMPP with Apache, MySQL/MariaDB, and PHP. The project was syntax-checked with PHP 8.2.12; it requires PHP 8.1 or later and the </w:t>
      </w:r>
      <w:r>
        <w:rPr>
          <w:rFonts w:ascii="Consolas" w:hAnsi="Consolas"/>
          <w:color w:val="17365D"/>
          <w:sz w:val="18"/>
        </w:rPr>
        <w:t>mysqli</w:t>
      </w:r>
      <w:r>
        <w:t xml:space="preserve">, </w:t>
      </w:r>
      <w:r>
        <w:rPr>
          <w:rFonts w:ascii="Consolas" w:hAnsi="Consolas"/>
          <w:color w:val="17365D"/>
          <w:sz w:val="18"/>
        </w:rPr>
        <w:t>pdo_mysql</w:t>
      </w:r>
      <w:r>
        <w:t xml:space="preserve">, </w:t>
      </w:r>
      <w:r>
        <w:rPr>
          <w:rFonts w:ascii="Consolas" w:hAnsi="Consolas"/>
          <w:color w:val="17365D"/>
          <w:sz w:val="18"/>
        </w:rPr>
        <w:t>mbstring</w:t>
      </w:r>
      <w:r>
        <w:t xml:space="preserve">, and </w:t>
      </w:r>
      <w:r>
        <w:rPr>
          <w:rFonts w:ascii="Consolas" w:hAnsi="Consolas"/>
          <w:color w:val="17365D"/>
          <w:sz w:val="18"/>
        </w:rPr>
        <w:t>fileinfo</w:t>
      </w:r>
      <w:r>
        <w:t xml:space="preserve"> extensions.</w:t>
      </w:r>
    </w:p>
    <w:p>
      <w:pPr>
        <w:pStyle w:val="ListNumber"/>
        <w:spacing w:after="60"/>
      </w:pPr>
      <w:r>
        <w:t>Place the project folder under XAMPP's web root, for example:</w:t>
      </w:r>
    </w:p>
    <w:p>
      <w:pPr>
        <w:spacing w:before="60" w:after="140"/>
        <w:ind w:left="173" w:right="173"/>
        <w:shd w:fill="F3F6F9"/>
      </w:pPr>
      <w:r>
        <w:rPr>
          <w:rFonts w:ascii="Consolas" w:hAnsi="Consolas"/>
          <w:color w:val="17365D"/>
          <w:sz w:val="17"/>
        </w:rPr>
        <w:t xml:space="preserve">   C:\xampp\htdocs\StudentHub Portal</w:t>
      </w:r>
    </w:p>
    <w:p>
      <w:pPr>
        <w:pStyle w:val="ListNumber"/>
        <w:spacing w:after="60"/>
      </w:pPr>
      <w:r>
        <w:t xml:space="preserve">Start </w:t>
      </w:r>
      <w:r>
        <w:rPr>
          <w:b/>
        </w:rPr>
        <w:t>Apache</w:t>
      </w:r>
      <w:r>
        <w:t xml:space="preserve"> and </w:t>
      </w:r>
      <w:r>
        <w:rPr>
          <w:b/>
        </w:rPr>
        <w:t>MySQL</w:t>
      </w:r>
      <w:r>
        <w:t xml:space="preserve"> from the XAMPP Control Panel.</w:t>
      </w:r>
    </w:p>
    <w:p>
      <w:pPr>
        <w:pStyle w:val="ListNumber"/>
        <w:spacing w:after="60"/>
      </w:pPr>
      <w:r>
        <w:t xml:space="preserve">Open </w:t>
      </w:r>
      <w:hyperlink r:id="rId12">
        <w:r>
          <w:rPr>
            <w:color w:val="2878C8"/>
            <w:u w:val="single"/>
          </w:rPr>
          <w:t>phpMyAdmin</w:t>
        </w:r>
      </w:hyperlink>
      <w:r>
        <w:t xml:space="preserve">, choose </w:t>
      </w:r>
      <w:r>
        <w:rPr>
          <w:b/>
        </w:rPr>
        <w:t>Import</w:t>
      </w:r>
      <w:r>
        <w:t xml:space="preserve">, select </w:t>
      </w:r>
      <w:r>
        <w:rPr>
          <w:rFonts w:ascii="Consolas" w:hAnsi="Consolas"/>
          <w:color w:val="17365D"/>
          <w:sz w:val="18"/>
        </w:rPr>
        <w:t>sql/schema.sql</w:t>
      </w:r>
      <w:r>
        <w:t xml:space="preserve">, and run the import. The script creates the </w:t>
      </w:r>
      <w:r>
        <w:rPr>
          <w:rFonts w:ascii="Consolas" w:hAnsi="Consolas"/>
          <w:color w:val="17365D"/>
          <w:sz w:val="18"/>
        </w:rPr>
        <w:t>studenthub_practical8</w:t>
      </w:r>
      <w:r>
        <w:t xml:space="preserve"> database, its tables, and local sample data.</w:t>
      </w:r>
    </w:p>
    <w:p>
      <w:pPr>
        <w:pStyle w:val="ListNumber"/>
        <w:spacing w:after="60"/>
      </w:pPr>
      <w:r>
        <w:t>Open the portal:</w:t>
      </w:r>
    </w:p>
    <w:p>
      <w:pPr>
        <w:pStyle w:val="ListBullet"/>
        <w:spacing w:after="40"/>
      </w:pPr>
      <w:hyperlink r:id="rId13">
        <w:r>
          <w:rPr>
            <w:color w:val="2878C8"/>
            <w:u w:val="single"/>
          </w:rPr>
          <w:t>Login</w:t>
        </w:r>
      </w:hyperlink>
    </w:p>
    <w:p>
      <w:pPr>
        <w:pStyle w:val="ListBullet"/>
        <w:spacing w:after="40"/>
      </w:pPr>
      <w:hyperlink r:id="rId14">
        <w:r>
          <w:rPr>
            <w:color w:val="2878C8"/>
            <w:u w:val="single"/>
          </w:rPr>
          <w:t>Home</w:t>
        </w:r>
      </w:hyperlink>
    </w:p>
    <w:p>
      <w:pPr>
        <w:pStyle w:val="ListBullet"/>
        <w:spacing w:after="40"/>
      </w:pPr>
      <w:hyperlink r:id="rId15">
        <w:r>
          <w:rPr>
            <w:color w:val="2878C8"/>
            <w:u w:val="single"/>
          </w:rPr>
          <w:t>Course Materials</w:t>
        </w:r>
      </w:hyperlink>
    </w:p>
    <w:p>
      <w:r>
        <w:t xml:space="preserve">The database connection reads </w:t>
      </w:r>
      <w:r>
        <w:rPr>
          <w:rFonts w:ascii="Consolas" w:hAnsi="Consolas"/>
          <w:color w:val="17365D"/>
          <w:sz w:val="18"/>
        </w:rPr>
        <w:t>STUDENTHUB_DB_HOST</w:t>
      </w:r>
      <w:r>
        <w:t xml:space="preserve">, </w:t>
      </w:r>
      <w:r>
        <w:rPr>
          <w:rFonts w:ascii="Consolas" w:hAnsi="Consolas"/>
          <w:color w:val="17365D"/>
          <w:sz w:val="18"/>
        </w:rPr>
        <w:t>STUDENTHUB_DB_NAME</w:t>
      </w:r>
      <w:r>
        <w:t xml:space="preserve">, </w:t>
      </w:r>
      <w:r>
        <w:rPr>
          <w:rFonts w:ascii="Consolas" w:hAnsi="Consolas"/>
          <w:color w:val="17365D"/>
          <w:sz w:val="18"/>
        </w:rPr>
        <w:t>STUDENTHUB_DB_USER</w:t>
      </w:r>
      <w:r>
        <w:t xml:space="preserve">, and </w:t>
      </w:r>
      <w:r>
        <w:rPr>
          <w:rFonts w:ascii="Consolas" w:hAnsi="Consolas"/>
          <w:color w:val="17365D"/>
          <w:sz w:val="18"/>
        </w:rPr>
        <w:t>STUDENTHUB_DB_PASSWORD</w:t>
      </w:r>
      <w:r>
        <w:t xml:space="preserve">. For a typical local XAMPP setup, the defaults are </w:t>
      </w:r>
      <w:r>
        <w:rPr>
          <w:rFonts w:ascii="Consolas" w:hAnsi="Consolas"/>
          <w:color w:val="17365D"/>
          <w:sz w:val="18"/>
        </w:rPr>
        <w:t>127.0.0.1</w:t>
      </w:r>
      <w:r>
        <w:t xml:space="preserve">, </w:t>
      </w:r>
      <w:r>
        <w:rPr>
          <w:rFonts w:ascii="Consolas" w:hAnsi="Consolas"/>
          <w:color w:val="17365D"/>
          <w:sz w:val="18"/>
        </w:rPr>
        <w:t>studenthub_practical8</w:t>
      </w:r>
      <w:r>
        <w:t xml:space="preserve">, </w:t>
      </w:r>
      <w:r>
        <w:rPr>
          <w:rFonts w:ascii="Consolas" w:hAnsi="Consolas"/>
          <w:color w:val="17365D"/>
          <w:sz w:val="18"/>
        </w:rPr>
        <w:t>root</w:t>
      </w:r>
      <w:r>
        <w:t xml:space="preserve">, and an empty password. Those defaults are </w:t>
      </w:r>
      <w:r>
        <w:rPr>
          <w:b/>
        </w:rPr>
        <w:t>only suitable for an isolated local development machine</w:t>
      </w:r>
      <w:r>
        <w:t xml:space="preserve">. For any shared or deployed environment, configure a dedicated database user with a strong password and minimum required privileges; do not use MySQL's </w:t>
      </w:r>
      <w:r>
        <w:rPr>
          <w:rFonts w:ascii="Consolas" w:hAnsi="Consolas"/>
          <w:color w:val="17365D"/>
          <w:sz w:val="18"/>
        </w:rPr>
        <w:t>root</w:t>
      </w:r>
      <w:r>
        <w:t xml:space="preserve"> account.</w:t>
      </w:r>
    </w:p>
    <w:p>
      <w:pPr>
        <w:pStyle w:val="Heading2"/>
      </w:pPr>
      <w:r>
        <w:t>Demo student login</w:t>
      </w:r>
    </w:p>
    <w:p>
      <w:r>
        <w:t>The fresh schema includes this local-only account:</w:t>
      </w:r>
    </w:p>
    <w:p>
      <w:pPr>
        <w:spacing w:before="60" w:after="140"/>
        <w:ind w:left="173" w:right="173"/>
        <w:shd w:fill="F3F6F9"/>
      </w:pPr>
      <w:r>
        <w:rPr>
          <w:rFonts w:ascii="Consolas" w:hAnsi="Consolas"/>
          <w:color w:val="17365D"/>
          <w:sz w:val="17"/>
        </w:rPr>
        <w:t>Email:    student.demo@example.com</w:t>
        <w:br/>
        <w:t>Password: Student@123</w:t>
      </w:r>
    </w:p>
    <w:p>
      <w:r>
        <w:t>The login page also displays these credentials. Remove or disable this account and remove the displayed credentials before exposing the site to anyone outside local testing.</w:t>
      </w:r>
    </w:p>
    <w:p>
      <w:pPr>
        <w:pStyle w:val="Heading2"/>
      </w:pPr>
      <w:r>
        <w:t>Creating a local Admin account</w:t>
      </w:r>
    </w:p>
    <w:p>
      <w:r>
        <w:t>There is no documented production-ready Admin password. For local testing, register a separate account using the registration page, then promote that account in phpMyAdmin. Replace the example value with the enrollment number used during registration:</w:t>
      </w:r>
    </w:p>
    <w:p>
      <w:pPr>
        <w:spacing w:before="60" w:after="140"/>
        <w:ind w:left="173" w:right="173"/>
        <w:shd w:fill="F3F6F9"/>
      </w:pPr>
      <w:r>
        <w:rPr>
          <w:rFonts w:ascii="Consolas" w:hAnsi="Consolas"/>
          <w:color w:val="17365D"/>
          <w:sz w:val="17"/>
        </w:rPr>
        <w:t>USE studenthub_practical8;</w:t>
        <w:br/>
        <w:t>UPDATE student_accounts</w:t>
        <w:br/>
        <w:t>SET role = 'Admin'</w:t>
        <w:br/>
        <w:t>WHERE username = 'YOUR_ENROLLMENT_NUMBER';</w:t>
      </w:r>
    </w:p>
    <w:p>
      <w:r>
        <w:t>Use a unique, strong password. Do not promote the demo student account, and do not use this SQL workflow as a substitute for a reviewed administrator-provisioning process in production.</w:t>
      </w:r>
    </w:p>
    <w:p>
      <w:pPr>
        <w:pStyle w:val="Heading1"/>
      </w:pPr>
      <w:r>
        <w:t>Database setup and migrations</w:t>
      </w:r>
    </w:p>
    <w:p>
      <w:pPr>
        <w:pStyle w:val="ListBullet"/>
        <w:spacing w:after="40"/>
      </w:pPr>
      <w:r>
        <w:rPr>
          <w:b/>
        </w:rPr>
        <w:t>Fresh database:</w:t>
      </w:r>
      <w:r>
        <w:t xml:space="preserve"> import only </w:t>
      </w:r>
      <w:r>
        <w:rPr>
          <w:rFonts w:ascii="Consolas" w:hAnsi="Consolas"/>
          <w:color w:val="17365D"/>
          <w:sz w:val="18"/>
        </w:rPr>
        <w:t>sql/schema.sql</w:t>
      </w:r>
      <w:r>
        <w:t>. It includes the current tables and columns, including student status, account roles, event poster paths, and audit logs.</w:t>
      </w:r>
    </w:p>
    <w:p>
      <w:pPr>
        <w:pStyle w:val="ListBullet"/>
        <w:spacing w:after="40"/>
      </w:pPr>
      <w:r>
        <w:rPr>
          <w:b/>
        </w:rPr>
        <w:t>Existing older database:</w:t>
      </w:r>
      <w:r>
        <w:t xml:space="preserve"> back it up first, inspect its current tables/columns, then apply only the missing one-time migration(s). The migration scripts use </w:t>
      </w:r>
      <w:r>
        <w:rPr>
          <w:rFonts w:ascii="Consolas" w:hAnsi="Consolas"/>
          <w:color w:val="17365D"/>
          <w:sz w:val="18"/>
        </w:rPr>
        <w:t>ALTER TABLE</w:t>
      </w:r>
      <w:r>
        <w:t xml:space="preserve"> statements and can fail if their columns already exist.</w:t>
      </w:r>
    </w:p>
    <w:p>
      <w:pPr>
        <w:pStyle w:val="ListBullet"/>
        <w:spacing w:after="40"/>
      </w:pPr>
      <w:r>
        <w:t xml:space="preserve">Do not blindly run all SQL files in sequence after importing </w:t>
      </w:r>
      <w:r>
        <w:rPr>
          <w:rFonts w:ascii="Consolas" w:hAnsi="Consolas"/>
          <w:color w:val="17365D"/>
          <w:sz w:val="18"/>
        </w:rPr>
        <w:t>schema.sql</w:t>
      </w:r>
      <w:r>
        <w:t>. In particular, the student status, account role, event poster, and audit-log structures are already present in the current schema.</w:t>
      </w:r>
    </w:p>
    <w:p>
      <w:pPr>
        <w:pStyle w:val="ListBullet"/>
        <w:spacing w:after="40"/>
      </w:pPr>
      <w:r>
        <w:rPr>
          <w:rFonts w:ascii="Consolas" w:hAnsi="Consolas"/>
          <w:color w:val="17365D"/>
          <w:sz w:val="18"/>
        </w:rPr>
        <w:t>sql/demo_student_login_migration.sql</w:t>
      </w:r>
      <w:r>
        <w:t xml:space="preserve"> resets the demo student's password to the published demo password. Do not run it on a live or shared database.</w:t>
      </w:r>
    </w:p>
    <w:p>
      <w:pPr>
        <w:pStyle w:val="Heading1"/>
      </w:pPr>
      <w:r>
        <w:t>Testing</w:t>
      </w:r>
    </w:p>
    <w:p>
      <w:r>
        <w:t>There is no configured PHPUnit, npm, or other automated test suite in the repository. From PowerShell at the project root, the available syntax checks are:</w:t>
      </w:r>
    </w:p>
    <w:p>
      <w:pPr>
        <w:spacing w:before="60" w:after="140"/>
        <w:ind w:left="173" w:right="173"/>
        <w:shd w:fill="F3F6F9"/>
      </w:pPr>
      <w:r>
        <w:rPr>
          <w:rFonts w:ascii="Consolas" w:hAnsi="Consolas"/>
          <w:color w:val="17365D"/>
          <w:sz w:val="17"/>
        </w:rPr>
        <w:t>Get-ChildItem -Recurse -Filter *.php | ForEach-Object {</w:t>
        <w:br/>
        <w:t xml:space="preserve">    &amp; C:\xampp\php\php.exe -l $_.FullName</w:t>
        <w:br/>
        <w:t>}</w:t>
        <w:br/>
        <w:br/>
        <w:t>Get-ChildItem .\js -Filter *.js | ForEach-Object {</w:t>
        <w:br/>
        <w:t xml:space="preserve">    node --check $_.FullName</w:t>
        <w:br/>
        <w:t>}</w:t>
        <w:br/>
        <w:br/>
        <w:t>git diff --check</w:t>
      </w:r>
    </w:p>
    <w:p>
      <w:r>
        <w:t>For functional/manual testing, sign in with the demo Student account and verify the student dashboard, profile, Courses, Course Materials, and sign-out. Verify Admin-only behavior with a separate Admin account. The security report records which of these checks were performed in the local environment and which workflows remain unverified.</w:t>
      </w:r>
    </w:p>
    <w:p>
      <w:pPr>
        <w:pStyle w:val="Heading1"/>
      </w:pPr>
      <w:r>
        <w:t>Security and deployment</w:t>
      </w:r>
    </w:p>
    <w:p>
      <w:r>
        <w:t>This project is suitable for local learning/testing only in its current state. Before deployment:</w:t>
      </w:r>
    </w:p>
    <w:p>
      <w:pPr>
        <w:pStyle w:val="ListNumber"/>
        <w:spacing w:after="60"/>
      </w:pPr>
      <w:r>
        <w:t xml:space="preserve">Block public HTTP access to student/form data under </w:t>
      </w:r>
      <w:r>
        <w:rPr>
          <w:rFonts w:ascii="Consolas" w:hAnsi="Consolas"/>
          <w:color w:val="17365D"/>
          <w:sz w:val="18"/>
        </w:rPr>
        <w:t>data/</w:t>
      </w:r>
      <w:r>
        <w:t xml:space="preserve">, and remove or protect the unguarded </w:t>
      </w:r>
      <w:r>
        <w:rPr>
          <w:rFonts w:ascii="Consolas" w:hAnsi="Consolas"/>
          <w:color w:val="17365D"/>
          <w:sz w:val="18"/>
        </w:rPr>
        <w:t>test_connection.php</w:t>
      </w:r>
      <w:r>
        <w:t xml:space="preserve"> page.</w:t>
      </w:r>
    </w:p>
    <w:p>
      <w:pPr>
        <w:pStyle w:val="ListNumber"/>
        <w:spacing w:after="60"/>
      </w:pPr>
      <w:r>
        <w:t>Move private submissions and personal data outside the web document root; expose only deliberately anonymized sample data where the public Data Explorer needs it.</w:t>
      </w:r>
    </w:p>
    <w:p>
      <w:pPr>
        <w:pStyle w:val="ListNumber"/>
        <w:spacing w:after="60"/>
      </w:pPr>
      <w:r>
        <w:t>Remove the demo login credentials from the page and disable/reset the demo account.</w:t>
      </w:r>
    </w:p>
    <w:p>
      <w:pPr>
        <w:pStyle w:val="ListNumber"/>
        <w:spacing w:after="60"/>
      </w:pPr>
      <w:r>
        <w:t>Configure HTTPS and a dedicated least-privilege database account. Verify secure session-cookie settings and production error handling.</w:t>
      </w:r>
    </w:p>
    <w:p>
      <w:pPr>
        <w:pStyle w:val="ListNumber"/>
        <w:spacing w:after="60"/>
      </w:pPr>
      <w:r>
        <w:t>Add login throttling, review public form abuse protections, and set suitable HTTP security headers.</w:t>
      </w:r>
    </w:p>
    <w:p>
      <w:pPr>
        <w:pStyle w:val="ListNumber"/>
        <w:spacing w:after="60"/>
      </w:pPr>
      <w:r>
        <w:t xml:space="preserve">Correct and validate </w:t>
      </w:r>
      <w:r>
        <w:rPr>
          <w:rFonts w:ascii="Consolas" w:hAnsi="Consolas"/>
          <w:color w:val="17365D"/>
          <w:sz w:val="18"/>
        </w:rPr>
        <w:t>data/submissions.json</w:t>
      </w:r>
      <w:r>
        <w:t xml:space="preserve"> before relying on JSON-backed contact submissions.</w:t>
      </w:r>
    </w:p>
    <w:p>
      <w:r>
        <w:t xml:space="preserve">See </w:t>
      </w:r>
      <w:hyperlink r:id="rId11">
        <w:r>
          <w:rPr>
            <w:color w:val="2878C8"/>
            <w:u w:val="single"/>
          </w:rPr>
          <w:t>TEST_SECURITY_REPORT.md</w:t>
        </w:r>
      </w:hyperlink>
      <w:r>
        <w:t xml:space="preserve"> for the evidence, severity, and validation limitations.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37" w:bottom="1008" w:left="1037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18096"/>
        <w:sz w:val="16"/>
      </w:rPr>
      <w:t xml:space="preserve">Student Hub Portal  ?  </w:t>
    </w:r>
    <w:r>
      <w:rPr>
        <w:color w:val="718096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2878C8"/>
        <w:sz w:val="16"/>
      </w:rPr>
      <w:t>STUDENT HUB PORTAL  |  PROJECT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6344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878C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TEST_SECURITY_REPORT.md" TargetMode="External"/><Relationship Id="rId12" Type="http://schemas.openxmlformats.org/officeDocument/2006/relationships/hyperlink" Target="http://localhost/phpmyadmin/" TargetMode="External"/><Relationship Id="rId13" Type="http://schemas.openxmlformats.org/officeDocument/2006/relationships/hyperlink" Target="http://localhost/StudentHub%20Portal/login.php" TargetMode="External"/><Relationship Id="rId14" Type="http://schemas.openxmlformats.org/officeDocument/2006/relationships/hyperlink" Target="http://localhost/StudentHub%20Portal/home.php" TargetMode="External"/><Relationship Id="rId15" Type="http://schemas.openxmlformats.org/officeDocument/2006/relationships/hyperlink" Target="http://localhost/StudentHub%20Portal/courseMaterial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Student Hub Portal - README and Setup Guide</dc:title>
  <dc:subject>Student Hub Portal project documentation</dc:subject>
  <dc:creator>Student Hub Portal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