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39EE8">
      <w:pPr>
        <w:spacing w:before="600"/>
      </w:pPr>
    </w:p>
    <w:p w14:paraId="08FF7566">
      <w:pPr>
        <w:spacing w:after="120"/>
        <w:jc w:val="center"/>
      </w:pPr>
      <w:r>
        <w:rPr>
          <w:b/>
          <w:bCs/>
          <w:color w:val="C9601A"/>
          <w:sz w:val="24"/>
          <w:szCs w:val="24"/>
        </w:rPr>
        <w:t>WEEK 3</w:t>
      </w:r>
      <w:r>
        <w:rPr>
          <w:rFonts w:hint="default"/>
          <w:b/>
          <w:bCs/>
          <w:color w:val="C9601A"/>
          <w:sz w:val="24"/>
          <w:szCs w:val="24"/>
          <w:lang w:val="en-IN"/>
        </w:rPr>
        <w:t>:</w:t>
      </w:r>
      <w:r>
        <w:rPr>
          <w:b/>
          <w:bCs/>
          <w:color w:val="C9601A"/>
          <w:sz w:val="24"/>
          <w:szCs w:val="24"/>
        </w:rPr>
        <w:t xml:space="preserve"> TASK REPORT</w:t>
      </w:r>
    </w:p>
    <w:p w14:paraId="43D58BDD">
      <w:pPr>
        <w:spacing w:after="200"/>
        <w:jc w:val="center"/>
      </w:pPr>
      <w:r>
        <w:rPr>
          <w:b/>
          <w:bCs/>
          <w:color w:val="2B2118"/>
          <w:sz w:val="36"/>
          <w:szCs w:val="36"/>
        </w:rPr>
        <w:t>Backend Integration &amp; Database Management — Online Property Tax Payment Portal</w:t>
      </w:r>
    </w:p>
    <w:p w14:paraId="4012F68D">
      <w:pPr>
        <w:spacing w:after="400"/>
        <w:jc w:val="center"/>
      </w:pPr>
      <w:r>
        <w:rPr>
          <w:i/>
          <w:iCs/>
          <w:color w:val="666666"/>
          <w:sz w:val="24"/>
          <w:szCs w:val="24"/>
        </w:rPr>
        <w:t>System Design, Database Schema, API Integration &amp; Data Management Strategy</w:t>
      </w:r>
    </w:p>
    <w:p w14:paraId="603BCB5E">
      <w:pPr>
        <w:spacing w:after="40"/>
        <w:jc w:val="center"/>
      </w:pPr>
      <w:r>
        <w:rPr>
          <w:color w:val="2B2118"/>
          <w:sz w:val="22"/>
          <w:szCs w:val="22"/>
        </w:rPr>
        <w:t>Junior Web Developer – E-Governance &amp; Digital Services Internship</w:t>
      </w:r>
    </w:p>
    <w:p w14:paraId="6E8F01E0">
      <w:pPr>
        <w:spacing w:after="40"/>
        <w:jc w:val="center"/>
        <w:rPr>
          <w:rFonts w:hint="default"/>
          <w:lang w:val="en-IN"/>
        </w:rPr>
      </w:pPr>
      <w:r>
        <w:rPr>
          <w:b/>
          <w:bCs/>
          <w:color w:val="2B2118"/>
          <w:sz w:val="22"/>
          <w:szCs w:val="22"/>
        </w:rPr>
        <w:t>Prepared by: P</w:t>
      </w:r>
      <w:r>
        <w:rPr>
          <w:rFonts w:hint="default"/>
          <w:b/>
          <w:bCs/>
          <w:color w:val="2B2118"/>
          <w:sz w:val="22"/>
          <w:szCs w:val="22"/>
          <w:lang w:val="en-IN"/>
        </w:rPr>
        <w:t>alak Ramtri</w:t>
      </w:r>
    </w:p>
    <w:p w14:paraId="7BEC0B8E">
      <w:pPr>
        <w:spacing w:after="40"/>
        <w:jc w:val="center"/>
      </w:pPr>
      <w:r>
        <w:rPr>
          <w:color w:val="666666"/>
          <w:sz w:val="20"/>
          <w:szCs w:val="20"/>
        </w:rPr>
        <w:t xml:space="preserve">Internship Duration: </w:t>
      </w:r>
      <w:r>
        <w:rPr>
          <w:rFonts w:hint="default"/>
          <w:color w:val="666666"/>
          <w:sz w:val="20"/>
          <w:szCs w:val="20"/>
          <w:lang w:val="en-IN"/>
        </w:rPr>
        <w:t>01</w:t>
      </w:r>
      <w:r>
        <w:rPr>
          <w:color w:val="666666"/>
          <w:sz w:val="20"/>
          <w:szCs w:val="20"/>
        </w:rPr>
        <w:t xml:space="preserve"> </w:t>
      </w:r>
      <w:r>
        <w:rPr>
          <w:rFonts w:hint="default"/>
          <w:color w:val="666666"/>
          <w:sz w:val="20"/>
          <w:szCs w:val="20"/>
          <w:lang w:val="en-IN"/>
        </w:rPr>
        <w:t>August</w:t>
      </w:r>
      <w:r>
        <w:rPr>
          <w:color w:val="666666"/>
          <w:sz w:val="20"/>
          <w:szCs w:val="20"/>
        </w:rPr>
        <w:t xml:space="preserve"> 2026 – 2</w:t>
      </w:r>
      <w:r>
        <w:rPr>
          <w:rFonts w:hint="default"/>
          <w:color w:val="666666"/>
          <w:sz w:val="20"/>
          <w:szCs w:val="20"/>
          <w:lang w:val="en-IN"/>
        </w:rPr>
        <w:t>9</w:t>
      </w:r>
      <w:r>
        <w:rPr>
          <w:color w:val="666666"/>
          <w:sz w:val="20"/>
          <w:szCs w:val="20"/>
        </w:rPr>
        <w:t xml:space="preserve"> August 2026</w:t>
      </w:r>
    </w:p>
    <w:p w14:paraId="581AA7FC">
      <w:pPr>
        <w:spacing w:after="40"/>
        <w:jc w:val="center"/>
      </w:pPr>
      <w:r>
        <w:rPr>
          <w:color w:val="666666"/>
          <w:sz w:val="20"/>
          <w:szCs w:val="20"/>
        </w:rPr>
        <w:t>Report Date: 2</w:t>
      </w:r>
      <w:r>
        <w:rPr>
          <w:rFonts w:hint="default"/>
          <w:color w:val="666666"/>
          <w:sz w:val="20"/>
          <w:szCs w:val="20"/>
          <w:lang w:val="en-IN"/>
        </w:rPr>
        <w:t>7</w:t>
      </w:r>
      <w:bookmarkStart w:id="0" w:name="_GoBack"/>
      <w:bookmarkEnd w:id="0"/>
      <w:r>
        <w:rPr>
          <w:color w:val="666666"/>
          <w:sz w:val="20"/>
          <w:szCs w:val="20"/>
        </w:rPr>
        <w:t xml:space="preserve"> August 2026</w:t>
      </w:r>
    </w:p>
    <w:p w14:paraId="1FC0761C">
      <w:r>
        <w:br w:type="page"/>
      </w:r>
    </w:p>
    <w:p w14:paraId="737D745B">
      <w:pPr>
        <w:pStyle w:val="2"/>
        <w:pBdr>
          <w:bottom w:val="single" w:color="C9601A" w:sz="6" w:space="4"/>
        </w:pBdr>
        <w:spacing w:before="320" w:after="160"/>
      </w:pPr>
      <w:r>
        <w:rPr>
          <w:b/>
          <w:bCs/>
          <w:color w:val="C9601A"/>
          <w:sz w:val="30"/>
          <w:szCs w:val="30"/>
        </w:rPr>
        <w:t>1. Objective</w:t>
      </w:r>
    </w:p>
    <w:p w14:paraId="03E6ACE2">
      <w:pPr>
        <w:spacing w:after="160" w:line="300" w:lineRule="auto"/>
      </w:pPr>
      <w:r>
        <w:rPr>
          <w:color w:val="2B2118"/>
          <w:sz w:val="22"/>
          <w:szCs w:val="22"/>
        </w:rPr>
        <w:t>This report plans the back-end functionality of the Online Property Tax Payment Portal introduced in Week 1. It outlines the system architecture, database design, and integration strategy needed to support the front-end screens designed in Week 2, and defines how the platform will manage data securely, remain reliable under load, and integrate cleanly with external services such as the payment gateway.</w:t>
      </w:r>
    </w:p>
    <w:p w14:paraId="039575C0">
      <w:pPr>
        <w:pStyle w:val="2"/>
        <w:pBdr>
          <w:bottom w:val="single" w:color="C9601A" w:sz="6" w:space="4"/>
        </w:pBdr>
        <w:spacing w:before="320" w:after="160"/>
      </w:pPr>
      <w:r>
        <w:rPr>
          <w:b/>
          <w:bCs/>
          <w:color w:val="C9601A"/>
          <w:sz w:val="30"/>
          <w:szCs w:val="30"/>
        </w:rPr>
        <w:t>2. System Design</w:t>
      </w:r>
    </w:p>
    <w:p w14:paraId="0F2B0F09">
      <w:pPr>
        <w:spacing w:after="160" w:line="300" w:lineRule="auto"/>
      </w:pPr>
      <w:r>
        <w:rPr>
          <w:color w:val="2B2118"/>
          <w:sz w:val="22"/>
          <w:szCs w:val="22"/>
        </w:rPr>
        <w:t>The backend follows a service-oriented structure behind a single API Gateway, so the front-end (citizen and admin clients) never talks to internal services directly. This keeps authentication, rate-limiting, and routing centralised and makes individual services easier to scale, test, and secure independently.</w:t>
      </w:r>
    </w:p>
    <w:p w14:paraId="0F986AD3">
      <w:pPr>
        <w:spacing w:before="120" w:after="120"/>
        <w:jc w:val="center"/>
      </w:pPr>
      <w:r>
        <w:drawing>
          <wp:inline distT="0" distB="0" distL="0" distR="0">
            <wp:extent cx="51435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143500" cy="3390900"/>
                    </a:xfrm>
                    <a:prstGeom prst="rect">
                      <a:avLst/>
                    </a:prstGeom>
                  </pic:spPr>
                </pic:pic>
              </a:graphicData>
            </a:graphic>
          </wp:inline>
        </w:drawing>
      </w:r>
    </w:p>
    <w:p w14:paraId="6AD26008">
      <w:pPr>
        <w:spacing w:after="240"/>
        <w:jc w:val="center"/>
      </w:pPr>
      <w:r>
        <w:rPr>
          <w:i/>
          <w:iCs/>
          <w:color w:val="666666"/>
          <w:sz w:val="18"/>
          <w:szCs w:val="18"/>
        </w:rPr>
        <w:t>Figure 1: Backend system architecture and data flow</w:t>
      </w:r>
    </w:p>
    <w:p w14:paraId="3424330C">
      <w:pPr>
        <w:pStyle w:val="3"/>
        <w:spacing w:before="220" w:after="100"/>
      </w:pPr>
      <w:r>
        <w:rPr>
          <w:b/>
          <w:bCs/>
          <w:color w:val="2B2118"/>
          <w:sz w:val="24"/>
          <w:szCs w:val="24"/>
        </w:rPr>
        <w:t>Server Setup</w:t>
      </w:r>
    </w:p>
    <w:p w14:paraId="57AC2C4E">
      <w:pPr>
        <w:pStyle w:val="16"/>
        <w:numPr>
          <w:ilvl w:val="0"/>
          <w:numId w:val="1"/>
        </w:numPr>
        <w:spacing w:after="80"/>
      </w:pPr>
      <w:r>
        <w:rPr>
          <w:color w:val="2B2118"/>
          <w:sz w:val="22"/>
          <w:szCs w:val="22"/>
        </w:rPr>
        <w:t>API Gateway / Load Balancer: terminates HTTPS, validates auth tokens, applies rate-limiting, and routes requests to the correct service.</w:t>
      </w:r>
    </w:p>
    <w:p w14:paraId="6D3CCE12">
      <w:pPr>
        <w:pStyle w:val="16"/>
        <w:numPr>
          <w:ilvl w:val="0"/>
          <w:numId w:val="1"/>
        </w:numPr>
        <w:spacing w:after="80"/>
      </w:pPr>
      <w:r>
        <w:rPr>
          <w:color w:val="2B2118"/>
          <w:sz w:val="22"/>
          <w:szCs w:val="22"/>
        </w:rPr>
        <w:t>Auth Service: issues and validates OTP-based logins and short-lived JWT session tokens.</w:t>
      </w:r>
    </w:p>
    <w:p w14:paraId="03B61D5A">
      <w:pPr>
        <w:pStyle w:val="16"/>
        <w:numPr>
          <w:ilvl w:val="0"/>
          <w:numId w:val="1"/>
        </w:numPr>
        <w:spacing w:after="80"/>
      </w:pPr>
      <w:r>
        <w:rPr>
          <w:color w:val="2B2118"/>
          <w:sz w:val="22"/>
          <w:szCs w:val="22"/>
        </w:rPr>
        <w:t>Property &amp; Tax Service: handles property lookup and tax/bill calculation logic; reads/writes the core relational database.</w:t>
      </w:r>
    </w:p>
    <w:p w14:paraId="4A16CB44">
      <w:pPr>
        <w:pStyle w:val="16"/>
        <w:numPr>
          <w:ilvl w:val="0"/>
          <w:numId w:val="1"/>
        </w:numPr>
        <w:spacing w:after="80"/>
      </w:pPr>
      <w:r>
        <w:rPr>
          <w:color w:val="2B2118"/>
          <w:sz w:val="22"/>
          <w:szCs w:val="22"/>
        </w:rPr>
        <w:t>Payment Service: orchestrates calls to the external PCI-DSS payment gateway, records transaction outcomes, and triggers receipt generation.</w:t>
      </w:r>
    </w:p>
    <w:p w14:paraId="79DA3B24">
      <w:pPr>
        <w:pStyle w:val="16"/>
        <w:numPr>
          <w:ilvl w:val="0"/>
          <w:numId w:val="1"/>
        </w:numPr>
        <w:spacing w:after="80"/>
      </w:pPr>
      <w:r>
        <w:rPr>
          <w:color w:val="2B2118"/>
          <w:sz w:val="22"/>
          <w:szCs w:val="22"/>
        </w:rPr>
        <w:t>Notification Service: sends SMS/email reminders and payment confirmations via an external SMS/email gateway.</w:t>
      </w:r>
    </w:p>
    <w:p w14:paraId="13101647">
      <w:pPr>
        <w:pStyle w:val="16"/>
        <w:numPr>
          <w:ilvl w:val="0"/>
          <w:numId w:val="1"/>
        </w:numPr>
        <w:spacing w:after="80"/>
      </w:pPr>
      <w:r>
        <w:rPr>
          <w:color w:val="2B2118"/>
          <w:sz w:val="22"/>
          <w:szCs w:val="22"/>
        </w:rPr>
        <w:t>Supporting data stores: a primary relational database (PostgreSQL/MySQL) for core records, a Redis cache for session data and frequently requested bill lookups, object storage for generated receipt PDFs, and a separate audit/logging store.</w:t>
      </w:r>
    </w:p>
    <w:p w14:paraId="55D76898">
      <w:pPr>
        <w:pStyle w:val="3"/>
        <w:spacing w:before="220" w:after="100"/>
      </w:pPr>
      <w:r>
        <w:rPr>
          <w:b/>
          <w:bCs/>
          <w:color w:val="2B2118"/>
          <w:sz w:val="24"/>
          <w:szCs w:val="24"/>
        </w:rPr>
        <w:t>API Endpoints Overview &amp; Data Flow</w:t>
      </w:r>
    </w:p>
    <w:p w14:paraId="1052C5B3">
      <w:pPr>
        <w:spacing w:after="160" w:line="300" w:lineRule="auto"/>
      </w:pPr>
      <w:r>
        <w:rPr>
          <w:color w:val="2B2118"/>
          <w:sz w:val="22"/>
          <w:szCs w:val="22"/>
        </w:rPr>
        <w:t>A citizen request flows: Client → API Gateway (auth + routing) → relevant service → database/cache/external gateway → response back through the Gateway. For example, a payment request is authenticated at the Gateway, handled by the Payment Service, which calls the external Payment Gateway, updates the tax_records and payments tables, and asynchronously triggers the Notification Service and Receipt generation — matching the process flow defined in Week 1 and the payment screen from Week 2.</w:t>
      </w:r>
    </w:p>
    <w:p w14:paraId="69D2E4F2">
      <w:pPr>
        <w:pStyle w:val="2"/>
        <w:pBdr>
          <w:bottom w:val="single" w:color="C9601A" w:sz="6" w:space="4"/>
        </w:pBdr>
        <w:spacing w:before="320" w:after="160"/>
      </w:pPr>
      <w:r>
        <w:rPr>
          <w:b/>
          <w:bCs/>
          <w:color w:val="C9601A"/>
          <w:sz w:val="30"/>
          <w:szCs w:val="30"/>
        </w:rPr>
        <w:t>3. Database Schema &amp; Relational Model</w:t>
      </w:r>
    </w:p>
    <w:p w14:paraId="2DF4BF6B">
      <w:pPr>
        <w:spacing w:after="160" w:line="300" w:lineRule="auto"/>
      </w:pPr>
      <w:r>
        <w:rPr>
          <w:color w:val="2B2118"/>
          <w:sz w:val="22"/>
          <w:szCs w:val="22"/>
        </w:rPr>
        <w:t>The schema is normalised around seven core entities. Primary keys (PK) uniquely identify each record; foreign keys (FK) enforce relationships between tables so that, for example, a payment cannot exist without a valid tax assessment and citizen.</w:t>
      </w:r>
    </w:p>
    <w:p w14:paraId="59905414">
      <w:pPr>
        <w:spacing w:before="120" w:after="120"/>
        <w:jc w:val="center"/>
      </w:pPr>
      <w:r>
        <w:drawing>
          <wp:inline distT="0" distB="0" distL="0" distR="0">
            <wp:extent cx="5334000" cy="3781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781425"/>
                    </a:xfrm>
                    <a:prstGeom prst="rect">
                      <a:avLst/>
                    </a:prstGeom>
                  </pic:spPr>
                </pic:pic>
              </a:graphicData>
            </a:graphic>
          </wp:inline>
        </w:drawing>
      </w:r>
    </w:p>
    <w:p w14:paraId="0483F721">
      <w:pPr>
        <w:spacing w:after="240"/>
        <w:jc w:val="center"/>
      </w:pPr>
      <w:r>
        <w:rPr>
          <w:i/>
          <w:iCs/>
          <w:color w:val="666666"/>
          <w:sz w:val="18"/>
          <w:szCs w:val="18"/>
        </w:rPr>
        <w:t>Figure 2: Database entity-relationship diagram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3"/>
        <w:gridCol w:w="4557"/>
        <w:gridCol w:w="3566"/>
      </w:tblGrid>
      <w:tr w14:paraId="72FB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pct"/>
            <w:shd w:val="clear" w:color="auto" w:fill="C9601A"/>
            <w:tcMar>
              <w:top w:w="70" w:type="dxa"/>
              <w:left w:w="80" w:type="dxa"/>
              <w:bottom w:w="70" w:type="dxa"/>
              <w:right w:w="80" w:type="dxa"/>
            </w:tcMar>
            <w:vAlign w:val="center"/>
          </w:tcPr>
          <w:p w14:paraId="56CC76C3">
            <w:pPr>
              <w:spacing w:after="40"/>
            </w:pPr>
            <w:r>
              <w:rPr>
                <w:b/>
                <w:bCs/>
                <w:color w:val="FFFFFF"/>
                <w:sz w:val="18"/>
                <w:szCs w:val="18"/>
              </w:rPr>
              <w:t>Table</w:t>
            </w:r>
          </w:p>
        </w:tc>
        <w:tc>
          <w:tcPr>
            <w:tcW w:w="2300" w:type="pct"/>
            <w:shd w:val="clear" w:color="auto" w:fill="C9601A"/>
            <w:tcMar>
              <w:top w:w="70" w:type="dxa"/>
              <w:left w:w="80" w:type="dxa"/>
              <w:bottom w:w="70" w:type="dxa"/>
              <w:right w:w="80" w:type="dxa"/>
            </w:tcMar>
            <w:vAlign w:val="center"/>
          </w:tcPr>
          <w:p w14:paraId="51232CE5">
            <w:pPr>
              <w:spacing w:after="40"/>
            </w:pPr>
            <w:r>
              <w:rPr>
                <w:b/>
                <w:bCs/>
                <w:color w:val="FFFFFF"/>
                <w:sz w:val="18"/>
                <w:szCs w:val="18"/>
              </w:rPr>
              <w:t>Purpose</w:t>
            </w:r>
          </w:p>
        </w:tc>
        <w:tc>
          <w:tcPr>
            <w:tcW w:w="1800" w:type="pct"/>
            <w:shd w:val="clear" w:color="auto" w:fill="C9601A"/>
            <w:tcMar>
              <w:top w:w="70" w:type="dxa"/>
              <w:left w:w="80" w:type="dxa"/>
              <w:bottom w:w="70" w:type="dxa"/>
              <w:right w:w="80" w:type="dxa"/>
            </w:tcMar>
            <w:vAlign w:val="center"/>
          </w:tcPr>
          <w:p w14:paraId="3D849A8F">
            <w:pPr>
              <w:spacing w:after="40"/>
            </w:pPr>
            <w:r>
              <w:rPr>
                <w:b/>
                <w:bCs/>
                <w:color w:val="FFFFFF"/>
                <w:sz w:val="18"/>
                <w:szCs w:val="18"/>
              </w:rPr>
              <w:t>Key Relationships</w:t>
            </w:r>
          </w:p>
        </w:tc>
      </w:tr>
      <w:tr w14:paraId="05CD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70" w:type="dxa"/>
              <w:left w:w="80" w:type="dxa"/>
              <w:bottom w:w="70" w:type="dxa"/>
              <w:right w:w="80" w:type="dxa"/>
            </w:tcMar>
            <w:vAlign w:val="center"/>
          </w:tcPr>
          <w:p w14:paraId="618A2B63">
            <w:pPr>
              <w:spacing w:after="40"/>
            </w:pPr>
            <w:r>
              <w:rPr>
                <w:color w:val="2B2118"/>
                <w:sz w:val="18"/>
                <w:szCs w:val="18"/>
              </w:rPr>
              <w:t>Citizens</w:t>
            </w:r>
          </w:p>
        </w:tc>
        <w:tc>
          <w:tcPr>
            <w:tcW w:w="2300" w:type="pct"/>
            <w:tcMar>
              <w:top w:w="70" w:type="dxa"/>
              <w:left w:w="80" w:type="dxa"/>
              <w:bottom w:w="70" w:type="dxa"/>
              <w:right w:w="80" w:type="dxa"/>
            </w:tcMar>
            <w:vAlign w:val="center"/>
          </w:tcPr>
          <w:p w14:paraId="3A505325">
            <w:pPr>
              <w:spacing w:after="40"/>
            </w:pPr>
            <w:r>
              <w:rPr>
                <w:color w:val="2B2118"/>
                <w:sz w:val="18"/>
                <w:szCs w:val="18"/>
              </w:rPr>
              <w:t>Stores registered citizen accounts (property owners).</w:t>
            </w:r>
          </w:p>
        </w:tc>
        <w:tc>
          <w:tcPr>
            <w:tcW w:w="1800" w:type="pct"/>
            <w:tcMar>
              <w:top w:w="70" w:type="dxa"/>
              <w:left w:w="80" w:type="dxa"/>
              <w:bottom w:w="70" w:type="dxa"/>
              <w:right w:w="80" w:type="dxa"/>
            </w:tcMar>
            <w:vAlign w:val="center"/>
          </w:tcPr>
          <w:p w14:paraId="19CF19E7">
            <w:pPr>
              <w:spacing w:after="40"/>
            </w:pPr>
            <w:r>
              <w:rPr>
                <w:color w:val="2B2118"/>
                <w:sz w:val="18"/>
                <w:szCs w:val="18"/>
              </w:rPr>
              <w:t>1 citizen owns many Properties; 1 citizen raises many Grievances.</w:t>
            </w:r>
          </w:p>
        </w:tc>
      </w:tr>
      <w:tr w14:paraId="1A9C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BEFE6"/>
            <w:tcMar>
              <w:top w:w="70" w:type="dxa"/>
              <w:left w:w="80" w:type="dxa"/>
              <w:bottom w:w="70" w:type="dxa"/>
              <w:right w:w="80" w:type="dxa"/>
            </w:tcMar>
            <w:vAlign w:val="center"/>
          </w:tcPr>
          <w:p w14:paraId="71E4AC48">
            <w:pPr>
              <w:spacing w:after="40"/>
            </w:pPr>
            <w:r>
              <w:rPr>
                <w:color w:val="2B2118"/>
                <w:sz w:val="18"/>
                <w:szCs w:val="18"/>
              </w:rPr>
              <w:t>Properties</w:t>
            </w:r>
          </w:p>
        </w:tc>
        <w:tc>
          <w:tcPr>
            <w:tcW w:w="2300" w:type="pct"/>
            <w:shd w:val="clear" w:color="auto" w:fill="FBEFE6"/>
            <w:tcMar>
              <w:top w:w="70" w:type="dxa"/>
              <w:left w:w="80" w:type="dxa"/>
              <w:bottom w:w="70" w:type="dxa"/>
              <w:right w:w="80" w:type="dxa"/>
            </w:tcMar>
            <w:vAlign w:val="center"/>
          </w:tcPr>
          <w:p w14:paraId="5FBCF986">
            <w:pPr>
              <w:spacing w:after="40"/>
            </w:pPr>
            <w:r>
              <w:rPr>
                <w:color w:val="2B2118"/>
                <w:sz w:val="18"/>
                <w:szCs w:val="18"/>
              </w:rPr>
              <w:t>Stores property records (address, type, area, ward).</w:t>
            </w:r>
          </w:p>
        </w:tc>
        <w:tc>
          <w:tcPr>
            <w:tcW w:w="1800" w:type="pct"/>
            <w:shd w:val="clear" w:color="auto" w:fill="FBEFE6"/>
            <w:tcMar>
              <w:top w:w="70" w:type="dxa"/>
              <w:left w:w="80" w:type="dxa"/>
              <w:bottom w:w="70" w:type="dxa"/>
              <w:right w:w="80" w:type="dxa"/>
            </w:tcMar>
            <w:vAlign w:val="center"/>
          </w:tcPr>
          <w:p w14:paraId="19235CD1">
            <w:pPr>
              <w:spacing w:after="40"/>
            </w:pPr>
            <w:r>
              <w:rPr>
                <w:color w:val="2B2118"/>
                <w:sz w:val="18"/>
                <w:szCs w:val="18"/>
              </w:rPr>
              <w:t>Belongs to 1 Citizen (owner); has many TaxAssessments.</w:t>
            </w:r>
          </w:p>
        </w:tc>
      </w:tr>
      <w:tr w14:paraId="24B7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70" w:type="dxa"/>
              <w:left w:w="80" w:type="dxa"/>
              <w:bottom w:w="70" w:type="dxa"/>
              <w:right w:w="80" w:type="dxa"/>
            </w:tcMar>
            <w:vAlign w:val="center"/>
          </w:tcPr>
          <w:p w14:paraId="6B83DA3E">
            <w:pPr>
              <w:spacing w:after="40"/>
            </w:pPr>
            <w:r>
              <w:rPr>
                <w:color w:val="2B2118"/>
                <w:sz w:val="18"/>
                <w:szCs w:val="18"/>
              </w:rPr>
              <w:t>TaxAssessments</w:t>
            </w:r>
          </w:p>
        </w:tc>
        <w:tc>
          <w:tcPr>
            <w:tcW w:w="2300" w:type="pct"/>
            <w:tcMar>
              <w:top w:w="70" w:type="dxa"/>
              <w:left w:w="80" w:type="dxa"/>
              <w:bottom w:w="70" w:type="dxa"/>
              <w:right w:w="80" w:type="dxa"/>
            </w:tcMar>
            <w:vAlign w:val="center"/>
          </w:tcPr>
          <w:p w14:paraId="7A02B232">
            <w:pPr>
              <w:spacing w:after="40"/>
            </w:pPr>
            <w:r>
              <w:rPr>
                <w:color w:val="2B2118"/>
                <w:sz w:val="18"/>
                <w:szCs w:val="18"/>
              </w:rPr>
              <w:t>Stores tax due for a property per fiscal year, including penalties and due dates.</w:t>
            </w:r>
          </w:p>
        </w:tc>
        <w:tc>
          <w:tcPr>
            <w:tcW w:w="1800" w:type="pct"/>
            <w:tcMar>
              <w:top w:w="70" w:type="dxa"/>
              <w:left w:w="80" w:type="dxa"/>
              <w:bottom w:w="70" w:type="dxa"/>
              <w:right w:w="80" w:type="dxa"/>
            </w:tcMar>
            <w:vAlign w:val="center"/>
          </w:tcPr>
          <w:p w14:paraId="5B3596A6">
            <w:pPr>
              <w:spacing w:after="40"/>
            </w:pPr>
            <w:r>
              <w:rPr>
                <w:color w:val="2B2118"/>
                <w:sz w:val="18"/>
                <w:szCs w:val="18"/>
              </w:rPr>
              <w:t>Belongs to 1 Property; has many Payments (e.g., partial payments).</w:t>
            </w:r>
          </w:p>
        </w:tc>
      </w:tr>
      <w:tr w14:paraId="7C2E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BEFE6"/>
            <w:tcMar>
              <w:top w:w="70" w:type="dxa"/>
              <w:left w:w="80" w:type="dxa"/>
              <w:bottom w:w="70" w:type="dxa"/>
              <w:right w:w="80" w:type="dxa"/>
            </w:tcMar>
            <w:vAlign w:val="center"/>
          </w:tcPr>
          <w:p w14:paraId="7473A0F8">
            <w:pPr>
              <w:spacing w:after="40"/>
            </w:pPr>
            <w:r>
              <w:rPr>
                <w:color w:val="2B2118"/>
                <w:sz w:val="18"/>
                <w:szCs w:val="18"/>
              </w:rPr>
              <w:t>Payments</w:t>
            </w:r>
          </w:p>
        </w:tc>
        <w:tc>
          <w:tcPr>
            <w:tcW w:w="2300" w:type="pct"/>
            <w:shd w:val="clear" w:color="auto" w:fill="FBEFE6"/>
            <w:tcMar>
              <w:top w:w="70" w:type="dxa"/>
              <w:left w:w="80" w:type="dxa"/>
              <w:bottom w:w="70" w:type="dxa"/>
              <w:right w:w="80" w:type="dxa"/>
            </w:tcMar>
            <w:vAlign w:val="center"/>
          </w:tcPr>
          <w:p w14:paraId="3173C54C">
            <w:pPr>
              <w:spacing w:after="40"/>
            </w:pPr>
            <w:r>
              <w:rPr>
                <w:color w:val="2B2118"/>
                <w:sz w:val="18"/>
                <w:szCs w:val="18"/>
              </w:rPr>
              <w:t>Stores each payment attempt/transaction against a tax assessment.</w:t>
            </w:r>
          </w:p>
        </w:tc>
        <w:tc>
          <w:tcPr>
            <w:tcW w:w="1800" w:type="pct"/>
            <w:shd w:val="clear" w:color="auto" w:fill="FBEFE6"/>
            <w:tcMar>
              <w:top w:w="70" w:type="dxa"/>
              <w:left w:w="80" w:type="dxa"/>
              <w:bottom w:w="70" w:type="dxa"/>
              <w:right w:w="80" w:type="dxa"/>
            </w:tcMar>
            <w:vAlign w:val="center"/>
          </w:tcPr>
          <w:p w14:paraId="3DFF648C">
            <w:pPr>
              <w:spacing w:after="40"/>
            </w:pPr>
            <w:r>
              <w:rPr>
                <w:color w:val="2B2118"/>
                <w:sz w:val="18"/>
                <w:szCs w:val="18"/>
              </w:rPr>
              <w:t>Belongs to 1 TaxAssessment and 1 Citizen; has exactly 1 Receipt on success.</w:t>
            </w:r>
          </w:p>
        </w:tc>
      </w:tr>
      <w:tr w14:paraId="3302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70" w:type="dxa"/>
              <w:left w:w="80" w:type="dxa"/>
              <w:bottom w:w="70" w:type="dxa"/>
              <w:right w:w="80" w:type="dxa"/>
            </w:tcMar>
            <w:vAlign w:val="center"/>
          </w:tcPr>
          <w:p w14:paraId="0EB874A9">
            <w:pPr>
              <w:spacing w:after="40"/>
            </w:pPr>
            <w:r>
              <w:rPr>
                <w:color w:val="2B2118"/>
                <w:sz w:val="18"/>
                <w:szCs w:val="18"/>
              </w:rPr>
              <w:t>Receipts</w:t>
            </w:r>
          </w:p>
        </w:tc>
        <w:tc>
          <w:tcPr>
            <w:tcW w:w="2300" w:type="pct"/>
            <w:tcMar>
              <w:top w:w="70" w:type="dxa"/>
              <w:left w:w="80" w:type="dxa"/>
              <w:bottom w:w="70" w:type="dxa"/>
              <w:right w:w="80" w:type="dxa"/>
            </w:tcMar>
            <w:vAlign w:val="center"/>
          </w:tcPr>
          <w:p w14:paraId="0824BEA3">
            <w:pPr>
              <w:spacing w:after="40"/>
            </w:pPr>
            <w:r>
              <w:rPr>
                <w:color w:val="2B2118"/>
                <w:sz w:val="18"/>
                <w:szCs w:val="18"/>
              </w:rPr>
              <w:t>Stores the generated digital receipt for a successful payment.</w:t>
            </w:r>
          </w:p>
        </w:tc>
        <w:tc>
          <w:tcPr>
            <w:tcW w:w="1800" w:type="pct"/>
            <w:tcMar>
              <w:top w:w="70" w:type="dxa"/>
              <w:left w:w="80" w:type="dxa"/>
              <w:bottom w:w="70" w:type="dxa"/>
              <w:right w:w="80" w:type="dxa"/>
            </w:tcMar>
            <w:vAlign w:val="center"/>
          </w:tcPr>
          <w:p w14:paraId="23F65038">
            <w:pPr>
              <w:spacing w:after="40"/>
            </w:pPr>
            <w:r>
              <w:rPr>
                <w:color w:val="2B2118"/>
                <w:sz w:val="18"/>
                <w:szCs w:val="18"/>
              </w:rPr>
              <w:t>Belongs to 1 Payment (1:1).</w:t>
            </w:r>
          </w:p>
        </w:tc>
      </w:tr>
      <w:tr w14:paraId="4C18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BEFE6"/>
            <w:tcMar>
              <w:top w:w="70" w:type="dxa"/>
              <w:left w:w="80" w:type="dxa"/>
              <w:bottom w:w="70" w:type="dxa"/>
              <w:right w:w="80" w:type="dxa"/>
            </w:tcMar>
            <w:vAlign w:val="center"/>
          </w:tcPr>
          <w:p w14:paraId="478C4150">
            <w:pPr>
              <w:spacing w:after="40"/>
            </w:pPr>
            <w:r>
              <w:rPr>
                <w:color w:val="2B2118"/>
                <w:sz w:val="18"/>
                <w:szCs w:val="18"/>
              </w:rPr>
              <w:t>Grievances</w:t>
            </w:r>
          </w:p>
        </w:tc>
        <w:tc>
          <w:tcPr>
            <w:tcW w:w="2300" w:type="pct"/>
            <w:shd w:val="clear" w:color="auto" w:fill="FBEFE6"/>
            <w:tcMar>
              <w:top w:w="70" w:type="dxa"/>
              <w:left w:w="80" w:type="dxa"/>
              <w:bottom w:w="70" w:type="dxa"/>
              <w:right w:w="80" w:type="dxa"/>
            </w:tcMar>
            <w:vAlign w:val="center"/>
          </w:tcPr>
          <w:p w14:paraId="46E24065">
            <w:pPr>
              <w:spacing w:after="40"/>
            </w:pPr>
            <w:r>
              <w:rPr>
                <w:color w:val="2B2118"/>
                <w:sz w:val="18"/>
                <w:szCs w:val="18"/>
              </w:rPr>
              <w:t>Stores citizen-raised queries or disputes linked to a property.</w:t>
            </w:r>
          </w:p>
        </w:tc>
        <w:tc>
          <w:tcPr>
            <w:tcW w:w="1800" w:type="pct"/>
            <w:shd w:val="clear" w:color="auto" w:fill="FBEFE6"/>
            <w:tcMar>
              <w:top w:w="70" w:type="dxa"/>
              <w:left w:w="80" w:type="dxa"/>
              <w:bottom w:w="70" w:type="dxa"/>
              <w:right w:w="80" w:type="dxa"/>
            </w:tcMar>
            <w:vAlign w:val="center"/>
          </w:tcPr>
          <w:p w14:paraId="24338C78">
            <w:pPr>
              <w:spacing w:after="40"/>
            </w:pPr>
            <w:r>
              <w:rPr>
                <w:color w:val="2B2118"/>
                <w:sz w:val="18"/>
                <w:szCs w:val="18"/>
              </w:rPr>
              <w:t>Belongs to 1 Citizen and 1 Property; handled by 1 Admin.</w:t>
            </w:r>
          </w:p>
        </w:tc>
      </w:tr>
      <w:tr w14:paraId="66E7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70" w:type="dxa"/>
              <w:left w:w="80" w:type="dxa"/>
              <w:bottom w:w="70" w:type="dxa"/>
              <w:right w:w="80" w:type="dxa"/>
            </w:tcMar>
            <w:vAlign w:val="center"/>
          </w:tcPr>
          <w:p w14:paraId="7A989795">
            <w:pPr>
              <w:spacing w:after="40"/>
            </w:pPr>
            <w:r>
              <w:rPr>
                <w:color w:val="2B2118"/>
                <w:sz w:val="18"/>
                <w:szCs w:val="18"/>
              </w:rPr>
              <w:t>AdminUsers</w:t>
            </w:r>
          </w:p>
        </w:tc>
        <w:tc>
          <w:tcPr>
            <w:tcW w:w="2300" w:type="pct"/>
            <w:tcMar>
              <w:top w:w="70" w:type="dxa"/>
              <w:left w:w="80" w:type="dxa"/>
              <w:bottom w:w="70" w:type="dxa"/>
              <w:right w:w="80" w:type="dxa"/>
            </w:tcMar>
            <w:vAlign w:val="center"/>
          </w:tcPr>
          <w:p w14:paraId="3361CF62">
            <w:pPr>
              <w:spacing w:after="40"/>
            </w:pPr>
            <w:r>
              <w:rPr>
                <w:color w:val="2B2118"/>
                <w:sz w:val="18"/>
                <w:szCs w:val="18"/>
              </w:rPr>
              <w:t>Stores municipal staff accounts with role and ward assignment.</w:t>
            </w:r>
          </w:p>
        </w:tc>
        <w:tc>
          <w:tcPr>
            <w:tcW w:w="1800" w:type="pct"/>
            <w:tcMar>
              <w:top w:w="70" w:type="dxa"/>
              <w:left w:w="80" w:type="dxa"/>
              <w:bottom w:w="70" w:type="dxa"/>
              <w:right w:w="80" w:type="dxa"/>
            </w:tcMar>
            <w:vAlign w:val="center"/>
          </w:tcPr>
          <w:p w14:paraId="780F6C37">
            <w:pPr>
              <w:spacing w:after="40"/>
            </w:pPr>
            <w:r>
              <w:rPr>
                <w:color w:val="2B2118"/>
                <w:sz w:val="18"/>
                <w:szCs w:val="18"/>
              </w:rPr>
              <w:t>Handles many Grievances; used for admin-dashboard access control.</w:t>
            </w:r>
          </w:p>
        </w:tc>
      </w:tr>
      <w:tr w14:paraId="2C67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BEFE6"/>
            <w:tcMar>
              <w:top w:w="70" w:type="dxa"/>
              <w:left w:w="80" w:type="dxa"/>
              <w:bottom w:w="70" w:type="dxa"/>
              <w:right w:w="80" w:type="dxa"/>
            </w:tcMar>
            <w:vAlign w:val="center"/>
          </w:tcPr>
          <w:p w14:paraId="469925C4">
            <w:pPr>
              <w:spacing w:after="40"/>
            </w:pPr>
            <w:r>
              <w:rPr>
                <w:color w:val="2B2118"/>
                <w:sz w:val="18"/>
                <w:szCs w:val="18"/>
              </w:rPr>
              <w:t>AuditLogs</w:t>
            </w:r>
          </w:p>
        </w:tc>
        <w:tc>
          <w:tcPr>
            <w:tcW w:w="2300" w:type="pct"/>
            <w:shd w:val="clear" w:color="auto" w:fill="FBEFE6"/>
            <w:tcMar>
              <w:top w:w="70" w:type="dxa"/>
              <w:left w:w="80" w:type="dxa"/>
              <w:bottom w:w="70" w:type="dxa"/>
              <w:right w:w="80" w:type="dxa"/>
            </w:tcMar>
            <w:vAlign w:val="center"/>
          </w:tcPr>
          <w:p w14:paraId="03D83C48">
            <w:pPr>
              <w:spacing w:after="40"/>
            </w:pPr>
            <w:r>
              <w:rPr>
                <w:color w:val="2B2118"/>
                <w:sz w:val="18"/>
                <w:szCs w:val="18"/>
              </w:rPr>
              <w:t>Stores an append-only record of sensitive actions (logins, payments, admin edits).</w:t>
            </w:r>
          </w:p>
        </w:tc>
        <w:tc>
          <w:tcPr>
            <w:tcW w:w="1800" w:type="pct"/>
            <w:shd w:val="clear" w:color="auto" w:fill="FBEFE6"/>
            <w:tcMar>
              <w:top w:w="70" w:type="dxa"/>
              <w:left w:w="80" w:type="dxa"/>
              <w:bottom w:w="70" w:type="dxa"/>
              <w:right w:w="80" w:type="dxa"/>
            </w:tcMar>
            <w:vAlign w:val="center"/>
          </w:tcPr>
          <w:p w14:paraId="0F81512F">
            <w:pPr>
              <w:spacing w:after="40"/>
            </w:pPr>
            <w:r>
              <w:rPr>
                <w:color w:val="2B2118"/>
                <w:sz w:val="18"/>
                <w:szCs w:val="18"/>
              </w:rPr>
              <w:t>References actor (citizen or admin) and the affected entity, for traceability.</w:t>
            </w:r>
          </w:p>
        </w:tc>
      </w:tr>
    </w:tbl>
    <w:p w14:paraId="1FA0EA79">
      <w:pPr>
        <w:spacing w:after="160" w:line="300" w:lineRule="auto"/>
      </w:pPr>
      <w:r>
        <w:rPr>
          <w:color w:val="2B2118"/>
          <w:sz w:val="22"/>
          <w:szCs w:val="22"/>
        </w:rPr>
        <w:t>The model is normalised to third normal form (3NF): each non-key field depends only on its table's primary key, tax and payment history are kept in separate tables rather than duplicated on the Properties table, and receipts reference payments rather than storing amounts redundantly. This avoids update anomalies (e.g., a tax amount changing in one place but not another) and keeps the schema straightforward to extend, for example adding a new fiscal year simply inserts a new TaxAssessments row rather than altering table structure.</w:t>
      </w:r>
    </w:p>
    <w:p w14:paraId="5443C025">
      <w:pPr>
        <w:pStyle w:val="2"/>
        <w:pBdr>
          <w:bottom w:val="single" w:color="C9601A" w:sz="6" w:space="4"/>
        </w:pBdr>
        <w:spacing w:before="320" w:after="160"/>
      </w:pPr>
      <w:r>
        <w:rPr>
          <w:b/>
          <w:bCs/>
          <w:color w:val="C9601A"/>
          <w:sz w:val="30"/>
          <w:szCs w:val="30"/>
        </w:rPr>
        <w:t>4. API Design &amp; Integration</w:t>
      </w:r>
    </w:p>
    <w:p w14:paraId="1667DFAD">
      <w:pPr>
        <w:spacing w:after="160" w:line="300" w:lineRule="auto"/>
      </w:pPr>
      <w:r>
        <w:rPr>
          <w:color w:val="2B2118"/>
          <w:sz w:val="22"/>
          <w:szCs w:val="22"/>
        </w:rPr>
        <w:t>The backend exposes a set of versioned RESTful APIs consumed by the front-end designed in Week 2. All endpoints require an authenticated session except registration, login, and OTP requests.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6"/>
        <w:gridCol w:w="2972"/>
        <w:gridCol w:w="2179"/>
        <w:gridCol w:w="2179"/>
      </w:tblGrid>
      <w:tr w14:paraId="7CD5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shd w:val="clear" w:color="auto" w:fill="C9601A"/>
            <w:tcMar>
              <w:top w:w="70" w:type="dxa"/>
              <w:left w:w="80" w:type="dxa"/>
              <w:bottom w:w="70" w:type="dxa"/>
              <w:right w:w="80" w:type="dxa"/>
            </w:tcMar>
            <w:vAlign w:val="center"/>
          </w:tcPr>
          <w:p w14:paraId="16B1DFE0">
            <w:pPr>
              <w:spacing w:after="40"/>
            </w:pPr>
            <w:r>
              <w:rPr>
                <w:b/>
                <w:bCs/>
                <w:color w:val="FFFFFF"/>
                <w:sz w:val="18"/>
                <w:szCs w:val="18"/>
              </w:rPr>
              <w:t>Method &amp; Endpoint</w:t>
            </w:r>
          </w:p>
        </w:tc>
        <w:tc>
          <w:tcPr>
            <w:tcW w:w="1500" w:type="pct"/>
            <w:shd w:val="clear" w:color="auto" w:fill="C9601A"/>
            <w:tcMar>
              <w:top w:w="70" w:type="dxa"/>
              <w:left w:w="80" w:type="dxa"/>
              <w:bottom w:w="70" w:type="dxa"/>
              <w:right w:w="80" w:type="dxa"/>
            </w:tcMar>
            <w:vAlign w:val="center"/>
          </w:tcPr>
          <w:p w14:paraId="3775CD75">
            <w:pPr>
              <w:spacing w:after="40"/>
            </w:pPr>
            <w:r>
              <w:rPr>
                <w:b/>
                <w:bCs/>
                <w:color w:val="FFFFFF"/>
                <w:sz w:val="18"/>
                <w:szCs w:val="18"/>
              </w:rPr>
              <w:t>Description</w:t>
            </w:r>
          </w:p>
        </w:tc>
        <w:tc>
          <w:tcPr>
            <w:tcW w:w="1100" w:type="pct"/>
            <w:shd w:val="clear" w:color="auto" w:fill="C9601A"/>
            <w:tcMar>
              <w:top w:w="70" w:type="dxa"/>
              <w:left w:w="80" w:type="dxa"/>
              <w:bottom w:w="70" w:type="dxa"/>
              <w:right w:w="80" w:type="dxa"/>
            </w:tcMar>
            <w:vAlign w:val="center"/>
          </w:tcPr>
          <w:p w14:paraId="423B32C1">
            <w:pPr>
              <w:spacing w:after="40"/>
            </w:pPr>
            <w:r>
              <w:rPr>
                <w:b/>
                <w:bCs/>
                <w:color w:val="FFFFFF"/>
                <w:sz w:val="18"/>
                <w:szCs w:val="18"/>
              </w:rPr>
              <w:t>Key Parameters</w:t>
            </w:r>
          </w:p>
        </w:tc>
        <w:tc>
          <w:tcPr>
            <w:tcW w:w="1100" w:type="pct"/>
            <w:shd w:val="clear" w:color="auto" w:fill="C9601A"/>
            <w:tcMar>
              <w:top w:w="70" w:type="dxa"/>
              <w:left w:w="80" w:type="dxa"/>
              <w:bottom w:w="70" w:type="dxa"/>
              <w:right w:w="80" w:type="dxa"/>
            </w:tcMar>
            <w:vAlign w:val="center"/>
          </w:tcPr>
          <w:p w14:paraId="1ACDABC5">
            <w:pPr>
              <w:spacing w:after="40"/>
            </w:pPr>
            <w:r>
              <w:rPr>
                <w:b/>
                <w:bCs/>
                <w:color w:val="FFFFFF"/>
                <w:sz w:val="18"/>
                <w:szCs w:val="18"/>
              </w:rPr>
              <w:t>Response</w:t>
            </w:r>
          </w:p>
        </w:tc>
      </w:tr>
      <w:tr w14:paraId="3F67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Mar>
              <w:top w:w="70" w:type="dxa"/>
              <w:left w:w="80" w:type="dxa"/>
              <w:bottom w:w="70" w:type="dxa"/>
              <w:right w:w="80" w:type="dxa"/>
            </w:tcMar>
            <w:vAlign w:val="center"/>
          </w:tcPr>
          <w:p w14:paraId="545C69B1">
            <w:pPr>
              <w:spacing w:after="40"/>
            </w:pPr>
            <w:r>
              <w:rPr>
                <w:color w:val="2B2118"/>
                <w:sz w:val="18"/>
                <w:szCs w:val="18"/>
              </w:rPr>
              <w:t>POST /api/v1/auth/otp</w:t>
            </w:r>
          </w:p>
        </w:tc>
        <w:tc>
          <w:tcPr>
            <w:tcW w:w="1500" w:type="pct"/>
            <w:tcMar>
              <w:top w:w="70" w:type="dxa"/>
              <w:left w:w="80" w:type="dxa"/>
              <w:bottom w:w="70" w:type="dxa"/>
              <w:right w:w="80" w:type="dxa"/>
            </w:tcMar>
            <w:vAlign w:val="center"/>
          </w:tcPr>
          <w:p w14:paraId="07C45F22">
            <w:pPr>
              <w:spacing w:after="40"/>
            </w:pPr>
            <w:r>
              <w:rPr>
                <w:color w:val="2B2118"/>
                <w:sz w:val="18"/>
                <w:szCs w:val="18"/>
              </w:rPr>
              <w:t>Request an OTP for a mobile number/email.</w:t>
            </w:r>
          </w:p>
        </w:tc>
        <w:tc>
          <w:tcPr>
            <w:tcW w:w="1100" w:type="pct"/>
            <w:tcMar>
              <w:top w:w="70" w:type="dxa"/>
              <w:left w:w="80" w:type="dxa"/>
              <w:bottom w:w="70" w:type="dxa"/>
              <w:right w:w="80" w:type="dxa"/>
            </w:tcMar>
            <w:vAlign w:val="center"/>
          </w:tcPr>
          <w:p w14:paraId="470F2DE9">
            <w:pPr>
              <w:spacing w:after="40"/>
            </w:pPr>
            <w:r>
              <w:rPr>
                <w:color w:val="2B2118"/>
                <w:sz w:val="18"/>
                <w:szCs w:val="18"/>
              </w:rPr>
              <w:t>mobile_or_email</w:t>
            </w:r>
          </w:p>
        </w:tc>
        <w:tc>
          <w:tcPr>
            <w:tcW w:w="1100" w:type="pct"/>
            <w:tcMar>
              <w:top w:w="70" w:type="dxa"/>
              <w:left w:w="80" w:type="dxa"/>
              <w:bottom w:w="70" w:type="dxa"/>
              <w:right w:w="80" w:type="dxa"/>
            </w:tcMar>
            <w:vAlign w:val="center"/>
          </w:tcPr>
          <w:p w14:paraId="5CC17F24">
            <w:pPr>
              <w:spacing w:after="40"/>
            </w:pPr>
            <w:r>
              <w:rPr>
                <w:color w:val="2B2118"/>
                <w:sz w:val="18"/>
                <w:szCs w:val="18"/>
              </w:rPr>
              <w:t>202 Accepted, OTP dispatched</w:t>
            </w:r>
          </w:p>
        </w:tc>
      </w:tr>
      <w:tr w14:paraId="5EAA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shd w:val="clear" w:color="auto" w:fill="FBEFE6"/>
            <w:tcMar>
              <w:top w:w="70" w:type="dxa"/>
              <w:left w:w="80" w:type="dxa"/>
              <w:bottom w:w="70" w:type="dxa"/>
              <w:right w:w="80" w:type="dxa"/>
            </w:tcMar>
            <w:vAlign w:val="center"/>
          </w:tcPr>
          <w:p w14:paraId="0BA859CB">
            <w:pPr>
              <w:spacing w:after="40"/>
            </w:pPr>
            <w:r>
              <w:rPr>
                <w:color w:val="2B2118"/>
                <w:sz w:val="18"/>
                <w:szCs w:val="18"/>
              </w:rPr>
              <w:t>POST /api/v1/auth/login</w:t>
            </w:r>
          </w:p>
        </w:tc>
        <w:tc>
          <w:tcPr>
            <w:tcW w:w="1500" w:type="pct"/>
            <w:shd w:val="clear" w:color="auto" w:fill="FBEFE6"/>
            <w:tcMar>
              <w:top w:w="70" w:type="dxa"/>
              <w:left w:w="80" w:type="dxa"/>
              <w:bottom w:w="70" w:type="dxa"/>
              <w:right w:w="80" w:type="dxa"/>
            </w:tcMar>
            <w:vAlign w:val="center"/>
          </w:tcPr>
          <w:p w14:paraId="78A80F8C">
            <w:pPr>
              <w:spacing w:after="40"/>
            </w:pPr>
            <w:r>
              <w:rPr>
                <w:color w:val="2B2118"/>
                <w:sz w:val="18"/>
                <w:szCs w:val="18"/>
              </w:rPr>
              <w:t>Verify OTP and issue a session (JWT).</w:t>
            </w:r>
          </w:p>
        </w:tc>
        <w:tc>
          <w:tcPr>
            <w:tcW w:w="1100" w:type="pct"/>
            <w:shd w:val="clear" w:color="auto" w:fill="FBEFE6"/>
            <w:tcMar>
              <w:top w:w="70" w:type="dxa"/>
              <w:left w:w="80" w:type="dxa"/>
              <w:bottom w:w="70" w:type="dxa"/>
              <w:right w:w="80" w:type="dxa"/>
            </w:tcMar>
            <w:vAlign w:val="center"/>
          </w:tcPr>
          <w:p w14:paraId="5F677436">
            <w:pPr>
              <w:spacing w:after="40"/>
            </w:pPr>
            <w:r>
              <w:rPr>
                <w:color w:val="2B2118"/>
                <w:sz w:val="18"/>
                <w:szCs w:val="18"/>
              </w:rPr>
              <w:t>mobile_or_email, otp</w:t>
            </w:r>
          </w:p>
        </w:tc>
        <w:tc>
          <w:tcPr>
            <w:tcW w:w="1100" w:type="pct"/>
            <w:shd w:val="clear" w:color="auto" w:fill="FBEFE6"/>
            <w:tcMar>
              <w:top w:w="70" w:type="dxa"/>
              <w:left w:w="80" w:type="dxa"/>
              <w:bottom w:w="70" w:type="dxa"/>
              <w:right w:w="80" w:type="dxa"/>
            </w:tcMar>
            <w:vAlign w:val="center"/>
          </w:tcPr>
          <w:p w14:paraId="744DDB92">
            <w:pPr>
              <w:spacing w:after="40"/>
            </w:pPr>
            <w:r>
              <w:rPr>
                <w:color w:val="2B2118"/>
                <w:sz w:val="18"/>
                <w:szCs w:val="18"/>
              </w:rPr>
              <w:t>200 OK + access_token</w:t>
            </w:r>
          </w:p>
        </w:tc>
      </w:tr>
      <w:tr w14:paraId="15B7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Mar>
              <w:top w:w="70" w:type="dxa"/>
              <w:left w:w="80" w:type="dxa"/>
              <w:bottom w:w="70" w:type="dxa"/>
              <w:right w:w="80" w:type="dxa"/>
            </w:tcMar>
            <w:vAlign w:val="center"/>
          </w:tcPr>
          <w:p w14:paraId="5478BFE1">
            <w:pPr>
              <w:spacing w:after="40"/>
            </w:pPr>
            <w:r>
              <w:rPr>
                <w:color w:val="2B2118"/>
                <w:sz w:val="18"/>
                <w:szCs w:val="18"/>
              </w:rPr>
              <w:t>GET /api/v1/properties/search</w:t>
            </w:r>
          </w:p>
        </w:tc>
        <w:tc>
          <w:tcPr>
            <w:tcW w:w="1500" w:type="pct"/>
            <w:tcMar>
              <w:top w:w="70" w:type="dxa"/>
              <w:left w:w="80" w:type="dxa"/>
              <w:bottom w:w="70" w:type="dxa"/>
              <w:right w:w="80" w:type="dxa"/>
            </w:tcMar>
            <w:vAlign w:val="center"/>
          </w:tcPr>
          <w:p w14:paraId="102C3978">
            <w:pPr>
              <w:spacing w:after="40"/>
            </w:pPr>
            <w:r>
              <w:rPr>
                <w:color w:val="2B2118"/>
                <w:sz w:val="18"/>
                <w:szCs w:val="18"/>
              </w:rPr>
              <w:t>Search properties by ID, owner name, or ward.</w:t>
            </w:r>
          </w:p>
        </w:tc>
        <w:tc>
          <w:tcPr>
            <w:tcW w:w="1100" w:type="pct"/>
            <w:tcMar>
              <w:top w:w="70" w:type="dxa"/>
              <w:left w:w="80" w:type="dxa"/>
              <w:bottom w:w="70" w:type="dxa"/>
              <w:right w:w="80" w:type="dxa"/>
            </w:tcMar>
            <w:vAlign w:val="center"/>
          </w:tcPr>
          <w:p w14:paraId="314DE7C4">
            <w:pPr>
              <w:spacing w:after="40"/>
            </w:pPr>
            <w:r>
              <w:rPr>
                <w:color w:val="2B2118"/>
                <w:sz w:val="18"/>
                <w:szCs w:val="18"/>
              </w:rPr>
              <w:t>query, ward (optional)</w:t>
            </w:r>
          </w:p>
        </w:tc>
        <w:tc>
          <w:tcPr>
            <w:tcW w:w="1100" w:type="pct"/>
            <w:tcMar>
              <w:top w:w="70" w:type="dxa"/>
              <w:left w:w="80" w:type="dxa"/>
              <w:bottom w:w="70" w:type="dxa"/>
              <w:right w:w="80" w:type="dxa"/>
            </w:tcMar>
            <w:vAlign w:val="center"/>
          </w:tcPr>
          <w:p w14:paraId="2A17B2DD">
            <w:pPr>
              <w:spacing w:after="40"/>
            </w:pPr>
            <w:r>
              <w:rPr>
                <w:color w:val="2B2118"/>
                <w:sz w:val="18"/>
                <w:szCs w:val="18"/>
              </w:rPr>
              <w:t>200 OK, list of matching properties</w:t>
            </w:r>
          </w:p>
        </w:tc>
      </w:tr>
      <w:tr w14:paraId="0D35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shd w:val="clear" w:color="auto" w:fill="FBEFE6"/>
            <w:tcMar>
              <w:top w:w="70" w:type="dxa"/>
              <w:left w:w="80" w:type="dxa"/>
              <w:bottom w:w="70" w:type="dxa"/>
              <w:right w:w="80" w:type="dxa"/>
            </w:tcMar>
            <w:vAlign w:val="center"/>
          </w:tcPr>
          <w:p w14:paraId="7B94322A">
            <w:pPr>
              <w:spacing w:after="40"/>
            </w:pPr>
            <w:r>
              <w:rPr>
                <w:color w:val="2B2118"/>
                <w:sz w:val="18"/>
                <w:szCs w:val="18"/>
              </w:rPr>
              <w:t>GET /api/v1/properties/{id}/tax</w:t>
            </w:r>
          </w:p>
        </w:tc>
        <w:tc>
          <w:tcPr>
            <w:tcW w:w="1500" w:type="pct"/>
            <w:shd w:val="clear" w:color="auto" w:fill="FBEFE6"/>
            <w:tcMar>
              <w:top w:w="70" w:type="dxa"/>
              <w:left w:w="80" w:type="dxa"/>
              <w:bottom w:w="70" w:type="dxa"/>
              <w:right w:w="80" w:type="dxa"/>
            </w:tcMar>
            <w:vAlign w:val="center"/>
          </w:tcPr>
          <w:p w14:paraId="6968E668">
            <w:pPr>
              <w:spacing w:after="40"/>
            </w:pPr>
            <w:r>
              <w:rPr>
                <w:color w:val="2B2118"/>
                <w:sz w:val="18"/>
                <w:szCs w:val="18"/>
              </w:rPr>
              <w:t>Fetch current tax dues and history for a property.</w:t>
            </w:r>
          </w:p>
        </w:tc>
        <w:tc>
          <w:tcPr>
            <w:tcW w:w="1100" w:type="pct"/>
            <w:shd w:val="clear" w:color="auto" w:fill="FBEFE6"/>
            <w:tcMar>
              <w:top w:w="70" w:type="dxa"/>
              <w:left w:w="80" w:type="dxa"/>
              <w:bottom w:w="70" w:type="dxa"/>
              <w:right w:w="80" w:type="dxa"/>
            </w:tcMar>
            <w:vAlign w:val="center"/>
          </w:tcPr>
          <w:p w14:paraId="6B0B4A94">
            <w:pPr>
              <w:spacing w:after="40"/>
            </w:pPr>
            <w:r>
              <w:rPr>
                <w:color w:val="2B2118"/>
                <w:sz w:val="18"/>
                <w:szCs w:val="18"/>
              </w:rPr>
              <w:t>property_id (path)</w:t>
            </w:r>
          </w:p>
        </w:tc>
        <w:tc>
          <w:tcPr>
            <w:tcW w:w="1100" w:type="pct"/>
            <w:shd w:val="clear" w:color="auto" w:fill="FBEFE6"/>
            <w:tcMar>
              <w:top w:w="70" w:type="dxa"/>
              <w:left w:w="80" w:type="dxa"/>
              <w:bottom w:w="70" w:type="dxa"/>
              <w:right w:w="80" w:type="dxa"/>
            </w:tcMar>
            <w:vAlign w:val="center"/>
          </w:tcPr>
          <w:p w14:paraId="05D61265">
            <w:pPr>
              <w:spacing w:after="40"/>
            </w:pPr>
            <w:r>
              <w:rPr>
                <w:color w:val="2B2118"/>
                <w:sz w:val="18"/>
                <w:szCs w:val="18"/>
              </w:rPr>
              <w:t>200 OK, tax assessment + history</w:t>
            </w:r>
          </w:p>
        </w:tc>
      </w:tr>
      <w:tr w14:paraId="6F6B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Mar>
              <w:top w:w="70" w:type="dxa"/>
              <w:left w:w="80" w:type="dxa"/>
              <w:bottom w:w="70" w:type="dxa"/>
              <w:right w:w="80" w:type="dxa"/>
            </w:tcMar>
            <w:vAlign w:val="center"/>
          </w:tcPr>
          <w:p w14:paraId="5FD36ED8">
            <w:pPr>
              <w:spacing w:after="40"/>
            </w:pPr>
            <w:r>
              <w:rPr>
                <w:color w:val="2B2118"/>
                <w:sz w:val="18"/>
                <w:szCs w:val="18"/>
              </w:rPr>
              <w:t>POST /api/v1/payments</w:t>
            </w:r>
          </w:p>
        </w:tc>
        <w:tc>
          <w:tcPr>
            <w:tcW w:w="1500" w:type="pct"/>
            <w:tcMar>
              <w:top w:w="70" w:type="dxa"/>
              <w:left w:w="80" w:type="dxa"/>
              <w:bottom w:w="70" w:type="dxa"/>
              <w:right w:w="80" w:type="dxa"/>
            </w:tcMar>
            <w:vAlign w:val="center"/>
          </w:tcPr>
          <w:p w14:paraId="658F7DD1">
            <w:pPr>
              <w:spacing w:after="40"/>
            </w:pPr>
            <w:r>
              <w:rPr>
                <w:color w:val="2B2118"/>
                <w:sz w:val="18"/>
                <w:szCs w:val="18"/>
              </w:rPr>
              <w:t>Initiate a payment for a tax assessment.</w:t>
            </w:r>
          </w:p>
        </w:tc>
        <w:tc>
          <w:tcPr>
            <w:tcW w:w="1100" w:type="pct"/>
            <w:tcMar>
              <w:top w:w="70" w:type="dxa"/>
              <w:left w:w="80" w:type="dxa"/>
              <w:bottom w:w="70" w:type="dxa"/>
              <w:right w:w="80" w:type="dxa"/>
            </w:tcMar>
            <w:vAlign w:val="center"/>
          </w:tcPr>
          <w:p w14:paraId="76B83708">
            <w:pPr>
              <w:spacing w:after="40"/>
            </w:pPr>
            <w:r>
              <w:rPr>
                <w:color w:val="2B2118"/>
                <w:sz w:val="18"/>
                <w:szCs w:val="18"/>
              </w:rPr>
              <w:t>assessment_id, amount, mode</w:t>
            </w:r>
          </w:p>
        </w:tc>
        <w:tc>
          <w:tcPr>
            <w:tcW w:w="1100" w:type="pct"/>
            <w:tcMar>
              <w:top w:w="70" w:type="dxa"/>
              <w:left w:w="80" w:type="dxa"/>
              <w:bottom w:w="70" w:type="dxa"/>
              <w:right w:w="80" w:type="dxa"/>
            </w:tcMar>
            <w:vAlign w:val="center"/>
          </w:tcPr>
          <w:p w14:paraId="486B4989">
            <w:pPr>
              <w:spacing w:after="40"/>
            </w:pPr>
            <w:r>
              <w:rPr>
                <w:color w:val="2B2118"/>
                <w:sz w:val="18"/>
                <w:szCs w:val="18"/>
              </w:rPr>
              <w:t>201 Created, payment_id + gateway redirect/session</w:t>
            </w:r>
          </w:p>
        </w:tc>
      </w:tr>
      <w:tr w14:paraId="1F09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shd w:val="clear" w:color="auto" w:fill="FBEFE6"/>
            <w:tcMar>
              <w:top w:w="70" w:type="dxa"/>
              <w:left w:w="80" w:type="dxa"/>
              <w:bottom w:w="70" w:type="dxa"/>
              <w:right w:w="80" w:type="dxa"/>
            </w:tcMar>
            <w:vAlign w:val="center"/>
          </w:tcPr>
          <w:p w14:paraId="7E2E7F2A">
            <w:pPr>
              <w:spacing w:after="40"/>
            </w:pPr>
            <w:r>
              <w:rPr>
                <w:color w:val="2B2118"/>
                <w:sz w:val="18"/>
                <w:szCs w:val="18"/>
              </w:rPr>
              <w:t>POST /api/v1/payments/{id}/callback</w:t>
            </w:r>
          </w:p>
        </w:tc>
        <w:tc>
          <w:tcPr>
            <w:tcW w:w="1500" w:type="pct"/>
            <w:shd w:val="clear" w:color="auto" w:fill="FBEFE6"/>
            <w:tcMar>
              <w:top w:w="70" w:type="dxa"/>
              <w:left w:w="80" w:type="dxa"/>
              <w:bottom w:w="70" w:type="dxa"/>
              <w:right w:w="80" w:type="dxa"/>
            </w:tcMar>
            <w:vAlign w:val="center"/>
          </w:tcPr>
          <w:p w14:paraId="7A021393">
            <w:pPr>
              <w:spacing w:after="40"/>
            </w:pPr>
            <w:r>
              <w:rPr>
                <w:color w:val="2B2118"/>
                <w:sz w:val="18"/>
                <w:szCs w:val="18"/>
              </w:rPr>
              <w:t>Webhook the payment gateway calls on completion.</w:t>
            </w:r>
          </w:p>
        </w:tc>
        <w:tc>
          <w:tcPr>
            <w:tcW w:w="1100" w:type="pct"/>
            <w:shd w:val="clear" w:color="auto" w:fill="FBEFE6"/>
            <w:tcMar>
              <w:top w:w="70" w:type="dxa"/>
              <w:left w:w="80" w:type="dxa"/>
              <w:bottom w:w="70" w:type="dxa"/>
              <w:right w:w="80" w:type="dxa"/>
            </w:tcMar>
            <w:vAlign w:val="center"/>
          </w:tcPr>
          <w:p w14:paraId="249A223D">
            <w:pPr>
              <w:spacing w:after="40"/>
            </w:pPr>
            <w:r>
              <w:rPr>
                <w:color w:val="2B2118"/>
                <w:sz w:val="18"/>
                <w:szCs w:val="18"/>
              </w:rPr>
              <w:t>payment_id (path), gateway_txn_id, status</w:t>
            </w:r>
          </w:p>
        </w:tc>
        <w:tc>
          <w:tcPr>
            <w:tcW w:w="1100" w:type="pct"/>
            <w:shd w:val="clear" w:color="auto" w:fill="FBEFE6"/>
            <w:tcMar>
              <w:top w:w="70" w:type="dxa"/>
              <w:left w:w="80" w:type="dxa"/>
              <w:bottom w:w="70" w:type="dxa"/>
              <w:right w:w="80" w:type="dxa"/>
            </w:tcMar>
            <w:vAlign w:val="center"/>
          </w:tcPr>
          <w:p w14:paraId="48F5EAFB">
            <w:pPr>
              <w:spacing w:after="40"/>
            </w:pPr>
            <w:r>
              <w:rPr>
                <w:color w:val="2B2118"/>
                <w:sz w:val="18"/>
                <w:szCs w:val="18"/>
              </w:rPr>
              <w:t>200 OK, internal record updated</w:t>
            </w:r>
          </w:p>
        </w:tc>
      </w:tr>
      <w:tr w14:paraId="0CDB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Mar>
              <w:top w:w="70" w:type="dxa"/>
              <w:left w:w="80" w:type="dxa"/>
              <w:bottom w:w="70" w:type="dxa"/>
              <w:right w:w="80" w:type="dxa"/>
            </w:tcMar>
            <w:vAlign w:val="center"/>
          </w:tcPr>
          <w:p w14:paraId="2F2F94CD">
            <w:pPr>
              <w:spacing w:after="40"/>
            </w:pPr>
            <w:r>
              <w:rPr>
                <w:color w:val="2B2118"/>
                <w:sz w:val="18"/>
                <w:szCs w:val="18"/>
              </w:rPr>
              <w:t>GET /api/v1/receipts/{payment_id}</w:t>
            </w:r>
          </w:p>
        </w:tc>
        <w:tc>
          <w:tcPr>
            <w:tcW w:w="1500" w:type="pct"/>
            <w:tcMar>
              <w:top w:w="70" w:type="dxa"/>
              <w:left w:w="80" w:type="dxa"/>
              <w:bottom w:w="70" w:type="dxa"/>
              <w:right w:w="80" w:type="dxa"/>
            </w:tcMar>
            <w:vAlign w:val="center"/>
          </w:tcPr>
          <w:p w14:paraId="01DDC13C">
            <w:pPr>
              <w:spacing w:after="40"/>
            </w:pPr>
            <w:r>
              <w:rPr>
                <w:color w:val="2B2118"/>
                <w:sz w:val="18"/>
                <w:szCs w:val="18"/>
              </w:rPr>
              <w:t>Retrieve/download the digital receipt for a payment.</w:t>
            </w:r>
          </w:p>
        </w:tc>
        <w:tc>
          <w:tcPr>
            <w:tcW w:w="1100" w:type="pct"/>
            <w:tcMar>
              <w:top w:w="70" w:type="dxa"/>
              <w:left w:w="80" w:type="dxa"/>
              <w:bottom w:w="70" w:type="dxa"/>
              <w:right w:w="80" w:type="dxa"/>
            </w:tcMar>
            <w:vAlign w:val="center"/>
          </w:tcPr>
          <w:p w14:paraId="2D7A945E">
            <w:pPr>
              <w:spacing w:after="40"/>
            </w:pPr>
            <w:r>
              <w:rPr>
                <w:color w:val="2B2118"/>
                <w:sz w:val="18"/>
                <w:szCs w:val="18"/>
              </w:rPr>
              <w:t>payment_id (path)</w:t>
            </w:r>
          </w:p>
        </w:tc>
        <w:tc>
          <w:tcPr>
            <w:tcW w:w="1100" w:type="pct"/>
            <w:tcMar>
              <w:top w:w="70" w:type="dxa"/>
              <w:left w:w="80" w:type="dxa"/>
              <w:bottom w:w="70" w:type="dxa"/>
              <w:right w:w="80" w:type="dxa"/>
            </w:tcMar>
            <w:vAlign w:val="center"/>
          </w:tcPr>
          <w:p w14:paraId="204FA149">
            <w:pPr>
              <w:spacing w:after="40"/>
            </w:pPr>
            <w:r>
              <w:rPr>
                <w:color w:val="2B2118"/>
                <w:sz w:val="18"/>
                <w:szCs w:val="18"/>
              </w:rPr>
              <w:t>200 OK, receipt metadata + PDF URL</w:t>
            </w:r>
          </w:p>
        </w:tc>
      </w:tr>
      <w:tr w14:paraId="1C2B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shd w:val="clear" w:color="auto" w:fill="FBEFE6"/>
            <w:tcMar>
              <w:top w:w="70" w:type="dxa"/>
              <w:left w:w="80" w:type="dxa"/>
              <w:bottom w:w="70" w:type="dxa"/>
              <w:right w:w="80" w:type="dxa"/>
            </w:tcMar>
            <w:vAlign w:val="center"/>
          </w:tcPr>
          <w:p w14:paraId="6753094B">
            <w:pPr>
              <w:spacing w:after="40"/>
            </w:pPr>
            <w:r>
              <w:rPr>
                <w:color w:val="2B2118"/>
                <w:sz w:val="18"/>
                <w:szCs w:val="18"/>
              </w:rPr>
              <w:t>POST /api/v1/grievances</w:t>
            </w:r>
          </w:p>
        </w:tc>
        <w:tc>
          <w:tcPr>
            <w:tcW w:w="1500" w:type="pct"/>
            <w:shd w:val="clear" w:color="auto" w:fill="FBEFE6"/>
            <w:tcMar>
              <w:top w:w="70" w:type="dxa"/>
              <w:left w:w="80" w:type="dxa"/>
              <w:bottom w:w="70" w:type="dxa"/>
              <w:right w:w="80" w:type="dxa"/>
            </w:tcMar>
            <w:vAlign w:val="center"/>
          </w:tcPr>
          <w:p w14:paraId="21E9FC2C">
            <w:pPr>
              <w:spacing w:after="40"/>
            </w:pPr>
            <w:r>
              <w:rPr>
                <w:color w:val="2B2118"/>
                <w:sz w:val="18"/>
                <w:szCs w:val="18"/>
              </w:rPr>
              <w:t>Raise a grievance linked to a property.</w:t>
            </w:r>
          </w:p>
        </w:tc>
        <w:tc>
          <w:tcPr>
            <w:tcW w:w="1100" w:type="pct"/>
            <w:shd w:val="clear" w:color="auto" w:fill="FBEFE6"/>
            <w:tcMar>
              <w:top w:w="70" w:type="dxa"/>
              <w:left w:w="80" w:type="dxa"/>
              <w:bottom w:w="70" w:type="dxa"/>
              <w:right w:w="80" w:type="dxa"/>
            </w:tcMar>
            <w:vAlign w:val="center"/>
          </w:tcPr>
          <w:p w14:paraId="5B3581A7">
            <w:pPr>
              <w:spacing w:after="40"/>
            </w:pPr>
            <w:r>
              <w:rPr>
                <w:color w:val="2B2118"/>
                <w:sz w:val="18"/>
                <w:szCs w:val="18"/>
              </w:rPr>
              <w:t>property_id, subject, description</w:t>
            </w:r>
          </w:p>
        </w:tc>
        <w:tc>
          <w:tcPr>
            <w:tcW w:w="1100" w:type="pct"/>
            <w:shd w:val="clear" w:color="auto" w:fill="FBEFE6"/>
            <w:tcMar>
              <w:top w:w="70" w:type="dxa"/>
              <w:left w:w="80" w:type="dxa"/>
              <w:bottom w:w="70" w:type="dxa"/>
              <w:right w:w="80" w:type="dxa"/>
            </w:tcMar>
            <w:vAlign w:val="center"/>
          </w:tcPr>
          <w:p w14:paraId="63400731">
            <w:pPr>
              <w:spacing w:after="40"/>
            </w:pPr>
            <w:r>
              <w:rPr>
                <w:color w:val="2B2118"/>
                <w:sz w:val="18"/>
                <w:szCs w:val="18"/>
              </w:rPr>
              <w:t>201 Created, grievance_id</w:t>
            </w:r>
          </w:p>
        </w:tc>
      </w:tr>
      <w:tr w14:paraId="402A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Mar>
              <w:top w:w="70" w:type="dxa"/>
              <w:left w:w="80" w:type="dxa"/>
              <w:bottom w:w="70" w:type="dxa"/>
              <w:right w:w="80" w:type="dxa"/>
            </w:tcMar>
            <w:vAlign w:val="center"/>
          </w:tcPr>
          <w:p w14:paraId="27BC8EB6">
            <w:pPr>
              <w:spacing w:after="40"/>
            </w:pPr>
            <w:r>
              <w:rPr>
                <w:color w:val="2B2118"/>
                <w:sz w:val="18"/>
                <w:szCs w:val="18"/>
              </w:rPr>
              <w:t>GET /api/v1/admin/collections</w:t>
            </w:r>
          </w:p>
        </w:tc>
        <w:tc>
          <w:tcPr>
            <w:tcW w:w="1500" w:type="pct"/>
            <w:tcMar>
              <w:top w:w="70" w:type="dxa"/>
              <w:left w:w="80" w:type="dxa"/>
              <w:bottom w:w="70" w:type="dxa"/>
              <w:right w:w="80" w:type="dxa"/>
            </w:tcMar>
            <w:vAlign w:val="center"/>
          </w:tcPr>
          <w:p w14:paraId="4B7F00A8">
            <w:pPr>
              <w:spacing w:after="40"/>
            </w:pPr>
            <w:r>
              <w:rPr>
                <w:color w:val="2B2118"/>
                <w:sz w:val="18"/>
                <w:szCs w:val="18"/>
              </w:rPr>
              <w:t>Admin: view collection summary by ward/period.</w:t>
            </w:r>
          </w:p>
        </w:tc>
        <w:tc>
          <w:tcPr>
            <w:tcW w:w="1100" w:type="pct"/>
            <w:tcMar>
              <w:top w:w="70" w:type="dxa"/>
              <w:left w:w="80" w:type="dxa"/>
              <w:bottom w:w="70" w:type="dxa"/>
              <w:right w:w="80" w:type="dxa"/>
            </w:tcMar>
            <w:vAlign w:val="center"/>
          </w:tcPr>
          <w:p w14:paraId="36CD87C1">
            <w:pPr>
              <w:spacing w:after="40"/>
            </w:pPr>
            <w:r>
              <w:rPr>
                <w:color w:val="2B2118"/>
                <w:sz w:val="18"/>
                <w:szCs w:val="18"/>
              </w:rPr>
              <w:t>ward, from, to (query)</w:t>
            </w:r>
          </w:p>
        </w:tc>
        <w:tc>
          <w:tcPr>
            <w:tcW w:w="1100" w:type="pct"/>
            <w:tcMar>
              <w:top w:w="70" w:type="dxa"/>
              <w:left w:w="80" w:type="dxa"/>
              <w:bottom w:w="70" w:type="dxa"/>
              <w:right w:w="80" w:type="dxa"/>
            </w:tcMar>
            <w:vAlign w:val="center"/>
          </w:tcPr>
          <w:p w14:paraId="56CAC27E">
            <w:pPr>
              <w:spacing w:after="40"/>
            </w:pPr>
            <w:r>
              <w:rPr>
                <w:color w:val="2B2118"/>
                <w:sz w:val="18"/>
                <w:szCs w:val="18"/>
              </w:rPr>
              <w:t>200 OK, aggregated collection data</w:t>
            </w:r>
          </w:p>
        </w:tc>
      </w:tr>
    </w:tbl>
    <w:p w14:paraId="60E0AD76">
      <w:pPr>
        <w:spacing w:after="160" w:line="300" w:lineRule="auto"/>
      </w:pPr>
      <w:r>
        <w:rPr>
          <w:color w:val="2B2118"/>
          <w:sz w:val="22"/>
          <w:szCs w:val="22"/>
        </w:rPr>
        <w:t>Communication protocol: all endpoints use JSON over HTTPS, follow standard REST conventions (resource-based URLs, correct HTTP verbs, and status codes), and are versioned under /api/v1/ so future changes don't break existing front-end clients. The Payment Service integrates with the external gateway using a server-to-server webhook (payments/{id}/callback) rather than trusting the client's browser redirect alone, so a payment cannot be falsely marked successful by a manipulated client request.</w:t>
      </w:r>
    </w:p>
    <w:p w14:paraId="1C089BBC">
      <w:pPr>
        <w:pStyle w:val="2"/>
        <w:pBdr>
          <w:bottom w:val="single" w:color="C9601A" w:sz="6" w:space="4"/>
        </w:pBdr>
        <w:spacing w:before="320" w:after="160"/>
      </w:pPr>
      <w:r>
        <w:rPr>
          <w:b/>
          <w:bCs/>
          <w:color w:val="C9601A"/>
          <w:sz w:val="30"/>
          <w:szCs w:val="30"/>
        </w:rPr>
        <w:t>5. Security &amp; Performance Considerations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1"/>
        <w:gridCol w:w="3566"/>
        <w:gridCol w:w="4359"/>
      </w:tblGrid>
      <w:tr w14:paraId="6C92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clear" w:color="auto" w:fill="C9601A"/>
            <w:tcMar>
              <w:top w:w="70" w:type="dxa"/>
              <w:left w:w="80" w:type="dxa"/>
              <w:bottom w:w="70" w:type="dxa"/>
              <w:right w:w="80" w:type="dxa"/>
            </w:tcMar>
            <w:vAlign w:val="center"/>
          </w:tcPr>
          <w:p w14:paraId="1B019592">
            <w:pPr>
              <w:spacing w:after="40"/>
            </w:pPr>
            <w:r>
              <w:rPr>
                <w:b/>
                <w:bCs/>
                <w:color w:val="FFFFFF"/>
                <w:sz w:val="18"/>
                <w:szCs w:val="18"/>
              </w:rPr>
              <w:t>Concern</w:t>
            </w:r>
          </w:p>
        </w:tc>
        <w:tc>
          <w:tcPr>
            <w:tcW w:w="1800" w:type="pct"/>
            <w:shd w:val="clear" w:color="auto" w:fill="C9601A"/>
            <w:tcMar>
              <w:top w:w="70" w:type="dxa"/>
              <w:left w:w="80" w:type="dxa"/>
              <w:bottom w:w="70" w:type="dxa"/>
              <w:right w:w="80" w:type="dxa"/>
            </w:tcMar>
            <w:vAlign w:val="center"/>
          </w:tcPr>
          <w:p w14:paraId="4C4D2399">
            <w:pPr>
              <w:spacing w:after="40"/>
            </w:pPr>
            <w:r>
              <w:rPr>
                <w:b/>
                <w:bCs/>
                <w:color w:val="FFFFFF"/>
                <w:sz w:val="18"/>
                <w:szCs w:val="18"/>
              </w:rPr>
              <w:t>Risk</w:t>
            </w:r>
          </w:p>
        </w:tc>
        <w:tc>
          <w:tcPr>
            <w:tcW w:w="2200" w:type="pct"/>
            <w:shd w:val="clear" w:color="auto" w:fill="C9601A"/>
            <w:tcMar>
              <w:top w:w="70" w:type="dxa"/>
              <w:left w:w="80" w:type="dxa"/>
              <w:bottom w:w="70" w:type="dxa"/>
              <w:right w:w="80" w:type="dxa"/>
            </w:tcMar>
            <w:vAlign w:val="center"/>
          </w:tcPr>
          <w:p w14:paraId="502692F2">
            <w:pPr>
              <w:spacing w:after="40"/>
            </w:pPr>
            <w:r>
              <w:rPr>
                <w:b/>
                <w:bCs/>
                <w:color w:val="FFFFFF"/>
                <w:sz w:val="18"/>
                <w:szCs w:val="18"/>
              </w:rPr>
              <w:t>Mitigation</w:t>
            </w:r>
          </w:p>
        </w:tc>
      </w:tr>
      <w:tr w14:paraId="0D9B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tcMar>
              <w:top w:w="70" w:type="dxa"/>
              <w:left w:w="80" w:type="dxa"/>
              <w:bottom w:w="70" w:type="dxa"/>
              <w:right w:w="80" w:type="dxa"/>
            </w:tcMar>
            <w:vAlign w:val="center"/>
          </w:tcPr>
          <w:p w14:paraId="2394DABF">
            <w:pPr>
              <w:spacing w:after="40"/>
            </w:pPr>
            <w:r>
              <w:rPr>
                <w:color w:val="2B2118"/>
                <w:sz w:val="18"/>
                <w:szCs w:val="18"/>
              </w:rPr>
              <w:t>Authentication &amp; Sessions</w:t>
            </w:r>
          </w:p>
        </w:tc>
        <w:tc>
          <w:tcPr>
            <w:tcW w:w="1800" w:type="pct"/>
            <w:tcMar>
              <w:top w:w="70" w:type="dxa"/>
              <w:left w:w="80" w:type="dxa"/>
              <w:bottom w:w="70" w:type="dxa"/>
              <w:right w:w="80" w:type="dxa"/>
            </w:tcMar>
            <w:vAlign w:val="center"/>
          </w:tcPr>
          <w:p w14:paraId="4C5E7B76">
            <w:pPr>
              <w:spacing w:after="40"/>
            </w:pPr>
            <w:r>
              <w:rPr>
                <w:color w:val="2B2118"/>
                <w:sz w:val="18"/>
                <w:szCs w:val="18"/>
              </w:rPr>
              <w:t>Stolen/forged tokens could allow account takeover.</w:t>
            </w:r>
          </w:p>
        </w:tc>
        <w:tc>
          <w:tcPr>
            <w:tcW w:w="2200" w:type="pct"/>
            <w:tcMar>
              <w:top w:w="70" w:type="dxa"/>
              <w:left w:w="80" w:type="dxa"/>
              <w:bottom w:w="70" w:type="dxa"/>
              <w:right w:w="80" w:type="dxa"/>
            </w:tcMar>
            <w:vAlign w:val="center"/>
          </w:tcPr>
          <w:p w14:paraId="63C9BC38">
            <w:pPr>
              <w:spacing w:after="40"/>
            </w:pPr>
            <w:r>
              <w:rPr>
                <w:color w:val="2B2118"/>
                <w:sz w:val="18"/>
                <w:szCs w:val="18"/>
              </w:rPr>
              <w:t>Short-lived JWTs with refresh tokens; OTP re-verification before payment; rate-limit login attempts (ties to Week 3-QA TC-05).</w:t>
            </w:r>
          </w:p>
        </w:tc>
      </w:tr>
      <w:tr w14:paraId="7C37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clear" w:color="auto" w:fill="FBEFE6"/>
            <w:tcMar>
              <w:top w:w="70" w:type="dxa"/>
              <w:left w:w="80" w:type="dxa"/>
              <w:bottom w:w="70" w:type="dxa"/>
              <w:right w:w="80" w:type="dxa"/>
            </w:tcMar>
            <w:vAlign w:val="center"/>
          </w:tcPr>
          <w:p w14:paraId="15F2356C">
            <w:pPr>
              <w:spacing w:after="40"/>
            </w:pPr>
            <w:r>
              <w:rPr>
                <w:color w:val="2B2118"/>
                <w:sz w:val="18"/>
                <w:szCs w:val="18"/>
              </w:rPr>
              <w:t>SQL Injection</w:t>
            </w:r>
          </w:p>
        </w:tc>
        <w:tc>
          <w:tcPr>
            <w:tcW w:w="1800" w:type="pct"/>
            <w:shd w:val="clear" w:color="auto" w:fill="FBEFE6"/>
            <w:tcMar>
              <w:top w:w="70" w:type="dxa"/>
              <w:left w:w="80" w:type="dxa"/>
              <w:bottom w:w="70" w:type="dxa"/>
              <w:right w:w="80" w:type="dxa"/>
            </w:tcMar>
            <w:vAlign w:val="center"/>
          </w:tcPr>
          <w:p w14:paraId="4F9F1804">
            <w:pPr>
              <w:spacing w:after="40"/>
            </w:pPr>
            <w:r>
              <w:rPr>
                <w:color w:val="2B2118"/>
                <w:sz w:val="18"/>
                <w:szCs w:val="18"/>
              </w:rPr>
              <w:t>Unsanitised input in search/grievance forms could manipulate queries.</w:t>
            </w:r>
          </w:p>
        </w:tc>
        <w:tc>
          <w:tcPr>
            <w:tcW w:w="2200" w:type="pct"/>
            <w:shd w:val="clear" w:color="auto" w:fill="FBEFE6"/>
            <w:tcMar>
              <w:top w:w="70" w:type="dxa"/>
              <w:left w:w="80" w:type="dxa"/>
              <w:bottom w:w="70" w:type="dxa"/>
              <w:right w:w="80" w:type="dxa"/>
            </w:tcMar>
            <w:vAlign w:val="center"/>
          </w:tcPr>
          <w:p w14:paraId="5FEDE2DF">
            <w:pPr>
              <w:spacing w:after="40"/>
            </w:pPr>
            <w:r>
              <w:rPr>
                <w:color w:val="2B2118"/>
                <w:sz w:val="18"/>
                <w:szCs w:val="18"/>
              </w:rPr>
              <w:t>Parameterized queries/ORM only; least-privilege database accounts; input validation at the API layer.</w:t>
            </w:r>
          </w:p>
        </w:tc>
      </w:tr>
      <w:tr w14:paraId="07F3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tcMar>
              <w:top w:w="70" w:type="dxa"/>
              <w:left w:w="80" w:type="dxa"/>
              <w:bottom w:w="70" w:type="dxa"/>
              <w:right w:w="80" w:type="dxa"/>
            </w:tcMar>
            <w:vAlign w:val="center"/>
          </w:tcPr>
          <w:p w14:paraId="09F2BE64">
            <w:pPr>
              <w:spacing w:after="40"/>
            </w:pPr>
            <w:r>
              <w:rPr>
                <w:color w:val="2B2118"/>
                <w:sz w:val="18"/>
                <w:szCs w:val="18"/>
              </w:rPr>
              <w:t>Data in Transit</w:t>
            </w:r>
          </w:p>
        </w:tc>
        <w:tc>
          <w:tcPr>
            <w:tcW w:w="1800" w:type="pct"/>
            <w:tcMar>
              <w:top w:w="70" w:type="dxa"/>
              <w:left w:w="80" w:type="dxa"/>
              <w:bottom w:w="70" w:type="dxa"/>
              <w:right w:w="80" w:type="dxa"/>
            </w:tcMar>
            <w:vAlign w:val="center"/>
          </w:tcPr>
          <w:p w14:paraId="107364BE">
            <w:pPr>
              <w:spacing w:after="40"/>
            </w:pPr>
            <w:r>
              <w:rPr>
                <w:color w:val="2B2118"/>
                <w:sz w:val="18"/>
                <w:szCs w:val="18"/>
              </w:rPr>
              <w:t>Interception of citizen/payment data over the network.</w:t>
            </w:r>
          </w:p>
        </w:tc>
        <w:tc>
          <w:tcPr>
            <w:tcW w:w="2200" w:type="pct"/>
            <w:tcMar>
              <w:top w:w="70" w:type="dxa"/>
              <w:left w:w="80" w:type="dxa"/>
              <w:bottom w:w="70" w:type="dxa"/>
              <w:right w:w="80" w:type="dxa"/>
            </w:tcMar>
            <w:vAlign w:val="center"/>
          </w:tcPr>
          <w:p w14:paraId="2D086137">
            <w:pPr>
              <w:spacing w:after="40"/>
            </w:pPr>
            <w:r>
              <w:rPr>
                <w:color w:val="2B2118"/>
                <w:sz w:val="18"/>
                <w:szCs w:val="18"/>
              </w:rPr>
              <w:t>Enforce HTTPS/TLS 1.2+ everywhere; HSTS headers; no sensitive data in URL query strings.</w:t>
            </w:r>
          </w:p>
        </w:tc>
      </w:tr>
      <w:tr w14:paraId="7DDA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clear" w:color="auto" w:fill="FBEFE6"/>
            <w:tcMar>
              <w:top w:w="70" w:type="dxa"/>
              <w:left w:w="80" w:type="dxa"/>
              <w:bottom w:w="70" w:type="dxa"/>
              <w:right w:w="80" w:type="dxa"/>
            </w:tcMar>
            <w:vAlign w:val="center"/>
          </w:tcPr>
          <w:p w14:paraId="7B656317">
            <w:pPr>
              <w:spacing w:after="40"/>
            </w:pPr>
            <w:r>
              <w:rPr>
                <w:color w:val="2B2118"/>
                <w:sz w:val="18"/>
                <w:szCs w:val="18"/>
              </w:rPr>
              <w:t>Data at Rest</w:t>
            </w:r>
          </w:p>
        </w:tc>
        <w:tc>
          <w:tcPr>
            <w:tcW w:w="1800" w:type="pct"/>
            <w:shd w:val="clear" w:color="auto" w:fill="FBEFE6"/>
            <w:tcMar>
              <w:top w:w="70" w:type="dxa"/>
              <w:left w:w="80" w:type="dxa"/>
              <w:bottom w:w="70" w:type="dxa"/>
              <w:right w:w="80" w:type="dxa"/>
            </w:tcMar>
            <w:vAlign w:val="center"/>
          </w:tcPr>
          <w:p w14:paraId="109BBBD6">
            <w:pPr>
              <w:spacing w:after="40"/>
            </w:pPr>
            <w:r>
              <w:rPr>
                <w:color w:val="2B2118"/>
                <w:sz w:val="18"/>
                <w:szCs w:val="18"/>
              </w:rPr>
              <w:t>Database breach exposing personal/financial data.</w:t>
            </w:r>
          </w:p>
        </w:tc>
        <w:tc>
          <w:tcPr>
            <w:tcW w:w="2200" w:type="pct"/>
            <w:shd w:val="clear" w:color="auto" w:fill="FBEFE6"/>
            <w:tcMar>
              <w:top w:w="70" w:type="dxa"/>
              <w:left w:w="80" w:type="dxa"/>
              <w:bottom w:w="70" w:type="dxa"/>
              <w:right w:w="80" w:type="dxa"/>
            </w:tcMar>
            <w:vAlign w:val="center"/>
          </w:tcPr>
          <w:p w14:paraId="3A5D36D4">
            <w:pPr>
              <w:spacing w:after="40"/>
            </w:pPr>
            <w:r>
              <w:rPr>
                <w:color w:val="2B2118"/>
                <w:sz w:val="18"/>
                <w:szCs w:val="18"/>
              </w:rPr>
              <w:t>Encrypt sensitive columns (e.g., contact details); never store full card numbers — rely on the PCI-DSS gateway token.</w:t>
            </w:r>
          </w:p>
        </w:tc>
      </w:tr>
      <w:tr w14:paraId="6EF6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tcMar>
              <w:top w:w="70" w:type="dxa"/>
              <w:left w:w="80" w:type="dxa"/>
              <w:bottom w:w="70" w:type="dxa"/>
              <w:right w:w="80" w:type="dxa"/>
            </w:tcMar>
            <w:vAlign w:val="center"/>
          </w:tcPr>
          <w:p w14:paraId="7A33878A">
            <w:pPr>
              <w:spacing w:after="40"/>
            </w:pPr>
            <w:r>
              <w:rPr>
                <w:color w:val="2B2118"/>
                <w:sz w:val="18"/>
                <w:szCs w:val="18"/>
              </w:rPr>
              <w:t>Duplicate/Replayed Payments</w:t>
            </w:r>
          </w:p>
        </w:tc>
        <w:tc>
          <w:tcPr>
            <w:tcW w:w="1800" w:type="pct"/>
            <w:tcMar>
              <w:top w:w="70" w:type="dxa"/>
              <w:left w:w="80" w:type="dxa"/>
              <w:bottom w:w="70" w:type="dxa"/>
              <w:right w:w="80" w:type="dxa"/>
            </w:tcMar>
            <w:vAlign w:val="center"/>
          </w:tcPr>
          <w:p w14:paraId="5C4F7BFE">
            <w:pPr>
              <w:spacing w:after="40"/>
            </w:pPr>
            <w:r>
              <w:rPr>
                <w:color w:val="2B2118"/>
                <w:sz w:val="18"/>
                <w:szCs w:val="18"/>
              </w:rPr>
              <w:t>A retried gateway callback could double-record a payment.</w:t>
            </w:r>
          </w:p>
        </w:tc>
        <w:tc>
          <w:tcPr>
            <w:tcW w:w="2200" w:type="pct"/>
            <w:tcMar>
              <w:top w:w="70" w:type="dxa"/>
              <w:left w:w="80" w:type="dxa"/>
              <w:bottom w:w="70" w:type="dxa"/>
              <w:right w:w="80" w:type="dxa"/>
            </w:tcMar>
            <w:vAlign w:val="center"/>
          </w:tcPr>
          <w:p w14:paraId="3AA90F96">
            <w:pPr>
              <w:spacing w:after="40"/>
            </w:pPr>
            <w:r>
              <w:rPr>
                <w:color w:val="2B2118"/>
                <w:sz w:val="18"/>
                <w:szCs w:val="18"/>
              </w:rPr>
              <w:t>Idempotent payment references; the callback handler checks gateway_txn_id before updating status.</w:t>
            </w:r>
          </w:p>
        </w:tc>
      </w:tr>
      <w:tr w14:paraId="53ED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clear" w:color="auto" w:fill="FBEFE6"/>
            <w:tcMar>
              <w:top w:w="70" w:type="dxa"/>
              <w:left w:w="80" w:type="dxa"/>
              <w:bottom w:w="70" w:type="dxa"/>
              <w:right w:w="80" w:type="dxa"/>
            </w:tcMar>
            <w:vAlign w:val="center"/>
          </w:tcPr>
          <w:p w14:paraId="165555E5">
            <w:pPr>
              <w:spacing w:after="40"/>
            </w:pPr>
            <w:r>
              <w:rPr>
                <w:color w:val="2B2118"/>
                <w:sz w:val="18"/>
                <w:szCs w:val="18"/>
              </w:rPr>
              <w:t>Read Latency on Bill Lookup</w:t>
            </w:r>
          </w:p>
        </w:tc>
        <w:tc>
          <w:tcPr>
            <w:tcW w:w="1800" w:type="pct"/>
            <w:shd w:val="clear" w:color="auto" w:fill="FBEFE6"/>
            <w:tcMar>
              <w:top w:w="70" w:type="dxa"/>
              <w:left w:w="80" w:type="dxa"/>
              <w:bottom w:w="70" w:type="dxa"/>
              <w:right w:w="80" w:type="dxa"/>
            </w:tcMar>
            <w:vAlign w:val="center"/>
          </w:tcPr>
          <w:p w14:paraId="6402D53A">
            <w:pPr>
              <w:spacing w:after="40"/>
            </w:pPr>
            <w:r>
              <w:rPr>
                <w:color w:val="2B2118"/>
                <w:sz w:val="18"/>
                <w:szCs w:val="18"/>
              </w:rPr>
              <w:t>Frequent tax-due lookups could slow down under load.</w:t>
            </w:r>
          </w:p>
        </w:tc>
        <w:tc>
          <w:tcPr>
            <w:tcW w:w="2200" w:type="pct"/>
            <w:shd w:val="clear" w:color="auto" w:fill="FBEFE6"/>
            <w:tcMar>
              <w:top w:w="70" w:type="dxa"/>
              <w:left w:w="80" w:type="dxa"/>
              <w:bottom w:w="70" w:type="dxa"/>
              <w:right w:w="80" w:type="dxa"/>
            </w:tcMar>
            <w:vAlign w:val="center"/>
          </w:tcPr>
          <w:p w14:paraId="2761153A">
            <w:pPr>
              <w:spacing w:after="40"/>
            </w:pPr>
            <w:r>
              <w:rPr>
                <w:color w:val="2B2118"/>
                <w:sz w:val="18"/>
                <w:szCs w:val="18"/>
              </w:rPr>
              <w:t>Cache recent bill lookups in Redis with a short TTL; invalidate cache on payment success.</w:t>
            </w:r>
          </w:p>
        </w:tc>
      </w:tr>
      <w:tr w14:paraId="3C29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tcMar>
              <w:top w:w="70" w:type="dxa"/>
              <w:left w:w="80" w:type="dxa"/>
              <w:bottom w:w="70" w:type="dxa"/>
              <w:right w:w="80" w:type="dxa"/>
            </w:tcMar>
            <w:vAlign w:val="center"/>
          </w:tcPr>
          <w:p w14:paraId="4B851592">
            <w:pPr>
              <w:spacing w:after="40"/>
            </w:pPr>
            <w:r>
              <w:rPr>
                <w:color w:val="2B2118"/>
                <w:sz w:val="18"/>
                <w:szCs w:val="18"/>
              </w:rPr>
              <w:t>Peak Load Near Due Dates</w:t>
            </w:r>
          </w:p>
        </w:tc>
        <w:tc>
          <w:tcPr>
            <w:tcW w:w="1800" w:type="pct"/>
            <w:tcMar>
              <w:top w:w="70" w:type="dxa"/>
              <w:left w:w="80" w:type="dxa"/>
              <w:bottom w:w="70" w:type="dxa"/>
              <w:right w:w="80" w:type="dxa"/>
            </w:tcMar>
            <w:vAlign w:val="center"/>
          </w:tcPr>
          <w:p w14:paraId="11F82A8D">
            <w:pPr>
              <w:spacing w:after="40"/>
            </w:pPr>
            <w:r>
              <w:rPr>
                <w:color w:val="2B2118"/>
                <w:sz w:val="18"/>
                <w:szCs w:val="18"/>
              </w:rPr>
              <w:t>Traffic spikes could overwhelm the database (per Week 1 risk register).</w:t>
            </w:r>
          </w:p>
        </w:tc>
        <w:tc>
          <w:tcPr>
            <w:tcW w:w="2200" w:type="pct"/>
            <w:tcMar>
              <w:top w:w="70" w:type="dxa"/>
              <w:left w:w="80" w:type="dxa"/>
              <w:bottom w:w="70" w:type="dxa"/>
              <w:right w:w="80" w:type="dxa"/>
            </w:tcMar>
            <w:vAlign w:val="center"/>
          </w:tcPr>
          <w:p w14:paraId="470EE2A2">
            <w:pPr>
              <w:spacing w:after="40"/>
            </w:pPr>
            <w:r>
              <w:rPr>
                <w:color w:val="2B2118"/>
                <w:sz w:val="18"/>
                <w:szCs w:val="18"/>
              </w:rPr>
              <w:t>Connection pooling, read replicas for search/reporting queries, and horizontal scaling of stateless services behind the load balancer.</w:t>
            </w:r>
          </w:p>
        </w:tc>
      </w:tr>
      <w:tr w14:paraId="23E8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clear" w:color="auto" w:fill="FBEFE6"/>
            <w:tcMar>
              <w:top w:w="70" w:type="dxa"/>
              <w:left w:w="80" w:type="dxa"/>
              <w:bottom w:w="70" w:type="dxa"/>
              <w:right w:w="80" w:type="dxa"/>
            </w:tcMar>
            <w:vAlign w:val="center"/>
          </w:tcPr>
          <w:p w14:paraId="4943E075">
            <w:pPr>
              <w:spacing w:after="40"/>
            </w:pPr>
            <w:r>
              <w:rPr>
                <w:color w:val="2B2118"/>
                <w:sz w:val="18"/>
                <w:szCs w:val="18"/>
              </w:rPr>
              <w:t>Authorization / IDOR</w:t>
            </w:r>
          </w:p>
        </w:tc>
        <w:tc>
          <w:tcPr>
            <w:tcW w:w="1800" w:type="pct"/>
            <w:shd w:val="clear" w:color="auto" w:fill="FBEFE6"/>
            <w:tcMar>
              <w:top w:w="70" w:type="dxa"/>
              <w:left w:w="80" w:type="dxa"/>
              <w:bottom w:w="70" w:type="dxa"/>
              <w:right w:w="80" w:type="dxa"/>
            </w:tcMar>
            <w:vAlign w:val="center"/>
          </w:tcPr>
          <w:p w14:paraId="6AB4D0B6">
            <w:pPr>
              <w:spacing w:after="40"/>
            </w:pPr>
            <w:r>
              <w:rPr>
                <w:color w:val="2B2118"/>
                <w:sz w:val="18"/>
                <w:szCs w:val="18"/>
              </w:rPr>
              <w:t>A citizen could attempt to access another citizen's property or payment record.</w:t>
            </w:r>
          </w:p>
        </w:tc>
        <w:tc>
          <w:tcPr>
            <w:tcW w:w="2200" w:type="pct"/>
            <w:shd w:val="clear" w:color="auto" w:fill="FBEFE6"/>
            <w:tcMar>
              <w:top w:w="70" w:type="dxa"/>
              <w:left w:w="80" w:type="dxa"/>
              <w:bottom w:w="70" w:type="dxa"/>
              <w:right w:w="80" w:type="dxa"/>
            </w:tcMar>
            <w:vAlign w:val="center"/>
          </w:tcPr>
          <w:p w14:paraId="2C8D4671">
            <w:pPr>
              <w:spacing w:after="40"/>
            </w:pPr>
            <w:r>
              <w:rPr>
                <w:color w:val="2B2118"/>
                <w:sz w:val="18"/>
                <w:szCs w:val="18"/>
              </w:rPr>
              <w:t>Enforce ownership checks server-side on every request; never rely on client-supplied IDs alone.</w:t>
            </w:r>
          </w:p>
        </w:tc>
      </w:tr>
    </w:tbl>
    <w:p w14:paraId="2E228FCA">
      <w:pPr>
        <w:pStyle w:val="2"/>
        <w:pBdr>
          <w:bottom w:val="single" w:color="C9601A" w:sz="6" w:space="4"/>
        </w:pBdr>
        <w:spacing w:before="320" w:after="160"/>
      </w:pPr>
      <w:r>
        <w:rPr>
          <w:b/>
          <w:bCs/>
          <w:color w:val="C9601A"/>
          <w:sz w:val="30"/>
          <w:szCs w:val="30"/>
        </w:rPr>
        <w:t>6. Backup, Recovery &amp; Maintenance Strategy</w:t>
      </w:r>
    </w:p>
    <w:p w14:paraId="36E74A5C">
      <w:pPr>
        <w:pStyle w:val="16"/>
        <w:numPr>
          <w:ilvl w:val="0"/>
          <w:numId w:val="1"/>
        </w:numPr>
        <w:spacing w:after="80"/>
      </w:pPr>
      <w:r>
        <w:rPr>
          <w:color w:val="2B2118"/>
          <w:sz w:val="22"/>
          <w:szCs w:val="22"/>
        </w:rPr>
        <w:t>Automated daily full backups of the primary database, retained for 30 days, with incremental backups every 6 hours during business hours.</w:t>
      </w:r>
    </w:p>
    <w:p w14:paraId="4FA83D0C">
      <w:pPr>
        <w:pStyle w:val="16"/>
        <w:numPr>
          <w:ilvl w:val="0"/>
          <w:numId w:val="1"/>
        </w:numPr>
        <w:spacing w:after="80"/>
      </w:pPr>
      <w:r>
        <w:rPr>
          <w:color w:val="2B2118"/>
          <w:sz w:val="22"/>
          <w:szCs w:val="22"/>
        </w:rPr>
        <w:t>Backups encrypted at rest and stored in a separate region/availability zone from the primary database to protect against regional outages.</w:t>
      </w:r>
    </w:p>
    <w:p w14:paraId="4446C37C">
      <w:pPr>
        <w:pStyle w:val="16"/>
        <w:numPr>
          <w:ilvl w:val="0"/>
          <w:numId w:val="1"/>
        </w:numPr>
        <w:spacing w:after="80"/>
      </w:pPr>
      <w:r>
        <w:rPr>
          <w:color w:val="2B2118"/>
          <w:sz w:val="22"/>
          <w:szCs w:val="22"/>
        </w:rPr>
        <w:t>Point-in-time recovery (PITR) enabled so the database can be restored to any point within the retention window, minimising data loss in the event of corruption.</w:t>
      </w:r>
    </w:p>
    <w:p w14:paraId="6EF91F2C">
      <w:pPr>
        <w:pStyle w:val="16"/>
        <w:numPr>
          <w:ilvl w:val="0"/>
          <w:numId w:val="1"/>
        </w:numPr>
        <w:spacing w:after="80"/>
      </w:pPr>
      <w:r>
        <w:rPr>
          <w:color w:val="2B2118"/>
          <w:sz w:val="22"/>
          <w:szCs w:val="22"/>
        </w:rPr>
        <w:t>Quarterly disaster-recovery drills: restore a backup to a staging environment and verify data integrity and application functionality.</w:t>
      </w:r>
    </w:p>
    <w:p w14:paraId="5FE17A8E">
      <w:pPr>
        <w:pStyle w:val="16"/>
        <w:numPr>
          <w:ilvl w:val="0"/>
          <w:numId w:val="1"/>
        </w:numPr>
        <w:spacing w:after="80"/>
      </w:pPr>
      <w:r>
        <w:rPr>
          <w:color w:val="2B2118"/>
          <w:sz w:val="22"/>
          <w:szCs w:val="22"/>
        </w:rPr>
        <w:t>Scheduled maintenance windows (outside peak hours) for schema migrations, index rebuilding, and dependency updates, communicated to citizens in advance via a maintenance banner.</w:t>
      </w:r>
    </w:p>
    <w:p w14:paraId="6DFD572D">
      <w:pPr>
        <w:pStyle w:val="16"/>
        <w:numPr>
          <w:ilvl w:val="0"/>
          <w:numId w:val="1"/>
        </w:numPr>
        <w:spacing w:after="80"/>
      </w:pPr>
      <w:r>
        <w:rPr>
          <w:color w:val="2B2118"/>
          <w:sz w:val="22"/>
          <w:szCs w:val="22"/>
        </w:rPr>
        <w:t>Continuous monitoring and alerting on database health (replication lag, disk usage, slow queries) with on-call escalation for critical failures.</w:t>
      </w:r>
    </w:p>
    <w:p w14:paraId="7690206A">
      <w:pPr>
        <w:pStyle w:val="16"/>
        <w:numPr>
          <w:ilvl w:val="0"/>
          <w:numId w:val="1"/>
        </w:numPr>
        <w:spacing w:after="80"/>
      </w:pPr>
      <w:r>
        <w:rPr>
          <w:color w:val="2B2118"/>
          <w:sz w:val="22"/>
          <w:szCs w:val="22"/>
        </w:rPr>
        <w:t>The AuditLogs table (Figure 2) is retained separately and immutably, supporting post-incident investigation independent of the main data-recovery process.</w:t>
      </w:r>
    </w:p>
    <w:p w14:paraId="622484E8">
      <w:pPr>
        <w:pStyle w:val="2"/>
        <w:pBdr>
          <w:bottom w:val="single" w:color="C9601A" w:sz="6" w:space="4"/>
        </w:pBdr>
        <w:spacing w:before="320" w:after="160"/>
      </w:pPr>
      <w:r>
        <w:rPr>
          <w:b/>
          <w:bCs/>
          <w:color w:val="C9601A"/>
          <w:sz w:val="30"/>
          <w:szCs w:val="30"/>
        </w:rPr>
        <w:t>7. Conclusion</w:t>
      </w:r>
    </w:p>
    <w:p w14:paraId="49D90B0A">
      <w:pPr>
        <w:spacing w:after="160" w:line="300" w:lineRule="auto"/>
      </w:pPr>
      <w:r>
        <w:rPr>
          <w:color w:val="2B2118"/>
          <w:sz w:val="22"/>
          <w:szCs w:val="22"/>
        </w:rPr>
        <w:t>This backend plan gives the Online Property Tax Payment Portal a clear, service-oriented architecture: a normalised seven-table relational schema, a versioned RESTful API surface that matches the Week 2 front-end flows, and concrete measures for security, performance, and disaster recovery. Together with the requirements from Week 1 and the testing strategy from Week 3 (QA), this forms a complete, implementation-ready backend design for the platform.</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11CF40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2026-08-28T00:27:00Z</dcterms:created>
  <dc:creator>Un-named</dc:creator>
  <cp:lastModifiedBy>priya</cp:lastModifiedBy>
  <dcterms:modified xsi:type="dcterms:W3CDTF">2026-08-28T00:39:30Z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CF4B9C09D6834443851E4CD25D881268_13</vt:lpwstr>
  </property>
</Properties>
</file>