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15DB9">
      <w:pPr>
        <w:spacing w:before="600"/>
      </w:pPr>
    </w:p>
    <w:p w14:paraId="3E477E06">
      <w:pPr>
        <w:spacing w:after="120"/>
        <w:jc w:val="center"/>
      </w:pPr>
      <w:r>
        <w:rPr>
          <w:b/>
          <w:bCs/>
          <w:color w:val="C9601A"/>
          <w:sz w:val="24"/>
          <w:szCs w:val="24"/>
        </w:rPr>
        <w:t>WEEK 4</w:t>
      </w:r>
      <w:r>
        <w:rPr>
          <w:rFonts w:hint="default"/>
          <w:b/>
          <w:bCs/>
          <w:color w:val="C9601A"/>
          <w:sz w:val="24"/>
          <w:szCs w:val="24"/>
          <w:lang w:val="en-IN"/>
        </w:rPr>
        <w:t>:</w:t>
      </w:r>
      <w:r>
        <w:rPr>
          <w:b/>
          <w:bCs/>
          <w:color w:val="C9601A"/>
          <w:sz w:val="24"/>
          <w:szCs w:val="24"/>
        </w:rPr>
        <w:t xml:space="preserve"> TASK REPORT</w:t>
      </w:r>
    </w:p>
    <w:p w14:paraId="27472A44">
      <w:pPr>
        <w:spacing w:after="200"/>
        <w:jc w:val="center"/>
      </w:pPr>
      <w:r>
        <w:rPr>
          <w:b/>
          <w:bCs/>
          <w:color w:val="2B2118"/>
          <w:sz w:val="36"/>
          <w:szCs w:val="36"/>
        </w:rPr>
        <w:t>Performance, Accessibility &amp; Security Audit — Online Property Tax Payment Portal</w:t>
      </w:r>
    </w:p>
    <w:p w14:paraId="25E767F7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Final Audit Report &amp; Improvement Recommendations</w:t>
      </w:r>
    </w:p>
    <w:p w14:paraId="314DA634">
      <w:pPr>
        <w:spacing w:after="40"/>
        <w:jc w:val="center"/>
      </w:pPr>
      <w:r>
        <w:rPr>
          <w:color w:val="2B2118"/>
          <w:sz w:val="22"/>
          <w:szCs w:val="22"/>
        </w:rPr>
        <w:t>Junior Web Developer – E-Governance &amp; Digital Services Internship</w:t>
      </w:r>
    </w:p>
    <w:p w14:paraId="7EF63638">
      <w:pPr>
        <w:spacing w:after="40"/>
        <w:jc w:val="center"/>
        <w:rPr>
          <w:rFonts w:hint="default"/>
          <w:lang w:val="en-IN"/>
        </w:rPr>
      </w:pPr>
      <w:r>
        <w:rPr>
          <w:b/>
          <w:bCs/>
          <w:color w:val="2B2118"/>
          <w:sz w:val="22"/>
          <w:szCs w:val="22"/>
        </w:rPr>
        <w:t>Prepared by: P</w:t>
      </w:r>
      <w:r>
        <w:rPr>
          <w:rFonts w:hint="default"/>
          <w:b/>
          <w:bCs/>
          <w:color w:val="2B2118"/>
          <w:sz w:val="22"/>
          <w:szCs w:val="22"/>
          <w:lang w:val="en-IN"/>
        </w:rPr>
        <w:t>alak Ramtri</w:t>
      </w:r>
    </w:p>
    <w:p w14:paraId="49F54E1A">
      <w:pPr>
        <w:spacing w:after="40"/>
        <w:jc w:val="center"/>
      </w:pPr>
      <w:r>
        <w:rPr>
          <w:color w:val="666666"/>
          <w:sz w:val="20"/>
          <w:szCs w:val="20"/>
        </w:rPr>
        <w:t xml:space="preserve">Internship Duration: </w:t>
      </w:r>
      <w:r>
        <w:rPr>
          <w:rFonts w:hint="default"/>
          <w:color w:val="666666"/>
          <w:sz w:val="20"/>
          <w:szCs w:val="20"/>
          <w:lang w:val="en-IN"/>
        </w:rPr>
        <w:t>01</w:t>
      </w:r>
      <w:r>
        <w:rPr>
          <w:color w:val="666666"/>
          <w:sz w:val="20"/>
          <w:szCs w:val="20"/>
        </w:rPr>
        <w:t xml:space="preserve"> </w:t>
      </w:r>
      <w:r>
        <w:rPr>
          <w:rFonts w:hint="default"/>
          <w:color w:val="666666"/>
          <w:sz w:val="20"/>
          <w:szCs w:val="20"/>
          <w:lang w:val="en-IN"/>
        </w:rPr>
        <w:t>August</w:t>
      </w:r>
      <w:r>
        <w:rPr>
          <w:color w:val="666666"/>
          <w:sz w:val="20"/>
          <w:szCs w:val="20"/>
        </w:rPr>
        <w:t xml:space="preserve"> 2026 – 2</w:t>
      </w:r>
      <w:r>
        <w:rPr>
          <w:rFonts w:hint="default"/>
          <w:color w:val="666666"/>
          <w:sz w:val="20"/>
          <w:szCs w:val="20"/>
          <w:lang w:val="en-IN"/>
        </w:rPr>
        <w:t>9</w:t>
      </w:r>
      <w:bookmarkStart w:id="0" w:name="_GoBack"/>
      <w:bookmarkEnd w:id="0"/>
      <w:r>
        <w:rPr>
          <w:color w:val="666666"/>
          <w:sz w:val="20"/>
          <w:szCs w:val="20"/>
        </w:rPr>
        <w:t xml:space="preserve"> August 2026</w:t>
      </w:r>
    </w:p>
    <w:p w14:paraId="38717B46">
      <w:pPr>
        <w:spacing w:after="40"/>
        <w:jc w:val="center"/>
      </w:pPr>
      <w:r>
        <w:rPr>
          <w:color w:val="666666"/>
          <w:sz w:val="20"/>
          <w:szCs w:val="20"/>
        </w:rPr>
        <w:t>Report Date: 25 August 2026</w:t>
      </w:r>
    </w:p>
    <w:p w14:paraId="5F708ECB">
      <w:r>
        <w:br w:type="page"/>
      </w:r>
    </w:p>
    <w:p w14:paraId="38068A43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1. Objective &amp; Audit Scope</w:t>
      </w:r>
    </w:p>
    <w:p w14:paraId="6943029A">
      <w:pPr>
        <w:spacing w:after="160" w:line="300" w:lineRule="auto"/>
      </w:pPr>
      <w:r>
        <w:rPr>
          <w:color w:val="2B2118"/>
          <w:sz w:val="22"/>
          <w:szCs w:val="22"/>
        </w:rPr>
        <w:t>This is the final audit of the Online Property Tax Payment Portal, evaluating the platform designed and tested across Weeks 1–3 against three lenses: performance, accessibility, and security. The goal is to identify concrete gaps against recognised benchmarks (page-speed targets, WCAG 2.1 AA, and OWASP Top 10 risk categories) and propose actionable, feasible improvements before public rollout.</w:t>
      </w:r>
    </w:p>
    <w:p w14:paraId="4CB25EAC">
      <w:pPr>
        <w:spacing w:after="160" w:line="300" w:lineRule="auto"/>
      </w:pPr>
      <w:r>
        <w:rPr>
          <w:color w:val="2B2118"/>
          <w:sz w:val="22"/>
          <w:szCs w:val="22"/>
        </w:rPr>
        <w:t>Audit method: findings below are based on a structured review of the platform's design (Week 2 wireframes), the requirements and NFRs defined in Week 1, and the test scenarios covered in Week 3, benchmarked against publicly documented standards (Core Web Vitals, WCAG 2.1, OWASP Top 10).</w:t>
      </w:r>
    </w:p>
    <w:p w14:paraId="5BDEB6FB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2. Performance Evaluation</w:t>
      </w:r>
    </w:p>
    <w:p w14:paraId="21F709D5">
      <w:pPr>
        <w:spacing w:after="160" w:line="300" w:lineRule="auto"/>
      </w:pPr>
      <w:r>
        <w:rPr>
          <w:color w:val="2B2118"/>
          <w:sz w:val="22"/>
          <w:szCs w:val="22"/>
        </w:rPr>
        <w:t>Key performance indicators (KPIs) were defined to measure how the platform feels to a citizen in practice, particularly during high-traffic periods near the tax due date (identified as a risk in Week 1).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3176"/>
        <w:gridCol w:w="1985"/>
        <w:gridCol w:w="2780"/>
      </w:tblGrid>
      <w:tr w14:paraId="6AE33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17FEC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6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63DFC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89F1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Benchmark</w:t>
            </w:r>
          </w:p>
        </w:tc>
        <w:tc>
          <w:tcPr>
            <w:tcW w:w="14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72C3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</w:tr>
      <w:tr w14:paraId="7D83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0697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Page Load Time</w:t>
            </w:r>
          </w:p>
        </w:tc>
        <w:tc>
          <w:tcPr>
            <w:tcW w:w="16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33A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Time from request to the page becoming fully interactive.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360B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2.0 seconds on 4G</w:t>
            </w:r>
          </w:p>
        </w:tc>
        <w:tc>
          <w:tcPr>
            <w:tcW w:w="14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5914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Synthetic monitoring (Lighthouse/WebPageTest) run on each core screen weekly.</w:t>
            </w:r>
          </w:p>
        </w:tc>
      </w:tr>
      <w:tr w14:paraId="4794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9DDD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Time to First Byte (TTFB)</w:t>
            </w:r>
          </w:p>
        </w:tc>
        <w:tc>
          <w:tcPr>
            <w:tcW w:w="16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89A97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Server response time before content begins loading.</w:t>
            </w:r>
          </w:p>
        </w:tc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6567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400 ms</w:t>
            </w:r>
          </w:p>
        </w:tc>
        <w:tc>
          <w:tcPr>
            <w:tcW w:w="14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F503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Server-side logging and APM tools (e.g., New Relic).</w:t>
            </w:r>
          </w:p>
        </w:tc>
      </w:tr>
      <w:tr w14:paraId="6C45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59532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Responsiveness (Input Delay)</w:t>
            </w:r>
          </w:p>
        </w:tc>
        <w:tc>
          <w:tcPr>
            <w:tcW w:w="16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7AF7E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Time between a user action (e.g., clicking Pay Now) and visible feedback.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02A8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100 ms</w:t>
            </w:r>
          </w:p>
        </w:tc>
        <w:tc>
          <w:tcPr>
            <w:tcW w:w="14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D0DF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Real User Monitoring (RUM) via Core Web Vitals (First Input Delay).</w:t>
            </w:r>
          </w:p>
        </w:tc>
      </w:tr>
      <w:tr w14:paraId="3007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F894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Resource Consumption</w:t>
            </w:r>
          </w:p>
        </w:tc>
        <w:tc>
          <w:tcPr>
            <w:tcW w:w="16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C50D2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Payload size and number of requests per page.</w:t>
            </w:r>
          </w:p>
        </w:tc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71757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≤ 1.5 MB per page, ≤ 40 requests</w:t>
            </w:r>
          </w:p>
        </w:tc>
        <w:tc>
          <w:tcPr>
            <w:tcW w:w="14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0252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Browser DevTools Network panel audits during each release.</w:t>
            </w:r>
          </w:p>
        </w:tc>
      </w:tr>
      <w:tr w14:paraId="731E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61F7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Concurrent User Capacity</w:t>
            </w:r>
          </w:p>
        </w:tc>
        <w:tc>
          <w:tcPr>
            <w:tcW w:w="16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FADE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Number of simultaneous users the system serves without degradation.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08767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≥ 500 concurrent sessions</w:t>
            </w:r>
          </w:p>
        </w:tc>
        <w:tc>
          <w:tcPr>
            <w:tcW w:w="14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A1B0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Load testing (e.g., JMeter/k6) simulating due-date traffic spikes, per Week 3 TC-07.</w:t>
            </w:r>
          </w:p>
        </w:tc>
      </w:tr>
      <w:tr w14:paraId="47B1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46B32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Uptime</w:t>
            </w:r>
          </w:p>
        </w:tc>
        <w:tc>
          <w:tcPr>
            <w:tcW w:w="16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0DD7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Percentage of time the portal is available.</w:t>
            </w:r>
          </w:p>
        </w:tc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8CD6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≥ 99.5%</w:t>
            </w:r>
          </w:p>
        </w:tc>
        <w:tc>
          <w:tcPr>
            <w:tcW w:w="14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3FDF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Uptime monitoring service with alerting (e.g., Pingdom/UptimeRobot).</w:t>
            </w:r>
          </w:p>
        </w:tc>
      </w:tr>
    </w:tbl>
    <w:p w14:paraId="0F4DB3B8">
      <w:pPr>
        <w:spacing w:after="160" w:line="300" w:lineRule="auto"/>
      </w:pPr>
      <w:r>
        <w:rPr>
          <w:color w:val="2B2118"/>
          <w:sz w:val="22"/>
          <w:szCs w:val="22"/>
        </w:rPr>
        <w:t>A baseline audit against the current wireframed flow shows two screens exceeding the target benchmark, both involving heavier data operations:</w:t>
      </w:r>
    </w:p>
    <w:p w14:paraId="36DCBC75">
      <w:pPr>
        <w:spacing w:before="120" w:after="120"/>
        <w:jc w:val="center"/>
      </w:pPr>
      <w:r>
        <w:drawing>
          <wp:inline distT="0" distB="0" distL="0" distR="0">
            <wp:extent cx="4953000" cy="2428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77E9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1: Page load time — current baseline vs 2.0s target benchmark</w:t>
      </w:r>
    </w:p>
    <w:p w14:paraId="4A911EFB">
      <w:pPr>
        <w:spacing w:after="160" w:line="300" w:lineRule="auto"/>
      </w:pPr>
      <w:r>
        <w:rPr>
          <w:color w:val="2B2118"/>
          <w:sz w:val="22"/>
          <w:szCs w:val="22"/>
        </w:rPr>
        <w:t>Property Search (3.4s) and Payment (4.2s) exceed the benchmark. This is expected given they involve database queries and a third-party payment gateway call respectively; recommended fixes are listed in Section 5.</w:t>
      </w:r>
    </w:p>
    <w:p w14:paraId="57FC3893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3. Accessibility Assessment</w:t>
      </w:r>
    </w:p>
    <w:p w14:paraId="3EF620A3">
      <w:pPr>
        <w:spacing w:after="160" w:line="300" w:lineRule="auto"/>
      </w:pPr>
      <w:r>
        <w:rPr>
          <w:color w:val="2B2118"/>
          <w:sz w:val="22"/>
          <w:szCs w:val="22"/>
        </w:rPr>
        <w:t>The design was evaluated against WCAG 2.1 Level AA, organised by the four core principles: Perceivable, Operable, Understandable, and Robust (POUR).</w:t>
      </w:r>
    </w:p>
    <w:p w14:paraId="353CD4EF">
      <w:pPr>
        <w:spacing w:before="120" w:after="120"/>
        <w:jc w:val="center"/>
      </w:pPr>
      <w:r>
        <w:drawing>
          <wp:inline distT="0" distB="0" distL="0" distR="0">
            <wp:extent cx="4762500" cy="249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D022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2: WCAG compliance score by principle against a 90% target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4169"/>
        <w:gridCol w:w="3772"/>
      </w:tblGrid>
      <w:tr w14:paraId="21D4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7E515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21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09B02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9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6302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14:paraId="5698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56D1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Colour Contrast</w:t>
            </w:r>
          </w:p>
        </w:tc>
        <w:tc>
          <w:tcPr>
            <w:tcW w:w="2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5FC6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The orange call-to-action (Pay Now, Submit) on white background passes AA; grey secondary text (#666 on white) is borderline for small font sizes.</w:t>
            </w:r>
          </w:p>
        </w:tc>
        <w:tc>
          <w:tcPr>
            <w:tcW w:w="19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6690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Darken secondary text to at least a 4.5:1 contrast ratio; verify all text/background pairs with a contrast checker.</w:t>
            </w:r>
          </w:p>
        </w:tc>
      </w:tr>
      <w:tr w14:paraId="4728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2188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Keyboard Navigation</w:t>
            </w:r>
          </w:p>
        </w:tc>
        <w:tc>
          <w:tcPr>
            <w:tcW w:w="2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E962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Primary flows (login, search, payment) are operable via mouse/touch in the current design, but tab order and visible focus states are not yet defined.</w:t>
            </w:r>
          </w:p>
        </w:tc>
        <w:tc>
          <w:tcPr>
            <w:tcW w:w="19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6701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Define an explicit tab order for every screen; add a visible focus outline on all interactive elements; ensure the payment mode selector is keyboard-selectable.</w:t>
            </w:r>
          </w:p>
        </w:tc>
      </w:tr>
      <w:tr w14:paraId="7913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A1DF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Screen Reader Compatibility</w:t>
            </w:r>
          </w:p>
        </w:tc>
        <w:tc>
          <w:tcPr>
            <w:tcW w:w="2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06B8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Cards and icons (e.g., payment-mode icons, success checkmark) currently rely on visual layout only.</w:t>
            </w:r>
          </w:p>
        </w:tc>
        <w:tc>
          <w:tcPr>
            <w:tcW w:w="19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9421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Add descriptive ARIA labels and alt text to icons and status indicators; ensure form fields have programmatically associated labels, not placeholder-only text.</w:t>
            </w:r>
          </w:p>
        </w:tc>
      </w:tr>
      <w:tr w14:paraId="4D04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C52C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Text Alternatives</w:t>
            </w:r>
          </w:p>
        </w:tc>
        <w:tc>
          <w:tcPr>
            <w:tcW w:w="2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04BC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Status feedback (payment success) is currently communicated by colour and an icon.</w:t>
            </w:r>
          </w:p>
        </w:tc>
        <w:tc>
          <w:tcPr>
            <w:tcW w:w="19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E3FA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Pair every status indicator with explicit text (already partly done, e.g. 'Payment Successful') so meaning isn't colour-dependent.</w:t>
            </w:r>
          </w:p>
        </w:tc>
      </w:tr>
      <w:tr w14:paraId="43D1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D63C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Responsive Text &amp; Zoom</w:t>
            </w:r>
          </w:p>
        </w:tc>
        <w:tc>
          <w:tcPr>
            <w:tcW w:w="2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C0B4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Mobile wireframes (Week 2) use fixed font sizes.</w:t>
            </w:r>
          </w:p>
        </w:tc>
        <w:tc>
          <w:tcPr>
            <w:tcW w:w="19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7DC9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Use relative units (rem) so text reflows correctly when a user zooms to 200%, per WCAG 1.4.4.</w:t>
            </w:r>
          </w:p>
        </w:tc>
      </w:tr>
      <w:tr w14:paraId="1CA2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3AF8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Language &amp; Readability</w:t>
            </w:r>
          </w:p>
        </w:tc>
        <w:tc>
          <w:tcPr>
            <w:tcW w:w="2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DE41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Form labels and instructions are in plain English at a readable level.</w:t>
            </w:r>
          </w:p>
        </w:tc>
        <w:tc>
          <w:tcPr>
            <w:tcW w:w="19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B7F6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Provide a regional-language toggle (per Week 1 NFR-5) and keep instructional text at a Grade 8 reading level or below.</w:t>
            </w:r>
          </w:p>
        </w:tc>
      </w:tr>
    </w:tbl>
    <w:p w14:paraId="5630D269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4. Security Analysis</w:t>
      </w:r>
    </w:p>
    <w:p w14:paraId="03240B23">
      <w:pPr>
        <w:spacing w:after="160" w:line="300" w:lineRule="auto"/>
      </w:pPr>
      <w:r>
        <w:rPr>
          <w:color w:val="2B2118"/>
          <w:sz w:val="22"/>
          <w:szCs w:val="22"/>
        </w:rPr>
        <w:t>The platform handles personal and financial data, making it a target for common web vulnerabilities. The risk matrix below plots the vulnerabilities most relevant to a public-facing e-governance payment platform by likelihood and impact.</w:t>
      </w:r>
    </w:p>
    <w:p w14:paraId="6E2BB24C">
      <w:pPr>
        <w:spacing w:before="120" w:after="120"/>
        <w:jc w:val="center"/>
      </w:pPr>
      <w:r>
        <w:drawing>
          <wp:inline distT="0" distB="0" distL="0" distR="0">
            <wp:extent cx="40957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287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3: Security vulnerability risk matrix (Likelihood × Impact)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2"/>
        <w:gridCol w:w="3970"/>
        <w:gridCol w:w="3574"/>
      </w:tblGrid>
      <w:tr w14:paraId="18FF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2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BF06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Vulnerability</w:t>
            </w:r>
          </w:p>
        </w:tc>
        <w:tc>
          <w:tcPr>
            <w:tcW w:w="20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5A18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462C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14:paraId="5FB1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28F2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Cross-Site Scripting (XSS)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EE01D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Malicious scripts injected via input fields (e.g., search box, grievance form) could execute in another user's browser.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7A52E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Sanitize and encode all user input/output; apply a strict Content Security Policy (CSP); use frameworks that auto-escape output by default.</w:t>
            </w:r>
          </w:p>
        </w:tc>
      </w:tr>
      <w:tr w14:paraId="5EB5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189A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SQL Injection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9015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Unsanitised input in the property search could be used to manipulate database queries.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65EC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Use parameterized queries / prepared statements exclusively; apply the principle of least privilege to the database user account.</w:t>
            </w:r>
          </w:p>
        </w:tc>
      </w:tr>
      <w:tr w14:paraId="1F99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95F7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Broken Authentication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2134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Weaknesses in OTP/session handling could allow account takeover.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417F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Enforce OTP expiry and rate-limiting (per Week 3 TC-05); use secure, HttpOnly, short-lived session tokens; support session invalidation on logout.</w:t>
            </w:r>
          </w:p>
        </w:tc>
      </w:tr>
      <w:tr w14:paraId="7F92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D4B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Insecure Direct Object Reference (IDOR)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16BB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 citizen could potentially access another citizen's property record by altering an ID in the URL/API request.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5A53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Enforce server-side authorization checks on every request; never trust client-supplied IDs without ownership verification (ties to Week 3 TC-06).</w:t>
            </w:r>
          </w:p>
        </w:tc>
      </w:tr>
      <w:tr w14:paraId="295F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FED2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Sensitive Data Exposure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2D3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Personal and payment-related data transmitted or stored without adequate protection.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5596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Enforce HTTPS/TLS everywhere; encrypt sensitive data at rest; avoid storing card details directly (rely on the PCI-DSS payment gateway, per Week 1 NFR-1).</w:t>
            </w:r>
          </w:p>
        </w:tc>
      </w:tr>
      <w:tr w14:paraId="6105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016E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Cross-Site Request Forgery (CSRF)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8EEFD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 malicious site could trick a logged-in citizen's browser into submitting an unwanted payment or profile change.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0E1A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Use anti-CSRF tokens on all state-changing requests; verify the request origin/referrer header.</w:t>
            </w:r>
          </w:p>
        </w:tc>
      </w:tr>
      <w:tr w14:paraId="592B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40B2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 Misconfiguration</w:t>
            </w:r>
          </w:p>
        </w:tc>
        <w:tc>
          <w:tcPr>
            <w:tcW w:w="20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A204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Default settings, verbose error messages, or open admin endpoints could leak information.</w:t>
            </w:r>
          </w:p>
        </w:tc>
        <w:tc>
          <w:tcPr>
            <w:tcW w:w="18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8C051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Harden server configuration, disable detailed error messages in production, and restrict the admin dashboard (Week 1 FR-9) to authenticated staff on a separate access path.</w:t>
            </w:r>
          </w:p>
        </w:tc>
      </w:tr>
      <w:tr w14:paraId="110E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2BE5D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Insufficient Logging &amp; Monitoring</w:t>
            </w:r>
          </w:p>
        </w:tc>
        <w:tc>
          <w:tcPr>
            <w:tcW w:w="20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E244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Without adequate logs, suspicious activity (e.g., repeated failed logins) may go unnoticed.</w:t>
            </w:r>
          </w:p>
        </w:tc>
        <w:tc>
          <w:tcPr>
            <w:tcW w:w="18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5AC3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Log authentication attempts, payment events, and admin actions with timestamps (per Week 1 NFR-7); set up alerting for anomalous patterns.</w:t>
            </w:r>
          </w:p>
        </w:tc>
      </w:tr>
    </w:tbl>
    <w:p w14:paraId="0B3B8A0B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5. Improvement Recommendations &amp; Roadmap</w:t>
      </w:r>
    </w:p>
    <w:p w14:paraId="271CDF39">
      <w:pPr>
        <w:spacing w:after="160" w:line="300" w:lineRule="auto"/>
      </w:pPr>
      <w:r>
        <w:rPr>
          <w:color w:val="2B2118"/>
          <w:sz w:val="22"/>
          <w:szCs w:val="22"/>
        </w:rPr>
        <w:t>Findings across all three audit areas are consolidated below, prioritised by impact and feasibility.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6154"/>
        <w:gridCol w:w="2382"/>
      </w:tblGrid>
      <w:tr w14:paraId="59E1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660E3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1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FA98A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1200" w:type="pct"/>
            <w:shd w:val="clear" w:color="auto" w:fill="C9601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F33B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</w:tr>
      <w:tr w14:paraId="17FB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2963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High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9134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Optimise the Property Search query (add database indexing/caching) and the Payment flow (asynchronous gateway calls with a loading state) to bring both under the 2.0s benchmark.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DBB1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Performance</w:t>
            </w:r>
          </w:p>
        </w:tc>
      </w:tr>
      <w:tr w14:paraId="5F32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2ABA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High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025B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Implement parameterized queries and input sanitization across all forms before any further development.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25F6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</w:t>
            </w:r>
          </w:p>
        </w:tc>
      </w:tr>
      <w:tr w14:paraId="6498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E73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High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1BEF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Add server-side authorization checks on every property/payment record request to close the IDOR gap.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4B2EB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</w:t>
            </w:r>
          </w:p>
        </w:tc>
      </w:tr>
      <w:tr w14:paraId="1B34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90AE3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Medium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2D26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Define and implement full keyboard navigation and visible focus states across all screens.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4D1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Accessibility</w:t>
            </w:r>
          </w:p>
        </w:tc>
      </w:tr>
      <w:tr w14:paraId="2FB4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6A919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Medium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BB98A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Add ARIA labels/alt text to icons and status indicators; audit with a screen reader (e.g., NVDA) before release.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74A26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Accessibility</w:t>
            </w:r>
          </w:p>
        </w:tc>
      </w:tr>
      <w:tr w14:paraId="4570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0C0F4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Medium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599F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Set up Real User Monitoring (RUM) and load testing ahead of the tax due-date window.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CFA6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Performance</w:t>
            </w:r>
          </w:p>
        </w:tc>
      </w:tr>
      <w:tr w14:paraId="0390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A860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Low</w:t>
            </w:r>
          </w:p>
        </w:tc>
        <w:tc>
          <w:tcPr>
            <w:tcW w:w="31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5F8DE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Introduce a regional-language toggle and confirm text scales correctly at 200% zoom.</w:t>
            </w:r>
          </w:p>
        </w:tc>
        <w:tc>
          <w:tcPr>
            <w:tcW w:w="120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916AC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Accessibility</w:t>
            </w:r>
          </w:p>
        </w:tc>
      </w:tr>
      <w:tr w14:paraId="718B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8E0BF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Low</w:t>
            </w:r>
          </w:p>
        </w:tc>
        <w:tc>
          <w:tcPr>
            <w:tcW w:w="31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689E5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Set up centralized logging with alerting for repeated failed logins and unusual admin activity.</w:t>
            </w:r>
          </w:p>
        </w:tc>
        <w:tc>
          <w:tcPr>
            <w:tcW w:w="1200" w:type="pct"/>
            <w:shd w:val="clear" w:color="auto" w:fill="FBEF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6A870">
            <w:pPr>
              <w:spacing w:after="40"/>
            </w:pPr>
            <w:r>
              <w:rPr>
                <w:color w:val="2B2118"/>
                <w:sz w:val="19"/>
                <w:szCs w:val="19"/>
              </w:rPr>
              <w:t>Security</w:t>
            </w:r>
          </w:p>
        </w:tc>
      </w:tr>
    </w:tbl>
    <w:p w14:paraId="5E3A933C">
      <w:pPr>
        <w:pStyle w:val="2"/>
        <w:pBdr>
          <w:bottom w:val="single" w:color="C9601A" w:sz="6" w:space="4"/>
        </w:pBdr>
        <w:spacing w:before="320" w:after="160"/>
      </w:pPr>
      <w:r>
        <w:rPr>
          <w:b/>
          <w:bCs/>
          <w:color w:val="C9601A"/>
          <w:sz w:val="30"/>
          <w:szCs w:val="30"/>
        </w:rPr>
        <w:t>6. Conclusion</w:t>
      </w:r>
    </w:p>
    <w:p w14:paraId="7E00A184">
      <w:pPr>
        <w:spacing w:after="160" w:line="300" w:lineRule="auto"/>
      </w:pPr>
      <w:r>
        <w:rPr>
          <w:color w:val="2B2118"/>
          <w:sz w:val="22"/>
          <w:szCs w:val="22"/>
        </w:rPr>
        <w:t>This audit closes out the four-week planning-to-deployment cycle for the Online Property Tax Payment Portal. The platform's core design and testing strategy (Weeks 1–3) are sound, but this final review surfaces concrete, fixable gaps: two screens exceeding the performance benchmark, several WCAG principles below target — particularly keyboard operability — and a set of well-understood web vulnerabilities (XSS, SQL injection, IDOR) that must be addressed through standard secure-coding practice before go-live. The prioritised recommendations above give a clear, feasible path to closing these gaps and delivering a fast, accessible, and secure e-governance service to citizens.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E648C5"/>
    <w:rsid w:val="36FC661E"/>
    <w:rsid w:val="6FA879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2026-08-25T05:34:00Z</dcterms:created>
  <dc:creator>Un-named</dc:creator>
  <cp:lastModifiedBy>priya</cp:lastModifiedBy>
  <dcterms:modified xsi:type="dcterms:W3CDTF">2026-08-25T06:13:47Z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F7E48C492389474A9E327320F9C26B42_13</vt:lpwstr>
  </property>
</Properties>
</file>