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BFFEC4">
      <w:pPr>
        <w:spacing w:before="600"/>
      </w:pPr>
    </w:p>
    <w:p w14:paraId="75350E97">
      <w:pPr>
        <w:spacing w:after="120"/>
        <w:jc w:val="center"/>
      </w:pPr>
      <w:r>
        <w:rPr>
          <w:b/>
          <w:bCs/>
          <w:color w:val="C9601A"/>
          <w:sz w:val="24"/>
          <w:szCs w:val="24"/>
        </w:rPr>
        <w:t>WEEK 3 TASK REPORT</w:t>
      </w:r>
    </w:p>
    <w:p w14:paraId="04399C18">
      <w:pPr>
        <w:spacing w:after="200"/>
        <w:jc w:val="center"/>
      </w:pPr>
      <w:r>
        <w:rPr>
          <w:b/>
          <w:bCs/>
          <w:color w:val="2B2118"/>
          <w:sz w:val="38"/>
          <w:szCs w:val="38"/>
        </w:rPr>
        <w:t>Quality Assurance &amp; Testing Strategy for the Online Property Tax Payment Portal</w:t>
      </w:r>
    </w:p>
    <w:p w14:paraId="41492FD6">
      <w:pPr>
        <w:spacing w:after="400"/>
        <w:jc w:val="center"/>
      </w:pPr>
      <w:r>
        <w:rPr>
          <w:i/>
          <w:iCs/>
          <w:color w:val="666666"/>
          <w:sz w:val="24"/>
          <w:szCs w:val="24"/>
        </w:rPr>
        <w:t>Evaluation &amp; Testing Phase — Test Plan, Test Cases &amp; Risk Analysis</w:t>
      </w:r>
    </w:p>
    <w:p w14:paraId="166290A1">
      <w:pPr>
        <w:spacing w:after="40"/>
        <w:jc w:val="center"/>
      </w:pPr>
      <w:r>
        <w:rPr>
          <w:color w:val="2B2118"/>
          <w:sz w:val="22"/>
          <w:szCs w:val="22"/>
        </w:rPr>
        <w:t>Junior Web Developer – E-Governance &amp; Digital Services Internship</w:t>
      </w:r>
    </w:p>
    <w:p w14:paraId="1F6317BC">
      <w:pPr>
        <w:spacing w:after="40"/>
        <w:jc w:val="center"/>
        <w:rPr>
          <w:rFonts w:hint="default"/>
          <w:lang w:val="en-IN"/>
        </w:rPr>
      </w:pPr>
      <w:r>
        <w:rPr>
          <w:b/>
          <w:bCs/>
          <w:color w:val="2B2118"/>
          <w:sz w:val="22"/>
          <w:szCs w:val="22"/>
        </w:rPr>
        <w:t>Prepared by: P</w:t>
      </w:r>
      <w:r>
        <w:rPr>
          <w:rFonts w:hint="default"/>
          <w:b/>
          <w:bCs/>
          <w:color w:val="2B2118"/>
          <w:sz w:val="22"/>
          <w:szCs w:val="22"/>
          <w:lang w:val="en-IN"/>
        </w:rPr>
        <w:t>alak Ramtri</w:t>
      </w:r>
    </w:p>
    <w:p w14:paraId="62416658">
      <w:pPr>
        <w:spacing w:after="40"/>
        <w:jc w:val="center"/>
      </w:pPr>
      <w:r>
        <w:rPr>
          <w:color w:val="666666"/>
          <w:sz w:val="20"/>
          <w:szCs w:val="20"/>
        </w:rPr>
        <w:t xml:space="preserve">Internship Duration: </w:t>
      </w:r>
      <w:r>
        <w:rPr>
          <w:rFonts w:hint="default"/>
          <w:color w:val="666666"/>
          <w:sz w:val="20"/>
          <w:szCs w:val="20"/>
          <w:lang w:val="en-IN"/>
        </w:rPr>
        <w:t>01</w:t>
      </w:r>
      <w:r>
        <w:rPr>
          <w:color w:val="666666"/>
          <w:sz w:val="20"/>
          <w:szCs w:val="20"/>
        </w:rPr>
        <w:t xml:space="preserve"> </w:t>
      </w:r>
      <w:r>
        <w:rPr>
          <w:rFonts w:hint="default"/>
          <w:color w:val="666666"/>
          <w:sz w:val="20"/>
          <w:szCs w:val="20"/>
          <w:lang w:val="en-IN"/>
        </w:rPr>
        <w:t>August</w:t>
      </w:r>
      <w:r>
        <w:rPr>
          <w:color w:val="666666"/>
          <w:sz w:val="20"/>
          <w:szCs w:val="20"/>
        </w:rPr>
        <w:t xml:space="preserve"> 2026 – 2</w:t>
      </w:r>
      <w:r>
        <w:rPr>
          <w:rFonts w:hint="default"/>
          <w:color w:val="666666"/>
          <w:sz w:val="20"/>
          <w:szCs w:val="20"/>
          <w:lang w:val="en-IN"/>
        </w:rPr>
        <w:t>9</w:t>
      </w:r>
      <w:r>
        <w:rPr>
          <w:color w:val="666666"/>
          <w:sz w:val="20"/>
          <w:szCs w:val="20"/>
        </w:rPr>
        <w:t xml:space="preserve"> August 2026</w:t>
      </w:r>
    </w:p>
    <w:p w14:paraId="12BB64C9">
      <w:pPr>
        <w:spacing w:after="40"/>
        <w:jc w:val="center"/>
      </w:pPr>
      <w:r>
        <w:rPr>
          <w:color w:val="666666"/>
          <w:sz w:val="20"/>
          <w:szCs w:val="20"/>
        </w:rPr>
        <w:t xml:space="preserve">Report Date: </w:t>
      </w:r>
      <w:r>
        <w:rPr>
          <w:rFonts w:hint="default"/>
          <w:color w:val="666666"/>
          <w:sz w:val="20"/>
          <w:szCs w:val="20"/>
          <w:lang w:val="en-IN"/>
        </w:rPr>
        <w:t>18</w:t>
      </w:r>
      <w:bookmarkStart w:id="0" w:name="_GoBack"/>
      <w:bookmarkEnd w:id="0"/>
      <w:r>
        <w:rPr>
          <w:color w:val="666666"/>
          <w:sz w:val="20"/>
          <w:szCs w:val="20"/>
        </w:rPr>
        <w:t xml:space="preserve"> August 2026</w:t>
      </w:r>
    </w:p>
    <w:p w14:paraId="1C376FAF">
      <w:r>
        <w:br w:type="page"/>
      </w:r>
    </w:p>
    <w:p w14:paraId="1ECF3752">
      <w:pPr>
        <w:pStyle w:val="2"/>
        <w:pBdr>
          <w:bottom w:val="single" w:color="C9601A" w:sz="6" w:space="4"/>
        </w:pBdr>
        <w:spacing w:before="320" w:after="160"/>
      </w:pPr>
      <w:r>
        <w:rPr>
          <w:b/>
          <w:bCs/>
          <w:color w:val="C9601A"/>
          <w:sz w:val="30"/>
          <w:szCs w:val="30"/>
        </w:rPr>
        <w:t>1. Objective</w:t>
      </w:r>
    </w:p>
    <w:p w14:paraId="7ED6FDFF">
      <w:pPr>
        <w:spacing w:after="160" w:line="300" w:lineRule="auto"/>
      </w:pPr>
      <w:r>
        <w:rPr>
          <w:color w:val="2B2118"/>
          <w:sz w:val="22"/>
          <w:szCs w:val="22"/>
        </w:rPr>
        <w:t>With planning (Week 1) and design (Week 2) complete, this week's focus shifts to evaluation and testing. This report defines a comprehensive quality assurance and testing strategy for the Online Property Tax Payment Portal, covering functional, performance, and security testing, so that the platform delivers reliable, accurate, and secure service to citizens before deployment.</w:t>
      </w:r>
    </w:p>
    <w:p w14:paraId="21040D2C">
      <w:pPr>
        <w:pStyle w:val="2"/>
        <w:pBdr>
          <w:bottom w:val="single" w:color="C9601A" w:sz="6" w:space="4"/>
        </w:pBdr>
        <w:spacing w:before="320" w:after="160"/>
      </w:pPr>
      <w:r>
        <w:rPr>
          <w:b/>
          <w:bCs/>
          <w:color w:val="C9601A"/>
          <w:sz w:val="30"/>
          <w:szCs w:val="30"/>
        </w:rPr>
        <w:t>2. Test Plan Overview</w:t>
      </w:r>
    </w:p>
    <w:p w14:paraId="294A98A5">
      <w:pPr>
        <w:spacing w:after="160" w:line="300" w:lineRule="auto"/>
      </w:pPr>
      <w:r>
        <w:rPr>
          <w:color w:val="2B2118"/>
          <w:sz w:val="22"/>
          <w:szCs w:val="22"/>
        </w:rPr>
        <w:t>The testing strategy follows a layered approach, moving from small, fast checks to broad, end-to-end validation. The testing pyramid below shows the proportion of effort recommended at each level.</w:t>
      </w:r>
    </w:p>
    <w:p w14:paraId="1F97A4B9">
      <w:pPr>
        <w:spacing w:before="120" w:after="120"/>
        <w:jc w:val="center"/>
      </w:pPr>
      <w:r>
        <w:drawing>
          <wp:inline distT="0" distB="0" distL="0" distR="0">
            <wp:extent cx="4000500" cy="2981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4000500" cy="2981325"/>
                    </a:xfrm>
                    <a:prstGeom prst="rect">
                      <a:avLst/>
                    </a:prstGeom>
                  </pic:spPr>
                </pic:pic>
              </a:graphicData>
            </a:graphic>
          </wp:inline>
        </w:drawing>
      </w:r>
    </w:p>
    <w:p w14:paraId="4066C531">
      <w:pPr>
        <w:spacing w:after="240"/>
        <w:jc w:val="center"/>
      </w:pPr>
      <w:r>
        <w:rPr>
          <w:i/>
          <w:iCs/>
          <w:color w:val="666666"/>
          <w:sz w:val="18"/>
          <w:szCs w:val="18"/>
        </w:rPr>
        <w:t>Figure 1: Testing pyramid for the property tax portal</w:t>
      </w:r>
    </w:p>
    <w:p w14:paraId="5FDDA12D">
      <w:pPr>
        <w:pStyle w:val="3"/>
        <w:spacing w:before="220" w:after="100"/>
      </w:pPr>
      <w:r>
        <w:rPr>
          <w:b/>
          <w:bCs/>
          <w:color w:val="2B2118"/>
          <w:sz w:val="24"/>
          <w:szCs w:val="24"/>
        </w:rPr>
        <w:t>Types of Testing Covered</w:t>
      </w:r>
    </w:p>
    <w:p w14:paraId="6ADAF252">
      <w:pPr>
        <w:pStyle w:val="16"/>
        <w:numPr>
          <w:ilvl w:val="0"/>
          <w:numId w:val="1"/>
        </w:numPr>
        <w:spacing w:after="80"/>
      </w:pPr>
      <w:r>
        <w:rPr>
          <w:color w:val="2B2118"/>
          <w:sz w:val="22"/>
          <w:szCs w:val="22"/>
        </w:rPr>
        <w:t>Unit Testing: Validates individual functions in isolation — e.g., tax calculation logic, OTP validation, input field validation (property ID format, mobile number format).</w:t>
      </w:r>
    </w:p>
    <w:p w14:paraId="6A99B585">
      <w:pPr>
        <w:pStyle w:val="16"/>
        <w:numPr>
          <w:ilvl w:val="0"/>
          <w:numId w:val="1"/>
        </w:numPr>
        <w:spacing w:after="80"/>
      </w:pPr>
      <w:r>
        <w:rPr>
          <w:color w:val="2B2118"/>
          <w:sz w:val="22"/>
          <w:szCs w:val="22"/>
        </w:rPr>
        <w:t>Integration Testing: Verifies that components work together correctly — e.g., the search service correctly queries the property database, and the payment module correctly calls the external payment gateway API.</w:t>
      </w:r>
    </w:p>
    <w:p w14:paraId="6406F9EA">
      <w:pPr>
        <w:pStyle w:val="16"/>
        <w:numPr>
          <w:ilvl w:val="0"/>
          <w:numId w:val="1"/>
        </w:numPr>
        <w:spacing w:after="80"/>
      </w:pPr>
      <w:r>
        <w:rPr>
          <w:color w:val="2B2118"/>
          <w:sz w:val="22"/>
          <w:szCs w:val="22"/>
        </w:rPr>
        <w:t>System Testing: Validates complete end-to-end user journeys against the flows defined in Week 1 and Week 2 — e.g., login → search → view bill → pay → receive receipt.</w:t>
      </w:r>
    </w:p>
    <w:p w14:paraId="6E0844E4">
      <w:pPr>
        <w:pStyle w:val="16"/>
        <w:numPr>
          <w:ilvl w:val="0"/>
          <w:numId w:val="1"/>
        </w:numPr>
        <w:spacing w:after="80"/>
      </w:pPr>
      <w:r>
        <w:rPr>
          <w:color w:val="2B2118"/>
          <w:sz w:val="22"/>
          <w:szCs w:val="22"/>
        </w:rPr>
        <w:t>Performance / Stress Testing: Measures how the system behaves under expected and peak load, particularly near tax due dates when traffic spikes (as identified as a risk in Week 1).</w:t>
      </w:r>
    </w:p>
    <w:p w14:paraId="0379FFD6">
      <w:pPr>
        <w:pStyle w:val="16"/>
        <w:numPr>
          <w:ilvl w:val="0"/>
          <w:numId w:val="1"/>
        </w:numPr>
        <w:spacing w:after="80"/>
      </w:pPr>
      <w:r>
        <w:rPr>
          <w:color w:val="2B2118"/>
          <w:sz w:val="22"/>
          <w:szCs w:val="22"/>
        </w:rPr>
        <w:t>Security Testing: Checks for common vulnerabilities (SQL injection, cross-site scripting, broken authentication, insecure data transmission) given that the portal handles personal and financial data.</w:t>
      </w:r>
    </w:p>
    <w:p w14:paraId="2996AA62">
      <w:pPr>
        <w:pStyle w:val="16"/>
        <w:numPr>
          <w:ilvl w:val="0"/>
          <w:numId w:val="1"/>
        </w:numPr>
        <w:spacing w:after="80"/>
      </w:pPr>
      <w:r>
        <w:rPr>
          <w:color w:val="2B2118"/>
          <w:sz w:val="22"/>
          <w:szCs w:val="22"/>
        </w:rPr>
        <w:t>User Acceptance Testing (UAT): A small group of representative citizens (matching the personas from Week 1) test the live-like prototype and confirm it meets their real-world needs.</w:t>
      </w:r>
    </w:p>
    <w:p w14:paraId="7F1EBDAB">
      <w:pPr>
        <w:pStyle w:val="3"/>
        <w:spacing w:before="220" w:after="100"/>
      </w:pPr>
      <w:r>
        <w:rPr>
          <w:b/>
          <w:bCs/>
          <w:color w:val="2B2118"/>
          <w:sz w:val="24"/>
          <w:szCs w:val="24"/>
        </w:rPr>
        <w:t>Manual vs Automated Execution</w:t>
      </w:r>
    </w:p>
    <w:p w14:paraId="0A701F72">
      <w:pPr>
        <w:pStyle w:val="16"/>
        <w:numPr>
          <w:ilvl w:val="0"/>
          <w:numId w:val="1"/>
        </w:numPr>
        <w:spacing w:after="80"/>
      </w:pPr>
      <w:r>
        <w:rPr>
          <w:color w:val="2B2118"/>
          <w:sz w:val="22"/>
          <w:szCs w:val="22"/>
        </w:rPr>
        <w:t>Automated: Unit tests and integration tests (via a framework such as Jest/Mocha for Node.js, and Postman/Newman for API testing) run automatically on every code change through a CI pipeline.</w:t>
      </w:r>
    </w:p>
    <w:p w14:paraId="2891C856">
      <w:pPr>
        <w:pStyle w:val="16"/>
        <w:numPr>
          <w:ilvl w:val="0"/>
          <w:numId w:val="1"/>
        </w:numPr>
        <w:spacing w:after="80"/>
      </w:pPr>
      <w:r>
        <w:rPr>
          <w:color w:val="2B2118"/>
          <w:sz w:val="22"/>
          <w:szCs w:val="22"/>
        </w:rPr>
        <w:t>Automated: Core regression scenarios (login, search, payment) are covered by automated end-to-end tests (e.g., Playwright/Cypress) so they can be re-run quickly after each fix.</w:t>
      </w:r>
    </w:p>
    <w:p w14:paraId="433B8C43">
      <w:pPr>
        <w:pStyle w:val="16"/>
        <w:numPr>
          <w:ilvl w:val="0"/>
          <w:numId w:val="1"/>
        </w:numPr>
        <w:spacing w:after="80"/>
      </w:pPr>
      <w:r>
        <w:rPr>
          <w:color w:val="2B2118"/>
          <w:sz w:val="22"/>
          <w:szCs w:val="22"/>
        </w:rPr>
        <w:t>Manual: Exploratory testing, UAT, and usability checks (especially for the personas with lower digital literacy, per Week 1) are performed manually, since these rely on human judgement of clarity and ease of use.</w:t>
      </w:r>
    </w:p>
    <w:p w14:paraId="43A839FE">
      <w:pPr>
        <w:pStyle w:val="16"/>
        <w:numPr>
          <w:ilvl w:val="0"/>
          <w:numId w:val="1"/>
        </w:numPr>
        <w:spacing w:after="80"/>
      </w:pPr>
      <w:r>
        <w:rPr>
          <w:color w:val="2B2118"/>
          <w:sz w:val="22"/>
          <w:szCs w:val="22"/>
        </w:rPr>
        <w:t>Manual: Security penetration testing is performed manually/by a specialist tool audit before major releases, supplemented by automated vulnerability scanning.</w:t>
      </w:r>
    </w:p>
    <w:p w14:paraId="79DC036F">
      <w:pPr>
        <w:pStyle w:val="2"/>
        <w:pBdr>
          <w:bottom w:val="single" w:color="C9601A" w:sz="6" w:space="4"/>
        </w:pBdr>
        <w:spacing w:before="320" w:after="160"/>
      </w:pPr>
      <w:r>
        <w:rPr>
          <w:b/>
          <w:bCs/>
          <w:color w:val="C9601A"/>
          <w:sz w:val="30"/>
          <w:szCs w:val="30"/>
        </w:rPr>
        <w:t>3. Test Cases</w:t>
      </w:r>
    </w:p>
    <w:p w14:paraId="16261607">
      <w:pPr>
        <w:spacing w:after="160" w:line="300" w:lineRule="auto"/>
      </w:pPr>
      <w:r>
        <w:rPr>
          <w:color w:val="2B2118"/>
          <w:sz w:val="22"/>
          <w:szCs w:val="22"/>
        </w:rPr>
        <w:t>The table below defines representative test cases covering the core functionalities of the platform, spanning functional, security and performance testing.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93"/>
        <w:gridCol w:w="1787"/>
        <w:gridCol w:w="2978"/>
        <w:gridCol w:w="2978"/>
        <w:gridCol w:w="1390"/>
      </w:tblGrid>
      <w:tr w14:paraId="618DD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pct"/>
            <w:shd w:val="clear" w:color="auto" w:fill="C9601A"/>
            <w:tcMar>
              <w:top w:w="80" w:type="dxa"/>
              <w:left w:w="90" w:type="dxa"/>
              <w:bottom w:w="80" w:type="dxa"/>
              <w:right w:w="90" w:type="dxa"/>
            </w:tcMar>
            <w:vAlign w:val="center"/>
          </w:tcPr>
          <w:p w14:paraId="5A4E7E59">
            <w:pPr>
              <w:spacing w:after="40"/>
            </w:pPr>
            <w:r>
              <w:rPr>
                <w:b/>
                <w:bCs/>
                <w:color w:val="FFFFFF"/>
                <w:sz w:val="19"/>
                <w:szCs w:val="19"/>
              </w:rPr>
              <w:t>ID</w:t>
            </w:r>
          </w:p>
        </w:tc>
        <w:tc>
          <w:tcPr>
            <w:tcW w:w="900" w:type="pct"/>
            <w:shd w:val="clear" w:color="auto" w:fill="C9601A"/>
            <w:tcMar>
              <w:top w:w="80" w:type="dxa"/>
              <w:left w:w="90" w:type="dxa"/>
              <w:bottom w:w="80" w:type="dxa"/>
              <w:right w:w="90" w:type="dxa"/>
            </w:tcMar>
            <w:vAlign w:val="center"/>
          </w:tcPr>
          <w:p w14:paraId="41984BAF">
            <w:pPr>
              <w:spacing w:after="40"/>
            </w:pPr>
            <w:r>
              <w:rPr>
                <w:b/>
                <w:bCs/>
                <w:color w:val="FFFFFF"/>
                <w:sz w:val="19"/>
                <w:szCs w:val="19"/>
              </w:rPr>
              <w:t>Scenario</w:t>
            </w:r>
          </w:p>
        </w:tc>
        <w:tc>
          <w:tcPr>
            <w:tcW w:w="1500" w:type="pct"/>
            <w:shd w:val="clear" w:color="auto" w:fill="C9601A"/>
            <w:tcMar>
              <w:top w:w="80" w:type="dxa"/>
              <w:left w:w="90" w:type="dxa"/>
              <w:bottom w:w="80" w:type="dxa"/>
              <w:right w:w="90" w:type="dxa"/>
            </w:tcMar>
            <w:vAlign w:val="center"/>
          </w:tcPr>
          <w:p w14:paraId="54E0460F">
            <w:pPr>
              <w:spacing w:after="40"/>
            </w:pPr>
            <w:r>
              <w:rPr>
                <w:b/>
                <w:bCs/>
                <w:color w:val="FFFFFF"/>
                <w:sz w:val="19"/>
                <w:szCs w:val="19"/>
              </w:rPr>
              <w:t>Steps</w:t>
            </w:r>
          </w:p>
        </w:tc>
        <w:tc>
          <w:tcPr>
            <w:tcW w:w="1500" w:type="pct"/>
            <w:shd w:val="clear" w:color="auto" w:fill="C9601A"/>
            <w:tcMar>
              <w:top w:w="80" w:type="dxa"/>
              <w:left w:w="90" w:type="dxa"/>
              <w:bottom w:w="80" w:type="dxa"/>
              <w:right w:w="90" w:type="dxa"/>
            </w:tcMar>
            <w:vAlign w:val="center"/>
          </w:tcPr>
          <w:p w14:paraId="488A004F">
            <w:pPr>
              <w:spacing w:after="40"/>
            </w:pPr>
            <w:r>
              <w:rPr>
                <w:b/>
                <w:bCs/>
                <w:color w:val="FFFFFF"/>
                <w:sz w:val="19"/>
                <w:szCs w:val="19"/>
              </w:rPr>
              <w:t>Expected Result</w:t>
            </w:r>
          </w:p>
        </w:tc>
        <w:tc>
          <w:tcPr>
            <w:tcW w:w="700" w:type="pct"/>
            <w:shd w:val="clear" w:color="auto" w:fill="C9601A"/>
            <w:tcMar>
              <w:top w:w="80" w:type="dxa"/>
              <w:left w:w="90" w:type="dxa"/>
              <w:bottom w:w="80" w:type="dxa"/>
              <w:right w:w="90" w:type="dxa"/>
            </w:tcMar>
            <w:vAlign w:val="center"/>
          </w:tcPr>
          <w:p w14:paraId="023FCD3A">
            <w:pPr>
              <w:spacing w:after="40"/>
            </w:pPr>
            <w:r>
              <w:rPr>
                <w:b/>
                <w:bCs/>
                <w:color w:val="FFFFFF"/>
                <w:sz w:val="19"/>
                <w:szCs w:val="19"/>
              </w:rPr>
              <w:t>Type</w:t>
            </w:r>
          </w:p>
        </w:tc>
      </w:tr>
      <w:tr w14:paraId="51A8A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Mar>
              <w:top w:w="80" w:type="dxa"/>
              <w:left w:w="90" w:type="dxa"/>
              <w:bottom w:w="80" w:type="dxa"/>
              <w:right w:w="90" w:type="dxa"/>
            </w:tcMar>
            <w:vAlign w:val="center"/>
          </w:tcPr>
          <w:p w14:paraId="27B678C6">
            <w:pPr>
              <w:spacing w:after="40"/>
            </w:pPr>
            <w:r>
              <w:rPr>
                <w:color w:val="2B2118"/>
                <w:sz w:val="19"/>
                <w:szCs w:val="19"/>
              </w:rPr>
              <w:t>TC-01</w:t>
            </w:r>
          </w:p>
        </w:tc>
        <w:tc>
          <w:tcPr>
            <w:tcW w:w="900" w:type="pct"/>
            <w:tcMar>
              <w:top w:w="80" w:type="dxa"/>
              <w:left w:w="90" w:type="dxa"/>
              <w:bottom w:w="80" w:type="dxa"/>
              <w:right w:w="90" w:type="dxa"/>
            </w:tcMar>
            <w:vAlign w:val="center"/>
          </w:tcPr>
          <w:p w14:paraId="2200D50D">
            <w:pPr>
              <w:spacing w:after="40"/>
            </w:pPr>
            <w:r>
              <w:rPr>
                <w:color w:val="2B2118"/>
                <w:sz w:val="19"/>
                <w:szCs w:val="19"/>
              </w:rPr>
              <w:t>Successful OTP login</w:t>
            </w:r>
          </w:p>
        </w:tc>
        <w:tc>
          <w:tcPr>
            <w:tcW w:w="1500" w:type="pct"/>
            <w:tcMar>
              <w:top w:w="80" w:type="dxa"/>
              <w:left w:w="90" w:type="dxa"/>
              <w:bottom w:w="80" w:type="dxa"/>
              <w:right w:w="90" w:type="dxa"/>
            </w:tcMar>
            <w:vAlign w:val="center"/>
          </w:tcPr>
          <w:p w14:paraId="4FD9E9D0">
            <w:pPr>
              <w:spacing w:after="40"/>
            </w:pPr>
            <w:r>
              <w:rPr>
                <w:color w:val="2B2118"/>
                <w:sz w:val="19"/>
                <w:szCs w:val="19"/>
              </w:rPr>
              <w:t>1) Enter registered mobile number. 2) Request OTP. 3) Enter correct OTP. 4) Submit.</w:t>
            </w:r>
          </w:p>
        </w:tc>
        <w:tc>
          <w:tcPr>
            <w:tcW w:w="1500" w:type="pct"/>
            <w:tcMar>
              <w:top w:w="80" w:type="dxa"/>
              <w:left w:w="90" w:type="dxa"/>
              <w:bottom w:w="80" w:type="dxa"/>
              <w:right w:w="90" w:type="dxa"/>
            </w:tcMar>
            <w:vAlign w:val="center"/>
          </w:tcPr>
          <w:p w14:paraId="3128853C">
            <w:pPr>
              <w:spacing w:after="40"/>
            </w:pPr>
            <w:r>
              <w:rPr>
                <w:color w:val="2B2118"/>
                <w:sz w:val="19"/>
                <w:szCs w:val="19"/>
              </w:rPr>
              <w:t>User is authenticated and redirected to the dashboard within 3 seconds.</w:t>
            </w:r>
          </w:p>
        </w:tc>
        <w:tc>
          <w:tcPr>
            <w:tcW w:w="700" w:type="pct"/>
            <w:tcMar>
              <w:top w:w="80" w:type="dxa"/>
              <w:left w:w="90" w:type="dxa"/>
              <w:bottom w:w="80" w:type="dxa"/>
              <w:right w:w="90" w:type="dxa"/>
            </w:tcMar>
            <w:vAlign w:val="center"/>
          </w:tcPr>
          <w:p w14:paraId="1CC87946">
            <w:pPr>
              <w:spacing w:after="40"/>
            </w:pPr>
            <w:r>
              <w:rPr>
                <w:color w:val="2B2118"/>
                <w:sz w:val="19"/>
                <w:szCs w:val="19"/>
              </w:rPr>
              <w:t>Functional</w:t>
            </w:r>
          </w:p>
        </w:tc>
      </w:tr>
      <w:tr w14:paraId="75F62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shd w:val="clear" w:color="auto" w:fill="FBEFE6"/>
            <w:tcMar>
              <w:top w:w="80" w:type="dxa"/>
              <w:left w:w="90" w:type="dxa"/>
              <w:bottom w:w="80" w:type="dxa"/>
              <w:right w:w="90" w:type="dxa"/>
            </w:tcMar>
            <w:vAlign w:val="center"/>
          </w:tcPr>
          <w:p w14:paraId="2ED5C4EA">
            <w:pPr>
              <w:spacing w:after="40"/>
            </w:pPr>
            <w:r>
              <w:rPr>
                <w:color w:val="2B2118"/>
                <w:sz w:val="19"/>
                <w:szCs w:val="19"/>
              </w:rPr>
              <w:t>TC-02</w:t>
            </w:r>
          </w:p>
        </w:tc>
        <w:tc>
          <w:tcPr>
            <w:tcW w:w="900" w:type="pct"/>
            <w:shd w:val="clear" w:color="auto" w:fill="FBEFE6"/>
            <w:tcMar>
              <w:top w:w="80" w:type="dxa"/>
              <w:left w:w="90" w:type="dxa"/>
              <w:bottom w:w="80" w:type="dxa"/>
              <w:right w:w="90" w:type="dxa"/>
            </w:tcMar>
            <w:vAlign w:val="center"/>
          </w:tcPr>
          <w:p w14:paraId="0E2EEB06">
            <w:pPr>
              <w:spacing w:after="40"/>
            </w:pPr>
            <w:r>
              <w:rPr>
                <w:color w:val="2B2118"/>
                <w:sz w:val="19"/>
                <w:szCs w:val="19"/>
              </w:rPr>
              <w:t>Property search by Property ID</w:t>
            </w:r>
          </w:p>
        </w:tc>
        <w:tc>
          <w:tcPr>
            <w:tcW w:w="1500" w:type="pct"/>
            <w:shd w:val="clear" w:color="auto" w:fill="FBEFE6"/>
            <w:tcMar>
              <w:top w:w="80" w:type="dxa"/>
              <w:left w:w="90" w:type="dxa"/>
              <w:bottom w:w="80" w:type="dxa"/>
              <w:right w:w="90" w:type="dxa"/>
            </w:tcMar>
            <w:vAlign w:val="center"/>
          </w:tcPr>
          <w:p w14:paraId="69FE8784">
            <w:pPr>
              <w:spacing w:after="40"/>
            </w:pPr>
            <w:r>
              <w:rPr>
                <w:color w:val="2B2118"/>
                <w:sz w:val="19"/>
                <w:szCs w:val="19"/>
              </w:rPr>
              <w:t>1) Log in. 2) Enter a valid Property ID in the search bar. 3) Click Search.</w:t>
            </w:r>
          </w:p>
        </w:tc>
        <w:tc>
          <w:tcPr>
            <w:tcW w:w="1500" w:type="pct"/>
            <w:shd w:val="clear" w:color="auto" w:fill="FBEFE6"/>
            <w:tcMar>
              <w:top w:w="80" w:type="dxa"/>
              <w:left w:w="90" w:type="dxa"/>
              <w:bottom w:w="80" w:type="dxa"/>
              <w:right w:w="90" w:type="dxa"/>
            </w:tcMar>
            <w:vAlign w:val="center"/>
          </w:tcPr>
          <w:p w14:paraId="75CB4B85">
            <w:pPr>
              <w:spacing w:after="40"/>
            </w:pPr>
            <w:r>
              <w:rPr>
                <w:color w:val="2B2118"/>
                <w:sz w:val="19"/>
                <w:szCs w:val="19"/>
              </w:rPr>
              <w:t>Correct property details and current tax dues are displayed.</w:t>
            </w:r>
          </w:p>
        </w:tc>
        <w:tc>
          <w:tcPr>
            <w:tcW w:w="700" w:type="pct"/>
            <w:shd w:val="clear" w:color="auto" w:fill="FBEFE6"/>
            <w:tcMar>
              <w:top w:w="80" w:type="dxa"/>
              <w:left w:w="90" w:type="dxa"/>
              <w:bottom w:w="80" w:type="dxa"/>
              <w:right w:w="90" w:type="dxa"/>
            </w:tcMar>
            <w:vAlign w:val="center"/>
          </w:tcPr>
          <w:p w14:paraId="4F75AA15">
            <w:pPr>
              <w:spacing w:after="40"/>
            </w:pPr>
            <w:r>
              <w:rPr>
                <w:color w:val="2B2118"/>
                <w:sz w:val="19"/>
                <w:szCs w:val="19"/>
              </w:rPr>
              <w:t>Functional</w:t>
            </w:r>
          </w:p>
        </w:tc>
      </w:tr>
      <w:tr w14:paraId="5D14A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Mar>
              <w:top w:w="80" w:type="dxa"/>
              <w:left w:w="90" w:type="dxa"/>
              <w:bottom w:w="80" w:type="dxa"/>
              <w:right w:w="90" w:type="dxa"/>
            </w:tcMar>
            <w:vAlign w:val="center"/>
          </w:tcPr>
          <w:p w14:paraId="60ACB0ED">
            <w:pPr>
              <w:spacing w:after="40"/>
            </w:pPr>
            <w:r>
              <w:rPr>
                <w:color w:val="2B2118"/>
                <w:sz w:val="19"/>
                <w:szCs w:val="19"/>
              </w:rPr>
              <w:t>TC-03</w:t>
            </w:r>
          </w:p>
        </w:tc>
        <w:tc>
          <w:tcPr>
            <w:tcW w:w="900" w:type="pct"/>
            <w:tcMar>
              <w:top w:w="80" w:type="dxa"/>
              <w:left w:w="90" w:type="dxa"/>
              <w:bottom w:w="80" w:type="dxa"/>
              <w:right w:w="90" w:type="dxa"/>
            </w:tcMar>
            <w:vAlign w:val="center"/>
          </w:tcPr>
          <w:p w14:paraId="117FC4C2">
            <w:pPr>
              <w:spacing w:after="40"/>
            </w:pPr>
            <w:r>
              <w:rPr>
                <w:color w:val="2B2118"/>
                <w:sz w:val="19"/>
                <w:szCs w:val="19"/>
              </w:rPr>
              <w:t>Successful tax payment via UPI</w:t>
            </w:r>
          </w:p>
        </w:tc>
        <w:tc>
          <w:tcPr>
            <w:tcW w:w="1500" w:type="pct"/>
            <w:tcMar>
              <w:top w:w="80" w:type="dxa"/>
              <w:left w:w="90" w:type="dxa"/>
              <w:bottom w:w="80" w:type="dxa"/>
              <w:right w:w="90" w:type="dxa"/>
            </w:tcMar>
            <w:vAlign w:val="center"/>
          </w:tcPr>
          <w:p w14:paraId="4C786961">
            <w:pPr>
              <w:spacing w:after="40"/>
            </w:pPr>
            <w:r>
              <w:rPr>
                <w:color w:val="2B2118"/>
                <w:sz w:val="19"/>
                <w:szCs w:val="19"/>
              </w:rPr>
              <w:t>1) Select a property with pending dues. 2) Click 'Pay Now'. 3) Choose UPI. 4) Complete payment.</w:t>
            </w:r>
          </w:p>
        </w:tc>
        <w:tc>
          <w:tcPr>
            <w:tcW w:w="1500" w:type="pct"/>
            <w:tcMar>
              <w:top w:w="80" w:type="dxa"/>
              <w:left w:w="90" w:type="dxa"/>
              <w:bottom w:w="80" w:type="dxa"/>
              <w:right w:w="90" w:type="dxa"/>
            </w:tcMar>
            <w:vAlign w:val="center"/>
          </w:tcPr>
          <w:p w14:paraId="07E32100">
            <w:pPr>
              <w:spacing w:after="40"/>
            </w:pPr>
            <w:r>
              <w:rPr>
                <w:color w:val="2B2118"/>
                <w:sz w:val="19"/>
                <w:szCs w:val="19"/>
              </w:rPr>
              <w:t>Payment succeeds; receipt is generated; municipal record is updated with the new payment status.</w:t>
            </w:r>
          </w:p>
        </w:tc>
        <w:tc>
          <w:tcPr>
            <w:tcW w:w="700" w:type="pct"/>
            <w:tcMar>
              <w:top w:w="80" w:type="dxa"/>
              <w:left w:w="90" w:type="dxa"/>
              <w:bottom w:w="80" w:type="dxa"/>
              <w:right w:w="90" w:type="dxa"/>
            </w:tcMar>
            <w:vAlign w:val="center"/>
          </w:tcPr>
          <w:p w14:paraId="4E1829FF">
            <w:pPr>
              <w:spacing w:after="40"/>
            </w:pPr>
            <w:r>
              <w:rPr>
                <w:color w:val="2B2118"/>
                <w:sz w:val="19"/>
                <w:szCs w:val="19"/>
              </w:rPr>
              <w:t>Functional / Integration</w:t>
            </w:r>
          </w:p>
        </w:tc>
      </w:tr>
      <w:tr w14:paraId="6D85C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shd w:val="clear" w:color="auto" w:fill="FBEFE6"/>
            <w:tcMar>
              <w:top w:w="80" w:type="dxa"/>
              <w:left w:w="90" w:type="dxa"/>
              <w:bottom w:w="80" w:type="dxa"/>
              <w:right w:w="90" w:type="dxa"/>
            </w:tcMar>
            <w:vAlign w:val="center"/>
          </w:tcPr>
          <w:p w14:paraId="2672AFA5">
            <w:pPr>
              <w:spacing w:after="40"/>
            </w:pPr>
            <w:r>
              <w:rPr>
                <w:color w:val="2B2118"/>
                <w:sz w:val="19"/>
                <w:szCs w:val="19"/>
              </w:rPr>
              <w:t>TC-04</w:t>
            </w:r>
          </w:p>
        </w:tc>
        <w:tc>
          <w:tcPr>
            <w:tcW w:w="900" w:type="pct"/>
            <w:shd w:val="clear" w:color="auto" w:fill="FBEFE6"/>
            <w:tcMar>
              <w:top w:w="80" w:type="dxa"/>
              <w:left w:w="90" w:type="dxa"/>
              <w:bottom w:w="80" w:type="dxa"/>
              <w:right w:w="90" w:type="dxa"/>
            </w:tcMar>
            <w:vAlign w:val="center"/>
          </w:tcPr>
          <w:p w14:paraId="48C1333D">
            <w:pPr>
              <w:spacing w:after="40"/>
            </w:pPr>
            <w:r>
              <w:rPr>
                <w:color w:val="2B2118"/>
                <w:sz w:val="19"/>
                <w:szCs w:val="19"/>
              </w:rPr>
              <w:t>Failed payment handling</w:t>
            </w:r>
          </w:p>
        </w:tc>
        <w:tc>
          <w:tcPr>
            <w:tcW w:w="1500" w:type="pct"/>
            <w:shd w:val="clear" w:color="auto" w:fill="FBEFE6"/>
            <w:tcMar>
              <w:top w:w="80" w:type="dxa"/>
              <w:left w:w="90" w:type="dxa"/>
              <w:bottom w:w="80" w:type="dxa"/>
              <w:right w:w="90" w:type="dxa"/>
            </w:tcMar>
            <w:vAlign w:val="center"/>
          </w:tcPr>
          <w:p w14:paraId="39B4F7F1">
            <w:pPr>
              <w:spacing w:after="40"/>
            </w:pPr>
            <w:r>
              <w:rPr>
                <w:color w:val="2B2118"/>
                <w:sz w:val="19"/>
                <w:szCs w:val="19"/>
              </w:rPr>
              <w:t>1) Start a payment. 2) Simulate a gateway timeout or bank decline.</w:t>
            </w:r>
          </w:p>
        </w:tc>
        <w:tc>
          <w:tcPr>
            <w:tcW w:w="1500" w:type="pct"/>
            <w:shd w:val="clear" w:color="auto" w:fill="FBEFE6"/>
            <w:tcMar>
              <w:top w:w="80" w:type="dxa"/>
              <w:left w:w="90" w:type="dxa"/>
              <w:bottom w:w="80" w:type="dxa"/>
              <w:right w:w="90" w:type="dxa"/>
            </w:tcMar>
            <w:vAlign w:val="center"/>
          </w:tcPr>
          <w:p w14:paraId="4143BEFD">
            <w:pPr>
              <w:spacing w:after="40"/>
            </w:pPr>
            <w:r>
              <w:rPr>
                <w:color w:val="2B2118"/>
                <w:sz w:val="19"/>
                <w:szCs w:val="19"/>
              </w:rPr>
              <w:t>Transaction is marked as failed (not silently lost); no duplicate tax record update; user is shown a clear retry option.</w:t>
            </w:r>
          </w:p>
        </w:tc>
        <w:tc>
          <w:tcPr>
            <w:tcW w:w="700" w:type="pct"/>
            <w:shd w:val="clear" w:color="auto" w:fill="FBEFE6"/>
            <w:tcMar>
              <w:top w:w="80" w:type="dxa"/>
              <w:left w:w="90" w:type="dxa"/>
              <w:bottom w:w="80" w:type="dxa"/>
              <w:right w:w="90" w:type="dxa"/>
            </w:tcMar>
            <w:vAlign w:val="center"/>
          </w:tcPr>
          <w:p w14:paraId="2A48707D">
            <w:pPr>
              <w:spacing w:after="40"/>
            </w:pPr>
            <w:r>
              <w:rPr>
                <w:color w:val="2B2118"/>
                <w:sz w:val="19"/>
                <w:szCs w:val="19"/>
              </w:rPr>
              <w:t>Functional / Negative</w:t>
            </w:r>
          </w:p>
        </w:tc>
      </w:tr>
      <w:tr w14:paraId="00928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Mar>
              <w:top w:w="80" w:type="dxa"/>
              <w:left w:w="90" w:type="dxa"/>
              <w:bottom w:w="80" w:type="dxa"/>
              <w:right w:w="90" w:type="dxa"/>
            </w:tcMar>
            <w:vAlign w:val="center"/>
          </w:tcPr>
          <w:p w14:paraId="1896D0A4">
            <w:pPr>
              <w:spacing w:after="40"/>
            </w:pPr>
            <w:r>
              <w:rPr>
                <w:color w:val="2B2118"/>
                <w:sz w:val="19"/>
                <w:szCs w:val="19"/>
              </w:rPr>
              <w:t>TC-05</w:t>
            </w:r>
          </w:p>
        </w:tc>
        <w:tc>
          <w:tcPr>
            <w:tcW w:w="900" w:type="pct"/>
            <w:tcMar>
              <w:top w:w="80" w:type="dxa"/>
              <w:left w:w="90" w:type="dxa"/>
              <w:bottom w:w="80" w:type="dxa"/>
              <w:right w:w="90" w:type="dxa"/>
            </w:tcMar>
            <w:vAlign w:val="center"/>
          </w:tcPr>
          <w:p w14:paraId="3B1D9641">
            <w:pPr>
              <w:spacing w:after="40"/>
            </w:pPr>
            <w:r>
              <w:rPr>
                <w:color w:val="2B2118"/>
                <w:sz w:val="19"/>
                <w:szCs w:val="19"/>
              </w:rPr>
              <w:t>Invalid OTP entry</w:t>
            </w:r>
          </w:p>
        </w:tc>
        <w:tc>
          <w:tcPr>
            <w:tcW w:w="1500" w:type="pct"/>
            <w:tcMar>
              <w:top w:w="80" w:type="dxa"/>
              <w:left w:w="90" w:type="dxa"/>
              <w:bottom w:w="80" w:type="dxa"/>
              <w:right w:w="90" w:type="dxa"/>
            </w:tcMar>
            <w:vAlign w:val="center"/>
          </w:tcPr>
          <w:p w14:paraId="30E11689">
            <w:pPr>
              <w:spacing w:after="40"/>
            </w:pPr>
            <w:r>
              <w:rPr>
                <w:color w:val="2B2118"/>
                <w:sz w:val="19"/>
                <w:szCs w:val="19"/>
              </w:rPr>
              <w:t>1) Request OTP. 2) Enter an incorrect OTP three times.</w:t>
            </w:r>
          </w:p>
        </w:tc>
        <w:tc>
          <w:tcPr>
            <w:tcW w:w="1500" w:type="pct"/>
            <w:tcMar>
              <w:top w:w="80" w:type="dxa"/>
              <w:left w:w="90" w:type="dxa"/>
              <w:bottom w:w="80" w:type="dxa"/>
              <w:right w:w="90" w:type="dxa"/>
            </w:tcMar>
            <w:vAlign w:val="center"/>
          </w:tcPr>
          <w:p w14:paraId="0207F891">
            <w:pPr>
              <w:spacing w:after="40"/>
            </w:pPr>
            <w:r>
              <w:rPr>
                <w:color w:val="2B2118"/>
                <w:sz w:val="19"/>
                <w:szCs w:val="19"/>
              </w:rPr>
              <w:t>Login is blocked after the configured number of attempts; user sees a clear error and a cooldown/retry message.</w:t>
            </w:r>
          </w:p>
        </w:tc>
        <w:tc>
          <w:tcPr>
            <w:tcW w:w="700" w:type="pct"/>
            <w:tcMar>
              <w:top w:w="80" w:type="dxa"/>
              <w:left w:w="90" w:type="dxa"/>
              <w:bottom w:w="80" w:type="dxa"/>
              <w:right w:w="90" w:type="dxa"/>
            </w:tcMar>
            <w:vAlign w:val="center"/>
          </w:tcPr>
          <w:p w14:paraId="2D13CEA0">
            <w:pPr>
              <w:spacing w:after="40"/>
            </w:pPr>
            <w:r>
              <w:rPr>
                <w:color w:val="2B2118"/>
                <w:sz w:val="19"/>
                <w:szCs w:val="19"/>
              </w:rPr>
              <w:t>Security / Negative</w:t>
            </w:r>
          </w:p>
        </w:tc>
      </w:tr>
      <w:tr w14:paraId="6D413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shd w:val="clear" w:color="auto" w:fill="FBEFE6"/>
            <w:tcMar>
              <w:top w:w="80" w:type="dxa"/>
              <w:left w:w="90" w:type="dxa"/>
              <w:bottom w:w="80" w:type="dxa"/>
              <w:right w:w="90" w:type="dxa"/>
            </w:tcMar>
            <w:vAlign w:val="center"/>
          </w:tcPr>
          <w:p w14:paraId="4589D662">
            <w:pPr>
              <w:spacing w:after="40"/>
            </w:pPr>
            <w:r>
              <w:rPr>
                <w:color w:val="2B2118"/>
                <w:sz w:val="19"/>
                <w:szCs w:val="19"/>
              </w:rPr>
              <w:t>TC-06</w:t>
            </w:r>
          </w:p>
        </w:tc>
        <w:tc>
          <w:tcPr>
            <w:tcW w:w="900" w:type="pct"/>
            <w:shd w:val="clear" w:color="auto" w:fill="FBEFE6"/>
            <w:tcMar>
              <w:top w:w="80" w:type="dxa"/>
              <w:left w:w="90" w:type="dxa"/>
              <w:bottom w:w="80" w:type="dxa"/>
              <w:right w:w="90" w:type="dxa"/>
            </w:tcMar>
            <w:vAlign w:val="center"/>
          </w:tcPr>
          <w:p w14:paraId="27A0F5FC">
            <w:pPr>
              <w:spacing w:after="40"/>
            </w:pPr>
            <w:r>
              <w:rPr>
                <w:color w:val="2B2118"/>
                <w:sz w:val="19"/>
                <w:szCs w:val="19"/>
              </w:rPr>
              <w:t>Unauthorized data access attempt</w:t>
            </w:r>
          </w:p>
        </w:tc>
        <w:tc>
          <w:tcPr>
            <w:tcW w:w="1500" w:type="pct"/>
            <w:shd w:val="clear" w:color="auto" w:fill="FBEFE6"/>
            <w:tcMar>
              <w:top w:w="80" w:type="dxa"/>
              <w:left w:w="90" w:type="dxa"/>
              <w:bottom w:w="80" w:type="dxa"/>
              <w:right w:w="90" w:type="dxa"/>
            </w:tcMar>
            <w:vAlign w:val="center"/>
          </w:tcPr>
          <w:p w14:paraId="07938C2C">
            <w:pPr>
              <w:spacing w:after="40"/>
            </w:pPr>
            <w:r>
              <w:rPr>
                <w:color w:val="2B2118"/>
                <w:sz w:val="19"/>
                <w:szCs w:val="19"/>
              </w:rPr>
              <w:t>1) Log in as Citizen A. 2) Attempt to view Citizen B's property record via a manipulated URL/ID.</w:t>
            </w:r>
          </w:p>
        </w:tc>
        <w:tc>
          <w:tcPr>
            <w:tcW w:w="1500" w:type="pct"/>
            <w:shd w:val="clear" w:color="auto" w:fill="FBEFE6"/>
            <w:tcMar>
              <w:top w:w="80" w:type="dxa"/>
              <w:left w:w="90" w:type="dxa"/>
              <w:bottom w:w="80" w:type="dxa"/>
              <w:right w:w="90" w:type="dxa"/>
            </w:tcMar>
            <w:vAlign w:val="center"/>
          </w:tcPr>
          <w:p w14:paraId="247D01E2">
            <w:pPr>
              <w:spacing w:after="40"/>
            </w:pPr>
            <w:r>
              <w:rPr>
                <w:color w:val="2B2118"/>
                <w:sz w:val="19"/>
                <w:szCs w:val="19"/>
              </w:rPr>
              <w:t>Access is denied; system logs the attempt; no data belonging to another citizen is exposed.</w:t>
            </w:r>
          </w:p>
        </w:tc>
        <w:tc>
          <w:tcPr>
            <w:tcW w:w="700" w:type="pct"/>
            <w:shd w:val="clear" w:color="auto" w:fill="FBEFE6"/>
            <w:tcMar>
              <w:top w:w="80" w:type="dxa"/>
              <w:left w:w="90" w:type="dxa"/>
              <w:bottom w:w="80" w:type="dxa"/>
              <w:right w:w="90" w:type="dxa"/>
            </w:tcMar>
            <w:vAlign w:val="center"/>
          </w:tcPr>
          <w:p w14:paraId="62A26627">
            <w:pPr>
              <w:spacing w:after="40"/>
            </w:pPr>
            <w:r>
              <w:rPr>
                <w:color w:val="2B2118"/>
                <w:sz w:val="19"/>
                <w:szCs w:val="19"/>
              </w:rPr>
              <w:t>Security</w:t>
            </w:r>
          </w:p>
        </w:tc>
      </w:tr>
      <w:tr w14:paraId="2C0B1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tcMar>
              <w:top w:w="80" w:type="dxa"/>
              <w:left w:w="90" w:type="dxa"/>
              <w:bottom w:w="80" w:type="dxa"/>
              <w:right w:w="90" w:type="dxa"/>
            </w:tcMar>
            <w:vAlign w:val="center"/>
          </w:tcPr>
          <w:p w14:paraId="0E8C4BEF">
            <w:pPr>
              <w:spacing w:after="40"/>
            </w:pPr>
            <w:r>
              <w:rPr>
                <w:color w:val="2B2118"/>
                <w:sz w:val="19"/>
                <w:szCs w:val="19"/>
              </w:rPr>
              <w:t>TC-07</w:t>
            </w:r>
          </w:p>
        </w:tc>
        <w:tc>
          <w:tcPr>
            <w:tcW w:w="900" w:type="pct"/>
            <w:tcMar>
              <w:top w:w="80" w:type="dxa"/>
              <w:left w:w="90" w:type="dxa"/>
              <w:bottom w:w="80" w:type="dxa"/>
              <w:right w:w="90" w:type="dxa"/>
            </w:tcMar>
            <w:vAlign w:val="center"/>
          </w:tcPr>
          <w:p w14:paraId="7B409E0A">
            <w:pPr>
              <w:spacing w:after="40"/>
            </w:pPr>
            <w:r>
              <w:rPr>
                <w:color w:val="2B2118"/>
                <w:sz w:val="19"/>
                <w:szCs w:val="19"/>
              </w:rPr>
              <w:t>Peak load during due-date week</w:t>
            </w:r>
          </w:p>
        </w:tc>
        <w:tc>
          <w:tcPr>
            <w:tcW w:w="1500" w:type="pct"/>
            <w:tcMar>
              <w:top w:w="80" w:type="dxa"/>
              <w:left w:w="90" w:type="dxa"/>
              <w:bottom w:w="80" w:type="dxa"/>
              <w:right w:w="90" w:type="dxa"/>
            </w:tcMar>
            <w:vAlign w:val="center"/>
          </w:tcPr>
          <w:p w14:paraId="009F8E23">
            <w:pPr>
              <w:spacing w:after="40"/>
            </w:pPr>
            <w:r>
              <w:rPr>
                <w:color w:val="2B2118"/>
                <w:sz w:val="19"/>
                <w:szCs w:val="19"/>
              </w:rPr>
              <w:t>1) Simulate concurrent users (e.g., 500+ simultaneous sessions) searching and paying near the due date.</w:t>
            </w:r>
          </w:p>
        </w:tc>
        <w:tc>
          <w:tcPr>
            <w:tcW w:w="1500" w:type="pct"/>
            <w:tcMar>
              <w:top w:w="80" w:type="dxa"/>
              <w:left w:w="90" w:type="dxa"/>
              <w:bottom w:w="80" w:type="dxa"/>
              <w:right w:w="90" w:type="dxa"/>
            </w:tcMar>
            <w:vAlign w:val="center"/>
          </w:tcPr>
          <w:p w14:paraId="22EA2F41">
            <w:pPr>
              <w:spacing w:after="40"/>
            </w:pPr>
            <w:r>
              <w:rPr>
                <w:color w:val="2B2118"/>
                <w:sz w:val="19"/>
                <w:szCs w:val="19"/>
              </w:rPr>
              <w:t>Average response time stays within the 3-second target (per Week 1 NFR-3); no failed transactions due to server overload.</w:t>
            </w:r>
          </w:p>
        </w:tc>
        <w:tc>
          <w:tcPr>
            <w:tcW w:w="700" w:type="pct"/>
            <w:tcMar>
              <w:top w:w="80" w:type="dxa"/>
              <w:left w:w="90" w:type="dxa"/>
              <w:bottom w:w="80" w:type="dxa"/>
              <w:right w:w="90" w:type="dxa"/>
            </w:tcMar>
            <w:vAlign w:val="center"/>
          </w:tcPr>
          <w:p w14:paraId="0D4AF254">
            <w:pPr>
              <w:spacing w:after="40"/>
            </w:pPr>
            <w:r>
              <w:rPr>
                <w:color w:val="2B2118"/>
                <w:sz w:val="19"/>
                <w:szCs w:val="19"/>
              </w:rPr>
              <w:t>Performance / Stress</w:t>
            </w:r>
          </w:p>
        </w:tc>
      </w:tr>
      <w:tr w14:paraId="788BE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pct"/>
            <w:shd w:val="clear" w:color="auto" w:fill="FBEFE6"/>
            <w:tcMar>
              <w:top w:w="80" w:type="dxa"/>
              <w:left w:w="90" w:type="dxa"/>
              <w:bottom w:w="80" w:type="dxa"/>
              <w:right w:w="90" w:type="dxa"/>
            </w:tcMar>
            <w:vAlign w:val="center"/>
          </w:tcPr>
          <w:p w14:paraId="66A9E89F">
            <w:pPr>
              <w:spacing w:after="40"/>
            </w:pPr>
            <w:r>
              <w:rPr>
                <w:color w:val="2B2118"/>
                <w:sz w:val="19"/>
                <w:szCs w:val="19"/>
              </w:rPr>
              <w:t>TC-08</w:t>
            </w:r>
          </w:p>
        </w:tc>
        <w:tc>
          <w:tcPr>
            <w:tcW w:w="900" w:type="pct"/>
            <w:shd w:val="clear" w:color="auto" w:fill="FBEFE6"/>
            <w:tcMar>
              <w:top w:w="80" w:type="dxa"/>
              <w:left w:w="90" w:type="dxa"/>
              <w:bottom w:w="80" w:type="dxa"/>
              <w:right w:w="90" w:type="dxa"/>
            </w:tcMar>
            <w:vAlign w:val="center"/>
          </w:tcPr>
          <w:p w14:paraId="011A9503">
            <w:pPr>
              <w:spacing w:after="40"/>
            </w:pPr>
            <w:r>
              <w:rPr>
                <w:color w:val="2B2118"/>
                <w:sz w:val="19"/>
                <w:szCs w:val="19"/>
              </w:rPr>
              <w:t>Responsive layout on mobile device</w:t>
            </w:r>
          </w:p>
        </w:tc>
        <w:tc>
          <w:tcPr>
            <w:tcW w:w="1500" w:type="pct"/>
            <w:shd w:val="clear" w:color="auto" w:fill="FBEFE6"/>
            <w:tcMar>
              <w:top w:w="80" w:type="dxa"/>
              <w:left w:w="90" w:type="dxa"/>
              <w:bottom w:w="80" w:type="dxa"/>
              <w:right w:w="90" w:type="dxa"/>
            </w:tcMar>
            <w:vAlign w:val="center"/>
          </w:tcPr>
          <w:p w14:paraId="61FCD9D3">
            <w:pPr>
              <w:spacing w:after="40"/>
            </w:pPr>
            <w:r>
              <w:rPr>
                <w:color w:val="2B2118"/>
                <w:sz w:val="19"/>
                <w:szCs w:val="19"/>
              </w:rPr>
              <w:t>1) Open the portal on a low-end Android device / narrow viewport. 2) Navigate through login, search and payment.</w:t>
            </w:r>
          </w:p>
        </w:tc>
        <w:tc>
          <w:tcPr>
            <w:tcW w:w="1500" w:type="pct"/>
            <w:shd w:val="clear" w:color="auto" w:fill="FBEFE6"/>
            <w:tcMar>
              <w:top w:w="80" w:type="dxa"/>
              <w:left w:w="90" w:type="dxa"/>
              <w:bottom w:w="80" w:type="dxa"/>
              <w:right w:w="90" w:type="dxa"/>
            </w:tcMar>
            <w:vAlign w:val="center"/>
          </w:tcPr>
          <w:p w14:paraId="62ED1603">
            <w:pPr>
              <w:spacing w:after="40"/>
            </w:pPr>
            <w:r>
              <w:rPr>
                <w:color w:val="2B2118"/>
                <w:sz w:val="19"/>
                <w:szCs w:val="19"/>
              </w:rPr>
              <w:t>Layout adapts correctly (single column, hamburger menu, full-width buttons) per the Week 2 responsive wireframes; no broken elements.</w:t>
            </w:r>
          </w:p>
        </w:tc>
        <w:tc>
          <w:tcPr>
            <w:tcW w:w="700" w:type="pct"/>
            <w:shd w:val="clear" w:color="auto" w:fill="FBEFE6"/>
            <w:tcMar>
              <w:top w:w="80" w:type="dxa"/>
              <w:left w:w="90" w:type="dxa"/>
              <w:bottom w:w="80" w:type="dxa"/>
              <w:right w:w="90" w:type="dxa"/>
            </w:tcMar>
            <w:vAlign w:val="center"/>
          </w:tcPr>
          <w:p w14:paraId="07043E2F">
            <w:pPr>
              <w:spacing w:after="40"/>
            </w:pPr>
            <w:r>
              <w:rPr>
                <w:color w:val="2B2118"/>
                <w:sz w:val="19"/>
                <w:szCs w:val="19"/>
              </w:rPr>
              <w:t>Functional / UI</w:t>
            </w:r>
          </w:p>
        </w:tc>
      </w:tr>
    </w:tbl>
    <w:p w14:paraId="01028B82">
      <w:pPr>
        <w:pStyle w:val="2"/>
        <w:pBdr>
          <w:bottom w:val="single" w:color="C9601A" w:sz="6" w:space="4"/>
        </w:pBdr>
        <w:spacing w:before="320" w:after="160"/>
      </w:pPr>
      <w:r>
        <w:rPr>
          <w:b/>
          <w:bCs/>
          <w:color w:val="C9601A"/>
          <w:sz w:val="30"/>
          <w:szCs w:val="30"/>
        </w:rPr>
        <w:t>4. Risk Analysis &amp; Mitigation</w:t>
      </w:r>
    </w:p>
    <w:p w14:paraId="3B9D44BA">
      <w:pPr>
        <w:spacing w:after="160" w:line="300" w:lineRule="auto"/>
      </w:pPr>
      <w:r>
        <w:rPr>
          <w:color w:val="2B2118"/>
          <w:sz w:val="22"/>
          <w:szCs w:val="22"/>
        </w:rPr>
        <w:t>Building on the project-level risks identified in Week 1, the table below focuses specifically on risks and bugs that could surface during testing and affect user experience or data security.</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76"/>
        <w:gridCol w:w="1985"/>
        <w:gridCol w:w="4765"/>
      </w:tblGrid>
      <w:tr w14:paraId="2197F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pct"/>
            <w:shd w:val="clear" w:color="auto" w:fill="C9601A"/>
            <w:tcMar>
              <w:top w:w="80" w:type="dxa"/>
              <w:left w:w="90" w:type="dxa"/>
              <w:bottom w:w="80" w:type="dxa"/>
              <w:right w:w="90" w:type="dxa"/>
            </w:tcMar>
            <w:vAlign w:val="center"/>
          </w:tcPr>
          <w:p w14:paraId="095C31C4">
            <w:pPr>
              <w:spacing w:after="40"/>
            </w:pPr>
            <w:r>
              <w:rPr>
                <w:b/>
                <w:bCs/>
                <w:color w:val="FFFFFF"/>
                <w:sz w:val="19"/>
                <w:szCs w:val="19"/>
              </w:rPr>
              <w:t>Risk / Potential Bug</w:t>
            </w:r>
          </w:p>
        </w:tc>
        <w:tc>
          <w:tcPr>
            <w:tcW w:w="1000" w:type="pct"/>
            <w:shd w:val="clear" w:color="auto" w:fill="C9601A"/>
            <w:tcMar>
              <w:top w:w="80" w:type="dxa"/>
              <w:left w:w="90" w:type="dxa"/>
              <w:bottom w:w="80" w:type="dxa"/>
              <w:right w:w="90" w:type="dxa"/>
            </w:tcMar>
            <w:vAlign w:val="center"/>
          </w:tcPr>
          <w:p w14:paraId="583A98F4">
            <w:pPr>
              <w:spacing w:after="40"/>
            </w:pPr>
            <w:r>
              <w:rPr>
                <w:b/>
                <w:bCs/>
                <w:color w:val="FFFFFF"/>
                <w:sz w:val="19"/>
                <w:szCs w:val="19"/>
              </w:rPr>
              <w:t>Impact</w:t>
            </w:r>
          </w:p>
        </w:tc>
        <w:tc>
          <w:tcPr>
            <w:tcW w:w="2400" w:type="pct"/>
            <w:shd w:val="clear" w:color="auto" w:fill="C9601A"/>
            <w:tcMar>
              <w:top w:w="80" w:type="dxa"/>
              <w:left w:w="90" w:type="dxa"/>
              <w:bottom w:w="80" w:type="dxa"/>
              <w:right w:w="90" w:type="dxa"/>
            </w:tcMar>
            <w:vAlign w:val="center"/>
          </w:tcPr>
          <w:p w14:paraId="354FADF6">
            <w:pPr>
              <w:spacing w:after="40"/>
            </w:pPr>
            <w:r>
              <w:rPr>
                <w:b/>
                <w:bCs/>
                <w:color w:val="FFFFFF"/>
                <w:sz w:val="19"/>
                <w:szCs w:val="19"/>
              </w:rPr>
              <w:t>Mitigation &amp; Contingency</w:t>
            </w:r>
          </w:p>
        </w:tc>
      </w:tr>
      <w:tr w14:paraId="1A4F8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pct"/>
            <w:tcMar>
              <w:top w:w="80" w:type="dxa"/>
              <w:left w:w="90" w:type="dxa"/>
              <w:bottom w:w="80" w:type="dxa"/>
              <w:right w:w="90" w:type="dxa"/>
            </w:tcMar>
            <w:vAlign w:val="center"/>
          </w:tcPr>
          <w:p w14:paraId="7D0248E5">
            <w:pPr>
              <w:spacing w:after="40"/>
            </w:pPr>
            <w:r>
              <w:rPr>
                <w:color w:val="2B2118"/>
                <w:sz w:val="19"/>
                <w:szCs w:val="19"/>
              </w:rPr>
              <w:t>Duplicate payment recorded due to gateway callback retried after a delay</w:t>
            </w:r>
          </w:p>
        </w:tc>
        <w:tc>
          <w:tcPr>
            <w:tcW w:w="1000" w:type="pct"/>
            <w:tcMar>
              <w:top w:w="80" w:type="dxa"/>
              <w:left w:w="90" w:type="dxa"/>
              <w:bottom w:w="80" w:type="dxa"/>
              <w:right w:w="90" w:type="dxa"/>
            </w:tcMar>
            <w:vAlign w:val="center"/>
          </w:tcPr>
          <w:p w14:paraId="2602A644">
            <w:pPr>
              <w:spacing w:after="40"/>
            </w:pPr>
            <w:r>
              <w:rPr>
                <w:color w:val="2B2118"/>
                <w:sz w:val="19"/>
                <w:szCs w:val="19"/>
              </w:rPr>
              <w:t>High — citizen may be charged twice or dues may be marked paid incorrectly</w:t>
            </w:r>
          </w:p>
        </w:tc>
        <w:tc>
          <w:tcPr>
            <w:tcW w:w="2400" w:type="pct"/>
            <w:tcMar>
              <w:top w:w="80" w:type="dxa"/>
              <w:left w:w="90" w:type="dxa"/>
              <w:bottom w:w="80" w:type="dxa"/>
              <w:right w:w="90" w:type="dxa"/>
            </w:tcMar>
            <w:vAlign w:val="center"/>
          </w:tcPr>
          <w:p w14:paraId="437455CE">
            <w:pPr>
              <w:spacing w:after="40"/>
            </w:pPr>
            <w:r>
              <w:rPr>
                <w:color w:val="2B2118"/>
                <w:sz w:val="19"/>
                <w:szCs w:val="19"/>
              </w:rPr>
              <w:t>Implement idempotent transaction IDs; reconcile gateway callbacks against a unique reference before updating records; manual finance reconciliation as a contingency.</w:t>
            </w:r>
          </w:p>
        </w:tc>
      </w:tr>
      <w:tr w14:paraId="3AA5F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pct"/>
            <w:shd w:val="clear" w:color="auto" w:fill="FBEFE6"/>
            <w:tcMar>
              <w:top w:w="80" w:type="dxa"/>
              <w:left w:w="90" w:type="dxa"/>
              <w:bottom w:w="80" w:type="dxa"/>
              <w:right w:w="90" w:type="dxa"/>
            </w:tcMar>
            <w:vAlign w:val="center"/>
          </w:tcPr>
          <w:p w14:paraId="26ECB2CD">
            <w:pPr>
              <w:spacing w:after="40"/>
            </w:pPr>
            <w:r>
              <w:rPr>
                <w:color w:val="2B2118"/>
                <w:sz w:val="19"/>
                <w:szCs w:val="19"/>
              </w:rPr>
              <w:t>Session left open on a shared/public device (e.g., a CSC kiosk)</w:t>
            </w:r>
          </w:p>
        </w:tc>
        <w:tc>
          <w:tcPr>
            <w:tcW w:w="1000" w:type="pct"/>
            <w:shd w:val="clear" w:color="auto" w:fill="FBEFE6"/>
            <w:tcMar>
              <w:top w:w="80" w:type="dxa"/>
              <w:left w:w="90" w:type="dxa"/>
              <w:bottom w:w="80" w:type="dxa"/>
              <w:right w:w="90" w:type="dxa"/>
            </w:tcMar>
            <w:vAlign w:val="center"/>
          </w:tcPr>
          <w:p w14:paraId="4C335508">
            <w:pPr>
              <w:spacing w:after="40"/>
            </w:pPr>
            <w:r>
              <w:rPr>
                <w:color w:val="2B2118"/>
                <w:sz w:val="19"/>
                <w:szCs w:val="19"/>
              </w:rPr>
              <w:t>Medium — risk of unauthorized access to another citizen's data</w:t>
            </w:r>
          </w:p>
        </w:tc>
        <w:tc>
          <w:tcPr>
            <w:tcW w:w="2400" w:type="pct"/>
            <w:shd w:val="clear" w:color="auto" w:fill="FBEFE6"/>
            <w:tcMar>
              <w:top w:w="80" w:type="dxa"/>
              <w:left w:w="90" w:type="dxa"/>
              <w:bottom w:w="80" w:type="dxa"/>
              <w:right w:w="90" w:type="dxa"/>
            </w:tcMar>
            <w:vAlign w:val="center"/>
          </w:tcPr>
          <w:p w14:paraId="2AAA0BCF">
            <w:pPr>
              <w:spacing w:after="40"/>
            </w:pPr>
            <w:r>
              <w:rPr>
                <w:color w:val="2B2118"/>
                <w:sz w:val="19"/>
                <w:szCs w:val="19"/>
              </w:rPr>
              <w:t>Auto-logout after a short inactivity period; require OTP re-verification for payment even within an active session.</w:t>
            </w:r>
          </w:p>
        </w:tc>
      </w:tr>
      <w:tr w14:paraId="2A881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pct"/>
            <w:tcMar>
              <w:top w:w="80" w:type="dxa"/>
              <w:left w:w="90" w:type="dxa"/>
              <w:bottom w:w="80" w:type="dxa"/>
              <w:right w:w="90" w:type="dxa"/>
            </w:tcMar>
            <w:vAlign w:val="center"/>
          </w:tcPr>
          <w:p w14:paraId="36A592C8">
            <w:pPr>
              <w:spacing w:after="40"/>
            </w:pPr>
            <w:r>
              <w:rPr>
                <w:color w:val="2B2118"/>
                <w:sz w:val="19"/>
                <w:szCs w:val="19"/>
              </w:rPr>
              <w:t>Incorrect tax amount displayed due to stale cached data</w:t>
            </w:r>
          </w:p>
        </w:tc>
        <w:tc>
          <w:tcPr>
            <w:tcW w:w="1000" w:type="pct"/>
            <w:tcMar>
              <w:top w:w="80" w:type="dxa"/>
              <w:left w:w="90" w:type="dxa"/>
              <w:bottom w:w="80" w:type="dxa"/>
              <w:right w:w="90" w:type="dxa"/>
            </w:tcMar>
            <w:vAlign w:val="center"/>
          </w:tcPr>
          <w:p w14:paraId="0D337F39">
            <w:pPr>
              <w:spacing w:after="40"/>
            </w:pPr>
            <w:r>
              <w:rPr>
                <w:color w:val="2B2118"/>
                <w:sz w:val="19"/>
                <w:szCs w:val="19"/>
              </w:rPr>
              <w:t>High — citizen pays wrong amount or disputes the bill</w:t>
            </w:r>
          </w:p>
        </w:tc>
        <w:tc>
          <w:tcPr>
            <w:tcW w:w="2400" w:type="pct"/>
            <w:tcMar>
              <w:top w:w="80" w:type="dxa"/>
              <w:left w:w="90" w:type="dxa"/>
              <w:bottom w:w="80" w:type="dxa"/>
              <w:right w:w="90" w:type="dxa"/>
            </w:tcMar>
            <w:vAlign w:val="center"/>
          </w:tcPr>
          <w:p w14:paraId="124B5A6C">
            <w:pPr>
              <w:spacing w:after="40"/>
            </w:pPr>
            <w:r>
              <w:rPr>
                <w:color w:val="2B2118"/>
                <w:sz w:val="19"/>
                <w:szCs w:val="19"/>
              </w:rPr>
              <w:t>Always fetch live dues at the point of payment rather than relying on cached search results; display a 'last updated' timestamp.</w:t>
            </w:r>
          </w:p>
        </w:tc>
      </w:tr>
      <w:tr w14:paraId="4E0EB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pct"/>
            <w:shd w:val="clear" w:color="auto" w:fill="FBEFE6"/>
            <w:tcMar>
              <w:top w:w="80" w:type="dxa"/>
              <w:left w:w="90" w:type="dxa"/>
              <w:bottom w:w="80" w:type="dxa"/>
              <w:right w:w="90" w:type="dxa"/>
            </w:tcMar>
            <w:vAlign w:val="center"/>
          </w:tcPr>
          <w:p w14:paraId="24FFBF34">
            <w:pPr>
              <w:spacing w:after="40"/>
            </w:pPr>
            <w:r>
              <w:rPr>
                <w:color w:val="2B2118"/>
                <w:sz w:val="19"/>
                <w:szCs w:val="19"/>
              </w:rPr>
              <w:t>Third-party payment gateway outage during peak hours</w:t>
            </w:r>
          </w:p>
        </w:tc>
        <w:tc>
          <w:tcPr>
            <w:tcW w:w="1000" w:type="pct"/>
            <w:shd w:val="clear" w:color="auto" w:fill="FBEFE6"/>
            <w:tcMar>
              <w:top w:w="80" w:type="dxa"/>
              <w:left w:w="90" w:type="dxa"/>
              <w:bottom w:w="80" w:type="dxa"/>
              <w:right w:w="90" w:type="dxa"/>
            </w:tcMar>
            <w:vAlign w:val="center"/>
          </w:tcPr>
          <w:p w14:paraId="4BE10A18">
            <w:pPr>
              <w:spacing w:after="40"/>
            </w:pPr>
            <w:r>
              <w:rPr>
                <w:color w:val="2B2118"/>
                <w:sz w:val="19"/>
                <w:szCs w:val="19"/>
              </w:rPr>
              <w:t>High — citizens unable to pay near the deadline</w:t>
            </w:r>
          </w:p>
        </w:tc>
        <w:tc>
          <w:tcPr>
            <w:tcW w:w="2400" w:type="pct"/>
            <w:shd w:val="clear" w:color="auto" w:fill="FBEFE6"/>
            <w:tcMar>
              <w:top w:w="80" w:type="dxa"/>
              <w:left w:w="90" w:type="dxa"/>
              <w:bottom w:w="80" w:type="dxa"/>
              <w:right w:w="90" w:type="dxa"/>
            </w:tcMar>
            <w:vAlign w:val="center"/>
          </w:tcPr>
          <w:p w14:paraId="2E4E1361">
            <w:pPr>
              <w:spacing w:after="40"/>
            </w:pPr>
            <w:r>
              <w:rPr>
                <w:color w:val="2B2118"/>
                <w:sz w:val="19"/>
                <w:szCs w:val="19"/>
              </w:rPr>
              <w:t>Integrate a secondary backup gateway; queue and retry failed attempts; display a maintenance banner instead of a silent failure.</w:t>
            </w:r>
          </w:p>
        </w:tc>
      </w:tr>
      <w:tr w14:paraId="42B37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pct"/>
            <w:tcMar>
              <w:top w:w="80" w:type="dxa"/>
              <w:left w:w="90" w:type="dxa"/>
              <w:bottom w:w="80" w:type="dxa"/>
              <w:right w:w="90" w:type="dxa"/>
            </w:tcMar>
            <w:vAlign w:val="center"/>
          </w:tcPr>
          <w:p w14:paraId="1CA013CE">
            <w:pPr>
              <w:spacing w:after="40"/>
            </w:pPr>
            <w:r>
              <w:rPr>
                <w:color w:val="2B2118"/>
                <w:sz w:val="19"/>
                <w:szCs w:val="19"/>
              </w:rPr>
              <w:t>Cross-site scripting (XSS) via the search or grievance input fields</w:t>
            </w:r>
          </w:p>
        </w:tc>
        <w:tc>
          <w:tcPr>
            <w:tcW w:w="1000" w:type="pct"/>
            <w:tcMar>
              <w:top w:w="80" w:type="dxa"/>
              <w:left w:w="90" w:type="dxa"/>
              <w:bottom w:w="80" w:type="dxa"/>
              <w:right w:w="90" w:type="dxa"/>
            </w:tcMar>
            <w:vAlign w:val="center"/>
          </w:tcPr>
          <w:p w14:paraId="7F98B526">
            <w:pPr>
              <w:spacing w:after="40"/>
            </w:pPr>
            <w:r>
              <w:rPr>
                <w:color w:val="2B2118"/>
                <w:sz w:val="19"/>
                <w:szCs w:val="19"/>
              </w:rPr>
              <w:t>High — potential data theft or session hijacking</w:t>
            </w:r>
          </w:p>
        </w:tc>
        <w:tc>
          <w:tcPr>
            <w:tcW w:w="2400" w:type="pct"/>
            <w:tcMar>
              <w:top w:w="80" w:type="dxa"/>
              <w:left w:w="90" w:type="dxa"/>
              <w:bottom w:w="80" w:type="dxa"/>
              <w:right w:w="90" w:type="dxa"/>
            </w:tcMar>
            <w:vAlign w:val="center"/>
          </w:tcPr>
          <w:p w14:paraId="6C0CB2D3">
            <w:pPr>
              <w:spacing w:after="40"/>
            </w:pPr>
            <w:r>
              <w:rPr>
                <w:color w:val="2B2118"/>
                <w:sz w:val="19"/>
                <w:szCs w:val="19"/>
              </w:rPr>
              <w:t>Sanitize and validate all user input on both client and server; use parameterized queries; run automated security scans in CI.</w:t>
            </w:r>
          </w:p>
        </w:tc>
      </w:tr>
      <w:tr w14:paraId="7D1D6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pct"/>
            <w:shd w:val="clear" w:color="auto" w:fill="FBEFE6"/>
            <w:tcMar>
              <w:top w:w="80" w:type="dxa"/>
              <w:left w:w="90" w:type="dxa"/>
              <w:bottom w:w="80" w:type="dxa"/>
              <w:right w:w="90" w:type="dxa"/>
            </w:tcMar>
            <w:vAlign w:val="center"/>
          </w:tcPr>
          <w:p w14:paraId="56C5532E">
            <w:pPr>
              <w:spacing w:after="40"/>
            </w:pPr>
            <w:r>
              <w:rPr>
                <w:color w:val="2B2118"/>
                <w:sz w:val="19"/>
                <w:szCs w:val="19"/>
              </w:rPr>
              <w:t>Accessibility regression on mobile after a UI update</w:t>
            </w:r>
          </w:p>
        </w:tc>
        <w:tc>
          <w:tcPr>
            <w:tcW w:w="1000" w:type="pct"/>
            <w:shd w:val="clear" w:color="auto" w:fill="FBEFE6"/>
            <w:tcMar>
              <w:top w:w="80" w:type="dxa"/>
              <w:left w:w="90" w:type="dxa"/>
              <w:bottom w:w="80" w:type="dxa"/>
              <w:right w:w="90" w:type="dxa"/>
            </w:tcMar>
            <w:vAlign w:val="center"/>
          </w:tcPr>
          <w:p w14:paraId="3088658D">
            <w:pPr>
              <w:spacing w:after="40"/>
            </w:pPr>
            <w:r>
              <w:rPr>
                <w:color w:val="2B2118"/>
                <w:sz w:val="19"/>
                <w:szCs w:val="19"/>
              </w:rPr>
              <w:t>Medium — excludes citizens with low digital literacy or older devices</w:t>
            </w:r>
          </w:p>
        </w:tc>
        <w:tc>
          <w:tcPr>
            <w:tcW w:w="2400" w:type="pct"/>
            <w:shd w:val="clear" w:color="auto" w:fill="FBEFE6"/>
            <w:tcMar>
              <w:top w:w="80" w:type="dxa"/>
              <w:left w:w="90" w:type="dxa"/>
              <w:bottom w:w="80" w:type="dxa"/>
              <w:right w:w="90" w:type="dxa"/>
            </w:tcMar>
            <w:vAlign w:val="center"/>
          </w:tcPr>
          <w:p w14:paraId="4576ACF7">
            <w:pPr>
              <w:spacing w:after="40"/>
            </w:pPr>
            <w:r>
              <w:rPr>
                <w:color w:val="2B2118"/>
                <w:sz w:val="19"/>
                <w:szCs w:val="19"/>
              </w:rPr>
              <w:t>Include a responsive/UI test (TC-08) in every regression cycle; manual usability check with representative personas before release.</w:t>
            </w:r>
          </w:p>
        </w:tc>
      </w:tr>
    </w:tbl>
    <w:p w14:paraId="2A8D9330">
      <w:pPr>
        <w:pStyle w:val="2"/>
        <w:pBdr>
          <w:bottom w:val="single" w:color="C9601A" w:sz="6" w:space="4"/>
        </w:pBdr>
        <w:spacing w:before="320" w:after="160"/>
      </w:pPr>
      <w:r>
        <w:rPr>
          <w:b/>
          <w:bCs/>
          <w:color w:val="C9601A"/>
          <w:sz w:val="30"/>
          <w:szCs w:val="30"/>
        </w:rPr>
        <w:t>5. Test Execution &amp; Automation Workflow</w:t>
      </w:r>
    </w:p>
    <w:p w14:paraId="44B5FC85">
      <w:pPr>
        <w:spacing w:after="160" w:line="300" w:lineRule="auto"/>
      </w:pPr>
      <w:r>
        <w:rPr>
          <w:color w:val="2B2118"/>
          <w:sz w:val="22"/>
          <w:szCs w:val="22"/>
        </w:rPr>
        <w:t>The diagram below shows how testing will be executed across the project lifecycle, from writing test cases through to sign-off, with a repeatable fix-and-retest loop.</w:t>
      </w:r>
    </w:p>
    <w:p w14:paraId="58341744">
      <w:pPr>
        <w:spacing w:before="120" w:after="120"/>
        <w:jc w:val="center"/>
      </w:pPr>
      <w:r>
        <w:drawing>
          <wp:inline distT="0" distB="0" distL="0" distR="0">
            <wp:extent cx="5334000" cy="1752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5334000" cy="1752600"/>
                    </a:xfrm>
                    <a:prstGeom prst="rect">
                      <a:avLst/>
                    </a:prstGeom>
                  </pic:spPr>
                </pic:pic>
              </a:graphicData>
            </a:graphic>
          </wp:inline>
        </w:drawing>
      </w:r>
    </w:p>
    <w:p w14:paraId="57BAA125">
      <w:pPr>
        <w:spacing w:after="240"/>
        <w:jc w:val="center"/>
      </w:pPr>
      <w:r>
        <w:rPr>
          <w:i/>
          <w:iCs/>
          <w:color w:val="666666"/>
          <w:sz w:val="18"/>
          <w:szCs w:val="18"/>
        </w:rPr>
        <w:t>Figure 2: Test execution workflow</w:t>
      </w:r>
    </w:p>
    <w:p w14:paraId="077C7777">
      <w:pPr>
        <w:spacing w:after="160" w:line="300" w:lineRule="auto"/>
      </w:pPr>
      <w:r>
        <w:rPr>
          <w:color w:val="2B2118"/>
          <w:sz w:val="22"/>
          <w:szCs w:val="22"/>
        </w:rPr>
        <w:t>Automated unit and integration tests run on every commit via a CI pipeline, giving fast feedback to developers. Automated end-to-end tests for the core payment journey run before each deployment. Manual exploratory testing, UAT with representative citizen personas, and security review are scheduled before major releases, particularly ahead of high-traffic periods such as the tax due-date window.</w:t>
      </w:r>
    </w:p>
    <w:p w14:paraId="4F39D3DE">
      <w:pPr>
        <w:pStyle w:val="2"/>
        <w:pBdr>
          <w:bottom w:val="single" w:color="C9601A" w:sz="6" w:space="4"/>
        </w:pBdr>
        <w:spacing w:before="320" w:after="160"/>
      </w:pPr>
      <w:r>
        <w:rPr>
          <w:b/>
          <w:bCs/>
          <w:color w:val="C9601A"/>
          <w:sz w:val="30"/>
          <w:szCs w:val="30"/>
        </w:rPr>
        <w:t>6. Conclusion</w:t>
      </w:r>
    </w:p>
    <w:p w14:paraId="05025569">
      <w:pPr>
        <w:spacing w:after="160" w:line="300" w:lineRule="auto"/>
      </w:pPr>
      <w:r>
        <w:rPr>
          <w:color w:val="2B2118"/>
          <w:sz w:val="22"/>
          <w:szCs w:val="22"/>
        </w:rPr>
        <w:t>This testing strategy ensures the Online Property Tax Payment Portal is validated at every level — from individual functions to full citizen journeys — before it reaches the public. By combining automated regression coverage for core flows with targeted manual testing for usability and security, and by directly addressing the risks identified in Weeks 1 and 2 (payment reliability, data privacy, peak-load performance, and accessibility), the platform is positioned to deliver a dependable and secure service. This forms the basis for final testing, deployment, and handover in Week 4.</w:t>
      </w:r>
    </w:p>
    <w:sectPr>
      <w:pgSz w:w="11906" w:h="16838"/>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420" w:hanging="260"/>
      </w:pPr>
    </w:lvl>
    <w:lvl w:ilvl="1" w:tentative="0">
      <w:start w:val="1"/>
      <w:numFmt w:val="bullet"/>
      <w:lvlText w:val="◦"/>
      <w:lvlJc w:val="left"/>
      <w:pPr>
        <w:ind w:left="82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isplayBackgroundShape w:val="1"/>
  <w:documentProtection w:enforcement="0"/>
  <w:compat>
    <w:compatSetting w:name="compatibilityMode" w:uri="http://schemas.microsoft.com/office/word" w:val="15"/>
  </w:compat>
  <w:rsids>
    <w:rsidRoot w:val="00000000"/>
    <w:rsid w:val="6B63571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2</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2026-08-24T22:19:00Z</dcterms:created>
  <dc:creator>Un-named</dc:creator>
  <cp:lastModifiedBy>priya</cp:lastModifiedBy>
  <dcterms:modified xsi:type="dcterms:W3CDTF">2026-08-25T04:40:14Z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91839E2C114941B3BC6A40ECAB8C892E_12</vt:lpwstr>
  </property>
</Properties>
</file>