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color w:val="0C2340"/>
          <w:sz w:val="44"/>
          <w:szCs w:val="44"/>
        </w:rPr>
        <w:t xml:space="preserve">Pharmatiya Health</w:t>
      </w:r>
    </w:p>
    <w:p>
      <w:pPr>
        <w:spacing w:after="40"/>
        <w:jc w:val="left"/>
      </w:pPr>
      <w:r>
        <w:rPr>
          <w:rFonts w:ascii="Georgia" w:cs="Georgia" w:eastAsia="Georgia" w:hAnsi="Georgia"/>
          <w:color w:val="0E7C78"/>
          <w:sz w:val="32"/>
          <w:szCs w:val="32"/>
        </w:rPr>
        <w:t xml:space="preserve">Phase 1 — Website Rebuild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5A6A78"/>
          <w:sz w:val="22"/>
          <w:szCs w:val="22"/>
        </w:rPr>
        <w:t xml:space="preserve">What we will build, and what we need from you</w:t>
      </w:r>
    </w:p>
    <w:p>
      <w:pPr>
        <w:pBdr>
          <w:bottom w:val="single" w:color="D5DEE5" w:sz="6" w:space="1"/>
        </w:pBdr>
        <w:spacing w:after="200" w:before="100"/>
      </w:pPr>
      <w:r>
        <w:rPr>
          <w:sz w:val="2"/>
          <w:szCs w:val="2"/>
        </w:rPr>
        <w:t xml:space="preserve"/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C2340"/>
          <w:sz w:val="21"/>
          <w:szCs w:val="21"/>
        </w:rPr>
        <w:t xml:space="preserve">Prepared by Vaelo Creative</w:t>
      </w: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7C78"/>
          <w:sz w:val="21"/>
          <w:szCs w:val="21"/>
        </w:rPr>
        <w:t xml:space="preserve">hello@vaelocreative.com</w:t>
      </w: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A78"/>
          <w:sz w:val="21"/>
          <w:szCs w:val="21"/>
        </w:rPr>
        <w:t xml:space="preserve">August 2026</w:t>
      </w:r>
    </w:p>
    <w:p>
      <w:pPr>
        <w:pStyle w:val="Heading1"/>
        <w:pageBreakBefore/>
        <w:spacing w:after="160" w:before="360"/>
      </w:pPr>
      <w:r>
        <w:rPr>
          <w:rFonts w:ascii="Georgia" w:cs="Georgia" w:eastAsia="Georgia" w:hAnsi="Georgia"/>
          <w:b/>
          <w:bCs/>
          <w:color w:val="0C2340"/>
          <w:sz w:val="30"/>
          <w:szCs w:val="30"/>
        </w:rPr>
        <w:t xml:space="preserve">What we are doing</w:t>
      </w: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A78"/>
          <w:sz w:val="21"/>
          <w:szCs w:val="21"/>
        </w:rPr>
        <w:t xml:space="preserve">Rebuilding pharmatiya.net from scratch as a six-page static website. The current Squarespace site has placeholder images, an empty shopping cart, generic copy, and no evidence of Pharmatiya’s real expertise. The new site fixes all of that.</w:t>
      </w:r>
    </w:p>
    <w:p>
      <w:pPr>
        <w:spacing w:after="80"/>
      </w:pPr>
    </w:p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C2340"/>
          <w:sz w:val="21"/>
          <w:szCs w:val="21"/>
        </w:rPr>
        <w:t xml:space="preserve">The six pages:</w:t>
      </w:r>
    </w:p>
    <w:p>
      <w:pPr>
        <w:spacing w:after="40"/>
      </w:pP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C2340"/>
          <w:sz w:val="24"/>
          <w:szCs w:val="24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Clear positioning statement for HEOR and RWE buyers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Three service lines with real descriptions, not generic cards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Proof section: 25+ years, 1,000+ synopses, named therapeutic areas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NextGen AI teaser linking to the dedicated product page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One primary CTA: book a consultation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C2340"/>
          <w:sz w:val="24"/>
          <w:szCs w:val="24"/>
        </w:rPr>
        <w:t xml:space="preserve">Services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Each service framed as a problem the buyer recognises, then Pharmatiya’s approach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Real deliverables listed per service, not vague promises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HEOR data-graphics (forest plots, Kaplan-Meier curves) as visual proof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Pricing guidance or engagement model if Pharmatiya supplies it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C2340"/>
          <w:sz w:val="24"/>
          <w:szCs w:val="24"/>
        </w:rPr>
        <w:t xml:space="preserve">Evidence (new page)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Anonymised case studies showing methods and outcomes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Dataset coverage map (payer, provider, claims data)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Therapeutic area expertise grid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Downloadable samples or gated content if Pharmatiya wants lead capture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C2340"/>
          <w:sz w:val="24"/>
          <w:szCs w:val="24"/>
        </w:rPr>
        <w:t xml:space="preserve">NextGen AI (new page)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Product landing page for the AI synopsis tool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Three-step workflow explained visually (Feasibility → Retrospective → Pragmatic Outreach)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Trust features: no PHI uploads, mandatory human expert review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Transparent about the underlying model (disclosure, not disclaimer)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Access request or demo CTA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C2340"/>
          <w:sz w:val="24"/>
          <w:szCs w:val="24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25-year track record made scannable, not buried in paragraphs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Team section with real photos and credentials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Dataset and partner coverage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Company timeline or milestones if supplied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C2340"/>
          <w:sz w:val="24"/>
          <w:szCs w:val="24"/>
        </w:rPr>
        <w:t xml:space="preserve">Contact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Segmented routing: new clients, existing clients, press/partners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Direct consultation booking (calendar integration if provided)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Office location: New York, NY 10280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Quarterly Insights Digest signup (currently mentioned but not subscribable)</w:t>
      </w:r>
    </w:p>
    <w:p>
      <w:pPr>
        <w:spacing w:after="60"/>
      </w:pPr>
    </w:p>
    <w:p>
      <w:pPr>
        <w:pStyle w:val="Heading1"/>
        <w:pageBreakBefore/>
        <w:spacing w:after="160" w:before="360"/>
      </w:pPr>
      <w:r>
        <w:rPr>
          <w:rFonts w:ascii="Georgia" w:cs="Georgia" w:eastAsia="Georgia" w:hAnsi="Georgia"/>
          <w:b/>
          <w:bCs/>
          <w:color w:val="0C2340"/>
          <w:sz w:val="30"/>
          <w:szCs w:val="30"/>
        </w:rPr>
        <w:t xml:space="preserve">What gets fixed</w:t>
      </w: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A78"/>
          <w:sz w:val="21"/>
          <w:szCs w:val="21"/>
        </w:rPr>
        <w:t xml:space="preserve">These are the specific problems on the current site that the rebuild resolves: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C2340"/>
          <w:sz w:val="21"/>
          <w:szCs w:val="21"/>
        </w:rPr>
        <w:t xml:space="preserve">Placeholder images</w:t>
      </w:r>
      <w:r>
        <w:rPr>
          <w:rFonts w:ascii="Calibri" w:cs="Calibri" w:eastAsia="Calibri" w:hAnsi="Calibri"/>
          <w:color w:val="5A6A78"/>
          <w:sz w:val="21"/>
          <w:szCs w:val="21"/>
        </w:rPr>
        <w:t xml:space="preserve"> — Two pages still show images literally named ‘Placeholder’ in the source code. Replaced with real visuals.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C2340"/>
          <w:sz w:val="21"/>
          <w:szCs w:val="21"/>
        </w:rPr>
        <w:t xml:space="preserve">Empty shopping cart</w:t>
      </w:r>
      <w:r>
        <w:rPr>
          <w:rFonts w:ascii="Calibri" w:cs="Calibri" w:eastAsia="Calibri" w:hAnsi="Calibri"/>
          <w:color w:val="5A6A78"/>
          <w:sz w:val="21"/>
          <w:szCs w:val="21"/>
        </w:rPr>
        <w:t xml:space="preserve"> — A leftover from the Squarespace template. Removed entirely.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C2340"/>
          <w:sz w:val="21"/>
          <w:szCs w:val="21"/>
        </w:rPr>
        <w:t xml:space="preserve">Generic copy</w:t>
      </w:r>
      <w:r>
        <w:rPr>
          <w:rFonts w:ascii="Calibri" w:cs="Calibri" w:eastAsia="Calibri" w:hAnsi="Calibri"/>
          <w:color w:val="5A6A78"/>
          <w:sz w:val="21"/>
          <w:szCs w:val="21"/>
        </w:rPr>
        <w:t xml:space="preserve"> — Sentences like ‘tailored solutions’ and ‘actionable insights’ repeated across all pages. Rewritten with specifics.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C2340"/>
          <w:sz w:val="21"/>
          <w:szCs w:val="21"/>
        </w:rPr>
        <w:t xml:space="preserve">No proof</w:t>
      </w:r>
      <w:r>
        <w:rPr>
          <w:rFonts w:ascii="Calibri" w:cs="Calibri" w:eastAsia="Calibri" w:hAnsi="Calibri"/>
          <w:color w:val="5A6A78"/>
          <w:sz w:val="21"/>
          <w:szCs w:val="21"/>
        </w:rPr>
        <w:t xml:space="preserve"> — Zero case studies, no named engagements, no outcome figures, no team photos. Evidence page and proof sections fix this.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C2340"/>
          <w:sz w:val="21"/>
          <w:szCs w:val="21"/>
        </w:rPr>
        <w:t xml:space="preserve">AI tool invisible</w:t>
      </w:r>
      <w:r>
        <w:rPr>
          <w:rFonts w:ascii="Calibri" w:cs="Calibri" w:eastAsia="Calibri" w:hAnsi="Calibri"/>
          <w:color w:val="5A6A78"/>
          <w:sz w:val="21"/>
          <w:szCs w:val="21"/>
        </w:rPr>
        <w:t xml:space="preserve"> — The biggest differentiator barely appears on the current site. Gets its own dedicated page.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C2340"/>
          <w:sz w:val="21"/>
          <w:szCs w:val="21"/>
        </w:rPr>
        <w:t xml:space="preserve">Dense About page</w:t>
      </w:r>
      <w:r>
        <w:rPr>
          <w:rFonts w:ascii="Calibri" w:cs="Calibri" w:eastAsia="Calibri" w:hAnsi="Calibri"/>
          <w:color w:val="5A6A78"/>
          <w:sz w:val="21"/>
          <w:szCs w:val="21"/>
        </w:rPr>
        <w:t xml:space="preserve"> — The one page with real substance buries it in long paragraphs. Made scannable.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C2340"/>
          <w:sz w:val="21"/>
          <w:szCs w:val="21"/>
        </w:rPr>
        <w:t xml:space="preserve">One contact form</w:t>
      </w:r>
      <w:r>
        <w:rPr>
          <w:rFonts w:ascii="Calibri" w:cs="Calibri" w:eastAsia="Calibri" w:hAnsi="Calibri"/>
          <w:color w:val="5A6A78"/>
          <w:sz w:val="21"/>
          <w:szCs w:val="21"/>
        </w:rPr>
        <w:t xml:space="preserve"> — The entire lead-generation system. Replaced with segmented routing and booking.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0C2340"/>
          <w:sz w:val="21"/>
          <w:szCs w:val="21"/>
        </w:rPr>
        <w:t xml:space="preserve">Digest not subscribable</w:t>
      </w:r>
      <w:r>
        <w:rPr>
          <w:rFonts w:ascii="Calibri" w:cs="Calibri" w:eastAsia="Calibri" w:hAnsi="Calibri"/>
          <w:color w:val="5A6A78"/>
          <w:sz w:val="21"/>
          <w:szCs w:val="21"/>
        </w:rPr>
        <w:t xml:space="preserve"> — Mentioned on the site but captures nothing. Real signup added.</w:t>
      </w:r>
    </w:p>
    <w:p>
      <w:pPr>
        <w:spacing w:after="80"/>
      </w:pPr>
    </w:p>
    <w:p>
      <w:pPr>
        <w:pStyle w:val="Heading1"/>
        <w:pageBreakBefore/>
        <w:spacing w:after="160" w:before="360"/>
      </w:pPr>
      <w:r>
        <w:rPr>
          <w:rFonts w:ascii="Georgia" w:cs="Georgia" w:eastAsia="Georgia" w:hAnsi="Georgia"/>
          <w:b/>
          <w:bCs/>
          <w:color w:val="0C2340"/>
          <w:sz w:val="30"/>
          <w:szCs w:val="30"/>
        </w:rPr>
        <w:t xml:space="preserve">How it will look</w:t>
      </w: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A78"/>
          <w:sz w:val="21"/>
          <w:szCs w:val="21"/>
        </w:rPr>
        <w:t xml:space="preserve">The brief is explicit: it must not look AI-generated. That means:</w:t>
      </w:r>
    </w:p>
    <w:p>
      <w:pPr>
        <w:spacing w:after="40"/>
      </w:pPr>
    </w:p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C2340"/>
          <w:sz w:val="21"/>
          <w:szCs w:val="21"/>
        </w:rPr>
        <w:t xml:space="preserve">We will not use: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Stock photography of people in labs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Three identical feature cards in a row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Gradient hero backgrounds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Generic icon sets as decoration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Centred-everything layouts</w:t>
      </w:r>
    </w:p>
    <w:p>
      <w:pPr>
        <w:spacing w:after="60"/>
      </w:pPr>
    </w:p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C2340"/>
          <w:sz w:val="21"/>
          <w:szCs w:val="21"/>
        </w:rPr>
        <w:t xml:space="preserve">We will use: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Real HEOR data-graphics as design elements (Kaplan-Meier curves, forest plots, cost-effectiveness planes)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Specificity over adjectives: real numbers, named datasets, concrete deliverables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Asymmetric, varied layouts that break the template pattern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A restrained, professional register closer to IQVIA than a SaaS startup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Semantic HTML, full keyboard navigation, WCAG AA accessibility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Responsive design from 320px mobile to desktop</w:t>
      </w:r>
    </w:p>
    <w:p>
      <w:pPr>
        <w:spacing w:after="80"/>
      </w:pPr>
    </w:p>
    <w:p>
      <w:pPr>
        <w:pStyle w:val="Heading1"/>
        <w:pageBreakBefore/>
        <w:spacing w:after="160" w:before="360"/>
      </w:pPr>
      <w:r>
        <w:rPr>
          <w:rFonts w:ascii="Georgia" w:cs="Georgia" w:eastAsia="Georgia" w:hAnsi="Georgia"/>
          <w:b/>
          <w:bCs/>
          <w:color w:val="0C2340"/>
          <w:sz w:val="30"/>
          <w:szCs w:val="30"/>
        </w:rPr>
        <w:t xml:space="preserve">Timeline</w:t>
      </w: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A78"/>
          <w:sz w:val="21"/>
          <w:szCs w:val="21"/>
        </w:rPr>
        <w:t xml:space="preserve">Seven weeks from kickoff to launch-ready.</w:t>
      </w:r>
    </w:p>
    <w:p>
      <w:pPr>
        <w:spacing w:after="40"/>
      </w:pPr>
    </w:p>
    <w:tbl>
      <w:tblPr>
        <w:tblW w:type="dxa" w:w="9360"/>
        <w:tblBorders>
          <w:top w:val="single" w:color="D5DEE5" w:sz="4"/>
          <w:left w:val="single" w:color="D5DEE5" w:sz="4"/>
          <w:bottom w:val="single" w:color="D5DEE5" w:sz="4"/>
          <w:right w:val="single" w:color="D5DEE5" w:sz="4"/>
          <w:insideH w:val="single" w:color="D5DEE5" w:sz="2"/>
          <w:insideV w:val="single" w:color="D5DEE5" w:sz="2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200"/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760"/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Discovery</w:t>
            </w:r>
          </w:p>
        </w:tc>
        <w:tc>
          <w:tcPr>
            <w:tcW w:type="dxa" w:w="47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Content audit, gather all inputs from Pharmatiya, finalise sitemap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Design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Design system, homepage layout, mobile and desktop compositions</w:t>
            </w:r>
          </w:p>
        </w:tc>
      </w:tr>
      <w:tr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Design review</w:t>
            </w:r>
          </w:p>
        </w:tc>
        <w:tc>
          <w:tcPr>
            <w:tcW w:type="dxa" w:w="47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Pharmatiya reviews and approves design direction (GATE)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4–5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Build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All six pages built, responsive, accessible, real content placed</w:t>
            </w:r>
          </w:p>
        </w:tc>
      </w:tr>
      <w:tr>
        <w:tc>
          <w:tcPr>
            <w:tcW w:type="dxa" w:w="1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Content + QA</w:t>
            </w:r>
          </w:p>
        </w:tc>
        <w:tc>
          <w:tcPr>
            <w:tcW w:type="dxa" w:w="47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Final content from Pharmatiya, cross-browser testing, accessibility audit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Launch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DNS, redirects, analytics, go-live (GATE)</w:t>
            </w:r>
          </w:p>
        </w:tc>
      </w:tr>
    </w:tbl>
    <w:p>
      <w:pPr>
        <w:spacing w:after="80"/>
      </w:pP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5A6A78"/>
          <w:sz w:val="21"/>
          <w:szCs w:val="21"/>
        </w:rPr>
        <w:t xml:space="preserve">Two gates require Pharmatiya sign-off before we proceed. If sign-off is delayed, the timeline shifts by the same number of days.</w:t>
      </w:r>
    </w:p>
    <w:p>
      <w:pPr>
        <w:spacing w:after="80"/>
      </w:pPr>
    </w:p>
    <w:p>
      <w:pPr>
        <w:pStyle w:val="Heading1"/>
        <w:pageBreakBefore/>
        <w:spacing w:after="160" w:before="360"/>
      </w:pPr>
      <w:r>
        <w:rPr>
          <w:rFonts w:ascii="Georgia" w:cs="Georgia" w:eastAsia="Georgia" w:hAnsi="Georgia"/>
          <w:b/>
          <w:bCs/>
          <w:color w:val="0C2340"/>
          <w:sz w:val="30"/>
          <w:szCs w:val="30"/>
        </w:rPr>
        <w:t xml:space="preserve">Investment</w:t>
      </w:r>
    </w:p>
    <w:p>
      <w:pPr>
        <w:spacing w:after="40"/>
      </w:pPr>
    </w:p>
    <w:tbl>
      <w:tblPr>
        <w:tblW w:type="dxa" w:w="9360"/>
        <w:tblBorders>
          <w:top w:val="single" w:color="D5DEE5" w:sz="4"/>
          <w:left w:val="single" w:color="D5DEE5" w:sz="4"/>
          <w:bottom w:val="single" w:color="D5DEE5" w:sz="4"/>
          <w:right w:val="single" w:color="D5DEE5" w:sz="4"/>
          <w:insideH w:val="single" w:color="D5DEE5" w:sz="2"/>
          <w:insideV w:val="single" w:color="D5DEE5" w:sz="2"/>
        </w:tblBorders>
      </w:tblPr>
      <w:tblGrid>
        <w:gridCol w:w="100"/>
        <w:gridCol w:w="100"/>
      </w:tblGrid>
      <w:tr>
        <w:tc>
          <w:tcPr>
            <w:tcW w:type="dxa" w:w="4680"/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46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Phase 1 total</w:t>
            </w:r>
          </w:p>
        </w:tc>
        <w:tc>
          <w:tcPr>
            <w:tcW w:type="dxa" w:w="46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₹2,85,000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On signing (40%)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₹1,14,000</w:t>
            </w:r>
          </w:p>
        </w:tc>
      </w:tr>
      <w:tr>
        <w:tc>
          <w:tcPr>
            <w:tcW w:type="dxa" w:w="46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On design approval (30%)</w:t>
            </w:r>
          </w:p>
        </w:tc>
        <w:tc>
          <w:tcPr>
            <w:tcW w:type="dxa" w:w="46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₹85,500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On launch (30%)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₹85,500</w:t>
            </w:r>
          </w:p>
        </w:tc>
      </w:tr>
    </w:tbl>
    <w:p>
      <w:pPr>
        <w:spacing w:after="80"/>
      </w:pPr>
    </w:p>
    <w:p>
      <w:pPr>
        <w:spacing w:after="120" w:line="280"/>
      </w:pPr>
      <w:r>
        <w:rPr>
          <w:rFonts w:ascii="Calibri" w:cs="Calibri" w:eastAsia="Calibri" w:hAnsi="Calibri"/>
          <w:b/>
          <w:bCs/>
          <w:i/>
          <w:iCs/>
          <w:color w:val="0C2340"/>
          <w:sz w:val="21"/>
          <w:szCs w:val="21"/>
        </w:rPr>
        <w:t xml:space="preserve">All amounts exclude GST. Pricing is placeholder pending Vaelo’s confirmed rate card.</w:t>
      </w:r>
    </w:p>
    <w:p>
      <w:pPr>
        <w:spacing w:after="40"/>
      </w:pPr>
    </w:p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C2340"/>
          <w:sz w:val="21"/>
          <w:szCs w:val="21"/>
        </w:rPr>
        <w:t xml:space="preserve">Third-party costs (paid by Pharmatiya, not included above):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Licensed typeface: ~$200–500 one-time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Hosting and domain: depends on provider chosen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Calendar booking tool (if used): ~$10–15/month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Email platform for Digest signup: free tier likely sufficient</w:t>
      </w:r>
    </w:p>
    <w:p>
      <w:pPr>
        <w:spacing w:after="80"/>
      </w:pPr>
    </w:p>
    <w:p>
      <w:pPr>
        <w:pStyle w:val="Heading1"/>
        <w:pageBreakBefore/>
        <w:spacing w:after="160" w:before="360"/>
      </w:pPr>
      <w:r>
        <w:rPr>
          <w:rFonts w:ascii="Georgia" w:cs="Georgia" w:eastAsia="Georgia" w:hAnsi="Georgia"/>
          <w:b/>
          <w:bCs/>
          <w:color w:val="0C2340"/>
          <w:sz w:val="30"/>
          <w:szCs w:val="30"/>
        </w:rPr>
        <w:t xml:space="preserve">What we need from Pharmatiya</w:t>
      </w: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A78"/>
          <w:sz w:val="21"/>
          <w:szCs w:val="21"/>
        </w:rPr>
        <w:t xml:space="preserve">We cannot build a credible site without real content. The items below are listed in order of when we need them.</w:t>
      </w:r>
    </w:p>
    <w:p>
      <w:pPr>
        <w:spacing w:after="40"/>
      </w:pPr>
    </w:p>
    <w:tbl>
      <w:tblPr>
        <w:tblW w:type="dxa" w:w="9360"/>
        <w:tblBorders>
          <w:top w:val="single" w:color="D5DEE5" w:sz="4"/>
          <w:left w:val="single" w:color="D5DEE5" w:sz="4"/>
          <w:bottom w:val="single" w:color="D5DEE5" w:sz="4"/>
          <w:right w:val="single" w:color="D5DEE5" w:sz="4"/>
          <w:insideH w:val="single" w:color="D5DEE5" w:sz="2"/>
          <w:insideV w:val="single" w:color="D5DEE5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060"/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2600"/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Team photographs (headshots, office, working)</w:t>
            </w:r>
          </w:p>
        </w:tc>
        <w:tc>
          <w:tcPr>
            <w:tcW w:type="dxa" w:w="30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About page needs real people. No stock photos.</w:t>
            </w:r>
          </w:p>
        </w:tc>
        <w:tc>
          <w:tcPr>
            <w:tcW w:type="dxa" w:w="2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Before Week 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Case study material (2–3 anonymised)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Evidence page is empty without this. Strongest proof of expertise.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Before Week 4</w:t>
            </w:r>
          </w:p>
        </w:tc>
      </w:tr>
      <w:tr>
        <w:tc>
          <w:tcPr>
            <w:tcW w:type="dxa" w:w="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Service descriptions reviewed</w:t>
            </w:r>
          </w:p>
        </w:tc>
        <w:tc>
          <w:tcPr>
            <w:tcW w:type="dxa" w:w="30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We draft; Pharmatiya verifies accuracy. Nothing published without sign-off.</w:t>
            </w:r>
          </w:p>
        </w:tc>
        <w:tc>
          <w:tcPr>
            <w:tcW w:type="dxa" w:w="2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Before Week 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Dataset name clearance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Aetna/CVS, Cigna, Intermountain — can we name them publicly? Yes or no.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NextGen AI product details</w:t>
            </w:r>
          </w:p>
        </w:tc>
        <w:tc>
          <w:tcPr>
            <w:tcW w:type="dxa" w:w="30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Screenshots, demo flow, features and limitations for the product page.</w:t>
            </w:r>
          </w:p>
        </w:tc>
        <w:tc>
          <w:tcPr>
            <w:tcW w:type="dxa" w:w="2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Before Week 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Contact routing preferences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Who gets enquiries? Separate routes? Calendar link for booking?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Typeface decision</w:t>
            </w:r>
          </w:p>
        </w:tc>
        <w:tc>
          <w:tcPr>
            <w:tcW w:type="dxa" w:w="30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System fonts are an AI-generated tell. We suggest options; ~$200–500 budget.</w:t>
            </w:r>
          </w:p>
        </w:tc>
        <w:tc>
          <w:tcPr>
            <w:tcW w:type="dxa" w:w="2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Before Week 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Logo in vector format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SVG or AI file for sharp rendering at all sizes.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Before Week 2</w:t>
            </w:r>
          </w:p>
        </w:tc>
      </w:tr>
      <w:tr>
        <w:tc>
          <w:tcPr>
            <w:tcW w:type="dxa" w:w="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Compliance review windows</w:t>
            </w:r>
          </w:p>
        </w:tc>
        <w:tc>
          <w:tcPr>
            <w:tcW w:type="dxa" w:w="30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Any outcome or regulatory claim needs internal review. We need turnaround time.</w:t>
            </w:r>
          </w:p>
        </w:tc>
        <w:tc>
          <w:tcPr>
            <w:tcW w:type="dxa" w:w="2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Hosting preference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Current site is Squarespace. New build is static and can go anywhere.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A78"/>
                <w:sz w:val="20"/>
                <w:szCs w:val="20"/>
              </w:rPr>
              <w:t xml:space="preserve">Before Week 5</w:t>
            </w:r>
          </w:p>
        </w:tc>
      </w:tr>
    </w:tbl>
    <w:p>
      <w:pPr>
        <w:spacing w:after="80"/>
      </w:pP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5A6A78"/>
          <w:sz w:val="21"/>
          <w:szCs w:val="21"/>
        </w:rPr>
        <w:t xml:space="preserve">Items marked ‘Week 1’ are needed at kickoff. Late inputs delay the timeline by the same amount.</w:t>
      </w:r>
    </w:p>
    <w:p>
      <w:pPr>
        <w:spacing w:after="80"/>
      </w:pPr>
    </w:p>
    <w:p>
      <w:pPr>
        <w:pStyle w:val="Heading1"/>
        <w:pageBreakBefore/>
        <w:spacing w:after="160" w:before="360"/>
      </w:pPr>
      <w:r>
        <w:rPr>
          <w:rFonts w:ascii="Georgia" w:cs="Georgia" w:eastAsia="Georgia" w:hAnsi="Georgia"/>
          <w:b/>
          <w:bCs/>
          <w:color w:val="0C2340"/>
          <w:sz w:val="30"/>
          <w:szCs w:val="30"/>
        </w:rPr>
        <w:t xml:space="preserve">Not included in Phase 1</w:t>
      </w: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A78"/>
          <w:sz w:val="21"/>
          <w:szCs w:val="21"/>
        </w:rPr>
        <w:t xml:space="preserve">These are scoped for later phases or are separate engagements: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Brand identity redesign (logo, colour palette, brand guidelines) — Phase 2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NextGen AI tool development, onboarding, or audit trail — Phase 3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Client portal or login system — Phase 3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Blog or content management system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E-commerce or payment processing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Mobile app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Ongoing content writing or SEO retainer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Video production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Paid advertising or media buying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5A6A78"/>
          <w:sz w:val="21"/>
          <w:szCs w:val="21"/>
        </w:rPr>
        <w:t xml:space="preserve">HIPAA compliance consulting</w:t>
      </w:r>
    </w:p>
    <w:p>
      <w:pPr>
        <w:spacing w:after="80"/>
      </w:pPr>
    </w:p>
    <w:p>
      <w:pPr>
        <w:pBdr>
          <w:bottom w:val="single" w:color="D5DEE5" w:sz="6" w:space="1"/>
        </w:pBdr>
        <w:spacing w:after="200" w:before="100"/>
      </w:pPr>
      <w:r>
        <w:rPr>
          <w:sz w:val="2"/>
          <w:szCs w:val="2"/>
        </w:rPr>
        <w:t xml:space="preserve"/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C2340"/>
          <w:sz w:val="22"/>
          <w:szCs w:val="22"/>
        </w:rPr>
        <w:t xml:space="preserve">Vaelo Creative</w:t>
      </w: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7C78"/>
          <w:sz w:val="21"/>
          <w:szCs w:val="21"/>
        </w:rPr>
        <w:t xml:space="preserve">hello@vaelocreative.com</w:t>
      </w: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A78"/>
          <w:sz w:val="17"/>
          <w:szCs w:val="17"/>
        </w:rPr>
        <w:t xml:space="preserve">Working document — pending rate card confirmation.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rFonts w:ascii="Calibri" w:cs="Calibri" w:eastAsia="Calibri" w:hAnsi="Calibri"/>
        <w:color w:val="9AAAB8"/>
        <w:sz w:val="16"/>
        <w:szCs w:val="16"/>
      </w:rPr>
      <w:t xml:space="preserve">Vaelo Creative  —  Phase 1  —  Pharmatiya  —  </w:t>
    </w:r>
    <w:r>
      <w:rPr>
        <w:rFonts w:ascii="Calibri" w:cs="Calibri" w:eastAsia="Calibri" w:hAnsi="Calibri"/>
        <w:color w:val="9AAA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0E7C78"/>
      </w:rPr>
    </w:lvl>
    <w:lvl w:ilvl="1" w15:tentative="1">
      <w:start w:val="1"/>
      <w:numFmt w:val="bullet"/>
      <w:lvlText w:val="–"/>
      <w:lvlJc w:val="left"/>
      <w:pPr>
        <w:ind w:left="720" w:hanging="200"/>
      </w:pPr>
      <w:rPr>
        <w:color w:val="0E7C7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A6A7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Pharmatiya — Phase 1 Website Rebuild</dc:title>
  <dc:creator>Vaelo Creative</dc:creator>
  <dc:description>What we will build and what we need</dc:description>
  <cp:lastModifiedBy>Un-named</cp:lastModifiedBy>
  <cp:revision>1</cp:revision>
  <dcterms:created xsi:type="dcterms:W3CDTF">2026-08-26T11:14:48.540Z</dcterms:created>
  <dcterms:modified xsi:type="dcterms:W3CDTF">2026-08-26T11:14:48.550Z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