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53"/>
        <w:gridCol w:w="5553"/>
        <w:tblGridChange w:id="0">
          <w:tblGrid>
            <w:gridCol w:w="5553"/>
            <w:gridCol w:w="5553"/>
          </w:tblGrid>
        </w:tblGridChange>
      </w:tblGrid>
      <w:tr>
        <w:trPr>
          <w:cantSplit w:val="0"/>
          <w:tblHeader w:val="0"/>
        </w:trPr>
        <w:tc>
          <w:tcPr/>
          <w:p w:rsidR="00000000" w:rsidDel="00000000" w:rsidP="00000000" w:rsidRDefault="00000000" w:rsidRPr="00000000" w14:paraId="00000002">
            <w:pPr>
              <w:pStyle w:val="Title"/>
              <w:rPr>
                <w:rFonts w:ascii="Calibri" w:cs="Calibri" w:eastAsia="Calibri" w:hAnsi="Calibri"/>
                <w:color w:val="002060"/>
              </w:rPr>
            </w:pPr>
            <w:r w:rsidDel="00000000" w:rsidR="00000000" w:rsidRPr="00000000">
              <w:rPr>
                <w:rFonts w:ascii="Calibri" w:cs="Calibri" w:eastAsia="Calibri" w:hAnsi="Calibri"/>
                <w:color w:val="002060"/>
                <w:rtl w:val="0"/>
              </w:rPr>
              <w:t xml:space="preserve">Rajesh Mehta, R.Ph., Ms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-63499</wp:posOffset>
                      </wp:positionV>
                      <wp:extent cx="70485" cy="1625600"/>
                      <wp:effectExtent b="0" l="0" r="0" t="0"/>
                      <wp:wrapNone/>
                      <wp:docPr id="3" name=""/>
                      <a:graphic>
                        <a:graphicData uri="http://schemas.microsoft.com/office/word/2010/wordprocessingShape">
                          <wps:wsp>
                            <wps:cNvSpPr/>
                            <wps:cNvPr id="2" name="Shape 2"/>
                            <wps:spPr>
                              <a:xfrm>
                                <a:off x="5323458" y="2979900"/>
                                <a:ext cx="45085" cy="1600200"/>
                              </a:xfrm>
                              <a:prstGeom prst="rect">
                                <a:avLst/>
                              </a:prstGeom>
                              <a:solidFill>
                                <a:srgbClr val="002060"/>
                              </a:solidFill>
                              <a:ln cap="flat" cmpd="sng" w="12700">
                                <a:solidFill>
                                  <a:srgbClr val="0F558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-63499</wp:posOffset>
                      </wp:positionV>
                      <wp:extent cx="70485" cy="16256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0485" cy="1625600"/>
                              </a:xfrm>
                              <a:prstGeom prst="rect"/>
                              <a:ln/>
                            </pic:spPr>
                          </pic:pic>
                        </a:graphicData>
                      </a:graphic>
                    </wp:anchor>
                  </w:drawing>
                </mc:Fallback>
              </mc:AlternateContent>
            </w:r>
          </w:p>
          <w:p w:rsidR="00000000" w:rsidDel="00000000" w:rsidP="00000000" w:rsidRDefault="00000000" w:rsidRPr="00000000" w14:paraId="00000003">
            <w:pPr>
              <w:pStyle w:val="Subtitle"/>
              <w:rPr>
                <w:rFonts w:ascii="Calibri" w:cs="Calibri" w:eastAsia="Calibri" w:hAnsi="Calibri"/>
                <w:color w:val="002060"/>
              </w:rPr>
            </w:pPr>
            <w:r w:rsidDel="00000000" w:rsidR="00000000" w:rsidRPr="00000000">
              <w:rPr>
                <w:rtl w:val="0"/>
              </w:rPr>
            </w:r>
          </w:p>
        </w:tc>
        <w:tc>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2060"/>
                <w:sz w:val="20"/>
                <w:szCs w:val="20"/>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rmehta.rx@gmail.com</w:t>
              </w:r>
            </w:hyperlink>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 • </w:t>
            </w:r>
            <w:hyperlink r:id="rId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LinkedIn</w:t>
              </w:r>
            </w:hyperlink>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f5581"/>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917-270-5107 • New York, NY, 10280 </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Strategic healthcare analytics leader with deep expertise in Commercial Analytics, Market Access, and Health Economics &amp; Outcomes Research (HEOR). Proven success in leading teams of analysts and data scientists to design and implement robust attribution methodologies and reporting systems that power value-based care initiatives (e.g., Ozempic, CAR-T therapy, Psoriasis Light Treatment Initiatives, Entresto VBC implementation, Januvia Comprehensive VBC and Care Management Initiative). Adept at translating complex business goals into scalable technical solutions, and ensuring analytic outputs are accurate, actionable, and strategically aligned. Skilled in cross-functional collaboration with clinical, actuarial, and technology stakeholders to drive data alignment and support integrated delivery networks (e.g., MedStar, Intermountain, Inova). Recognized for optimizing operational performance through automation, improving revenue cycles, and contributing to innovations in pharmacovigilance and clinical trial design. Known for strong documentation discipline, strategic reporting to senior leadership, and building high-performing, scalable analytics teams.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Areas of Expertise  </w:t>
      </w:r>
    </w:p>
    <w:tbl>
      <w:tblPr>
        <w:tblStyle w:val="Table2"/>
        <w:tblW w:w="10582.0" w:type="dxa"/>
        <w:jc w:val="left"/>
        <w:tblInd w:w="5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76"/>
        <w:gridCol w:w="3406"/>
        <w:gridCol w:w="3700"/>
        <w:tblGridChange w:id="0">
          <w:tblGrid>
            <w:gridCol w:w="3476"/>
            <w:gridCol w:w="3406"/>
            <w:gridCol w:w="3700"/>
          </w:tblGrid>
        </w:tblGridChange>
      </w:tblGrid>
      <w:tr>
        <w:trPr>
          <w:cantSplit w:val="0"/>
          <w:trHeight w:val="522" w:hRule="atLeast"/>
          <w:tblHeader w:val="0"/>
        </w:trPr>
        <w:tc>
          <w:tcPr/>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Sales Management</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Analysis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Clinical Research </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Process Optimization </w:t>
            </w:r>
          </w:p>
        </w:tc>
        <w:tc>
          <w:tcPr/>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Operational Excellence </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Development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Training &amp; Development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Analytics &amp; </w:t>
            </w:r>
            <w:r w:rsidDel="00000000" w:rsidR="00000000" w:rsidRPr="00000000">
              <w:rPr>
                <w:sz w:val="20"/>
                <w:szCs w:val="20"/>
                <w:rtl w:val="0"/>
              </w:rPr>
              <w:t xml:space="preserve">Reporting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Team Leadership &amp; Mentoring</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Patent Development </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Strategy &amp; Launch </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Automation Enhancement </w:t>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Career Highlights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Led the design, development, and operationalization of advanced analytics frameworks, predictive models, and automation solutions, improving analytical efficiency, standardization, and decision-making across multiple business functions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Boosted sales efficiency/accuracy through strategic leadership in designing, executing, and operationalizing automation processes.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Generated $15M+ in revenue by implementing RWE/Pragmatic trials and related services through strong leadership.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Reduced clinical variability and improved outcomes by risk-stratifying populations for care management services.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timely clinical alerts in the CareEngine® system to notify individuals and physicians of identified care gaps.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Received patent (# 10489717) for contributions to development of innovative solutions in Pharmacovigilance and Clinical Trials.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Acknowledged for conducting external and pharma-funded research studies, ensuring high-quality data collection and analysis.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D">
      <w:pPr>
        <w:tabs>
          <w:tab w:val="right" w:leader="none" w:pos="10800"/>
          <w:tab w:val="left" w:leader="none" w:pos="1770"/>
        </w:tabs>
        <w:spacing w:before="360" w:lineRule="auto"/>
        <w:jc w:val="both"/>
        <w:rPr>
          <w:b w:val="1"/>
          <w:bCs w:val="1"/>
          <w:color w:val="002060"/>
          <w:sz w:val="20"/>
          <w:szCs w:val="20"/>
        </w:rPr>
      </w:pPr>
      <w:r w:rsidDel="00000000" w:rsidR="00000000" w:rsidRPr="00000000">
        <w:rPr>
          <w:b w:val="1"/>
          <w:bCs w:val="1"/>
          <w:color w:val="002060"/>
          <w:sz w:val="20"/>
          <w:szCs w:val="20"/>
          <w:rtl w:val="0"/>
        </w:rPr>
        <w:t xml:space="preserve">Consultant to CMO, EmblemHealth.</w:t>
        <w:tab/>
        <w:t xml:space="preserve">2025 – current </w:t>
      </w:r>
    </w:p>
    <w:p w:rsidR="00000000" w:rsidDel="00000000" w:rsidP="00000000" w:rsidRDefault="00000000" w:rsidRPr="00000000" w14:paraId="0000001E">
      <w:pPr>
        <w:tabs>
          <w:tab w:val="right" w:leader="none" w:pos="10800"/>
        </w:tabs>
        <w:spacing w:after="180" w:lineRule="auto"/>
        <w:jc w:val="both"/>
        <w:rPr>
          <w:color w:val="002060"/>
          <w:sz w:val="20"/>
          <w:szCs w:val="20"/>
        </w:rPr>
      </w:pPr>
      <w:r w:rsidDel="00000000" w:rsidR="00000000" w:rsidRPr="00000000">
        <w:rPr>
          <w:rtl w:val="0"/>
        </w:rPr>
      </w:r>
    </w:p>
    <w:p w:rsidR="00000000" w:rsidDel="00000000" w:rsidP="00000000" w:rsidRDefault="00000000" w:rsidRPr="00000000" w14:paraId="0000001F">
      <w:pPr>
        <w:tabs>
          <w:tab w:val="right" w:leader="none" w:pos="7155"/>
        </w:tabs>
        <w:spacing w:after="60" w:lineRule="auto"/>
        <w:ind w:left="187" w:firstLine="0"/>
        <w:jc w:val="both"/>
        <w:rPr>
          <w:sz w:val="20"/>
          <w:szCs w:val="20"/>
        </w:rPr>
      </w:pPr>
      <w:r w:rsidDel="00000000" w:rsidR="00000000" w:rsidRPr="00000000">
        <w:rPr>
          <w:sz w:val="20"/>
          <w:szCs w:val="20"/>
          <w:rtl w:val="0"/>
        </w:rPr>
        <w:t xml:space="preserve">Provide strategic leadership and scientific oversight for Health Economics and Outcomes Research (HEOR), Real-World Evidence (RWE), and population health initiatives supporting payer, provider, and life sciences collaborations. Advise executive leadership on the design, feasibility, and execution of retrospective analyses, prospective observational studies, and pragmatic clinical research programs utilizing integrated claims, EHR, laboratory, and social determinants of health (SDOH) data.</w:t>
      </w:r>
    </w:p>
    <w:p w:rsidR="00000000" w:rsidDel="00000000" w:rsidP="00000000" w:rsidRDefault="00000000" w:rsidRPr="00000000" w14:paraId="00000020">
      <w:pPr>
        <w:tabs>
          <w:tab w:val="right" w:leader="none" w:pos="7155"/>
        </w:tabs>
        <w:spacing w:after="60" w:lineRule="auto"/>
        <w:ind w:left="187"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1">
      <w:pPr>
        <w:tabs>
          <w:tab w:val="right" w:leader="none" w:pos="7155"/>
        </w:tabs>
        <w:spacing w:after="120" w:before="60" w:lineRule="auto"/>
        <w:ind w:left="187" w:firstLine="0"/>
        <w:jc w:val="both"/>
        <w:rPr>
          <w:i w:val="1"/>
          <w:iCs w:val="1"/>
          <w:sz w:val="20"/>
          <w:szCs w:val="20"/>
        </w:rPr>
      </w:pPr>
      <w:r w:rsidDel="00000000" w:rsidR="00000000" w:rsidRPr="00000000">
        <w:rPr>
          <w:i w:val="1"/>
          <w:iCs w:val="1"/>
          <w:sz w:val="20"/>
          <w:szCs w:val="20"/>
          <w:rtl w:val="0"/>
        </w:rPr>
        <w:t xml:space="preserve">Key Contributions: </w:t>
      </w:r>
    </w:p>
    <w:p w:rsidR="00000000" w:rsidDel="00000000" w:rsidP="00000000" w:rsidRDefault="00000000" w:rsidRPr="00000000" w14:paraId="00000022">
      <w:pPr>
        <w:numPr>
          <w:ilvl w:val="0"/>
          <w:numId w:val="2"/>
        </w:numPr>
        <w:spacing w:line="276" w:lineRule="auto"/>
        <w:ind w:left="426" w:hanging="138"/>
        <w:jc w:val="both"/>
        <w:rPr>
          <w:rFonts w:ascii="Calibri" w:cs="Calibri" w:eastAsia="Calibri" w:hAnsi="Calibri"/>
          <w:sz w:val="20"/>
          <w:szCs w:val="20"/>
        </w:rPr>
      </w:pPr>
      <w:r w:rsidDel="00000000" w:rsidR="00000000" w:rsidRPr="00000000">
        <w:rPr>
          <w:sz w:val="20"/>
          <w:szCs w:val="20"/>
          <w:rtl w:val="0"/>
        </w:rPr>
        <w:t xml:space="preserve">Established an enterprise framework for evaluating and prioritizing HEOR and RWE opportunities across commercial, Medicare, and provider populations, supporting strategic partnerships with pharmaceutical and medical technology organizations</w:t>
      </w:r>
      <w:r w:rsidDel="00000000" w:rsidR="00000000" w:rsidRPr="00000000">
        <w:rPr>
          <w:sz w:val="20"/>
          <w:szCs w:val="20"/>
          <w:rtl w:val="0"/>
        </w:rPr>
        <w:t xml:space="preserve">.    </w:t>
      </w:r>
    </w:p>
    <w:p w:rsidR="00000000" w:rsidDel="00000000" w:rsidP="00000000" w:rsidRDefault="00000000" w:rsidRPr="00000000" w14:paraId="00000023">
      <w:pPr>
        <w:numPr>
          <w:ilvl w:val="0"/>
          <w:numId w:val="2"/>
        </w:numPr>
        <w:spacing w:line="276" w:lineRule="auto"/>
        <w:ind w:left="426" w:hanging="138"/>
        <w:jc w:val="both"/>
        <w:rPr>
          <w:rFonts w:ascii="Calibri" w:cs="Calibri" w:eastAsia="Calibri" w:hAnsi="Calibri"/>
          <w:sz w:val="20"/>
          <w:szCs w:val="20"/>
        </w:rPr>
      </w:pPr>
      <w:r w:rsidDel="00000000" w:rsidR="00000000" w:rsidRPr="00000000">
        <w:rPr>
          <w:sz w:val="20"/>
          <w:szCs w:val="20"/>
          <w:rtl w:val="0"/>
        </w:rPr>
        <w:t xml:space="preserve">Designed multiple payer-based evidence generation programs, including disease identification, patient outreach, screening optimization, vaccine effectiveness, and chronic disease management initiatives across oncology, neurology, respiratory, obesity, cardiovascular, and infectious disease therapeutic areas.  </w:t>
      </w:r>
    </w:p>
    <w:p w:rsidR="00000000" w:rsidDel="00000000" w:rsidP="00000000" w:rsidRDefault="00000000" w:rsidRPr="00000000" w14:paraId="00000024">
      <w:pPr>
        <w:numPr>
          <w:ilvl w:val="0"/>
          <w:numId w:val="2"/>
        </w:numPr>
        <w:spacing w:line="276" w:lineRule="auto"/>
        <w:ind w:left="426" w:hanging="138"/>
        <w:jc w:val="both"/>
        <w:rPr>
          <w:rFonts w:ascii="Calibri" w:cs="Calibri" w:eastAsia="Calibri" w:hAnsi="Calibri"/>
          <w:sz w:val="20"/>
          <w:szCs w:val="20"/>
        </w:rPr>
      </w:pPr>
      <w:r w:rsidDel="00000000" w:rsidR="00000000" w:rsidRPr="00000000">
        <w:rPr>
          <w:sz w:val="20"/>
          <w:szCs w:val="20"/>
          <w:rtl w:val="0"/>
        </w:rPr>
        <w:t xml:space="preserve">Advised on data integration strategies leveraging medical and pharmacy claims, EHR, laboratory, and care management data to support population identification, patient stratification, quality improvement, and value-based care initiatives.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 w:val="left" w:leader="none" w:pos="1770"/>
        </w:tabs>
        <w:spacing w:after="0" w:before="360" w:line="240" w:lineRule="auto"/>
        <w:ind w:left="0" w:right="0" w:firstLine="0"/>
        <w:jc w:val="both"/>
        <w:rPr>
          <w:rFonts w:ascii="Calibri" w:cs="Calibri" w:eastAsia="Calibri" w:hAnsi="Calibri"/>
          <w:b w:val="1"/>
          <w:bCs w:val="1"/>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HEOR &amp; Custom Analytics, </w:t>
      </w:r>
      <w:r w:rsidDel="00000000" w:rsidR="00000000" w:rsidRPr="00000000">
        <w:rPr>
          <w:b w:val="1"/>
          <w:bCs w:val="1"/>
          <w:color w:val="002060"/>
          <w:sz w:val="20"/>
          <w:szCs w:val="20"/>
          <w:rtl w:val="0"/>
        </w:rPr>
        <w:t xml:space="preserve">Cigna Health</w:t>
      </w: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w:t>
        <w:tab/>
        <w:t xml:space="preserve">20</w:t>
      </w:r>
      <w:r w:rsidDel="00000000" w:rsidR="00000000" w:rsidRPr="00000000">
        <w:rPr>
          <w:b w:val="1"/>
          <w:bCs w:val="1"/>
          <w:color w:val="002060"/>
          <w:sz w:val="20"/>
          <w:szCs w:val="20"/>
          <w:rtl w:val="0"/>
        </w:rPr>
        <w:t xml:space="preserve">20</w:t>
      </w: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 – 202</w:t>
      </w:r>
      <w:r w:rsidDel="00000000" w:rsidR="00000000" w:rsidRPr="00000000">
        <w:rPr>
          <w:b w:val="1"/>
          <w:bCs w:val="1"/>
          <w:color w:val="002060"/>
          <w:sz w:val="20"/>
          <w:szCs w:val="20"/>
          <w:rtl w:val="0"/>
        </w:rPr>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8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60" w:before="0" w:line="240" w:lineRule="auto"/>
        <w:ind w:left="18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Oversee design, application, and execution of innovative research, outcomes, and RWE for prospective and retrospective products. </w:t>
      </w:r>
      <w:r w:rsidDel="00000000" w:rsidR="00000000" w:rsidRPr="00000000">
        <w:rPr>
          <w:sz w:val="20"/>
          <w:szCs w:val="20"/>
          <w:rtl w:val="0"/>
        </w:rPr>
        <w:t xml:space="preserve">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entor a team of 20+ innovators and scientists to ensure high-quality </w:t>
      </w:r>
      <w:r w:rsidDel="00000000" w:rsidR="00000000" w:rsidRPr="00000000">
        <w:rPr>
          <w:sz w:val="20"/>
          <w:szCs w:val="20"/>
          <w:rtl w:val="0"/>
        </w:rPr>
        <w:t xml:space="preserve">reporting 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analytic deliverables for key clients.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60" w:line="240" w:lineRule="auto"/>
        <w:ind w:left="187"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Key Contributions: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Designed and implemented observational research methodologies, including propensity score matching (PSM), inverse probability weighting (IPW), difference-in-differences (DiD), interrupted time series, longitudinal cohort analyses, and quasi-experimental study designs to evaluate healthcare interventions and real-world outcomes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Applied A/B testing, experimentation frameworks, and causal inference methods to assess program effectiveness, measure intervention impact, and generate actionable recommendations for product development, value-based care, and market access strategies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Sample claim-based analytic projects initiated with internal stakeholders: Ozempic, Psoriasis, CAR-T Therapy, Climate Change Population Statistics.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Informed key metrics for 'go-to-market' launches, contributing to successful product launches and market access strategies.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360" w:line="240" w:lineRule="auto"/>
        <w:ind w:left="0" w:right="0" w:firstLine="0"/>
        <w:jc w:val="both"/>
        <w:rPr>
          <w:rFonts w:ascii="Calibri" w:cs="Calibri" w:eastAsia="Calibri" w:hAnsi="Calibri"/>
          <w:b w:val="1"/>
          <w:bCs w:val="1"/>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Healthagen, CVS Company</w:t>
        <w:tab/>
        <w:t xml:space="preserve">2014 – 2019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8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Senior Director, Informatics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60" w:before="0" w:line="240" w:lineRule="auto"/>
        <w:ind w:left="18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Directed a dynamic team of 25+ custom analytics and HEOR/RWE professionals, including driving team’s performance and fostering collaboration to achieve organizational goals. Built/deployed robust processes for executing Real-World Evidence (RWE) and pragmatic trials, utilizing inpatient clinical data (lab, pharmacy, radiology, and notes) and outpatient medical claims &amp; pharmacy claims data.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60" w:line="240" w:lineRule="auto"/>
        <w:ind w:left="187"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Key Contributions: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Value Base Care Initiatives: Aetna/Inova - Diabetes Care Management, Aetna/Medtronics - Congestive Heart Failure Initiative, Aetna/Merck - HbA1c Reduction VBC, Aetna/Merck - Diabetes Care Management.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patient-centered RWE/pragmatic trials, aligning interventions and regulatory approvals with patient preferences.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Established a reputation for high-quality results, regulatory compliance, and innovation in pharmacovigilance and clinical trials.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Communicated complex concepts and strategies to diverse stakeholders; clients, senior management, and cross-functional teams.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Pioneered and developed an entire suite of new product lines, including epidemiology studies, care management programs, outcomes research, real-world evidence studies, value-based contracts, and payer-provider relationship value propositions.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360" w:line="240" w:lineRule="auto"/>
        <w:ind w:left="0" w:right="0" w:firstLine="0"/>
        <w:jc w:val="both"/>
        <w:rPr>
          <w:rFonts w:ascii="Calibri" w:cs="Calibri" w:eastAsia="Calibri" w:hAnsi="Calibri"/>
          <w:b w:val="1"/>
          <w:bCs w:val="1"/>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ActiveHealth, CVS Company</w:t>
        <w:tab/>
        <w:t xml:space="preserve">2011 – 2014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8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Director, Pharmacy Informatics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60" w:before="0" w:line="240" w:lineRule="auto"/>
        <w:ind w:left="18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Conceptualized, developed, and executed Pharmacovigilance and Clinical Trials related products at ActiveHealth, in collaboration with Aetna Innovations Lab. Played a pivotal role as Product Lead for Pharmacovigilance &amp; Clinical Trials, overseeing entire product lifecycle from ideation to implementation. Collaborated with cross-functional teams to deliver Pharmacovigilance and Clinical Trials products.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60" w:line="240" w:lineRule="auto"/>
        <w:ind w:left="187"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Key Contributions: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Recognized for clinical expertise and providing valuable business direction to support ActiveHealth Disease Management initiatives.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Provided clinical and business support for ActiveHealth Management's CareEngine®, a tool to identify individual care gaps.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Contributed to the development and implementation of Quality Measures programs, including NQF and HEDIS measures.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Utilized market insights and customer feedback to enhance product offerings and meet customer needs/regulatory requirements.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360" w:line="240" w:lineRule="auto"/>
        <w:ind w:left="0" w:right="0" w:firstLine="0"/>
        <w:jc w:val="both"/>
        <w:rPr>
          <w:rFonts w:ascii="Calibri" w:cs="Calibri" w:eastAsia="Calibri" w:hAnsi="Calibri"/>
          <w:b w:val="1"/>
          <w:bCs w:val="1"/>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0"/>
          <w:szCs w:val="20"/>
          <w:u w:val="none"/>
          <w:shd w:fill="auto" w:val="clear"/>
          <w:vertAlign w:val="baseline"/>
          <w:rtl w:val="0"/>
        </w:rPr>
        <w:t xml:space="preserve">Intermountain Medical Center</w:t>
        <w:tab/>
        <w:t xml:space="preserve">2007 – 2011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8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Associate Director, Outcomes Research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60" w:before="0" w:line="240" w:lineRule="auto"/>
        <w:ind w:left="18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multiple HEOR projects for pharmaceutical clients, encompassing various research methodologies such as database studies, medical record abstraction, and clinical data collection. Recognized for consistently delivering high-quality research outputs, presenting findings at conferences, and publishing in peer-reviewed journals, contributing to the scientific community's knowledge base in HEOR.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60" w:line="240" w:lineRule="auto"/>
        <w:ind w:left="187"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Key Contributions: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Spearheaded end-to-end proposal generation, managing research design, analysis, and result dissemination.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Contributed to development and implementation of best practices in HEOR research, optimizing study quality and efficiency.</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Partnered with executives to create compelling business plans and sales propositions for RWE in healthcare research.</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trusted relationships with pharmaceutical clients as a strategic research advisor/partner in addressing research needs.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426" w:right="0" w:hanging="13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Mentored research teams and guided junior colleagues in study design, data analysis, and result interpretation.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Additional Experience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Health Outcomes Manager - Dept. of Epidemiology &amp; Infectious Disease- IMC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8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Outcomes Researcher &amp; Infectious Disease Pharmacist - LDS Hospital- IMC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Education &amp; Certifications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Utah Division of Professional Licensing: Pharmacist. Ref. # 5561430-1701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Maryland Department of Health &amp; Mental Hygiene: Pharmacist. Lic # 18583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US Patent# US8744872B1: System and method for pharmacovigilance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MS Pharmacy Administration, Magna cum Laude - Idaho State University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0"/>
          <w:szCs w:val="20"/>
          <w:u w:val="none"/>
          <w:shd w:fill="auto" w:val="clear"/>
          <w:vertAlign w:val="baseline"/>
          <w:rtl w:val="0"/>
        </w:rPr>
        <w:t xml:space="preserve">Bachelor in Pharmaceutical Sciences - University of Pune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Affiliations</w:t>
      </w:r>
    </w:p>
    <w:p w:rsidR="00000000" w:rsidDel="00000000" w:rsidP="00000000" w:rsidRDefault="00000000" w:rsidRPr="00000000" w14:paraId="00000050">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International Society for Pharmacoeconomics and Outcomes Research, USA</w:t>
      </w:r>
    </w:p>
    <w:p w:rsidR="00000000" w:rsidDel="00000000" w:rsidP="00000000" w:rsidRDefault="00000000" w:rsidRPr="00000000" w14:paraId="00000051">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Interscience Conference on Antimicrobial Agents and Chemotherapy, USA</w:t>
      </w:r>
    </w:p>
    <w:p w:rsidR="00000000" w:rsidDel="00000000" w:rsidP="00000000" w:rsidRDefault="00000000" w:rsidRPr="00000000" w14:paraId="00000052">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American Diabetes Association </w:t>
      </w:r>
    </w:p>
    <w:p w:rsidR="00000000" w:rsidDel="00000000" w:rsidP="00000000" w:rsidRDefault="00000000" w:rsidRPr="00000000" w14:paraId="00000053">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American College of Cardiology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Select Publications &amp; Abstracts </w:t>
      </w:r>
    </w:p>
    <w:p w:rsidR="00000000" w:rsidDel="00000000" w:rsidP="00000000" w:rsidRDefault="00000000" w:rsidRPr="00000000" w14:paraId="00000055">
      <w:pPr>
        <w:jc w:val="both"/>
        <w:rPr>
          <w:rFonts w:ascii="Calibri" w:cs="Calibri" w:eastAsia="Calibri" w:hAnsi="Calibri"/>
          <w:color w:val="002060"/>
          <w:sz w:val="20"/>
          <w:szCs w:val="20"/>
        </w:rPr>
      </w:pPr>
      <w:r w:rsidDel="00000000" w:rsidR="00000000" w:rsidRPr="00000000">
        <w:rPr>
          <w:rFonts w:ascii="Calibri" w:cs="Calibri" w:eastAsia="Calibri" w:hAnsi="Calibri"/>
          <w:b w:val="1"/>
          <w:bCs w:val="1"/>
          <w:color w:val="002060"/>
          <w:sz w:val="20"/>
          <w:szCs w:val="20"/>
          <w:rtl w:val="0"/>
        </w:rPr>
        <w:t xml:space="preserve">Rajesh Mehta</w:t>
      </w:r>
      <w:r w:rsidDel="00000000" w:rsidR="00000000" w:rsidRPr="00000000">
        <w:rPr>
          <w:rFonts w:ascii="Calibri" w:cs="Calibri" w:eastAsia="Calibri" w:hAnsi="Calibri"/>
          <w:color w:val="002060"/>
          <w:sz w:val="20"/>
          <w:szCs w:val="20"/>
          <w:rtl w:val="0"/>
        </w:rPr>
        <w:t xml:space="preserve">, Surya Uppunuthula. Use Machine Learning (ML) Techniques to Identify the Likelihood of Hospitalization for High-Risk Patients Diagnosed with COVID 19. 2022 ISPOR May 18 – May 22. </w:t>
      </w:r>
    </w:p>
    <w:p w:rsidR="00000000" w:rsidDel="00000000" w:rsidP="00000000" w:rsidRDefault="00000000" w:rsidRPr="00000000" w14:paraId="00000056">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Michele Bennett, PhD, Ewa J. Kleczyk, PhD., </w:t>
      </w:r>
      <w:r w:rsidDel="00000000" w:rsidR="00000000" w:rsidRPr="00000000">
        <w:rPr>
          <w:rFonts w:ascii="Calibri" w:cs="Calibri" w:eastAsia="Calibri" w:hAnsi="Calibri"/>
          <w:b w:val="1"/>
          <w:bCs w:val="1"/>
          <w:color w:val="002060"/>
          <w:sz w:val="20"/>
          <w:szCs w:val="20"/>
          <w:rtl w:val="0"/>
        </w:rPr>
        <w:t xml:space="preserve">Rajesh Mehta</w:t>
      </w:r>
      <w:r w:rsidDel="00000000" w:rsidR="00000000" w:rsidRPr="00000000">
        <w:rPr>
          <w:rFonts w:ascii="Calibri" w:cs="Calibri" w:eastAsia="Calibri" w:hAnsi="Calibri"/>
          <w:color w:val="002060"/>
          <w:sz w:val="20"/>
          <w:szCs w:val="20"/>
          <w:rtl w:val="0"/>
        </w:rPr>
        <w:t xml:space="preserve">, R.Ph., MS. Similarities and Differences between Machine Learning and Traditional Advanced Statistical Modeling in Healthcare Analytics. </w:t>
      </w:r>
    </w:p>
    <w:p w:rsidR="00000000" w:rsidDel="00000000" w:rsidP="00000000" w:rsidRDefault="00000000" w:rsidRPr="00000000" w14:paraId="00000057">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https://doi.org/10.48550/arXiv.2201.02469, Jan 2022.</w:t>
      </w:r>
    </w:p>
    <w:p w:rsidR="00000000" w:rsidDel="00000000" w:rsidP="00000000" w:rsidRDefault="00000000" w:rsidRPr="00000000" w14:paraId="00000058">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Powell RE, Zaccardi F, Beebe C, Chen XM, Crawford A, Cuddeback J, Gabbay RA, Kissela L, Litchman ML, </w:t>
      </w:r>
      <w:r w:rsidDel="00000000" w:rsidR="00000000" w:rsidRPr="00000000">
        <w:rPr>
          <w:rFonts w:ascii="Calibri" w:cs="Calibri" w:eastAsia="Calibri" w:hAnsi="Calibri"/>
          <w:b w:val="1"/>
          <w:bCs w:val="1"/>
          <w:color w:val="002060"/>
          <w:sz w:val="20"/>
          <w:szCs w:val="20"/>
          <w:rtl w:val="0"/>
        </w:rPr>
        <w:t xml:space="preserve">Mehta R</w:t>
      </w:r>
      <w:r w:rsidDel="00000000" w:rsidR="00000000" w:rsidRPr="00000000">
        <w:rPr>
          <w:rFonts w:ascii="Calibri" w:cs="Calibri" w:eastAsia="Calibri" w:hAnsi="Calibri"/>
          <w:color w:val="002060"/>
          <w:sz w:val="20"/>
          <w:szCs w:val="20"/>
          <w:rtl w:val="0"/>
        </w:rPr>
        <w:t xml:space="preserve">, Meneghini L, Pantalone KM, Rajpathak S, Scribner P, Skelley JW, Khunti K. Strategies for overcoming therapeutic inertia in type 2 diabetes: A systematic review and meta-analysis. Diabetes Obes Metab. 2021 Sep;23(9):2137-2154. doi: 10.1111/dom.14455. Epub 2021 Jun 27. PMID: 34180129.</w:t>
      </w:r>
    </w:p>
    <w:p w:rsidR="00000000" w:rsidDel="00000000" w:rsidP="00000000" w:rsidRDefault="00000000" w:rsidRPr="00000000" w14:paraId="00000059">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b w:val="1"/>
          <w:bCs w:val="1"/>
          <w:color w:val="002060"/>
          <w:sz w:val="20"/>
          <w:szCs w:val="20"/>
          <w:rtl w:val="0"/>
        </w:rPr>
        <w:t xml:space="preserve">Rajesh Mehta, RPh, MS1</w:t>
      </w:r>
      <w:r w:rsidDel="00000000" w:rsidR="00000000" w:rsidRPr="00000000">
        <w:rPr>
          <w:rFonts w:ascii="Calibri" w:cs="Calibri" w:eastAsia="Calibri" w:hAnsi="Calibri"/>
          <w:color w:val="002060"/>
          <w:sz w:val="20"/>
          <w:szCs w:val="20"/>
          <w:rtl w:val="0"/>
        </w:rPr>
        <w:t xml:space="preserve">, Alison M. Edwards, MStat1, Katelyn R. Keyloun, PharmD, MS2, Nicole Bonine, PhD, MPH2, Iver A. Juster, MD1. Current Use of Intravenous (IV) Long Acting Antibiotic (LAA) Therapy in the Aetna Health Plan among Patients with Acute Bacterial Skin and Skin Structure Infection (ABSSSI). 1Healthagen, New York, NY, USA; 2Allergan plc, Irvine, CA, USA. ID Week 2017, (Poster)</w:t>
      </w:r>
    </w:p>
    <w:p w:rsidR="00000000" w:rsidDel="00000000" w:rsidP="00000000" w:rsidRDefault="00000000" w:rsidRPr="00000000" w14:paraId="0000005A">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Guillaume Marquis-Gravel, Matthew T. Roe, Mintu P. Turakhia, William Boden, Robert Temple, Abhinav Sharma, Boaz Hirshberg, Paul Slater, Noah Craft, Norman Stockbridge, Bryan McDowell, Joanne Waldstreicher, Ariel Bourla, Sameer Bansilal, Jennifer L. Wong, Claire Meunier, Helina Kassahun, Philip Coran, Lauren Bataille, Bray Patrick-Lake, Brad Hirsch, John Reites, </w:t>
      </w:r>
      <w:r w:rsidDel="00000000" w:rsidR="00000000" w:rsidRPr="00000000">
        <w:rPr>
          <w:rFonts w:ascii="Calibri" w:cs="Calibri" w:eastAsia="Calibri" w:hAnsi="Calibri"/>
          <w:b w:val="1"/>
          <w:bCs w:val="1"/>
          <w:color w:val="002060"/>
          <w:sz w:val="20"/>
          <w:szCs w:val="20"/>
          <w:rtl w:val="0"/>
        </w:rPr>
        <w:t xml:space="preserve">Rajesh Mehta</w:t>
      </w:r>
      <w:r w:rsidDel="00000000" w:rsidR="00000000" w:rsidRPr="00000000">
        <w:rPr>
          <w:rFonts w:ascii="Calibri" w:cs="Calibri" w:eastAsia="Calibri" w:hAnsi="Calibri"/>
          <w:color w:val="002060"/>
          <w:sz w:val="20"/>
          <w:szCs w:val="20"/>
          <w:rtl w:val="0"/>
        </w:rPr>
        <w:t xml:space="preserve">, Evan D. Muse, Karen J. Chandross, Jonathan C. Silverstein, Christina Silcox, J. Marc Overhage, Robert M. Califf, Eric D. Peterson. Technology-Enabled Clinical Trials. Circulation. 2019;140:1426–1436.  https://doi.org/10.1161/CIRCULATIONAHA.119.040798. (Publication) </w:t>
      </w:r>
    </w:p>
    <w:p w:rsidR="00000000" w:rsidDel="00000000" w:rsidP="00000000" w:rsidRDefault="00000000" w:rsidRPr="00000000" w14:paraId="0000005B">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Baca-Motes K, Edwards AM, Waalen J, Edmonds S, </w:t>
      </w:r>
      <w:r w:rsidDel="00000000" w:rsidR="00000000" w:rsidRPr="00000000">
        <w:rPr>
          <w:rFonts w:ascii="Calibri" w:cs="Calibri" w:eastAsia="Calibri" w:hAnsi="Calibri"/>
          <w:b w:val="1"/>
          <w:bCs w:val="1"/>
          <w:color w:val="002060"/>
          <w:sz w:val="20"/>
          <w:szCs w:val="20"/>
          <w:rtl w:val="0"/>
        </w:rPr>
        <w:t xml:space="preserve">Mehta RR</w:t>
      </w:r>
      <w:r w:rsidDel="00000000" w:rsidR="00000000" w:rsidRPr="00000000">
        <w:rPr>
          <w:rFonts w:ascii="Calibri" w:cs="Calibri" w:eastAsia="Calibri" w:hAnsi="Calibri"/>
          <w:color w:val="002060"/>
          <w:sz w:val="20"/>
          <w:szCs w:val="20"/>
          <w:rtl w:val="0"/>
        </w:rPr>
        <w:t xml:space="preserve">, Ariniello L, Ebner GS, Talantov D, Fastenau JM, Carter CT, Sarich TC, Felicione E, Topol EJ, Steinhubl SR. Digital recruitment and enrollment in a remote nationwide trial of screening for undiagnosed atrial fibrillation: Lessons from the randomized, controlled mSToPS trial.Contemp Clin Trials Commun. 2019 Jan 7;14:100318. doi: 10.1016/j.conctc.2019.100318. eCollection 2019 Jun. (Publication).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Book Chapter</w:t>
      </w:r>
    </w:p>
    <w:p w:rsidR="00000000" w:rsidDel="00000000" w:rsidP="00000000" w:rsidRDefault="00000000" w:rsidRPr="00000000" w14:paraId="0000005D">
      <w:pPr>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Michele Bennett, PhD, Ewa J. Kleczyk, PhD., </w:t>
      </w:r>
      <w:r w:rsidDel="00000000" w:rsidR="00000000" w:rsidRPr="00000000">
        <w:rPr>
          <w:rFonts w:ascii="Calibri" w:cs="Calibri" w:eastAsia="Calibri" w:hAnsi="Calibri"/>
          <w:b w:val="1"/>
          <w:bCs w:val="1"/>
          <w:color w:val="002060"/>
          <w:sz w:val="20"/>
          <w:szCs w:val="20"/>
          <w:rtl w:val="0"/>
        </w:rPr>
        <w:t xml:space="preserve">Rajesh Mehta, R.Ph., MS</w:t>
      </w:r>
      <w:r w:rsidDel="00000000" w:rsidR="00000000" w:rsidRPr="00000000">
        <w:rPr>
          <w:rFonts w:ascii="Calibri" w:cs="Calibri" w:eastAsia="Calibri" w:hAnsi="Calibri"/>
          <w:color w:val="002060"/>
          <w:sz w:val="20"/>
          <w:szCs w:val="20"/>
          <w:rtl w:val="0"/>
        </w:rPr>
        <w:t xml:space="preserve">. Evaluating Similarities and Differences between Machine Learning and Traditional Statistical Modeling in Healthcare Analytics (Book Chapter: DOI: 10.5772/intechopen.105116)</w:t>
      </w:r>
    </w:p>
    <w:p w:rsidR="00000000" w:rsidDel="00000000" w:rsidP="00000000" w:rsidRDefault="00000000" w:rsidRPr="00000000" w14:paraId="0000005E">
      <w:pPr>
        <w:spacing w:before="120" w:lineRule="auto"/>
        <w:jc w:val="both"/>
        <w:rPr>
          <w:rFonts w:ascii="Calibri" w:cs="Calibri" w:eastAsia="Calibri" w:hAnsi="Calibri"/>
          <w:color w:val="002060"/>
          <w:sz w:val="20"/>
          <w:szCs w:val="20"/>
        </w:rPr>
      </w:pPr>
      <w:r w:rsidDel="00000000" w:rsidR="00000000" w:rsidRPr="00000000">
        <w:rPr>
          <w:rFonts w:ascii="Calibri" w:cs="Calibri" w:eastAsia="Calibri" w:hAnsi="Calibri"/>
          <w:color w:val="002060"/>
          <w:sz w:val="20"/>
          <w:szCs w:val="20"/>
          <w:rtl w:val="0"/>
        </w:rPr>
        <w:t xml:space="preserve">Burke, JP, M.D.; </w:t>
      </w:r>
      <w:r w:rsidDel="00000000" w:rsidR="00000000" w:rsidRPr="00000000">
        <w:rPr>
          <w:rFonts w:ascii="Calibri" w:cs="Calibri" w:eastAsia="Calibri" w:hAnsi="Calibri"/>
          <w:b w:val="1"/>
          <w:bCs w:val="1"/>
          <w:color w:val="002060"/>
          <w:sz w:val="20"/>
          <w:szCs w:val="20"/>
          <w:rtl w:val="0"/>
        </w:rPr>
        <w:t xml:space="preserve">Mehta, RR, R.Ph, M.S</w:t>
      </w:r>
      <w:r w:rsidDel="00000000" w:rsidR="00000000" w:rsidRPr="00000000">
        <w:rPr>
          <w:rFonts w:ascii="Calibri" w:cs="Calibri" w:eastAsia="Calibri" w:hAnsi="Calibri"/>
          <w:color w:val="002060"/>
          <w:sz w:val="20"/>
          <w:szCs w:val="20"/>
          <w:rtl w:val="0"/>
        </w:rPr>
        <w:t xml:space="preserve">. (2004). Role of Computer-Assisted Programs in Optimizing the Use of Antimicrobial Agents. Optimizing the Use of Antimicrobials in an Era of Resistance. J. Robert C. Owens, P. G. Ambrose and C. H. Nightingale. New York, Marcel Dekker, Inc. 1.</w:t>
        <w:tab/>
        <w:t xml:space="preserve"> </w:t>
      </w:r>
    </w:p>
    <w:sectPr>
      <w:footerReference r:id="rId10" w:type="default"/>
      <w:pgSz w:h="15840" w:w="12240" w:orient="portrait"/>
      <w:pgMar w:bottom="567" w:top="567" w:left="567" w:right="567" w:header="28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tabs>
        <w:tab w:val="center" w:leader="none" w:pos="4550"/>
        <w:tab w:val="left" w:leader="none" w:pos="5818"/>
      </w:tabs>
      <w:ind w:right="260"/>
      <w:jc w:val="right"/>
      <w:rPr>
        <w:rFonts w:ascii="Century" w:cs="Century" w:eastAsia="Century" w:hAnsi="Century"/>
        <w:color w:val="0f5581"/>
        <w:sz w:val="18"/>
        <w:szCs w:val="18"/>
      </w:rPr>
    </w:pPr>
    <w:r w:rsidDel="00000000" w:rsidR="00000000" w:rsidRPr="00000000">
      <w:rPr>
        <w:rFonts w:ascii="Century" w:cs="Century" w:eastAsia="Century" w:hAnsi="Century"/>
        <w:color w:val="0f5581"/>
        <w:sz w:val="18"/>
        <w:szCs w:val="18"/>
        <w:rtl w:val="0"/>
      </w:rPr>
      <w:t xml:space="preserve">Page </w:t>
    </w:r>
    <w:r w:rsidDel="00000000" w:rsidR="00000000" w:rsidRPr="00000000">
      <w:rPr>
        <w:rFonts w:ascii="Century" w:cs="Century" w:eastAsia="Century" w:hAnsi="Century"/>
        <w:color w:val="0f5581"/>
        <w:sz w:val="18"/>
        <w:szCs w:val="18"/>
      </w:rPr>
      <w:fldChar w:fldCharType="begin"/>
      <w:instrText xml:space="preserve">PAGE</w:instrText>
      <w:fldChar w:fldCharType="separate"/>
      <w:fldChar w:fldCharType="end"/>
    </w:r>
    <w:r w:rsidDel="00000000" w:rsidR="00000000" w:rsidRPr="00000000">
      <w:rPr>
        <w:rFonts w:ascii="Century" w:cs="Century" w:eastAsia="Century" w:hAnsi="Century"/>
        <w:color w:val="0f5581"/>
        <w:sz w:val="18"/>
        <w:szCs w:val="18"/>
        <w:rtl w:val="0"/>
      </w:rPr>
      <w:t xml:space="preserve"> | </w:t>
    </w:r>
    <w:r w:rsidDel="00000000" w:rsidR="00000000" w:rsidRPr="00000000">
      <w:rPr>
        <w:rFonts w:ascii="Century" w:cs="Century" w:eastAsia="Century" w:hAnsi="Century"/>
        <w:color w:val="0f5581"/>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w:cs="Century" w:eastAsia="Century" w:hAnsi="Century"/>
        <w:b w:val="0"/>
        <w:bCs w:val="0"/>
        <w:i w:val="0"/>
        <w:iCs w:val="0"/>
        <w:smallCaps w:val="0"/>
        <w:strike w:val="0"/>
        <w:color w:val="0f5581"/>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360"/>
      </w:pPr>
      <w:rPr>
        <w:rFonts w:ascii="Noto Sans Symbols" w:cs="Noto Sans Symbols" w:eastAsia="Noto Sans Symbols" w:hAnsi="Noto Sans Symbols"/>
        <w:sz w:val="16"/>
        <w:szCs w:val="16"/>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entury" w:cs="Century" w:eastAsia="Century" w:hAnsi="Century"/>
      <w:b w:val="1"/>
      <w:bCs w:val="1"/>
      <w:color w:val="0f5581"/>
      <w:sz w:val="40"/>
      <w:szCs w:val="40"/>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F21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F2134"/>
    <w:pPr>
      <w:ind w:left="720"/>
      <w:contextualSpacing w:val="1"/>
    </w:pPr>
  </w:style>
  <w:style w:type="paragraph" w:styleId="Header">
    <w:name w:val="header"/>
    <w:basedOn w:val="Normal"/>
    <w:link w:val="HeaderChar"/>
    <w:uiPriority w:val="99"/>
    <w:unhideWhenUsed w:val="1"/>
    <w:rsid w:val="00641691"/>
    <w:pPr>
      <w:tabs>
        <w:tab w:val="center" w:pos="4680"/>
        <w:tab w:val="right" w:pos="9360"/>
      </w:tabs>
    </w:pPr>
  </w:style>
  <w:style w:type="character" w:styleId="HeaderChar" w:customStyle="1">
    <w:name w:val="Header Char"/>
    <w:basedOn w:val="DefaultParagraphFont"/>
    <w:link w:val="Header"/>
    <w:uiPriority w:val="99"/>
    <w:rsid w:val="00641691"/>
  </w:style>
  <w:style w:type="paragraph" w:styleId="Footer">
    <w:name w:val="footer"/>
    <w:basedOn w:val="Normal"/>
    <w:link w:val="FooterChar"/>
    <w:uiPriority w:val="99"/>
    <w:unhideWhenUsed w:val="1"/>
    <w:rsid w:val="00641691"/>
    <w:pPr>
      <w:tabs>
        <w:tab w:val="center" w:pos="4680"/>
        <w:tab w:val="right" w:pos="9360"/>
      </w:tabs>
    </w:pPr>
  </w:style>
  <w:style w:type="character" w:styleId="FooterChar" w:customStyle="1">
    <w:name w:val="Footer Char"/>
    <w:basedOn w:val="DefaultParagraphFont"/>
    <w:link w:val="Footer"/>
    <w:uiPriority w:val="99"/>
    <w:rsid w:val="00641691"/>
  </w:style>
  <w:style w:type="character" w:styleId="TitleChar" w:customStyle="1">
    <w:name w:val="Title Char"/>
    <w:basedOn w:val="DefaultParagraphFont"/>
    <w:link w:val="Title"/>
    <w:uiPriority w:val="10"/>
    <w:rsid w:val="00B6594D"/>
    <w:rPr>
      <w:rFonts w:ascii="Century" w:cs="Arial" w:hAnsi="Century"/>
      <w:b w:val="1"/>
      <w:bCs w:val="1"/>
      <w:color w:val="0f5581"/>
      <w:sz w:val="40"/>
      <w:szCs w:val="40"/>
    </w:rPr>
  </w:style>
  <w:style w:type="character" w:styleId="SubtitleChar" w:customStyle="1">
    <w:name w:val="Subtitle Char"/>
    <w:basedOn w:val="DefaultParagraphFont"/>
    <w:link w:val="Subtitle"/>
    <w:uiPriority w:val="11"/>
    <w:rsid w:val="00B6594D"/>
    <w:rPr>
      <w:rFonts w:ascii="Century" w:hAnsi="Century"/>
      <w:color w:val="0f5581"/>
      <w:sz w:val="24"/>
      <w:szCs w:val="24"/>
    </w:rPr>
  </w:style>
  <w:style w:type="paragraph" w:styleId="ContactInfo" w:customStyle="1">
    <w:name w:val="Contact Info"/>
    <w:basedOn w:val="Normal"/>
    <w:qFormat w:val="1"/>
    <w:rsid w:val="00B6594D"/>
    <w:pPr>
      <w:autoSpaceDE w:val="0"/>
      <w:autoSpaceDN w:val="0"/>
      <w:adjustRightInd w:val="0"/>
      <w:jc w:val="right"/>
    </w:pPr>
    <w:rPr>
      <w:rFonts w:ascii="Franklin Gothic Book" w:cs="FranklinGothicURW-Boo" w:hAnsi="Franklin Gothic Book"/>
      <w:color w:val="0f5581"/>
      <w:sz w:val="20"/>
      <w:szCs w:val="20"/>
    </w:rPr>
  </w:style>
  <w:style w:type="paragraph" w:styleId="Summary" w:customStyle="1">
    <w:name w:val="Summary"/>
    <w:basedOn w:val="Normal"/>
    <w:qFormat w:val="1"/>
    <w:rsid w:val="00B6594D"/>
    <w:pPr>
      <w:spacing w:line="264" w:lineRule="auto"/>
    </w:pPr>
    <w:rPr>
      <w:rFonts w:ascii="Franklin Gothic Book" w:cs="FranklinGothicURW-Boo" w:hAnsi="Franklin Gothic Book"/>
      <w:color w:val="0f5581"/>
      <w:sz w:val="20"/>
      <w:szCs w:val="20"/>
    </w:rPr>
  </w:style>
  <w:style w:type="paragraph" w:styleId="HiddenTitle" w:customStyle="1">
    <w:name w:val="Hidden Title"/>
    <w:basedOn w:val="Normal"/>
    <w:qFormat w:val="1"/>
    <w:rsid w:val="00753DED"/>
    <w:rPr>
      <w:rFonts w:ascii="Corbel" w:hAnsi="Corbel"/>
      <w:color w:val="ffffff" w:themeColor="background1"/>
    </w:rPr>
  </w:style>
  <w:style w:type="paragraph" w:styleId="SectionHeading" w:customStyle="1">
    <w:name w:val="Section Heading"/>
    <w:basedOn w:val="Normal"/>
    <w:qFormat w:val="1"/>
    <w:rsid w:val="00D31B3F"/>
    <w:pPr>
      <w:spacing w:after="240" w:before="480"/>
    </w:pPr>
    <w:rPr>
      <w:rFonts w:ascii="Century" w:cs="Arial" w:hAnsi="Century"/>
      <w:b w:val="1"/>
      <w:bCs w:val="1"/>
      <w:color w:val="0f5581"/>
      <w:sz w:val="28"/>
      <w:szCs w:val="28"/>
    </w:rPr>
  </w:style>
  <w:style w:type="paragraph" w:styleId="AoEBullet" w:customStyle="1">
    <w:name w:val="AoE Bullet"/>
    <w:basedOn w:val="ListParagraph"/>
    <w:qFormat w:val="1"/>
    <w:rsid w:val="00B6594D"/>
    <w:pPr>
      <w:numPr>
        <w:numId w:val="3"/>
      </w:numPr>
      <w:ind w:left="255" w:hanging="270"/>
    </w:pPr>
    <w:rPr>
      <w:rFonts w:ascii="Franklin Gothic Book" w:hAnsi="Franklin Gothic Book"/>
      <w:sz w:val="20"/>
      <w:szCs w:val="20"/>
    </w:rPr>
  </w:style>
  <w:style w:type="paragraph" w:styleId="TechHeader" w:customStyle="1">
    <w:name w:val="Tech Header"/>
    <w:basedOn w:val="Normal"/>
    <w:qFormat w:val="1"/>
    <w:rsid w:val="00B6594D"/>
    <w:pPr>
      <w:spacing w:before="120"/>
    </w:pPr>
    <w:rPr>
      <w:rFonts w:ascii="Franklin Gothic Book" w:cs="FranklinGothicURW-Boo" w:hAnsi="Franklin Gothic Book"/>
      <w:b w:val="1"/>
      <w:bCs w:val="1"/>
      <w:color w:val="0f5581"/>
      <w:sz w:val="20"/>
      <w:szCs w:val="20"/>
    </w:rPr>
  </w:style>
  <w:style w:type="paragraph" w:styleId="TechInfo" w:customStyle="1">
    <w:name w:val="Tech Info"/>
    <w:basedOn w:val="Normal"/>
    <w:qFormat w:val="1"/>
    <w:rsid w:val="00753DED"/>
    <w:pPr>
      <w:spacing w:before="120"/>
    </w:pPr>
    <w:rPr>
      <w:rFonts w:ascii="Corbel" w:cs="FranklinGothicURW-Boo" w:hAnsi="Corbel"/>
      <w:sz w:val="20"/>
      <w:szCs w:val="20"/>
    </w:rPr>
  </w:style>
  <w:style w:type="paragraph" w:styleId="CompanyBlock" w:customStyle="1">
    <w:name w:val="Company Block"/>
    <w:basedOn w:val="Normal"/>
    <w:qFormat w:val="1"/>
    <w:rsid w:val="00B6594D"/>
    <w:pPr>
      <w:tabs>
        <w:tab w:val="right" w:pos="10800"/>
      </w:tabs>
      <w:spacing w:before="360"/>
    </w:pPr>
    <w:rPr>
      <w:rFonts w:ascii="Franklin Gothic Book" w:hAnsi="Franklin Gothic Book"/>
      <w:b w:val="1"/>
      <w:bCs w:val="1"/>
      <w:color w:val="0f5581"/>
      <w:sz w:val="20"/>
      <w:szCs w:val="20"/>
    </w:rPr>
  </w:style>
  <w:style w:type="paragraph" w:styleId="JobTitleBlock" w:customStyle="1">
    <w:name w:val="Job Title Block"/>
    <w:basedOn w:val="Normal"/>
    <w:qFormat w:val="1"/>
    <w:rsid w:val="00B6594D"/>
    <w:pPr>
      <w:tabs>
        <w:tab w:val="right" w:pos="10800"/>
      </w:tabs>
      <w:spacing w:after="180"/>
      <w:ind w:left="187"/>
      <w:contextualSpacing w:val="1"/>
    </w:pPr>
    <w:rPr>
      <w:rFonts w:ascii="Franklin Gothic Book" w:hAnsi="Franklin Gothic Book"/>
      <w:b w:val="1"/>
      <w:bCs w:val="1"/>
      <w:color w:val="0f5581"/>
      <w:sz w:val="20"/>
      <w:szCs w:val="20"/>
    </w:rPr>
  </w:style>
  <w:style w:type="paragraph" w:styleId="JobDescription" w:customStyle="1">
    <w:name w:val="Job Description"/>
    <w:basedOn w:val="Normal"/>
    <w:qFormat w:val="1"/>
    <w:rsid w:val="00B6594D"/>
    <w:pPr>
      <w:tabs>
        <w:tab w:val="right" w:pos="7155"/>
      </w:tabs>
      <w:spacing w:after="180"/>
      <w:ind w:left="187"/>
      <w:contextualSpacing w:val="1"/>
    </w:pPr>
    <w:rPr>
      <w:rFonts w:ascii="Franklin Gothic Book" w:cs="FranklinGothicURW-Boo" w:hAnsi="Franklin Gothic Book"/>
      <w:sz w:val="20"/>
      <w:szCs w:val="20"/>
    </w:rPr>
  </w:style>
  <w:style w:type="paragraph" w:styleId="JDAccomplishment" w:customStyle="1">
    <w:name w:val="JD Accomplishment"/>
    <w:basedOn w:val="ListParagraph"/>
    <w:qFormat w:val="1"/>
    <w:rsid w:val="00B6594D"/>
    <w:pPr>
      <w:spacing w:after="240"/>
      <w:ind w:left="461" w:hanging="274"/>
    </w:pPr>
    <w:rPr>
      <w:rFonts w:ascii="Franklin Gothic Book" w:hAnsi="Franklin Gothic Book"/>
      <w:sz w:val="20"/>
      <w:szCs w:val="20"/>
    </w:rPr>
  </w:style>
  <w:style w:type="paragraph" w:styleId="EduDegree" w:customStyle="1">
    <w:name w:val="Edu Degree"/>
    <w:basedOn w:val="Normal"/>
    <w:qFormat w:val="1"/>
    <w:rsid w:val="00B6594D"/>
    <w:pPr>
      <w:ind w:left="-14"/>
    </w:pPr>
    <w:rPr>
      <w:rFonts w:ascii="Franklin Gothic Book" w:hAnsi="Franklin Gothic Book"/>
      <w:b w:val="1"/>
      <w:bCs w:val="1"/>
      <w:color w:val="1f4e79" w:themeColor="accent5" w:themeShade="000080"/>
      <w:sz w:val="20"/>
      <w:szCs w:val="20"/>
    </w:rPr>
  </w:style>
  <w:style w:type="paragraph" w:styleId="EduInfo" w:customStyle="1">
    <w:name w:val="Edu Info"/>
    <w:basedOn w:val="Normal"/>
    <w:qFormat w:val="1"/>
    <w:rsid w:val="00B6594D"/>
    <w:pPr>
      <w:spacing w:after="120"/>
      <w:ind w:left="187"/>
      <w:contextualSpacing w:val="1"/>
    </w:pPr>
    <w:rPr>
      <w:rFonts w:ascii="Franklin Gothic Book" w:hAnsi="Franklin Gothic Book"/>
      <w:sz w:val="20"/>
      <w:szCs w:val="20"/>
    </w:rPr>
  </w:style>
  <w:style w:type="paragraph" w:styleId="AdditionalList" w:customStyle="1">
    <w:name w:val="Additional List"/>
    <w:basedOn w:val="ListParagraph"/>
    <w:qFormat w:val="1"/>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val="1"/>
    <w:rsid w:val="00481D51"/>
    <w:rPr>
      <w:color w:val="0563c1" w:themeColor="hyperlink"/>
      <w:u w:val="single"/>
    </w:rPr>
  </w:style>
  <w:style w:type="character" w:styleId="UnresolvedMention1" w:customStyle="1">
    <w:name w:val="Unresolved Mention1"/>
    <w:basedOn w:val="DefaultParagraphFont"/>
    <w:uiPriority w:val="99"/>
    <w:semiHidden w:val="1"/>
    <w:unhideWhenUsed w:val="1"/>
    <w:rsid w:val="00481D51"/>
    <w:rPr>
      <w:color w:val="605e5c"/>
      <w:shd w:color="auto" w:fill="e1dfdd" w:val="clear"/>
    </w:rPr>
  </w:style>
  <w:style w:type="character" w:styleId="CommentReference">
    <w:name w:val="annotation reference"/>
    <w:basedOn w:val="DefaultParagraphFont"/>
    <w:uiPriority w:val="99"/>
    <w:semiHidden w:val="1"/>
    <w:unhideWhenUsed w:val="1"/>
    <w:rsid w:val="00DE6100"/>
    <w:rPr>
      <w:sz w:val="16"/>
      <w:szCs w:val="16"/>
    </w:rPr>
  </w:style>
  <w:style w:type="paragraph" w:styleId="CommentText">
    <w:name w:val="annotation text"/>
    <w:basedOn w:val="Normal"/>
    <w:link w:val="CommentTextChar"/>
    <w:uiPriority w:val="99"/>
    <w:semiHidden w:val="1"/>
    <w:unhideWhenUsed w:val="1"/>
    <w:rsid w:val="00DE6100"/>
    <w:rPr>
      <w:sz w:val="20"/>
      <w:szCs w:val="20"/>
    </w:rPr>
  </w:style>
  <w:style w:type="character" w:styleId="CommentTextChar" w:customStyle="1">
    <w:name w:val="Comment Text Char"/>
    <w:basedOn w:val="DefaultParagraphFont"/>
    <w:link w:val="CommentText"/>
    <w:uiPriority w:val="99"/>
    <w:semiHidden w:val="1"/>
    <w:rsid w:val="00DE6100"/>
    <w:rPr>
      <w:sz w:val="20"/>
      <w:szCs w:val="20"/>
    </w:rPr>
  </w:style>
  <w:style w:type="paragraph" w:styleId="CommentSubject">
    <w:name w:val="annotation subject"/>
    <w:basedOn w:val="CommentText"/>
    <w:next w:val="CommentText"/>
    <w:link w:val="CommentSubjectChar"/>
    <w:uiPriority w:val="99"/>
    <w:semiHidden w:val="1"/>
    <w:unhideWhenUsed w:val="1"/>
    <w:rsid w:val="00DE6100"/>
    <w:rPr>
      <w:b w:val="1"/>
      <w:bCs w:val="1"/>
    </w:rPr>
  </w:style>
  <w:style w:type="character" w:styleId="CommentSubjectChar" w:customStyle="1">
    <w:name w:val="Comment Subject Char"/>
    <w:basedOn w:val="CommentTextChar"/>
    <w:link w:val="CommentSubject"/>
    <w:uiPriority w:val="99"/>
    <w:semiHidden w:val="1"/>
    <w:rsid w:val="00DE6100"/>
    <w:rPr>
      <w:b w:val="1"/>
      <w:bCs w:val="1"/>
      <w:sz w:val="20"/>
      <w:szCs w:val="20"/>
    </w:rPr>
  </w:style>
  <w:style w:type="character" w:styleId="Heading2Char" w:customStyle="1">
    <w:name w:val="Heading 2 Char"/>
    <w:basedOn w:val="DefaultParagraphFont"/>
    <w:link w:val="Heading2"/>
    <w:uiPriority w:val="9"/>
    <w:semiHidden w:val="1"/>
    <w:rsid w:val="00ED6363"/>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ED6363"/>
    <w:rPr>
      <w:rFonts w:asciiTheme="majorHAnsi" w:cstheme="majorBidi" w:eastAsiaTheme="majorEastAsia" w:hAnsiTheme="majorHAnsi"/>
      <w:color w:val="2f5496" w:themeColor="accent1" w:themeShade="0000BF"/>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120" w:lineRule="auto"/>
    </w:pPr>
    <w:rPr>
      <w:rFonts w:ascii="Century" w:cs="Century" w:eastAsia="Century" w:hAnsi="Century"/>
      <w:color w:val="0f5581"/>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www.linkedin.com/in/rmehtar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mehta.rx@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CeH6ZafV4/Fp2xJxDfpleA9lQ==">CgMxLjA4AHIhMTJob2FSeU1rTVBIaEdGb0tNOER1OVloZk5hZDBYcEtL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2025-05-30T12:34:00Z</dcterms:created>
  <dc:creator>Rajesh Mehta, R.Ph., Ms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VIMo2-v1</vt:lpwstr>
  </property>
  <property fmtid="{D5CDD505-2E9C-101B-9397-08002B2CF9AE}" pid="3" name="tal_id">
    <vt:lpwstr>55550a17331d7a616f048814399247b9</vt:lpwstr>
  </property>
  <property fmtid="{D5CDD505-2E9C-101B-9397-08002B2CF9AE}" pid="4" name="app_source">
    <vt:lpwstr>rezbiz</vt:lpwstr>
  </property>
  <property fmtid="{D5CDD505-2E9C-101B-9397-08002B2CF9AE}" pid="5" name="app_id">
    <vt:lpwstr>1159791</vt:lpwstr>
  </property>
</Properties>
</file>