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A31F" w14:textId="1D7BBA7A" w:rsidR="00FA6E6A" w:rsidRDefault="00FA6E6A">
      <w:r>
        <w:fldChar w:fldCharType="begin"/>
      </w:r>
      <w:r>
        <w:instrText>HYPERLINK "</w:instrText>
      </w:r>
      <w:r w:rsidRPr="00FA6E6A">
        <w:instrText>https://www.oecd-ilibrary.org/sites/bf1a85fe-en/index.html?itemId=/content/component/bf1a85fe-en</w:instrText>
      </w:r>
      <w:r>
        <w:instrText>"</w:instrText>
      </w:r>
      <w:r>
        <w:fldChar w:fldCharType="separate"/>
      </w:r>
      <w:r w:rsidRPr="006159EF">
        <w:rPr>
          <w:rStyle w:val="Hyperlink"/>
        </w:rPr>
        <w:t>https://www.oecd-ilibrary.org/sites/bf1a85fe-en/index.html?itemId=/content/component/bf1a85fe-en</w:t>
      </w:r>
      <w:r>
        <w:fldChar w:fldCharType="end"/>
      </w:r>
    </w:p>
    <w:p w14:paraId="0EB1063B" w14:textId="58013448" w:rsidR="00032240" w:rsidRDefault="00FA6E6A">
      <w:r>
        <w:t>OECD Library</w:t>
      </w:r>
    </w:p>
    <w:p w14:paraId="2A745B13" w14:textId="1AC5C892" w:rsidR="00FA6E6A" w:rsidRDefault="00FA6E6A">
      <w:r>
        <w:t>Turkey Education System at a Glance</w:t>
      </w:r>
    </w:p>
    <w:p w14:paraId="5CDF0B80" w14:textId="77777777" w:rsidR="00FA6E6A" w:rsidRDefault="00FA6E6A"/>
    <w:p w14:paraId="238281B9" w14:textId="77777777" w:rsidR="00FA6E6A" w:rsidRPr="00FA6E6A" w:rsidRDefault="00FA6E6A" w:rsidP="00FA6E6A">
      <w:pPr>
        <w:shd w:val="clear" w:color="auto" w:fill="FFFFFF"/>
        <w:spacing w:before="384" w:after="240" w:line="240" w:lineRule="auto"/>
        <w:ind w:left="-450"/>
        <w:outlineLvl w:val="0"/>
        <w:rPr>
          <w:rFonts w:ascii="inherit" w:eastAsia="Times New Roman" w:hAnsi="inherit" w:cs="Times New Roman"/>
          <w:b/>
          <w:bCs/>
          <w:color w:val="4E81BD"/>
          <w:kern w:val="36"/>
          <w:sz w:val="40"/>
          <w:szCs w:val="40"/>
          <w14:ligatures w14:val="none"/>
        </w:rPr>
      </w:pPr>
      <w:r w:rsidRPr="00FA6E6A">
        <w:rPr>
          <w:rFonts w:ascii="inherit" w:eastAsia="Times New Roman" w:hAnsi="inherit" w:cs="Times New Roman"/>
          <w:b/>
          <w:bCs/>
          <w:color w:val="4E81BD"/>
          <w:kern w:val="36"/>
          <w:sz w:val="40"/>
          <w:szCs w:val="40"/>
          <w14:ligatures w14:val="none"/>
        </w:rPr>
        <w:t>Turkey</w:t>
      </w:r>
    </w:p>
    <w:p w14:paraId="60B76002" w14:textId="77777777" w:rsidR="00FA6E6A" w:rsidRPr="00FA6E6A" w:rsidRDefault="00FA6E6A" w:rsidP="00FA6E6A">
      <w:pPr>
        <w:shd w:val="clear" w:color="auto" w:fill="FFFFFF"/>
        <w:spacing w:after="240" w:line="240" w:lineRule="auto"/>
        <w:ind w:left="-450"/>
        <w:outlineLvl w:val="1"/>
        <w:rPr>
          <w:rFonts w:ascii="inherit" w:eastAsia="Times New Roman" w:hAnsi="inherit" w:cs="Times New Roman"/>
          <w:color w:val="4E81BD"/>
          <w:kern w:val="0"/>
          <w:sz w:val="36"/>
          <w:szCs w:val="36"/>
          <w14:ligatures w14:val="none"/>
        </w:rPr>
      </w:pPr>
      <w:r w:rsidRPr="00FA6E6A">
        <w:rPr>
          <w:rFonts w:ascii="inherit" w:eastAsia="Times New Roman" w:hAnsi="inherit" w:cs="Times New Roman"/>
          <w:color w:val="4E81BD"/>
          <w:kern w:val="0"/>
          <w:sz w:val="36"/>
          <w:szCs w:val="36"/>
          <w14:ligatures w14:val="none"/>
        </w:rPr>
        <w:t>Ensuring equal opportunities for students across socio-economic backgrounds</w:t>
      </w:r>
    </w:p>
    <w:p w14:paraId="75EB29B4" w14:textId="77777777" w:rsidR="00FA6E6A" w:rsidRPr="00FA6E6A" w:rsidRDefault="00FA6E6A" w:rsidP="00FA6E6A">
      <w:pPr>
        <w:numPr>
          <w:ilvl w:val="0"/>
          <w:numId w:val="1"/>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Socio-economic status may significantly impact students’ participation in education, particularly at levels of education that rely, in many countries, most heavily on private expenditure, such as early childhood education and care and tertiary education. In Turkey, private sources accounted for 26% of total expenditure in pre-primary institutions, higher than the OECD average of 17%. At tertiary level, 27% of expenditure comes from private sources in Turkey, compared to 30% on average across OECD countries.</w:t>
      </w:r>
    </w:p>
    <w:p w14:paraId="59ABDDB1" w14:textId="77777777" w:rsidR="00FA6E6A" w:rsidRPr="00FA6E6A" w:rsidRDefault="00FA6E6A" w:rsidP="00FA6E6A">
      <w:pPr>
        <w:numPr>
          <w:ilvl w:val="0"/>
          <w:numId w:val="1"/>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Tuition fees in public institutions in Turkey are among the lowest for a bachelor's </w:t>
      </w:r>
      <w:proofErr w:type="spellStart"/>
      <w:r w:rsidRPr="00FA6E6A">
        <w:rPr>
          <w:rFonts w:ascii="Roboto" w:eastAsia="Times New Roman" w:hAnsi="Roboto" w:cs="Times New Roman"/>
          <w:color w:val="333333"/>
          <w:kern w:val="0"/>
          <w:sz w:val="24"/>
          <w:szCs w:val="24"/>
          <w14:ligatures w14:val="none"/>
        </w:rPr>
        <w:t>programme</w:t>
      </w:r>
      <w:proofErr w:type="spellEnd"/>
      <w:r w:rsidRPr="00FA6E6A">
        <w:rPr>
          <w:rFonts w:ascii="Roboto" w:eastAsia="Times New Roman" w:hAnsi="Roboto" w:cs="Times New Roman"/>
          <w:color w:val="333333"/>
          <w:kern w:val="0"/>
          <w:sz w:val="24"/>
          <w:szCs w:val="24"/>
          <w14:ligatures w14:val="none"/>
        </w:rPr>
        <w:t xml:space="preserve"> across countries with available data. There are no tuition fees for a bachelor's degree for national students.</w:t>
      </w:r>
    </w:p>
    <w:p w14:paraId="3164C085" w14:textId="77777777" w:rsidR="00FA6E6A" w:rsidRPr="00FA6E6A" w:rsidRDefault="00FA6E6A" w:rsidP="00FA6E6A">
      <w:pPr>
        <w:numPr>
          <w:ilvl w:val="0"/>
          <w:numId w:val="1"/>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Across most OECD countries, socio-economic status influences learning outcomes more than gender and immigrant status. In Turkey, the proportion of children from the bottom quartile of the PISA index of economic, social and cultural status (ESCS) achieving at least PISA level 2 in reading in 2018 was 29% lower than that of children from the top ESCS quartile, a similar share as the OECD average.</w:t>
      </w:r>
    </w:p>
    <w:p w14:paraId="013A7368" w14:textId="77777777" w:rsidR="00FA6E6A" w:rsidRPr="00FA6E6A" w:rsidRDefault="00FA6E6A" w:rsidP="00FA6E6A">
      <w:pPr>
        <w:numPr>
          <w:ilvl w:val="0"/>
          <w:numId w:val="1"/>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International student mobility at the tertiary level has risen steadily reaching about 154 500 students in Turkey and representing 2% of tertiary students in 2019. The largest share of foreign tertiary students studying in Turkey comes from the Syrian Arab Republic. Students from low and lower-middle income countries are generally less likely to study abroad. In 2019, they represented 29% of international students in OECD countries, compared to 44% in Turkey.</w:t>
      </w:r>
    </w:p>
    <w:p w14:paraId="3A69FC07" w14:textId="77777777" w:rsidR="00FA6E6A" w:rsidRDefault="00FA6E6A" w:rsidP="00FA6E6A">
      <w:pPr>
        <w:numPr>
          <w:ilvl w:val="0"/>
          <w:numId w:val="1"/>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Large differences in educational attainment may lead to starker earnings inequality in many countries. In Turkey, 31% of </w:t>
      </w:r>
      <w:proofErr w:type="gramStart"/>
      <w:r w:rsidRPr="00FA6E6A">
        <w:rPr>
          <w:rFonts w:ascii="Roboto" w:eastAsia="Times New Roman" w:hAnsi="Roboto" w:cs="Times New Roman"/>
          <w:color w:val="333333"/>
          <w:kern w:val="0"/>
          <w:sz w:val="24"/>
          <w:szCs w:val="24"/>
          <w14:ligatures w14:val="none"/>
        </w:rPr>
        <w:t>25-64 year-old</w:t>
      </w:r>
      <w:proofErr w:type="gramEnd"/>
      <w:r w:rsidRPr="00FA6E6A">
        <w:rPr>
          <w:rFonts w:ascii="Roboto" w:eastAsia="Times New Roman" w:hAnsi="Roboto" w:cs="Times New Roman"/>
          <w:color w:val="333333"/>
          <w:kern w:val="0"/>
          <w:sz w:val="24"/>
          <w:szCs w:val="24"/>
          <w14:ligatures w14:val="none"/>
        </w:rPr>
        <w:t xml:space="preserve"> adults with below upper secondary attainment earned at or below half the median earnings in 2019, above the OECD average of 27%.</w:t>
      </w:r>
    </w:p>
    <w:p w14:paraId="77AC0B3C" w14:textId="1E37E8EC" w:rsidR="00FA6E6A" w:rsidRDefault="00FA6E6A">
      <w:pPr>
        <w:rPr>
          <w:rFonts w:ascii="Roboto" w:eastAsia="Times New Roman" w:hAnsi="Roboto" w:cs="Times New Roman"/>
          <w:color w:val="333333"/>
          <w:kern w:val="0"/>
          <w:sz w:val="24"/>
          <w:szCs w:val="24"/>
          <w14:ligatures w14:val="none"/>
        </w:rPr>
      </w:pPr>
      <w:r>
        <w:rPr>
          <w:rFonts w:ascii="Roboto" w:eastAsia="Times New Roman" w:hAnsi="Roboto" w:cs="Times New Roman"/>
          <w:color w:val="333333"/>
          <w:kern w:val="0"/>
          <w:sz w:val="24"/>
          <w:szCs w:val="24"/>
          <w14:ligatures w14:val="none"/>
        </w:rPr>
        <w:br w:type="page"/>
      </w:r>
    </w:p>
    <w:p w14:paraId="61EF5D68" w14:textId="77777777" w:rsidR="00FA6E6A" w:rsidRPr="00FA6E6A" w:rsidRDefault="00FA6E6A" w:rsidP="00FA6E6A">
      <w:pPr>
        <w:shd w:val="clear" w:color="auto" w:fill="FFFFFF"/>
        <w:spacing w:after="48" w:line="240" w:lineRule="auto"/>
        <w:ind w:left="732"/>
        <w:rPr>
          <w:rFonts w:ascii="Roboto" w:eastAsia="Times New Roman" w:hAnsi="Roboto" w:cs="Times New Roman"/>
          <w:color w:val="333333"/>
          <w:kern w:val="0"/>
          <w:sz w:val="24"/>
          <w:szCs w:val="24"/>
          <w14:ligatures w14:val="none"/>
        </w:rPr>
      </w:pPr>
    </w:p>
    <w:p w14:paraId="0EF66892" w14:textId="77777777" w:rsidR="00FA6E6A" w:rsidRPr="00FA6E6A" w:rsidRDefault="00FA6E6A" w:rsidP="00FA6E6A">
      <w:pPr>
        <w:shd w:val="clear" w:color="auto" w:fill="FFFFFF"/>
        <w:spacing w:after="240" w:line="240" w:lineRule="auto"/>
        <w:ind w:left="-450"/>
        <w:outlineLvl w:val="1"/>
        <w:rPr>
          <w:rFonts w:ascii="inherit" w:eastAsia="Times New Roman" w:hAnsi="inherit" w:cs="Times New Roman"/>
          <w:color w:val="4E81BD"/>
          <w:kern w:val="0"/>
          <w:sz w:val="36"/>
          <w:szCs w:val="36"/>
          <w14:ligatures w14:val="none"/>
        </w:rPr>
      </w:pPr>
      <w:r w:rsidRPr="00FA6E6A">
        <w:rPr>
          <w:rFonts w:ascii="inherit" w:eastAsia="Times New Roman" w:hAnsi="inherit" w:cs="Times New Roman"/>
          <w:color w:val="4E81BD"/>
          <w:kern w:val="0"/>
          <w:sz w:val="36"/>
          <w:szCs w:val="36"/>
          <w14:ligatures w14:val="none"/>
        </w:rPr>
        <w:t>Gender inequalities in education and outcomes</w:t>
      </w:r>
    </w:p>
    <w:p w14:paraId="1E1667AE" w14:textId="77777777" w:rsidR="00FA6E6A" w:rsidRPr="00FA6E6A" w:rsidRDefault="00FA6E6A" w:rsidP="00FA6E6A">
      <w:pPr>
        <w:numPr>
          <w:ilvl w:val="0"/>
          <w:numId w:val="2"/>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In Turkey, 0.8% of students in lower secondary and 1.5% in upper secondary initial education repeated a grade in 2019, compared to 1.9% and 3% respectively on average across OECD countries. Boys are more likely to repeat a grade at lower secondary initial education than girls. In Turkey, 67% of repeaters at lower secondary level were boys, higher than the OECD average of 61%. At upper secondary level, the share of boys repeating a grade in Turkey decreases to 60%, compared to 57% on average across OECD countries.</w:t>
      </w:r>
    </w:p>
    <w:p w14:paraId="5C94525B" w14:textId="77777777" w:rsidR="00FA6E6A" w:rsidRPr="00FA6E6A" w:rsidRDefault="00FA6E6A" w:rsidP="00FA6E6A">
      <w:pPr>
        <w:numPr>
          <w:ilvl w:val="0"/>
          <w:numId w:val="2"/>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Men are more likely than women to pursue a vocational track at upper secondary level in most OECD countries. This is also the case in Turkey, where 52% of upper secondary vocational graduates in 2019 were men (compared to the OECD average of 55%). Women are generally more likely to graduate from upper secondary general </w:t>
      </w:r>
      <w:proofErr w:type="spellStart"/>
      <w:r w:rsidRPr="00FA6E6A">
        <w:rPr>
          <w:rFonts w:ascii="Roboto" w:eastAsia="Times New Roman" w:hAnsi="Roboto" w:cs="Times New Roman"/>
          <w:color w:val="333333"/>
          <w:kern w:val="0"/>
          <w:sz w:val="24"/>
          <w:szCs w:val="24"/>
          <w14:ligatures w14:val="none"/>
        </w:rPr>
        <w:t>programmes</w:t>
      </w:r>
      <w:proofErr w:type="spellEnd"/>
      <w:r w:rsidRPr="00FA6E6A">
        <w:rPr>
          <w:rFonts w:ascii="Roboto" w:eastAsia="Times New Roman" w:hAnsi="Roboto" w:cs="Times New Roman"/>
          <w:color w:val="333333"/>
          <w:kern w:val="0"/>
          <w:sz w:val="24"/>
          <w:szCs w:val="24"/>
          <w14:ligatures w14:val="none"/>
        </w:rPr>
        <w:t xml:space="preserve">. This is also the case in Turkey, where women represent 52% of graduates from upper secondary general </w:t>
      </w:r>
      <w:proofErr w:type="spellStart"/>
      <w:r w:rsidRPr="00FA6E6A">
        <w:rPr>
          <w:rFonts w:ascii="Roboto" w:eastAsia="Times New Roman" w:hAnsi="Roboto" w:cs="Times New Roman"/>
          <w:color w:val="333333"/>
          <w:kern w:val="0"/>
          <w:sz w:val="24"/>
          <w:szCs w:val="24"/>
          <w14:ligatures w14:val="none"/>
        </w:rPr>
        <w:t>programmes</w:t>
      </w:r>
      <w:proofErr w:type="spellEnd"/>
      <w:r w:rsidRPr="00FA6E6A">
        <w:rPr>
          <w:rFonts w:ascii="Roboto" w:eastAsia="Times New Roman" w:hAnsi="Roboto" w:cs="Times New Roman"/>
          <w:color w:val="333333"/>
          <w:kern w:val="0"/>
          <w:sz w:val="24"/>
          <w:szCs w:val="24"/>
          <w14:ligatures w14:val="none"/>
        </w:rPr>
        <w:t>, compared to 55% on average across OECD countries (Figure 1).</w:t>
      </w:r>
    </w:p>
    <w:p w14:paraId="41284639" w14:textId="77777777" w:rsidR="00FA6E6A" w:rsidRPr="00FA6E6A" w:rsidRDefault="00FA6E6A" w:rsidP="00FA6E6A">
      <w:pPr>
        <w:numPr>
          <w:ilvl w:val="0"/>
          <w:numId w:val="2"/>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Tertiary education has been expanding in the last decades, and, in 2020, </w:t>
      </w:r>
      <w:proofErr w:type="gramStart"/>
      <w:r w:rsidRPr="00FA6E6A">
        <w:rPr>
          <w:rFonts w:ascii="Roboto" w:eastAsia="Times New Roman" w:hAnsi="Roboto" w:cs="Times New Roman"/>
          <w:color w:val="333333"/>
          <w:kern w:val="0"/>
          <w:sz w:val="24"/>
          <w:szCs w:val="24"/>
          <w14:ligatures w14:val="none"/>
        </w:rPr>
        <w:t>25-34 year-old</w:t>
      </w:r>
      <w:proofErr w:type="gramEnd"/>
      <w:r w:rsidRPr="00FA6E6A">
        <w:rPr>
          <w:rFonts w:ascii="Roboto" w:eastAsia="Times New Roman" w:hAnsi="Roboto" w:cs="Times New Roman"/>
          <w:color w:val="333333"/>
          <w:kern w:val="0"/>
          <w:sz w:val="24"/>
          <w:szCs w:val="24"/>
          <w14:ligatures w14:val="none"/>
        </w:rPr>
        <w:t xml:space="preserve"> women were more likely than men to achieve tertiary education in all OECD countries. In Turkey, 36% of </w:t>
      </w:r>
      <w:proofErr w:type="gramStart"/>
      <w:r w:rsidRPr="00FA6E6A">
        <w:rPr>
          <w:rFonts w:ascii="Roboto" w:eastAsia="Times New Roman" w:hAnsi="Roboto" w:cs="Times New Roman"/>
          <w:color w:val="333333"/>
          <w:kern w:val="0"/>
          <w:sz w:val="24"/>
          <w:szCs w:val="24"/>
          <w14:ligatures w14:val="none"/>
        </w:rPr>
        <w:t>25-34 year-old</w:t>
      </w:r>
      <w:proofErr w:type="gramEnd"/>
      <w:r w:rsidRPr="00FA6E6A">
        <w:rPr>
          <w:rFonts w:ascii="Roboto" w:eastAsia="Times New Roman" w:hAnsi="Roboto" w:cs="Times New Roman"/>
          <w:color w:val="333333"/>
          <w:kern w:val="0"/>
          <w:sz w:val="24"/>
          <w:szCs w:val="24"/>
          <w14:ligatures w14:val="none"/>
        </w:rPr>
        <w:t xml:space="preserve"> women had a tertiary qualification in 2019 compared to 35% of their male peers, while on average across OECD countries the shares were 52% among young women and 39% among young men.</w:t>
      </w:r>
    </w:p>
    <w:p w14:paraId="411AD864" w14:textId="77777777" w:rsidR="00FA6E6A" w:rsidRPr="00FA6E6A" w:rsidRDefault="00FA6E6A" w:rsidP="00FA6E6A">
      <w:pPr>
        <w:numPr>
          <w:ilvl w:val="0"/>
          <w:numId w:val="2"/>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Gender differences in the distribution of tertiary entrants across fields of study are significant. Women tend to be under-represented in certain fields of science, technology, engineering and mathematics (STEM) across most OECD countries. On average, 26% of new entrants in engineering, manufacturing and construction and 20% in information and communication technologies were women in 2019. In Turkey, women represented 28% of new entrants in engineering, manufacturing and construction </w:t>
      </w:r>
      <w:proofErr w:type="spellStart"/>
      <w:r w:rsidRPr="00FA6E6A">
        <w:rPr>
          <w:rFonts w:ascii="Roboto" w:eastAsia="Times New Roman" w:hAnsi="Roboto" w:cs="Times New Roman"/>
          <w:color w:val="333333"/>
          <w:kern w:val="0"/>
          <w:sz w:val="24"/>
          <w:szCs w:val="24"/>
          <w14:ligatures w14:val="none"/>
        </w:rPr>
        <w:t>programmes</w:t>
      </w:r>
      <w:proofErr w:type="spellEnd"/>
      <w:r w:rsidRPr="00FA6E6A">
        <w:rPr>
          <w:rFonts w:ascii="Roboto" w:eastAsia="Times New Roman" w:hAnsi="Roboto" w:cs="Times New Roman"/>
          <w:color w:val="333333"/>
          <w:kern w:val="0"/>
          <w:sz w:val="24"/>
          <w:szCs w:val="24"/>
          <w14:ligatures w14:val="none"/>
        </w:rPr>
        <w:t xml:space="preserve"> and 25% in information and communication technologies. In contrast, they represented 79% of new entrants to the field of education, a sector traditionally dominated by women. In Turkey, men represent 42% of teachers across all levels of education, compared to 30% on average across OECD countries.</w:t>
      </w:r>
    </w:p>
    <w:p w14:paraId="3DEC4C72" w14:textId="77777777" w:rsidR="00FA6E6A" w:rsidRPr="00FA6E6A" w:rsidRDefault="00FA6E6A" w:rsidP="00FA6E6A">
      <w:pPr>
        <w:numPr>
          <w:ilvl w:val="0"/>
          <w:numId w:val="2"/>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Young women are less likely to be employed than young men, particularly those with lower levels of education. Only 26% of </w:t>
      </w:r>
      <w:proofErr w:type="gramStart"/>
      <w:r w:rsidRPr="00FA6E6A">
        <w:rPr>
          <w:rFonts w:ascii="Roboto" w:eastAsia="Times New Roman" w:hAnsi="Roboto" w:cs="Times New Roman"/>
          <w:color w:val="333333"/>
          <w:kern w:val="0"/>
          <w:sz w:val="24"/>
          <w:szCs w:val="24"/>
          <w14:ligatures w14:val="none"/>
        </w:rPr>
        <w:t>25-34 year-old</w:t>
      </w:r>
      <w:proofErr w:type="gramEnd"/>
      <w:r w:rsidRPr="00FA6E6A">
        <w:rPr>
          <w:rFonts w:ascii="Roboto" w:eastAsia="Times New Roman" w:hAnsi="Roboto" w:cs="Times New Roman"/>
          <w:color w:val="333333"/>
          <w:kern w:val="0"/>
          <w:sz w:val="24"/>
          <w:szCs w:val="24"/>
          <w14:ligatures w14:val="none"/>
        </w:rPr>
        <w:t xml:space="preserve"> women with below upper secondary attainment were employed in 2019 compared to 79% of men in Turkey. This gender difference is larger than the average across OECD countries, where 43% of women and 69% of men with below upper secondary attainment are employed.</w:t>
      </w:r>
    </w:p>
    <w:p w14:paraId="2D3D7C45" w14:textId="77777777" w:rsidR="00FA6E6A" w:rsidRPr="00FA6E6A" w:rsidRDefault="00FA6E6A" w:rsidP="00FA6E6A">
      <w:pPr>
        <w:numPr>
          <w:ilvl w:val="0"/>
          <w:numId w:val="2"/>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In nearly all OECD countries and at all levels of educational attainment, </w:t>
      </w:r>
      <w:proofErr w:type="gramStart"/>
      <w:r w:rsidRPr="00FA6E6A">
        <w:rPr>
          <w:rFonts w:ascii="Roboto" w:eastAsia="Times New Roman" w:hAnsi="Roboto" w:cs="Times New Roman"/>
          <w:color w:val="333333"/>
          <w:kern w:val="0"/>
          <w:sz w:val="24"/>
          <w:szCs w:val="24"/>
          <w14:ligatures w14:val="none"/>
        </w:rPr>
        <w:t>25-64 year-old</w:t>
      </w:r>
      <w:proofErr w:type="gramEnd"/>
      <w:r w:rsidRPr="00FA6E6A">
        <w:rPr>
          <w:rFonts w:ascii="Roboto" w:eastAsia="Times New Roman" w:hAnsi="Roboto" w:cs="Times New Roman"/>
          <w:color w:val="333333"/>
          <w:kern w:val="0"/>
          <w:sz w:val="24"/>
          <w:szCs w:val="24"/>
          <w14:ligatures w14:val="none"/>
        </w:rPr>
        <w:t xml:space="preserve"> women earn less than their male peers: their earnings correspond to 76%-78% of men’s earnings on average across OECD countries. This proportion </w:t>
      </w:r>
      <w:r w:rsidRPr="00FA6E6A">
        <w:rPr>
          <w:rFonts w:ascii="Roboto" w:eastAsia="Times New Roman" w:hAnsi="Roboto" w:cs="Times New Roman"/>
          <w:color w:val="333333"/>
          <w:kern w:val="0"/>
          <w:sz w:val="24"/>
          <w:szCs w:val="24"/>
          <w14:ligatures w14:val="none"/>
        </w:rPr>
        <w:lastRenderedPageBreak/>
        <w:t>varies more across educational attainment levels within countries than on average across OECD countries. Compared to other education levels, women with below upper secondary education in Turkey have the lowest earnings relative to men with a similar education level, earning 71% as much, while those with upper secondary or post-secondary non-tertiary education earn 81% as much.</w:t>
      </w:r>
    </w:p>
    <w:p w14:paraId="2AD52827" w14:textId="77777777" w:rsidR="00FA6E6A" w:rsidRDefault="00FA6E6A" w:rsidP="00FA6E6A">
      <w:pPr>
        <w:numPr>
          <w:ilvl w:val="0"/>
          <w:numId w:val="2"/>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On average across OECD countries with available data, </w:t>
      </w:r>
      <w:proofErr w:type="gramStart"/>
      <w:r w:rsidRPr="00FA6E6A">
        <w:rPr>
          <w:rFonts w:ascii="Roboto" w:eastAsia="Times New Roman" w:hAnsi="Roboto" w:cs="Times New Roman"/>
          <w:color w:val="333333"/>
          <w:kern w:val="0"/>
          <w:sz w:val="24"/>
          <w:szCs w:val="24"/>
          <w14:ligatures w14:val="none"/>
        </w:rPr>
        <w:t>25-64 year-old</w:t>
      </w:r>
      <w:proofErr w:type="gramEnd"/>
      <w:r w:rsidRPr="00FA6E6A">
        <w:rPr>
          <w:rFonts w:ascii="Roboto" w:eastAsia="Times New Roman" w:hAnsi="Roboto" w:cs="Times New Roman"/>
          <w:color w:val="333333"/>
          <w:kern w:val="0"/>
          <w:sz w:val="24"/>
          <w:szCs w:val="24"/>
          <w14:ligatures w14:val="none"/>
        </w:rPr>
        <w:t xml:space="preserve"> women tend to participate slightly more in adult learning than men of the same age. In Turkey, 17% of women participated in formal and/or non-formal education and training in 2016, compared to 25% of men. Family reasons were reported as barriers to participation in formal and/or non-formal education and training by 72% of women compared to 43% of men.</w:t>
      </w:r>
    </w:p>
    <w:p w14:paraId="2C4FA027" w14:textId="77777777" w:rsidR="00FA6E6A" w:rsidRPr="00FA6E6A" w:rsidRDefault="00FA6E6A" w:rsidP="00FA6E6A">
      <w:pPr>
        <w:numPr>
          <w:ilvl w:val="0"/>
          <w:numId w:val="2"/>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p>
    <w:p w14:paraId="4E7225C7" w14:textId="77777777" w:rsidR="00FA6E6A" w:rsidRPr="00FA6E6A" w:rsidRDefault="00FA6E6A" w:rsidP="00FA6E6A">
      <w:pPr>
        <w:shd w:val="clear" w:color="auto" w:fill="4E81BD"/>
        <w:spacing w:after="0" w:line="240" w:lineRule="auto"/>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FFFFFF"/>
          <w:kern w:val="0"/>
          <w:sz w:val="24"/>
          <w:szCs w:val="24"/>
          <w14:ligatures w14:val="none"/>
        </w:rPr>
        <w:t> Share</w:t>
      </w:r>
    </w:p>
    <w:p w14:paraId="0C201352" w14:textId="77777777" w:rsidR="00FA6E6A" w:rsidRPr="00FA6E6A" w:rsidRDefault="00FA6E6A" w:rsidP="00FA6E6A">
      <w:pPr>
        <w:shd w:val="clear" w:color="auto" w:fill="FFFFFF"/>
        <w:spacing w:after="0" w:line="240" w:lineRule="auto"/>
        <w:rPr>
          <w:rFonts w:ascii="Roboto Condensed" w:eastAsia="Times New Roman" w:hAnsi="Roboto Condensed" w:cs="Times New Roman"/>
          <w:color w:val="333333"/>
          <w:kern w:val="0"/>
          <w:sz w:val="23"/>
          <w:szCs w:val="23"/>
          <w14:ligatures w14:val="none"/>
        </w:rPr>
      </w:pPr>
      <w:r w:rsidRPr="00FA6E6A">
        <w:rPr>
          <w:rFonts w:ascii="Roboto Condensed" w:eastAsia="Times New Roman" w:hAnsi="Roboto Condensed" w:cs="Times New Roman"/>
          <w:color w:val="333333"/>
          <w:kern w:val="0"/>
          <w:sz w:val="23"/>
          <w:szCs w:val="23"/>
          <w14:ligatures w14:val="none"/>
        </w:rPr>
        <w:t>1. Includes post-secondary non-tertiary level.</w:t>
      </w:r>
    </w:p>
    <w:p w14:paraId="4591E3F7" w14:textId="77777777" w:rsidR="00FA6E6A" w:rsidRPr="00FA6E6A" w:rsidRDefault="00FA6E6A" w:rsidP="00FA6E6A">
      <w:pPr>
        <w:shd w:val="clear" w:color="auto" w:fill="FFFFFF"/>
        <w:spacing w:after="0" w:line="240" w:lineRule="auto"/>
        <w:rPr>
          <w:rFonts w:ascii="Roboto Condensed" w:eastAsia="Times New Roman" w:hAnsi="Roboto Condensed" w:cs="Times New Roman"/>
          <w:color w:val="333333"/>
          <w:kern w:val="0"/>
          <w:sz w:val="23"/>
          <w:szCs w:val="23"/>
          <w14:ligatures w14:val="none"/>
        </w:rPr>
      </w:pPr>
      <w:r w:rsidRPr="00FA6E6A">
        <w:rPr>
          <w:rFonts w:ascii="Roboto Condensed" w:eastAsia="Times New Roman" w:hAnsi="Roboto Condensed" w:cs="Times New Roman"/>
          <w:i/>
          <w:iCs/>
          <w:color w:val="333333"/>
          <w:kern w:val="0"/>
          <w:sz w:val="23"/>
          <w:szCs w:val="23"/>
          <w14:ligatures w14:val="none"/>
        </w:rPr>
        <w:t xml:space="preserve">Countries are ranked in descending order of the share of women in general </w:t>
      </w:r>
      <w:proofErr w:type="spellStart"/>
      <w:r w:rsidRPr="00FA6E6A">
        <w:rPr>
          <w:rFonts w:ascii="Roboto Condensed" w:eastAsia="Times New Roman" w:hAnsi="Roboto Condensed" w:cs="Times New Roman"/>
          <w:i/>
          <w:iCs/>
          <w:color w:val="333333"/>
          <w:kern w:val="0"/>
          <w:sz w:val="23"/>
          <w:szCs w:val="23"/>
          <w14:ligatures w14:val="none"/>
        </w:rPr>
        <w:t>programmes</w:t>
      </w:r>
      <w:proofErr w:type="spellEnd"/>
      <w:r w:rsidRPr="00FA6E6A">
        <w:rPr>
          <w:rFonts w:ascii="Roboto Condensed" w:eastAsia="Times New Roman" w:hAnsi="Roboto Condensed" w:cs="Times New Roman"/>
          <w:i/>
          <w:iCs/>
          <w:color w:val="333333"/>
          <w:kern w:val="0"/>
          <w:sz w:val="23"/>
          <w:szCs w:val="23"/>
          <w14:ligatures w14:val="none"/>
        </w:rPr>
        <w:t>.</w:t>
      </w:r>
    </w:p>
    <w:p w14:paraId="08E356E5" w14:textId="77777777" w:rsidR="00FA6E6A" w:rsidRPr="00FA6E6A" w:rsidRDefault="00FA6E6A" w:rsidP="00FA6E6A">
      <w:pPr>
        <w:shd w:val="clear" w:color="auto" w:fill="FFFFFF"/>
        <w:spacing w:after="0" w:line="240" w:lineRule="auto"/>
        <w:rPr>
          <w:rFonts w:ascii="Roboto Condensed" w:eastAsia="Times New Roman" w:hAnsi="Roboto Condensed" w:cs="Times New Roman"/>
          <w:color w:val="333333"/>
          <w:kern w:val="0"/>
          <w:sz w:val="23"/>
          <w:szCs w:val="23"/>
          <w14:ligatures w14:val="none"/>
        </w:rPr>
      </w:pPr>
      <w:r w:rsidRPr="00FA6E6A">
        <w:rPr>
          <w:rFonts w:ascii="Roboto Condensed" w:eastAsia="Times New Roman" w:hAnsi="Roboto Condensed" w:cs="Times New Roman"/>
          <w:b/>
          <w:bCs/>
          <w:color w:val="333333"/>
          <w:kern w:val="0"/>
          <w:sz w:val="23"/>
          <w:szCs w:val="23"/>
          <w14:ligatures w14:val="none"/>
        </w:rPr>
        <w:t>Source</w:t>
      </w:r>
      <w:r w:rsidRPr="00FA6E6A">
        <w:rPr>
          <w:rFonts w:ascii="Roboto Condensed" w:eastAsia="Times New Roman" w:hAnsi="Roboto Condensed" w:cs="Times New Roman"/>
          <w:color w:val="333333"/>
          <w:kern w:val="0"/>
          <w:sz w:val="23"/>
          <w:szCs w:val="23"/>
          <w14:ligatures w14:val="none"/>
        </w:rPr>
        <w:t>: OECD (2021). Table B3.1. See </w:t>
      </w:r>
      <w:r w:rsidRPr="00FA6E6A">
        <w:rPr>
          <w:rFonts w:ascii="Roboto Condensed" w:eastAsia="Times New Roman" w:hAnsi="Roboto Condensed" w:cs="Times New Roman"/>
          <w:i/>
          <w:iCs/>
          <w:color w:val="333333"/>
          <w:kern w:val="0"/>
          <w:sz w:val="23"/>
          <w:szCs w:val="23"/>
          <w14:ligatures w14:val="none"/>
        </w:rPr>
        <w:t>Source</w:t>
      </w:r>
      <w:r w:rsidRPr="00FA6E6A">
        <w:rPr>
          <w:rFonts w:ascii="Roboto Condensed" w:eastAsia="Times New Roman" w:hAnsi="Roboto Condensed" w:cs="Times New Roman"/>
          <w:color w:val="333333"/>
          <w:kern w:val="0"/>
          <w:sz w:val="23"/>
          <w:szCs w:val="23"/>
          <w14:ligatures w14:val="none"/>
        </w:rPr>
        <w:t> section for more information and Annex 3 for notes (</w:t>
      </w:r>
      <w:hyperlink r:id="rId7" w:tgtFrame="_blank" w:history="1">
        <w:r w:rsidRPr="00FA6E6A">
          <w:rPr>
            <w:rFonts w:ascii="Roboto Condensed" w:eastAsia="Times New Roman" w:hAnsi="Roboto Condensed" w:cs="Times New Roman"/>
            <w:color w:val="0068B6"/>
            <w:kern w:val="0"/>
            <w:sz w:val="23"/>
            <w:szCs w:val="23"/>
            <w:u w:val="single"/>
            <w14:ligatures w14:val="none"/>
          </w:rPr>
          <w:t>https://www.oecd.org/education/education-at-a-glance/EAG2021_Annex3_ChapterB.pdf</w:t>
        </w:r>
      </w:hyperlink>
      <w:r w:rsidRPr="00FA6E6A">
        <w:rPr>
          <w:rFonts w:ascii="Roboto Condensed" w:eastAsia="Times New Roman" w:hAnsi="Roboto Condensed" w:cs="Times New Roman"/>
          <w:color w:val="333333"/>
          <w:kern w:val="0"/>
          <w:sz w:val="23"/>
          <w:szCs w:val="23"/>
          <w14:ligatures w14:val="none"/>
        </w:rPr>
        <w:t>).</w:t>
      </w:r>
    </w:p>
    <w:p w14:paraId="268FFA73" w14:textId="77777777" w:rsidR="00FA6E6A" w:rsidRDefault="00FA6E6A" w:rsidP="00FA6E6A">
      <w:pPr>
        <w:shd w:val="clear" w:color="auto" w:fill="FFFFFF"/>
        <w:spacing w:after="240" w:line="240" w:lineRule="auto"/>
        <w:ind w:left="-450"/>
        <w:outlineLvl w:val="1"/>
        <w:rPr>
          <w:rFonts w:ascii="inherit" w:eastAsia="Times New Roman" w:hAnsi="inherit" w:cs="Times New Roman"/>
          <w:color w:val="4E81BD"/>
          <w:kern w:val="0"/>
          <w:sz w:val="36"/>
          <w:szCs w:val="36"/>
          <w14:ligatures w14:val="none"/>
        </w:rPr>
      </w:pPr>
    </w:p>
    <w:p w14:paraId="148952B4" w14:textId="05BFB503" w:rsidR="00FA6E6A" w:rsidRPr="00FA6E6A" w:rsidRDefault="00FA6E6A" w:rsidP="00FA6E6A">
      <w:pPr>
        <w:shd w:val="clear" w:color="auto" w:fill="FFFFFF"/>
        <w:spacing w:after="240" w:line="240" w:lineRule="auto"/>
        <w:ind w:left="-450"/>
        <w:outlineLvl w:val="1"/>
        <w:rPr>
          <w:rFonts w:ascii="inherit" w:eastAsia="Times New Roman" w:hAnsi="inherit" w:cs="Times New Roman"/>
          <w:color w:val="4E81BD"/>
          <w:kern w:val="0"/>
          <w:sz w:val="36"/>
          <w:szCs w:val="36"/>
          <w14:ligatures w14:val="none"/>
        </w:rPr>
      </w:pPr>
      <w:r w:rsidRPr="00FA6E6A">
        <w:rPr>
          <w:rFonts w:ascii="inherit" w:eastAsia="Times New Roman" w:hAnsi="inherit" w:cs="Times New Roman"/>
          <w:color w:val="4E81BD"/>
          <w:kern w:val="0"/>
          <w:sz w:val="36"/>
          <w:szCs w:val="36"/>
          <w14:ligatures w14:val="none"/>
        </w:rPr>
        <w:t>Education and migration background</w:t>
      </w:r>
    </w:p>
    <w:p w14:paraId="7336901D" w14:textId="77777777" w:rsidR="00FA6E6A" w:rsidRPr="00FA6E6A" w:rsidRDefault="00FA6E6A" w:rsidP="00FA6E6A">
      <w:pPr>
        <w:numPr>
          <w:ilvl w:val="0"/>
          <w:numId w:val="3"/>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In many OECD countries, foreign-born adults earn less than native-born adults. This </w:t>
      </w:r>
      <w:proofErr w:type="gramStart"/>
      <w:r w:rsidRPr="00FA6E6A">
        <w:rPr>
          <w:rFonts w:ascii="Roboto" w:eastAsia="Times New Roman" w:hAnsi="Roboto" w:cs="Times New Roman"/>
          <w:color w:val="333333"/>
          <w:kern w:val="0"/>
          <w:sz w:val="24"/>
          <w:szCs w:val="24"/>
          <w14:ligatures w14:val="none"/>
        </w:rPr>
        <w:t>pay</w:t>
      </w:r>
      <w:proofErr w:type="gramEnd"/>
      <w:r w:rsidRPr="00FA6E6A">
        <w:rPr>
          <w:rFonts w:ascii="Roboto" w:eastAsia="Times New Roman" w:hAnsi="Roboto" w:cs="Times New Roman"/>
          <w:color w:val="333333"/>
          <w:kern w:val="0"/>
          <w:sz w:val="24"/>
          <w:szCs w:val="24"/>
          <w14:ligatures w14:val="none"/>
        </w:rPr>
        <w:t xml:space="preserve"> gap may narrow with higher levels of educational attainment. On average across OECD countries, foreign-born adults with below secondary attainment working full-time earn 89% as much as their native-born peers, while this gap disappears among tertiary-educated adults. In Turkey, in 2019, among adults with below upper secondary attainment, the earnings of foreign-born full-time workers represented 107% that of their native-born peers, 101% among adults with upper secondary or post-secondary non-tertiary attainment, and 101% among those with a tertiary-education.</w:t>
      </w:r>
    </w:p>
    <w:p w14:paraId="0F43A8BE" w14:textId="77777777" w:rsidR="00FA6E6A" w:rsidRPr="00FA6E6A" w:rsidRDefault="00FA6E6A" w:rsidP="00FA6E6A">
      <w:pPr>
        <w:shd w:val="clear" w:color="auto" w:fill="FFFFFF"/>
        <w:spacing w:after="240" w:line="240" w:lineRule="auto"/>
        <w:ind w:left="-450"/>
        <w:outlineLvl w:val="1"/>
        <w:rPr>
          <w:rFonts w:ascii="inherit" w:eastAsia="Times New Roman" w:hAnsi="inherit" w:cs="Times New Roman"/>
          <w:color w:val="4E81BD"/>
          <w:kern w:val="0"/>
          <w:sz w:val="36"/>
          <w:szCs w:val="36"/>
          <w14:ligatures w14:val="none"/>
        </w:rPr>
      </w:pPr>
      <w:r w:rsidRPr="00FA6E6A">
        <w:rPr>
          <w:rFonts w:ascii="inherit" w:eastAsia="Times New Roman" w:hAnsi="inherit" w:cs="Times New Roman"/>
          <w:color w:val="4E81BD"/>
          <w:kern w:val="0"/>
          <w:sz w:val="36"/>
          <w:szCs w:val="36"/>
          <w14:ligatures w14:val="none"/>
        </w:rPr>
        <w:t>Cross-regional disparities in education</w:t>
      </w:r>
    </w:p>
    <w:p w14:paraId="31AD2C68" w14:textId="77777777" w:rsidR="00FA6E6A" w:rsidRPr="00FA6E6A" w:rsidRDefault="00FA6E6A" w:rsidP="00FA6E6A">
      <w:pPr>
        <w:numPr>
          <w:ilvl w:val="0"/>
          <w:numId w:val="4"/>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Tertiary attainment may vary significantly within a country. In Turkey, the share of </w:t>
      </w:r>
      <w:proofErr w:type="gramStart"/>
      <w:r w:rsidRPr="00FA6E6A">
        <w:rPr>
          <w:rFonts w:ascii="Roboto" w:eastAsia="Times New Roman" w:hAnsi="Roboto" w:cs="Times New Roman"/>
          <w:color w:val="333333"/>
          <w:kern w:val="0"/>
          <w:sz w:val="24"/>
          <w:szCs w:val="24"/>
          <w14:ligatures w14:val="none"/>
        </w:rPr>
        <w:t>25-64 year-old</w:t>
      </w:r>
      <w:proofErr w:type="gramEnd"/>
      <w:r w:rsidRPr="00FA6E6A">
        <w:rPr>
          <w:rFonts w:ascii="Roboto" w:eastAsia="Times New Roman" w:hAnsi="Roboto" w:cs="Times New Roman"/>
          <w:color w:val="333333"/>
          <w:kern w:val="0"/>
          <w:sz w:val="24"/>
          <w:szCs w:val="24"/>
          <w14:ligatures w14:val="none"/>
        </w:rPr>
        <w:t xml:space="preserve"> adults with tertiary education varies from 13% in the region of Southeastern Anatolia - Middle to 32% in the region of Ankara, a similar regional variation as the average across OECD countries with available data.</w:t>
      </w:r>
    </w:p>
    <w:p w14:paraId="5B8D7223" w14:textId="77777777" w:rsidR="00FA6E6A" w:rsidRPr="00FA6E6A" w:rsidRDefault="00FA6E6A" w:rsidP="00FA6E6A">
      <w:pPr>
        <w:numPr>
          <w:ilvl w:val="0"/>
          <w:numId w:val="4"/>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On average across OECD and partner countries with subnational data on </w:t>
      </w:r>
      <w:proofErr w:type="spellStart"/>
      <w:r w:rsidRPr="00FA6E6A">
        <w:rPr>
          <w:rFonts w:ascii="Roboto" w:eastAsia="Times New Roman" w:hAnsi="Roboto" w:cs="Times New Roman"/>
          <w:color w:val="333333"/>
          <w:kern w:val="0"/>
          <w:sz w:val="24"/>
          <w:szCs w:val="24"/>
          <w14:ligatures w14:val="none"/>
        </w:rPr>
        <w:t>labour</w:t>
      </w:r>
      <w:proofErr w:type="spellEnd"/>
      <w:r w:rsidRPr="00FA6E6A">
        <w:rPr>
          <w:rFonts w:ascii="Roboto" w:eastAsia="Times New Roman" w:hAnsi="Roboto" w:cs="Times New Roman"/>
          <w:color w:val="333333"/>
          <w:kern w:val="0"/>
          <w:sz w:val="24"/>
          <w:szCs w:val="24"/>
          <w14:ligatures w14:val="none"/>
        </w:rPr>
        <w:t xml:space="preserve">-force status, there is more regional variation in employment rates among those with below upper secondary education (17 percentage points) than for those with tertiary education (8 percentage points). In Turkey, there is a difference of 27 percentage points in the employment rate of adults with below </w:t>
      </w:r>
      <w:r w:rsidRPr="00FA6E6A">
        <w:rPr>
          <w:rFonts w:ascii="Roboto" w:eastAsia="Times New Roman" w:hAnsi="Roboto" w:cs="Times New Roman"/>
          <w:color w:val="333333"/>
          <w:kern w:val="0"/>
          <w:sz w:val="24"/>
          <w:szCs w:val="24"/>
          <w14:ligatures w14:val="none"/>
        </w:rPr>
        <w:lastRenderedPageBreak/>
        <w:t>upper secondary education between different regions of the country compared to 16 percentage points for tertiary-educated adults.</w:t>
      </w:r>
    </w:p>
    <w:p w14:paraId="5C60992E" w14:textId="77777777" w:rsidR="00FA6E6A" w:rsidRPr="00FA6E6A" w:rsidRDefault="00FA6E6A" w:rsidP="00FA6E6A">
      <w:pPr>
        <w:numPr>
          <w:ilvl w:val="0"/>
          <w:numId w:val="4"/>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The proportion of young people who are NEET shows significant subnational as well as national variation across OECD and partner countries. In Turkey, the difference in the share of </w:t>
      </w:r>
      <w:proofErr w:type="gramStart"/>
      <w:r w:rsidRPr="00FA6E6A">
        <w:rPr>
          <w:rFonts w:ascii="Roboto" w:eastAsia="Times New Roman" w:hAnsi="Roboto" w:cs="Times New Roman"/>
          <w:color w:val="333333"/>
          <w:kern w:val="0"/>
          <w:sz w:val="24"/>
          <w:szCs w:val="24"/>
          <w14:ligatures w14:val="none"/>
        </w:rPr>
        <w:t>18-24 year-old</w:t>
      </w:r>
      <w:proofErr w:type="gramEnd"/>
      <w:r w:rsidRPr="00FA6E6A">
        <w:rPr>
          <w:rFonts w:ascii="Roboto" w:eastAsia="Times New Roman" w:hAnsi="Roboto" w:cs="Times New Roman"/>
          <w:color w:val="333333"/>
          <w:kern w:val="0"/>
          <w:sz w:val="24"/>
          <w:szCs w:val="24"/>
          <w14:ligatures w14:val="none"/>
        </w:rPr>
        <w:t xml:space="preserve"> NEETs between regions with the highest and lowest value is 27 percentage points, compared to 11 percentage points on average across OECD countries.</w:t>
      </w:r>
    </w:p>
    <w:p w14:paraId="00E16C35" w14:textId="77777777" w:rsidR="00FA6E6A" w:rsidRPr="00FA6E6A" w:rsidRDefault="00FA6E6A" w:rsidP="00FA6E6A">
      <w:pPr>
        <w:shd w:val="clear" w:color="auto" w:fill="FFFFFF"/>
        <w:spacing w:after="240" w:line="240" w:lineRule="auto"/>
        <w:ind w:left="-450"/>
        <w:outlineLvl w:val="1"/>
        <w:rPr>
          <w:rFonts w:ascii="inherit" w:eastAsia="Times New Roman" w:hAnsi="inherit" w:cs="Times New Roman"/>
          <w:color w:val="4E81BD"/>
          <w:kern w:val="0"/>
          <w:sz w:val="36"/>
          <w:szCs w:val="36"/>
          <w14:ligatures w14:val="none"/>
        </w:rPr>
      </w:pPr>
      <w:r w:rsidRPr="00FA6E6A">
        <w:rPr>
          <w:rFonts w:ascii="inherit" w:eastAsia="Times New Roman" w:hAnsi="inherit" w:cs="Times New Roman"/>
          <w:color w:val="4E81BD"/>
          <w:kern w:val="0"/>
          <w:sz w:val="36"/>
          <w:szCs w:val="36"/>
          <w14:ligatures w14:val="none"/>
        </w:rPr>
        <w:t>COVID-19: 18 months into the pandemic</w:t>
      </w:r>
    </w:p>
    <w:p w14:paraId="6300CF58" w14:textId="77777777" w:rsidR="00FA6E6A" w:rsidRPr="00FA6E6A" w:rsidRDefault="00FA6E6A" w:rsidP="00FA6E6A">
      <w:pPr>
        <w:numPr>
          <w:ilvl w:val="0"/>
          <w:numId w:val="5"/>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The spread of COVID-19 has continued to impede access to in-person education in many countries around the world in 2021. By mid-May 2021, 37 OECD and partner countries had experienced periods of full school closure since the start of 2020.</w:t>
      </w:r>
    </w:p>
    <w:p w14:paraId="311F559D" w14:textId="77777777" w:rsidR="00FA6E6A" w:rsidRPr="00FA6E6A" w:rsidRDefault="00FA6E6A" w:rsidP="00FA6E6A">
      <w:pPr>
        <w:numPr>
          <w:ilvl w:val="0"/>
          <w:numId w:val="5"/>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The number of instructional days when schools were fully closed since the start of 2020 due to the pandemic (excluding school holidays, public holidays and weekends) varies significantly between countries and increases with the level of education. Turkey follows this pattern. In Turkey, pre-primary schools were fully closed for an average of 58 days between 1 January 2020 and 20 May 2021. Meanwhile primary schools closed for 122 days, lower secondary for 137 days and upper secondary general schools for 151 days. In comparison, respective closures were 55, 78, 92 and 101 days on average across the OECD.</w:t>
      </w:r>
    </w:p>
    <w:p w14:paraId="1A242388" w14:textId="77777777" w:rsidR="00FA6E6A" w:rsidRPr="00FA6E6A" w:rsidRDefault="00FA6E6A" w:rsidP="00FA6E6A">
      <w:pPr>
        <w:numPr>
          <w:ilvl w:val="0"/>
          <w:numId w:val="5"/>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In many countries, schools did not fully close but remained open with reduced capacity. Schools at upper secondary (general) level in Turkey for instance experienced 76 days of partial opening between January 2020 and May 2021, 34 of which occurred in 2020 and 42 in 2021. In total, this was higher than the number of days of partial opening in the OECD on average (57 days), where there were 27 days of partially open instruction in 2020, and 30 days in 2021. When adding both the number of days where schools were fully and partially closed, learning in upper secondary general education was disrupted by 227 days in Turkey between January 2020 and May 2021.</w:t>
      </w:r>
    </w:p>
    <w:p w14:paraId="7773D46C" w14:textId="77777777" w:rsidR="00FA6E6A" w:rsidRPr="00FA6E6A" w:rsidRDefault="00FA6E6A" w:rsidP="00FA6E6A">
      <w:pPr>
        <w:numPr>
          <w:ilvl w:val="0"/>
          <w:numId w:val="5"/>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During periods of school closure, distance education in Turkey has mainly been delivered through 3 dedicated Educational Information Network (EBA) television channels and the online EBA platform, whose capacity was greatly expanded following the pandemic. Teachers could provide live, interactive lessons online on the EBA platform, where there were also more than 1 900 recorded lessons. In 2020, the number of live classes being taught simultaneously reached 300 000. The EBA platform also included a Library area with over 6 000 books and a Professional Development area for teacher training.</w:t>
      </w:r>
    </w:p>
    <w:p w14:paraId="31A92008" w14:textId="77777777" w:rsidR="00FA6E6A" w:rsidRPr="00FA6E6A" w:rsidRDefault="00FA6E6A" w:rsidP="00FA6E6A">
      <w:pPr>
        <w:numPr>
          <w:ilvl w:val="0"/>
          <w:numId w:val="5"/>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The impact of COVID-19 and school closures on educational equity has been a concern for many countries. 30 out of the 36 OECD and partner countries surveyed, including Turkey, declared that additional measures were taken to support the education of children who might face additional barriers to learning during the pandemic. 22 of these countries, including Turkey, stated that they </w:t>
      </w:r>
      <w:r w:rsidRPr="00FA6E6A">
        <w:rPr>
          <w:rFonts w:ascii="Roboto" w:eastAsia="Times New Roman" w:hAnsi="Roboto" w:cs="Times New Roman"/>
          <w:color w:val="333333"/>
          <w:kern w:val="0"/>
          <w:sz w:val="24"/>
          <w:szCs w:val="24"/>
          <w14:ligatures w14:val="none"/>
        </w:rPr>
        <w:lastRenderedPageBreak/>
        <w:t xml:space="preserve">had </w:t>
      </w:r>
      <w:proofErr w:type="spellStart"/>
      <w:r w:rsidRPr="00FA6E6A">
        <w:rPr>
          <w:rFonts w:ascii="Roboto" w:eastAsia="Times New Roman" w:hAnsi="Roboto" w:cs="Times New Roman"/>
          <w:color w:val="333333"/>
          <w:kern w:val="0"/>
          <w:sz w:val="24"/>
          <w:szCs w:val="24"/>
          <w14:ligatures w14:val="none"/>
        </w:rPr>
        <w:t>subsidised</w:t>
      </w:r>
      <w:proofErr w:type="spellEnd"/>
      <w:r w:rsidRPr="00FA6E6A">
        <w:rPr>
          <w:rFonts w:ascii="Roboto" w:eastAsia="Times New Roman" w:hAnsi="Roboto" w:cs="Times New Roman"/>
          <w:color w:val="333333"/>
          <w:kern w:val="0"/>
          <w:sz w:val="24"/>
          <w:szCs w:val="24"/>
          <w14:ligatures w14:val="none"/>
        </w:rPr>
        <w:t xml:space="preserve"> devices for students to help them access education. Measures to encourage disadvantaged or vulnerable students to return to school after closures were also implemented in 29 OECD and partner countries, including in Turkey.</w:t>
      </w:r>
    </w:p>
    <w:p w14:paraId="403EA2DB" w14:textId="77777777" w:rsidR="00FA6E6A" w:rsidRPr="00FA6E6A" w:rsidRDefault="00FA6E6A" w:rsidP="00FA6E6A">
      <w:pPr>
        <w:numPr>
          <w:ilvl w:val="0"/>
          <w:numId w:val="5"/>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Countries have faced difficult decisions on how to best manage their resources to ensure that students can continue to access quality education in the safest possible conditions and to </w:t>
      </w:r>
      <w:proofErr w:type="spellStart"/>
      <w:r w:rsidRPr="00FA6E6A">
        <w:rPr>
          <w:rFonts w:ascii="Roboto" w:eastAsia="Times New Roman" w:hAnsi="Roboto" w:cs="Times New Roman"/>
          <w:color w:val="333333"/>
          <w:kern w:val="0"/>
          <w:sz w:val="24"/>
          <w:szCs w:val="24"/>
          <w14:ligatures w14:val="none"/>
        </w:rPr>
        <w:t>minimise</w:t>
      </w:r>
      <w:proofErr w:type="spellEnd"/>
      <w:r w:rsidRPr="00FA6E6A">
        <w:rPr>
          <w:rFonts w:ascii="Roboto" w:eastAsia="Times New Roman" w:hAnsi="Roboto" w:cs="Times New Roman"/>
          <w:color w:val="333333"/>
          <w:kern w:val="0"/>
          <w:sz w:val="24"/>
          <w:szCs w:val="24"/>
          <w14:ligatures w14:val="none"/>
        </w:rPr>
        <w:t xml:space="preserve"> disruption to learning. Before the pandemic, total public expenditure on primary, secondary and post-secondary non-tertiary education in Turkey reached 2.5% of gross domestic product (GDP) in 2018, which was lower than the OECD average of 3.2%. About two-thirds of OECD and partner countries reported increases in the funding allocated to primary and secondary schools to help them cope with the crisis in 2020. Compared to the previous year, Turkey reported an increase in the fiscal year education budget for primary and lower secondary general education in both 2020 and 2021.</w:t>
      </w:r>
    </w:p>
    <w:p w14:paraId="3DFA7E21" w14:textId="77777777" w:rsidR="00FA6E6A" w:rsidRPr="00FA6E6A" w:rsidRDefault="00FA6E6A" w:rsidP="00FA6E6A">
      <w:pPr>
        <w:numPr>
          <w:ilvl w:val="0"/>
          <w:numId w:val="5"/>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Countries’ approach to </w:t>
      </w:r>
      <w:proofErr w:type="spellStart"/>
      <w:r w:rsidRPr="00FA6E6A">
        <w:rPr>
          <w:rFonts w:ascii="Roboto" w:eastAsia="Times New Roman" w:hAnsi="Roboto" w:cs="Times New Roman"/>
          <w:color w:val="333333"/>
          <w:kern w:val="0"/>
          <w:sz w:val="24"/>
          <w:szCs w:val="24"/>
          <w14:ligatures w14:val="none"/>
        </w:rPr>
        <w:t>prioritise</w:t>
      </w:r>
      <w:proofErr w:type="spellEnd"/>
      <w:r w:rsidRPr="00FA6E6A">
        <w:rPr>
          <w:rFonts w:ascii="Roboto" w:eastAsia="Times New Roman" w:hAnsi="Roboto" w:cs="Times New Roman"/>
          <w:color w:val="333333"/>
          <w:kern w:val="0"/>
          <w:sz w:val="24"/>
          <w:szCs w:val="24"/>
          <w14:ligatures w14:val="none"/>
        </w:rPr>
        <w:t xml:space="preserve"> teachers in vaccination campaigns against COVID-19 has varied. In total, 19 OECD and partner countries, including Turkey, have </w:t>
      </w:r>
      <w:proofErr w:type="spellStart"/>
      <w:r w:rsidRPr="00FA6E6A">
        <w:rPr>
          <w:rFonts w:ascii="Roboto" w:eastAsia="Times New Roman" w:hAnsi="Roboto" w:cs="Times New Roman"/>
          <w:color w:val="333333"/>
          <w:kern w:val="0"/>
          <w:sz w:val="24"/>
          <w:szCs w:val="24"/>
          <w14:ligatures w14:val="none"/>
        </w:rPr>
        <w:t>prioritised</w:t>
      </w:r>
      <w:proofErr w:type="spellEnd"/>
      <w:r w:rsidRPr="00FA6E6A">
        <w:rPr>
          <w:rFonts w:ascii="Roboto" w:eastAsia="Times New Roman" w:hAnsi="Roboto" w:cs="Times New Roman"/>
          <w:color w:val="333333"/>
          <w:kern w:val="0"/>
          <w:sz w:val="24"/>
          <w:szCs w:val="24"/>
          <w14:ligatures w14:val="none"/>
        </w:rPr>
        <w:t xml:space="preserve"> at least some teachers as part of the government’s plans to vaccinate the population on a national level (as of 20 May 2021).</w:t>
      </w:r>
    </w:p>
    <w:p w14:paraId="4DC59845" w14:textId="77777777" w:rsidR="00FA6E6A" w:rsidRPr="00FA6E6A" w:rsidRDefault="00FA6E6A" w:rsidP="00FA6E6A">
      <w:pPr>
        <w:numPr>
          <w:ilvl w:val="0"/>
          <w:numId w:val="5"/>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At the same time, the number of adults participating in formal and/or non-formal education and training decreased by 27% on average in the OECD between the second quarter of 2019 and the second quarter of 2020 (</w:t>
      </w:r>
      <w:proofErr w:type="gramStart"/>
      <w:r w:rsidRPr="00FA6E6A">
        <w:rPr>
          <w:rFonts w:ascii="Roboto" w:eastAsia="Times New Roman" w:hAnsi="Roboto" w:cs="Times New Roman"/>
          <w:color w:val="333333"/>
          <w:kern w:val="0"/>
          <w:sz w:val="24"/>
          <w:szCs w:val="24"/>
          <w14:ligatures w14:val="none"/>
        </w:rPr>
        <w:t>i.e.</w:t>
      </w:r>
      <w:proofErr w:type="gramEnd"/>
      <w:r w:rsidRPr="00FA6E6A">
        <w:rPr>
          <w:rFonts w:ascii="Roboto" w:eastAsia="Times New Roman" w:hAnsi="Roboto" w:cs="Times New Roman"/>
          <w:color w:val="333333"/>
          <w:kern w:val="0"/>
          <w:sz w:val="24"/>
          <w:szCs w:val="24"/>
          <w14:ligatures w14:val="none"/>
        </w:rPr>
        <w:t xml:space="preserve"> during the peak of the first wave of COVID-19 in many OECD countries). In Turkey, the participation of adults in formal and/or non-formal education and training in this period decreased by 7% in Turkey.</w:t>
      </w:r>
    </w:p>
    <w:p w14:paraId="306F7891" w14:textId="77777777" w:rsidR="00FA6E6A" w:rsidRPr="00FA6E6A" w:rsidRDefault="00FA6E6A" w:rsidP="00FA6E6A">
      <w:pPr>
        <w:shd w:val="clear" w:color="auto" w:fill="FFFFFF"/>
        <w:spacing w:after="240" w:line="240" w:lineRule="auto"/>
        <w:ind w:left="-450"/>
        <w:outlineLvl w:val="1"/>
        <w:rPr>
          <w:rFonts w:ascii="inherit" w:eastAsia="Times New Roman" w:hAnsi="inherit" w:cs="Times New Roman"/>
          <w:color w:val="4E81BD"/>
          <w:kern w:val="0"/>
          <w:sz w:val="36"/>
          <w:szCs w:val="36"/>
          <w14:ligatures w14:val="none"/>
        </w:rPr>
      </w:pPr>
      <w:r w:rsidRPr="00FA6E6A">
        <w:rPr>
          <w:rFonts w:ascii="inherit" w:eastAsia="Times New Roman" w:hAnsi="inherit" w:cs="Times New Roman"/>
          <w:color w:val="4E81BD"/>
          <w:kern w:val="0"/>
          <w:sz w:val="36"/>
          <w:szCs w:val="36"/>
          <w14:ligatures w14:val="none"/>
        </w:rPr>
        <w:t>Investing in education</w:t>
      </w:r>
    </w:p>
    <w:p w14:paraId="3F7122ED" w14:textId="77777777" w:rsidR="00FA6E6A" w:rsidRPr="00FA6E6A" w:rsidRDefault="00FA6E6A" w:rsidP="00FA6E6A">
      <w:pPr>
        <w:numPr>
          <w:ilvl w:val="0"/>
          <w:numId w:val="6"/>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Annual expenditure per student on educational institutions provides an indication of the investment countries make on each student. After accounting for public-to-private transfers, public expenditure on primary to tertiary educational institutions per full-time student in Turkey was USD 4 149 in 2018 (in equivalent USD converted using PPPs for GDP) compared to USD 10 000 on average across OECD countries.</w:t>
      </w:r>
    </w:p>
    <w:p w14:paraId="7255A62D" w14:textId="77777777" w:rsidR="00FA6E6A" w:rsidRPr="00FA6E6A" w:rsidRDefault="00FA6E6A" w:rsidP="00FA6E6A">
      <w:pPr>
        <w:numPr>
          <w:ilvl w:val="0"/>
          <w:numId w:val="6"/>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Expenditure on core educational services such as instruction and teaching make up the largest share of education expenditure. However, ancillary services (such as student welfare) and research and development (R&amp;D) activities also influence the level of expenditure per student. In primary to tertiary education, 90% of institutions’ expenditure per student is devoted to core educational services in Turkey (compared to 89% on average across OECD countries). This share is generally lower at the tertiary level due to expenditure on research and development, including in Turkey where 80% of total expenditure is devoted to core educational services.</w:t>
      </w:r>
    </w:p>
    <w:p w14:paraId="5AD50282" w14:textId="77777777" w:rsidR="00FA6E6A" w:rsidRPr="00FA6E6A" w:rsidRDefault="00FA6E6A" w:rsidP="00FA6E6A">
      <w:pPr>
        <w:numPr>
          <w:ilvl w:val="0"/>
          <w:numId w:val="6"/>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lastRenderedPageBreak/>
        <w:t>The provision of education across public and private institutions influences the allocation of resources between levels of education and types of institution. In 2018, Turkey spent USD 4 707 per student at primary, secondary and post-secondary non-tertiary education, USD 5 747 lower than the OECD average of USD 10 454. At tertiary level, Turkey invested USD 10 008 per student, USD 7 057 less than the OECD average. Expenditure per student on public educational institutions is higher than on private institutions on average across OECD countries. However, this is not the case in Turkey, where total expenditure on primary to tertiary public institutions amounts to USD 4 782 per student, compared to USD 15 695 on private institutions.</w:t>
      </w:r>
    </w:p>
    <w:p w14:paraId="38CE204D" w14:textId="77777777" w:rsidR="00FA6E6A" w:rsidRPr="00FA6E6A" w:rsidRDefault="00FA6E6A" w:rsidP="00FA6E6A">
      <w:pPr>
        <w:numPr>
          <w:ilvl w:val="0"/>
          <w:numId w:val="6"/>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Between 2012 and 2018, expenditure per student from primary to tertiary education increased at an average annual growth rate of 1.6% across OECD countries. In Turkey, expenditure on educational institutions grew at an average annual rate of 5.1%, while the number of students grew on average by 2.7% per year over this period. This resulted in an average annual growth rate of 2.4% in expenditure per student over this period.</w:t>
      </w:r>
    </w:p>
    <w:p w14:paraId="56B9F31A" w14:textId="77777777" w:rsidR="00FA6E6A" w:rsidRPr="00FA6E6A" w:rsidRDefault="00FA6E6A" w:rsidP="00FA6E6A">
      <w:pPr>
        <w:numPr>
          <w:ilvl w:val="0"/>
          <w:numId w:val="6"/>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The share of national wealth devoted to educational institutions is higher in Turkey than on average among OECD countries. In 2018, Turkey spent 5.1% of its GDP on primary to tertiary educational institutions, which is 0.2 percentage points higher than the OECD average. Across levels of education, Turkey devoted a similar share of GDP as the OECD average at non-tertiary levels and a higher share at tertiary level (Figure 2).</w:t>
      </w:r>
    </w:p>
    <w:p w14:paraId="36B01113" w14:textId="77777777" w:rsidR="00FA6E6A" w:rsidRPr="00FA6E6A" w:rsidRDefault="00FA6E6A" w:rsidP="00FA6E6A">
      <w:pPr>
        <w:numPr>
          <w:ilvl w:val="0"/>
          <w:numId w:val="6"/>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The share of capital costs on total expenditure on educational institutions is higher than the OECD average at primary to tertiary level in Turkey. At primary, secondary and post-secondary non-tertiary level, capital costs account for 13% of total spending on educational institutions, 5 percentage points above the OECD average (8%). At the tertiary level, capital costs represent 18%, higher than the average across OECD countries of 11%.</w:t>
      </w:r>
    </w:p>
    <w:p w14:paraId="1B8BDD92" w14:textId="77777777" w:rsidR="00FA6E6A" w:rsidRDefault="00FA6E6A" w:rsidP="00FA6E6A">
      <w:pPr>
        <w:numPr>
          <w:ilvl w:val="0"/>
          <w:numId w:val="6"/>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Compensation of teachers and other staff employed in educational institutions represents the largest share of current expenditure from primary to tertiary education. In 2018, Turkey allocated 72% of its current expenditure to staff compensation, compared to 74% on average across OECD countries. Staff compensation tends to make up a smaller share of current expenditure on tertiary institutions due to the higher costs of facilities and equipment at this level. In Turkey, staff compensation represents 69% of current expenditure on tertiary institutions compared to 73% at non-tertiary levels. On average across OECD countries, the share is 68% at tertiary level and 77% at non-tertiary level.</w:t>
      </w:r>
    </w:p>
    <w:p w14:paraId="0246A72C" w14:textId="77777777" w:rsidR="00FA6E6A" w:rsidRPr="00FA6E6A" w:rsidRDefault="00FA6E6A" w:rsidP="00FA6E6A">
      <w:pPr>
        <w:numPr>
          <w:ilvl w:val="0"/>
          <w:numId w:val="6"/>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p>
    <w:p w14:paraId="5FBFF172" w14:textId="77777777" w:rsidR="00FA6E6A" w:rsidRPr="00FA6E6A" w:rsidRDefault="00FA6E6A" w:rsidP="00FA6E6A">
      <w:pPr>
        <w:shd w:val="clear" w:color="auto" w:fill="4E81BD"/>
        <w:spacing w:after="0" w:line="240" w:lineRule="auto"/>
        <w:rPr>
          <w:rFonts w:ascii="Roboto" w:eastAsia="Times New Roman" w:hAnsi="Roboto" w:cs="Times New Roman"/>
          <w:color w:val="333333"/>
          <w:kern w:val="0"/>
          <w:sz w:val="24"/>
          <w:szCs w:val="24"/>
          <w14:ligatures w14:val="none"/>
        </w:rPr>
      </w:pPr>
      <w:hyperlink r:id="rId8" w:tgtFrame="_blank" w:history="1">
        <w:r w:rsidRPr="00FA6E6A">
          <w:rPr>
            <w:rFonts w:ascii="Roboto" w:eastAsia="Times New Roman" w:hAnsi="Roboto" w:cs="Times New Roman"/>
            <w:color w:val="FFFFFF"/>
            <w:kern w:val="0"/>
            <w:sz w:val="24"/>
            <w:szCs w:val="24"/>
            <w14:ligatures w14:val="none"/>
          </w:rPr>
          <w:t> Compare</w:t>
        </w:r>
      </w:hyperlink>
    </w:p>
    <w:p w14:paraId="619E8039" w14:textId="77777777" w:rsidR="00FA6E6A" w:rsidRPr="00FA6E6A" w:rsidRDefault="00FA6E6A" w:rsidP="00FA6E6A">
      <w:pPr>
        <w:shd w:val="clear" w:color="auto" w:fill="4E81BD"/>
        <w:spacing w:after="0" w:line="240" w:lineRule="auto"/>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FFFFFF"/>
          <w:kern w:val="0"/>
          <w:sz w:val="24"/>
          <w:szCs w:val="24"/>
          <w14:ligatures w14:val="none"/>
        </w:rPr>
        <w:t> Share</w:t>
      </w:r>
    </w:p>
    <w:p w14:paraId="18A9F46F" w14:textId="77777777" w:rsidR="00FA6E6A" w:rsidRPr="00FA6E6A" w:rsidRDefault="00FA6E6A" w:rsidP="00FA6E6A">
      <w:pPr>
        <w:shd w:val="clear" w:color="auto" w:fill="FFFFFF"/>
        <w:spacing w:after="0" w:line="240" w:lineRule="auto"/>
        <w:rPr>
          <w:rFonts w:ascii="Roboto Condensed" w:eastAsia="Times New Roman" w:hAnsi="Roboto Condensed" w:cs="Times New Roman"/>
          <w:color w:val="333333"/>
          <w:kern w:val="0"/>
          <w:sz w:val="23"/>
          <w:szCs w:val="23"/>
          <w14:ligatures w14:val="none"/>
        </w:rPr>
      </w:pPr>
      <w:r w:rsidRPr="00FA6E6A">
        <w:rPr>
          <w:rFonts w:ascii="Roboto Condensed" w:eastAsia="Times New Roman" w:hAnsi="Roboto Condensed" w:cs="Times New Roman"/>
          <w:color w:val="333333"/>
          <w:kern w:val="0"/>
          <w:sz w:val="23"/>
          <w:szCs w:val="23"/>
          <w14:ligatures w14:val="none"/>
        </w:rPr>
        <w:t xml:space="preserve">1. Primary, secondary and post-secondary non-tertiary education includes pre-primary </w:t>
      </w:r>
      <w:proofErr w:type="spellStart"/>
      <w:r w:rsidRPr="00FA6E6A">
        <w:rPr>
          <w:rFonts w:ascii="Roboto Condensed" w:eastAsia="Times New Roman" w:hAnsi="Roboto Condensed" w:cs="Times New Roman"/>
          <w:color w:val="333333"/>
          <w:kern w:val="0"/>
          <w:sz w:val="23"/>
          <w:szCs w:val="23"/>
          <w14:ligatures w14:val="none"/>
        </w:rPr>
        <w:t>programmes</w:t>
      </w:r>
      <w:proofErr w:type="spellEnd"/>
      <w:r w:rsidRPr="00FA6E6A">
        <w:rPr>
          <w:rFonts w:ascii="Roboto Condensed" w:eastAsia="Times New Roman" w:hAnsi="Roboto Condensed" w:cs="Times New Roman"/>
          <w:color w:val="333333"/>
          <w:kern w:val="0"/>
          <w:sz w:val="23"/>
          <w:szCs w:val="23"/>
          <w14:ligatures w14:val="none"/>
        </w:rPr>
        <w:t>.</w:t>
      </w:r>
    </w:p>
    <w:p w14:paraId="4B13051D" w14:textId="77777777" w:rsidR="00FA6E6A" w:rsidRPr="00FA6E6A" w:rsidRDefault="00FA6E6A" w:rsidP="00FA6E6A">
      <w:pPr>
        <w:shd w:val="clear" w:color="auto" w:fill="FFFFFF"/>
        <w:spacing w:after="0" w:line="240" w:lineRule="auto"/>
        <w:rPr>
          <w:rFonts w:ascii="Roboto Condensed" w:eastAsia="Times New Roman" w:hAnsi="Roboto Condensed" w:cs="Times New Roman"/>
          <w:color w:val="333333"/>
          <w:kern w:val="0"/>
          <w:sz w:val="23"/>
          <w:szCs w:val="23"/>
          <w14:ligatures w14:val="none"/>
        </w:rPr>
      </w:pPr>
      <w:r w:rsidRPr="00FA6E6A">
        <w:rPr>
          <w:rFonts w:ascii="Roboto Condensed" w:eastAsia="Times New Roman" w:hAnsi="Roboto Condensed" w:cs="Times New Roman"/>
          <w:i/>
          <w:iCs/>
          <w:color w:val="333333"/>
          <w:kern w:val="0"/>
          <w:sz w:val="23"/>
          <w:szCs w:val="23"/>
          <w14:ligatures w14:val="none"/>
        </w:rPr>
        <w:t>Countries are ranked in descending order of total expenditure on educational institutions as a percentage of GDP.</w:t>
      </w:r>
    </w:p>
    <w:p w14:paraId="33B80B9E" w14:textId="77777777" w:rsidR="00FA6E6A" w:rsidRPr="00FA6E6A" w:rsidRDefault="00FA6E6A" w:rsidP="00FA6E6A">
      <w:pPr>
        <w:shd w:val="clear" w:color="auto" w:fill="FFFFFF"/>
        <w:spacing w:after="0" w:line="240" w:lineRule="auto"/>
        <w:rPr>
          <w:rFonts w:ascii="Roboto Condensed" w:eastAsia="Times New Roman" w:hAnsi="Roboto Condensed" w:cs="Times New Roman"/>
          <w:color w:val="333333"/>
          <w:kern w:val="0"/>
          <w:sz w:val="23"/>
          <w:szCs w:val="23"/>
          <w14:ligatures w14:val="none"/>
        </w:rPr>
      </w:pPr>
      <w:r w:rsidRPr="00FA6E6A">
        <w:rPr>
          <w:rFonts w:ascii="Roboto Condensed" w:eastAsia="Times New Roman" w:hAnsi="Roboto Condensed" w:cs="Times New Roman"/>
          <w:b/>
          <w:bCs/>
          <w:color w:val="333333"/>
          <w:kern w:val="0"/>
          <w:sz w:val="23"/>
          <w:szCs w:val="23"/>
          <w14:ligatures w14:val="none"/>
        </w:rPr>
        <w:lastRenderedPageBreak/>
        <w:t>Source</w:t>
      </w:r>
      <w:r w:rsidRPr="00FA6E6A">
        <w:rPr>
          <w:rFonts w:ascii="Roboto Condensed" w:eastAsia="Times New Roman" w:hAnsi="Roboto Condensed" w:cs="Times New Roman"/>
          <w:color w:val="333333"/>
          <w:kern w:val="0"/>
          <w:sz w:val="23"/>
          <w:szCs w:val="23"/>
          <w14:ligatures w14:val="none"/>
        </w:rPr>
        <w:t>: OECD (2021), Table C2.1. See </w:t>
      </w:r>
      <w:r w:rsidRPr="00FA6E6A">
        <w:rPr>
          <w:rFonts w:ascii="Roboto Condensed" w:eastAsia="Times New Roman" w:hAnsi="Roboto Condensed" w:cs="Times New Roman"/>
          <w:i/>
          <w:iCs/>
          <w:color w:val="333333"/>
          <w:kern w:val="0"/>
          <w:sz w:val="23"/>
          <w:szCs w:val="23"/>
          <w14:ligatures w14:val="none"/>
        </w:rPr>
        <w:t>Source</w:t>
      </w:r>
      <w:r w:rsidRPr="00FA6E6A">
        <w:rPr>
          <w:rFonts w:ascii="Roboto Condensed" w:eastAsia="Times New Roman" w:hAnsi="Roboto Condensed" w:cs="Times New Roman"/>
          <w:color w:val="333333"/>
          <w:kern w:val="0"/>
          <w:sz w:val="23"/>
          <w:szCs w:val="23"/>
          <w14:ligatures w14:val="none"/>
        </w:rPr>
        <w:t> section for more information and Annex 3 for notes (</w:t>
      </w:r>
      <w:hyperlink r:id="rId9" w:tgtFrame="_blank" w:history="1">
        <w:r w:rsidRPr="00FA6E6A">
          <w:rPr>
            <w:rFonts w:ascii="Roboto Condensed" w:eastAsia="Times New Roman" w:hAnsi="Roboto Condensed" w:cs="Times New Roman"/>
            <w:color w:val="0068B6"/>
            <w:kern w:val="0"/>
            <w:sz w:val="23"/>
            <w:szCs w:val="23"/>
            <w:u w:val="single"/>
            <w14:ligatures w14:val="none"/>
          </w:rPr>
          <w:t>https://www.oecd.org/education/education-at-a-glance/EAG2021_Annex3_ChapterC.pdf</w:t>
        </w:r>
      </w:hyperlink>
      <w:r w:rsidRPr="00FA6E6A">
        <w:rPr>
          <w:rFonts w:ascii="Roboto Condensed" w:eastAsia="Times New Roman" w:hAnsi="Roboto Condensed" w:cs="Times New Roman"/>
          <w:color w:val="333333"/>
          <w:kern w:val="0"/>
          <w:sz w:val="23"/>
          <w:szCs w:val="23"/>
          <w14:ligatures w14:val="none"/>
        </w:rPr>
        <w:t>).</w:t>
      </w:r>
    </w:p>
    <w:p w14:paraId="5AF293EF" w14:textId="77777777" w:rsidR="00FA6E6A" w:rsidRDefault="00FA6E6A" w:rsidP="00FA6E6A">
      <w:pPr>
        <w:shd w:val="clear" w:color="auto" w:fill="FFFFFF"/>
        <w:spacing w:after="240" w:line="240" w:lineRule="auto"/>
        <w:ind w:left="-450"/>
        <w:outlineLvl w:val="1"/>
        <w:rPr>
          <w:rFonts w:ascii="inherit" w:eastAsia="Times New Roman" w:hAnsi="inherit" w:cs="Times New Roman"/>
          <w:color w:val="4E81BD"/>
          <w:kern w:val="0"/>
          <w:sz w:val="36"/>
          <w:szCs w:val="36"/>
          <w14:ligatures w14:val="none"/>
        </w:rPr>
      </w:pPr>
    </w:p>
    <w:p w14:paraId="36A27D52" w14:textId="6B87FC9A" w:rsidR="00FA6E6A" w:rsidRPr="00FA6E6A" w:rsidRDefault="00FA6E6A" w:rsidP="00FA6E6A">
      <w:pPr>
        <w:shd w:val="clear" w:color="auto" w:fill="FFFFFF"/>
        <w:spacing w:after="240" w:line="240" w:lineRule="auto"/>
        <w:ind w:left="-450"/>
        <w:outlineLvl w:val="1"/>
        <w:rPr>
          <w:rFonts w:ascii="inherit" w:eastAsia="Times New Roman" w:hAnsi="inherit" w:cs="Times New Roman"/>
          <w:color w:val="4E81BD"/>
          <w:kern w:val="0"/>
          <w:sz w:val="36"/>
          <w:szCs w:val="36"/>
          <w14:ligatures w14:val="none"/>
        </w:rPr>
      </w:pPr>
      <w:r w:rsidRPr="00FA6E6A">
        <w:rPr>
          <w:rFonts w:ascii="inherit" w:eastAsia="Times New Roman" w:hAnsi="inherit" w:cs="Times New Roman"/>
          <w:color w:val="4E81BD"/>
          <w:kern w:val="0"/>
          <w:sz w:val="36"/>
          <w:szCs w:val="36"/>
          <w14:ligatures w14:val="none"/>
        </w:rPr>
        <w:t>Working conditions of school teachers</w:t>
      </w:r>
    </w:p>
    <w:p w14:paraId="12AE933A" w14:textId="77777777" w:rsidR="00FA6E6A" w:rsidRPr="00FA6E6A" w:rsidRDefault="00FA6E6A" w:rsidP="00FA6E6A">
      <w:pPr>
        <w:numPr>
          <w:ilvl w:val="0"/>
          <w:numId w:val="7"/>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The salaries of school staff, and in particular teachers and school heads, represent the largest single expenditure in formal education. Their salary levels also have an impact on the attractiveness of the teaching profession. In most OECD countries and economies, statutory salaries of teachers (and school heads) in public educational institutions increase with the level of education they teach, and also with experience. On average, statutory salaries of teachers with maximum qualifications at the top of their salary scales (maximum salaries) were between 86% and 91% higher than those of teachers with the minimum qualifications at the start of their career (minimum salaries) at pre-primary (ISCED 02), primary and general lower and upper secondary levels in 2020. In Turkey, maximum salaries were 19% to 22% higher than minimum salaries at each level of education (Figure 3). However, most teachers were paid between these minimum and maximum salaries.</w:t>
      </w:r>
    </w:p>
    <w:p w14:paraId="4E52C2C7" w14:textId="77777777" w:rsidR="00FA6E6A" w:rsidRPr="00FA6E6A" w:rsidRDefault="00FA6E6A" w:rsidP="00FA6E6A">
      <w:pPr>
        <w:numPr>
          <w:ilvl w:val="0"/>
          <w:numId w:val="7"/>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Between 2005 and 2020, the statutory salaries of teachers with 15 years of experience and the most prevalent qualifications increased (at constant prices) by 2% to 3% at primary and general lower and upper secondary levels, on average across OECD countries with data for all reference years, despite a decrease of salaries following the 2008 financial crisis. In Turkey, teachers’ salaries at these levels increased by 15%-17%.</w:t>
      </w:r>
    </w:p>
    <w:p w14:paraId="58073AA9" w14:textId="77777777" w:rsidR="00FA6E6A" w:rsidRPr="00FA6E6A" w:rsidRDefault="00FA6E6A" w:rsidP="00FA6E6A">
      <w:pPr>
        <w:numPr>
          <w:ilvl w:val="0"/>
          <w:numId w:val="7"/>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The average number of teaching hours per year required of a typical teacher in public educational institutions in OECD countries tends to decrease as the level of education increases: it ranged from 989 hours at pre-primary level (ISCED 02), to 791 hours at primary level, 723 hours at lower secondary level (general </w:t>
      </w:r>
      <w:proofErr w:type="spellStart"/>
      <w:r w:rsidRPr="00FA6E6A">
        <w:rPr>
          <w:rFonts w:ascii="Roboto" w:eastAsia="Times New Roman" w:hAnsi="Roboto" w:cs="Times New Roman"/>
          <w:color w:val="333333"/>
          <w:kern w:val="0"/>
          <w:sz w:val="24"/>
          <w:szCs w:val="24"/>
          <w14:ligatures w14:val="none"/>
        </w:rPr>
        <w:t>programmes</w:t>
      </w:r>
      <w:proofErr w:type="spellEnd"/>
      <w:r w:rsidRPr="00FA6E6A">
        <w:rPr>
          <w:rFonts w:ascii="Roboto" w:eastAsia="Times New Roman" w:hAnsi="Roboto" w:cs="Times New Roman"/>
          <w:color w:val="333333"/>
          <w:kern w:val="0"/>
          <w:sz w:val="24"/>
          <w:szCs w:val="24"/>
          <w14:ligatures w14:val="none"/>
        </w:rPr>
        <w:t xml:space="preserve">) and 685 hours at upper secondary level (general </w:t>
      </w:r>
      <w:proofErr w:type="spellStart"/>
      <w:r w:rsidRPr="00FA6E6A">
        <w:rPr>
          <w:rFonts w:ascii="Roboto" w:eastAsia="Times New Roman" w:hAnsi="Roboto" w:cs="Times New Roman"/>
          <w:color w:val="333333"/>
          <w:kern w:val="0"/>
          <w:sz w:val="24"/>
          <w:szCs w:val="24"/>
          <w14:ligatures w14:val="none"/>
        </w:rPr>
        <w:t>programmes</w:t>
      </w:r>
      <w:proofErr w:type="spellEnd"/>
      <w:r w:rsidRPr="00FA6E6A">
        <w:rPr>
          <w:rFonts w:ascii="Roboto" w:eastAsia="Times New Roman" w:hAnsi="Roboto" w:cs="Times New Roman"/>
          <w:color w:val="333333"/>
          <w:kern w:val="0"/>
          <w:sz w:val="24"/>
          <w:szCs w:val="24"/>
          <w14:ligatures w14:val="none"/>
        </w:rPr>
        <w:t xml:space="preserve">) in 2020. In Turkey, teachers teach 903 hours per year at pre-primary level, 722 hours per year at primary level, 505 hours at lower secondary level (general </w:t>
      </w:r>
      <w:proofErr w:type="spellStart"/>
      <w:r w:rsidRPr="00FA6E6A">
        <w:rPr>
          <w:rFonts w:ascii="Roboto" w:eastAsia="Times New Roman" w:hAnsi="Roboto" w:cs="Times New Roman"/>
          <w:color w:val="333333"/>
          <w:kern w:val="0"/>
          <w:sz w:val="24"/>
          <w:szCs w:val="24"/>
          <w14:ligatures w14:val="none"/>
        </w:rPr>
        <w:t>programmes</w:t>
      </w:r>
      <w:proofErr w:type="spellEnd"/>
      <w:r w:rsidRPr="00FA6E6A">
        <w:rPr>
          <w:rFonts w:ascii="Roboto" w:eastAsia="Times New Roman" w:hAnsi="Roboto" w:cs="Times New Roman"/>
          <w:color w:val="333333"/>
          <w:kern w:val="0"/>
          <w:sz w:val="24"/>
          <w:szCs w:val="24"/>
          <w14:ligatures w14:val="none"/>
        </w:rPr>
        <w:t xml:space="preserve">) and 505 hours at upper secondary level (general </w:t>
      </w:r>
      <w:proofErr w:type="spellStart"/>
      <w:r w:rsidRPr="00FA6E6A">
        <w:rPr>
          <w:rFonts w:ascii="Roboto" w:eastAsia="Times New Roman" w:hAnsi="Roboto" w:cs="Times New Roman"/>
          <w:color w:val="333333"/>
          <w:kern w:val="0"/>
          <w:sz w:val="24"/>
          <w:szCs w:val="24"/>
          <w14:ligatures w14:val="none"/>
        </w:rPr>
        <w:t>programmes</w:t>
      </w:r>
      <w:proofErr w:type="spellEnd"/>
      <w:r w:rsidRPr="00FA6E6A">
        <w:rPr>
          <w:rFonts w:ascii="Roboto" w:eastAsia="Times New Roman" w:hAnsi="Roboto" w:cs="Times New Roman"/>
          <w:color w:val="333333"/>
          <w:kern w:val="0"/>
          <w:sz w:val="24"/>
          <w:szCs w:val="24"/>
          <w14:ligatures w14:val="none"/>
        </w:rPr>
        <w:t>).</w:t>
      </w:r>
    </w:p>
    <w:p w14:paraId="28625497" w14:textId="77777777" w:rsidR="00FA6E6A" w:rsidRPr="00FA6E6A" w:rsidRDefault="00FA6E6A" w:rsidP="00FA6E6A">
      <w:pPr>
        <w:numPr>
          <w:ilvl w:val="0"/>
          <w:numId w:val="7"/>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During their working time, teachers also perform various tasks other than teaching itself such as lesson planning and preparation, marking students’ work and communicating or co-operating with parents or guardians. At the lower secondary level, teachers in Turkey spend 32% of their statutory working time on teaching, compared to 44% on average among countries with available data.</w:t>
      </w:r>
    </w:p>
    <w:p w14:paraId="5F53ED9C" w14:textId="77777777" w:rsidR="00FA6E6A" w:rsidRDefault="00FA6E6A" w:rsidP="00FA6E6A">
      <w:pPr>
        <w:numPr>
          <w:ilvl w:val="0"/>
          <w:numId w:val="7"/>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In primary and secondary education, about 35% of teachers are at least 50 years old on average across OECD countries and may reach retirement age in the next decade, while the size of the school-age population is projected to increase in some countries, putting many governments under pressure to recruit </w:t>
      </w:r>
      <w:r w:rsidRPr="00FA6E6A">
        <w:rPr>
          <w:rFonts w:ascii="Roboto" w:eastAsia="Times New Roman" w:hAnsi="Roboto" w:cs="Times New Roman"/>
          <w:color w:val="333333"/>
          <w:kern w:val="0"/>
          <w:sz w:val="24"/>
          <w:szCs w:val="24"/>
          <w14:ligatures w14:val="none"/>
        </w:rPr>
        <w:lastRenderedPageBreak/>
        <w:t>and train new teachers. In 2019, 21% of primary teachers in Turkey were at least 50 years old, which was lower than the OECD average of 33%. On average across OECD countries, the proportion of teachers aged at least 50 years old increases with higher levels of education taught, to 36% in lower secondary education and 40% in upper secondary education. In Turkey, this proportion varies from 7% at lower secondary level to 16% at upper secondary level.</w:t>
      </w:r>
    </w:p>
    <w:p w14:paraId="658A44B3" w14:textId="77777777" w:rsidR="00FA6E6A" w:rsidRPr="00FA6E6A" w:rsidRDefault="00FA6E6A" w:rsidP="00FA6E6A">
      <w:pPr>
        <w:numPr>
          <w:ilvl w:val="0"/>
          <w:numId w:val="7"/>
        </w:numPr>
        <w:shd w:val="clear" w:color="auto" w:fill="FFFFFF"/>
        <w:spacing w:after="48" w:line="240" w:lineRule="auto"/>
        <w:ind w:left="732" w:firstLine="0"/>
        <w:rPr>
          <w:rFonts w:ascii="Roboto" w:eastAsia="Times New Roman" w:hAnsi="Roboto" w:cs="Times New Roman"/>
          <w:color w:val="333333"/>
          <w:kern w:val="0"/>
          <w:sz w:val="24"/>
          <w:szCs w:val="24"/>
          <w14:ligatures w14:val="none"/>
        </w:rPr>
      </w:pPr>
    </w:p>
    <w:p w14:paraId="31CF61D3" w14:textId="77777777" w:rsidR="00FA6E6A" w:rsidRPr="00FA6E6A" w:rsidRDefault="00FA6E6A" w:rsidP="00FA6E6A">
      <w:pPr>
        <w:shd w:val="clear" w:color="auto" w:fill="4E81BD"/>
        <w:spacing w:after="0" w:line="240" w:lineRule="auto"/>
        <w:rPr>
          <w:rFonts w:ascii="Roboto" w:eastAsia="Times New Roman" w:hAnsi="Roboto" w:cs="Times New Roman"/>
          <w:color w:val="333333"/>
          <w:kern w:val="0"/>
          <w:sz w:val="24"/>
          <w:szCs w:val="24"/>
          <w14:ligatures w14:val="none"/>
        </w:rPr>
      </w:pPr>
      <w:hyperlink r:id="rId10" w:tgtFrame="_blank" w:history="1">
        <w:r w:rsidRPr="00FA6E6A">
          <w:rPr>
            <w:rFonts w:ascii="Roboto" w:eastAsia="Times New Roman" w:hAnsi="Roboto" w:cs="Times New Roman"/>
            <w:color w:val="FFFFFF"/>
            <w:kern w:val="0"/>
            <w:sz w:val="24"/>
            <w:szCs w:val="24"/>
            <w14:ligatures w14:val="none"/>
          </w:rPr>
          <w:t> Compare</w:t>
        </w:r>
      </w:hyperlink>
    </w:p>
    <w:p w14:paraId="7BE8A18F" w14:textId="77777777" w:rsidR="00FA6E6A" w:rsidRPr="00FA6E6A" w:rsidRDefault="00FA6E6A" w:rsidP="00FA6E6A">
      <w:pPr>
        <w:shd w:val="clear" w:color="auto" w:fill="4E81BD"/>
        <w:spacing w:after="0" w:line="240" w:lineRule="auto"/>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FFFFFF"/>
          <w:kern w:val="0"/>
          <w:sz w:val="24"/>
          <w:szCs w:val="24"/>
          <w14:ligatures w14:val="none"/>
        </w:rPr>
        <w:t> Share</w:t>
      </w:r>
    </w:p>
    <w:p w14:paraId="268AD6D9" w14:textId="77777777" w:rsidR="00FA6E6A" w:rsidRPr="00FA6E6A" w:rsidRDefault="00FA6E6A" w:rsidP="00FA6E6A">
      <w:pPr>
        <w:shd w:val="clear" w:color="auto" w:fill="FFFFFF"/>
        <w:spacing w:after="0" w:line="240" w:lineRule="auto"/>
        <w:rPr>
          <w:rFonts w:ascii="Roboto Condensed" w:eastAsia="Times New Roman" w:hAnsi="Roboto Condensed" w:cs="Times New Roman"/>
          <w:color w:val="333333"/>
          <w:kern w:val="0"/>
          <w:sz w:val="23"/>
          <w:szCs w:val="23"/>
          <w14:ligatures w14:val="none"/>
        </w:rPr>
      </w:pPr>
      <w:r w:rsidRPr="00FA6E6A">
        <w:rPr>
          <w:rFonts w:ascii="Roboto Condensed" w:eastAsia="Times New Roman" w:hAnsi="Roboto Condensed" w:cs="Times New Roman"/>
          <w:b/>
          <w:bCs/>
          <w:color w:val="333333"/>
          <w:kern w:val="0"/>
          <w:sz w:val="23"/>
          <w:szCs w:val="23"/>
          <w14:ligatures w14:val="none"/>
        </w:rPr>
        <w:t>Note</w:t>
      </w:r>
      <w:r w:rsidRPr="00FA6E6A">
        <w:rPr>
          <w:rFonts w:ascii="Roboto Condensed" w:eastAsia="Times New Roman" w:hAnsi="Roboto Condensed" w:cs="Times New Roman"/>
          <w:color w:val="333333"/>
          <w:kern w:val="0"/>
          <w:sz w:val="23"/>
          <w:szCs w:val="23"/>
          <w14:ligatures w14:val="none"/>
        </w:rPr>
        <w:t>: Actual salaries include bonuses and allowances.</w:t>
      </w:r>
    </w:p>
    <w:p w14:paraId="37610BE3" w14:textId="77777777" w:rsidR="00FA6E6A" w:rsidRPr="00FA6E6A" w:rsidRDefault="00FA6E6A" w:rsidP="00FA6E6A">
      <w:pPr>
        <w:shd w:val="clear" w:color="auto" w:fill="FFFFFF"/>
        <w:spacing w:after="0" w:line="240" w:lineRule="auto"/>
        <w:rPr>
          <w:rFonts w:ascii="Roboto Condensed" w:eastAsia="Times New Roman" w:hAnsi="Roboto Condensed" w:cs="Times New Roman"/>
          <w:color w:val="333333"/>
          <w:kern w:val="0"/>
          <w:sz w:val="23"/>
          <w:szCs w:val="23"/>
          <w14:ligatures w14:val="none"/>
        </w:rPr>
      </w:pPr>
      <w:r w:rsidRPr="00FA6E6A">
        <w:rPr>
          <w:rFonts w:ascii="Roboto Condensed" w:eastAsia="Times New Roman" w:hAnsi="Roboto Condensed" w:cs="Times New Roman"/>
          <w:color w:val="333333"/>
          <w:kern w:val="0"/>
          <w:sz w:val="23"/>
          <w:szCs w:val="23"/>
          <w14:ligatures w14:val="none"/>
        </w:rPr>
        <w:t>1. Actual base salaries.</w:t>
      </w:r>
    </w:p>
    <w:p w14:paraId="2111E121" w14:textId="77777777" w:rsidR="00FA6E6A" w:rsidRPr="00FA6E6A" w:rsidRDefault="00FA6E6A" w:rsidP="00FA6E6A">
      <w:pPr>
        <w:shd w:val="clear" w:color="auto" w:fill="FFFFFF"/>
        <w:spacing w:after="0" w:line="240" w:lineRule="auto"/>
        <w:rPr>
          <w:rFonts w:ascii="Roboto Condensed" w:eastAsia="Times New Roman" w:hAnsi="Roboto Condensed" w:cs="Times New Roman"/>
          <w:color w:val="333333"/>
          <w:kern w:val="0"/>
          <w:sz w:val="23"/>
          <w:szCs w:val="23"/>
          <w14:ligatures w14:val="none"/>
        </w:rPr>
      </w:pPr>
      <w:r w:rsidRPr="00FA6E6A">
        <w:rPr>
          <w:rFonts w:ascii="Roboto Condensed" w:eastAsia="Times New Roman" w:hAnsi="Roboto Condensed" w:cs="Times New Roman"/>
          <w:color w:val="333333"/>
          <w:kern w:val="0"/>
          <w:sz w:val="23"/>
          <w:szCs w:val="23"/>
          <w14:ligatures w14:val="none"/>
        </w:rPr>
        <w:t>2. Salaries at the top of the scale and the minimum qualifications, instead of the maximum qualifications.</w:t>
      </w:r>
    </w:p>
    <w:p w14:paraId="45F6646A" w14:textId="77777777" w:rsidR="00FA6E6A" w:rsidRPr="00FA6E6A" w:rsidRDefault="00FA6E6A" w:rsidP="00FA6E6A">
      <w:pPr>
        <w:shd w:val="clear" w:color="auto" w:fill="FFFFFF"/>
        <w:spacing w:after="0" w:line="240" w:lineRule="auto"/>
        <w:rPr>
          <w:rFonts w:ascii="Roboto Condensed" w:eastAsia="Times New Roman" w:hAnsi="Roboto Condensed" w:cs="Times New Roman"/>
          <w:color w:val="333333"/>
          <w:kern w:val="0"/>
          <w:sz w:val="23"/>
          <w:szCs w:val="23"/>
          <w14:ligatures w14:val="none"/>
        </w:rPr>
      </w:pPr>
      <w:r w:rsidRPr="00FA6E6A">
        <w:rPr>
          <w:rFonts w:ascii="Roboto Condensed" w:eastAsia="Times New Roman" w:hAnsi="Roboto Condensed" w:cs="Times New Roman"/>
          <w:color w:val="333333"/>
          <w:kern w:val="0"/>
          <w:sz w:val="23"/>
          <w:szCs w:val="23"/>
          <w14:ligatures w14:val="none"/>
        </w:rPr>
        <w:t>3. Salaries at the top of the scale and the most prevalent qualifications, instead of the maximum qualifications.</w:t>
      </w:r>
    </w:p>
    <w:p w14:paraId="1876FD8B" w14:textId="77777777" w:rsidR="00FA6E6A" w:rsidRPr="00FA6E6A" w:rsidRDefault="00FA6E6A" w:rsidP="00FA6E6A">
      <w:pPr>
        <w:shd w:val="clear" w:color="auto" w:fill="FFFFFF"/>
        <w:spacing w:after="0" w:line="240" w:lineRule="auto"/>
        <w:rPr>
          <w:rFonts w:ascii="Roboto Condensed" w:eastAsia="Times New Roman" w:hAnsi="Roboto Condensed" w:cs="Times New Roman"/>
          <w:color w:val="333333"/>
          <w:kern w:val="0"/>
          <w:sz w:val="23"/>
          <w:szCs w:val="23"/>
          <w14:ligatures w14:val="none"/>
        </w:rPr>
      </w:pPr>
      <w:r w:rsidRPr="00FA6E6A">
        <w:rPr>
          <w:rFonts w:ascii="Roboto Condensed" w:eastAsia="Times New Roman" w:hAnsi="Roboto Condensed" w:cs="Times New Roman"/>
          <w:color w:val="333333"/>
          <w:kern w:val="0"/>
          <w:sz w:val="23"/>
          <w:szCs w:val="23"/>
          <w14:ligatures w14:val="none"/>
        </w:rPr>
        <w:t>4. Includes the average of fixed bonuses for overtime hours.</w:t>
      </w:r>
    </w:p>
    <w:p w14:paraId="27E97877" w14:textId="77777777" w:rsidR="00FA6E6A" w:rsidRPr="00FA6E6A" w:rsidRDefault="00FA6E6A" w:rsidP="00FA6E6A">
      <w:pPr>
        <w:shd w:val="clear" w:color="auto" w:fill="FFFFFF"/>
        <w:spacing w:after="0" w:line="240" w:lineRule="auto"/>
        <w:rPr>
          <w:rFonts w:ascii="Roboto Condensed" w:eastAsia="Times New Roman" w:hAnsi="Roboto Condensed" w:cs="Times New Roman"/>
          <w:color w:val="333333"/>
          <w:kern w:val="0"/>
          <w:sz w:val="23"/>
          <w:szCs w:val="23"/>
          <w14:ligatures w14:val="none"/>
        </w:rPr>
      </w:pPr>
      <w:r w:rsidRPr="00FA6E6A">
        <w:rPr>
          <w:rFonts w:ascii="Roboto Condensed" w:eastAsia="Times New Roman" w:hAnsi="Roboto Condensed" w:cs="Times New Roman"/>
          <w:i/>
          <w:iCs/>
          <w:color w:val="333333"/>
          <w:kern w:val="0"/>
          <w:sz w:val="23"/>
          <w:szCs w:val="23"/>
          <w14:ligatures w14:val="none"/>
        </w:rPr>
        <w:t>Countries and economies are ranked in descending order of starting salaries for lower secondary teachers with the minimum qualifications.</w:t>
      </w:r>
    </w:p>
    <w:p w14:paraId="42BF4532" w14:textId="77777777" w:rsidR="00FA6E6A" w:rsidRPr="00FA6E6A" w:rsidRDefault="00FA6E6A" w:rsidP="00FA6E6A">
      <w:pPr>
        <w:shd w:val="clear" w:color="auto" w:fill="FFFFFF"/>
        <w:spacing w:after="0" w:line="240" w:lineRule="auto"/>
        <w:rPr>
          <w:rFonts w:ascii="Roboto Condensed" w:eastAsia="Times New Roman" w:hAnsi="Roboto Condensed" w:cs="Times New Roman"/>
          <w:color w:val="333333"/>
          <w:kern w:val="0"/>
          <w:sz w:val="23"/>
          <w:szCs w:val="23"/>
          <w14:ligatures w14:val="none"/>
        </w:rPr>
      </w:pPr>
      <w:r w:rsidRPr="00FA6E6A">
        <w:rPr>
          <w:rFonts w:ascii="Roboto Condensed" w:eastAsia="Times New Roman" w:hAnsi="Roboto Condensed" w:cs="Times New Roman"/>
          <w:b/>
          <w:bCs/>
          <w:color w:val="333333"/>
          <w:kern w:val="0"/>
          <w:sz w:val="23"/>
          <w:szCs w:val="23"/>
          <w14:ligatures w14:val="none"/>
        </w:rPr>
        <w:t>Source</w:t>
      </w:r>
      <w:r w:rsidRPr="00FA6E6A">
        <w:rPr>
          <w:rFonts w:ascii="Roboto Condensed" w:eastAsia="Times New Roman" w:hAnsi="Roboto Condensed" w:cs="Times New Roman"/>
          <w:color w:val="333333"/>
          <w:kern w:val="0"/>
          <w:sz w:val="23"/>
          <w:szCs w:val="23"/>
          <w14:ligatures w14:val="none"/>
        </w:rPr>
        <w:t>: OECD (2021), Table D3.3 and Education at a Glance Database, </w:t>
      </w:r>
      <w:hyperlink r:id="rId11" w:tgtFrame="_blank" w:history="1">
        <w:r w:rsidRPr="00FA6E6A">
          <w:rPr>
            <w:rFonts w:ascii="Roboto Condensed" w:eastAsia="Times New Roman" w:hAnsi="Roboto Condensed" w:cs="Times New Roman"/>
            <w:color w:val="0068B6"/>
            <w:kern w:val="0"/>
            <w:sz w:val="23"/>
            <w:szCs w:val="23"/>
            <w:u w:val="single"/>
            <w14:ligatures w14:val="none"/>
          </w:rPr>
          <w:t>http://stats.oecd.org</w:t>
        </w:r>
      </w:hyperlink>
      <w:r w:rsidRPr="00FA6E6A">
        <w:rPr>
          <w:rFonts w:ascii="Roboto Condensed" w:eastAsia="Times New Roman" w:hAnsi="Roboto Condensed" w:cs="Times New Roman"/>
          <w:color w:val="333333"/>
          <w:kern w:val="0"/>
          <w:sz w:val="23"/>
          <w:szCs w:val="23"/>
          <w14:ligatures w14:val="none"/>
        </w:rPr>
        <w:t>. See </w:t>
      </w:r>
      <w:r w:rsidRPr="00FA6E6A">
        <w:rPr>
          <w:rFonts w:ascii="Roboto Condensed" w:eastAsia="Times New Roman" w:hAnsi="Roboto Condensed" w:cs="Times New Roman"/>
          <w:i/>
          <w:iCs/>
          <w:color w:val="333333"/>
          <w:kern w:val="0"/>
          <w:sz w:val="23"/>
          <w:szCs w:val="23"/>
          <w14:ligatures w14:val="none"/>
        </w:rPr>
        <w:t>Source</w:t>
      </w:r>
      <w:r w:rsidRPr="00FA6E6A">
        <w:rPr>
          <w:rFonts w:ascii="Roboto Condensed" w:eastAsia="Times New Roman" w:hAnsi="Roboto Condensed" w:cs="Times New Roman"/>
          <w:color w:val="333333"/>
          <w:kern w:val="0"/>
          <w:sz w:val="23"/>
          <w:szCs w:val="23"/>
          <w14:ligatures w14:val="none"/>
        </w:rPr>
        <w:t> section for more information and Annex 3 for notes (</w:t>
      </w:r>
      <w:hyperlink r:id="rId12" w:tgtFrame="_blank" w:history="1">
        <w:r w:rsidRPr="00FA6E6A">
          <w:rPr>
            <w:rFonts w:ascii="Roboto Condensed" w:eastAsia="Times New Roman" w:hAnsi="Roboto Condensed" w:cs="Times New Roman"/>
            <w:color w:val="0068B6"/>
            <w:kern w:val="0"/>
            <w:sz w:val="23"/>
            <w:szCs w:val="23"/>
            <w:u w:val="single"/>
            <w14:ligatures w14:val="none"/>
          </w:rPr>
          <w:t>https://www.oecd.org/education/education-at-a-glance/EAG2021_Annex3_ChapterD.pdf</w:t>
        </w:r>
      </w:hyperlink>
      <w:r w:rsidRPr="00FA6E6A">
        <w:rPr>
          <w:rFonts w:ascii="Roboto Condensed" w:eastAsia="Times New Roman" w:hAnsi="Roboto Condensed" w:cs="Times New Roman"/>
          <w:color w:val="333333"/>
          <w:kern w:val="0"/>
          <w:sz w:val="23"/>
          <w:szCs w:val="23"/>
          <w14:ligatures w14:val="none"/>
        </w:rPr>
        <w:t>).</w:t>
      </w:r>
    </w:p>
    <w:p w14:paraId="3ECE7272" w14:textId="77777777" w:rsidR="00FA6E6A" w:rsidRPr="00FA6E6A" w:rsidRDefault="00FA6E6A" w:rsidP="00FA6E6A">
      <w:pPr>
        <w:pBdr>
          <w:top w:val="single" w:sz="6" w:space="0" w:color="4E81BD"/>
        </w:pBdr>
        <w:shd w:val="clear" w:color="auto" w:fill="FFFFFF"/>
        <w:spacing w:before="624" w:after="240" w:line="240" w:lineRule="auto"/>
        <w:outlineLvl w:val="1"/>
        <w:rPr>
          <w:rFonts w:ascii="inherit" w:eastAsia="Times New Roman" w:hAnsi="inherit" w:cs="Times New Roman"/>
          <w:color w:val="4E81BD"/>
          <w:kern w:val="0"/>
          <w:sz w:val="31"/>
          <w:szCs w:val="31"/>
          <w14:ligatures w14:val="none"/>
        </w:rPr>
      </w:pPr>
      <w:r w:rsidRPr="00FA6E6A">
        <w:rPr>
          <w:rFonts w:ascii="inherit" w:eastAsia="Times New Roman" w:hAnsi="inherit" w:cs="Times New Roman"/>
          <w:color w:val="4E81BD"/>
          <w:kern w:val="0"/>
          <w:sz w:val="31"/>
          <w:szCs w:val="31"/>
          <w14:ligatures w14:val="none"/>
        </w:rPr>
        <w:t>References</w:t>
      </w:r>
    </w:p>
    <w:p w14:paraId="11094CBE" w14:textId="77777777" w:rsidR="00FA6E6A" w:rsidRPr="00FA6E6A" w:rsidRDefault="00FA6E6A" w:rsidP="00FA6E6A">
      <w:pPr>
        <w:shd w:val="clear" w:color="auto" w:fill="FFFFFF"/>
        <w:spacing w:before="168" w:after="168" w:line="240" w:lineRule="auto"/>
        <w:ind w:left="240" w:hanging="48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OECD (2021), </w:t>
      </w:r>
      <w:r w:rsidRPr="00FA6E6A">
        <w:rPr>
          <w:rFonts w:ascii="Roboto" w:eastAsia="Times New Roman" w:hAnsi="Roboto" w:cs="Times New Roman"/>
          <w:i/>
          <w:iCs/>
          <w:color w:val="333333"/>
          <w:kern w:val="0"/>
          <w:sz w:val="24"/>
          <w:szCs w:val="24"/>
          <w14:ligatures w14:val="none"/>
        </w:rPr>
        <w:t>Education at a Glance 2021: OECD Indicators</w:t>
      </w:r>
      <w:r w:rsidRPr="00FA6E6A">
        <w:rPr>
          <w:rFonts w:ascii="Roboto" w:eastAsia="Times New Roman" w:hAnsi="Roboto" w:cs="Times New Roman"/>
          <w:color w:val="333333"/>
          <w:kern w:val="0"/>
          <w:sz w:val="24"/>
          <w:szCs w:val="24"/>
          <w14:ligatures w14:val="none"/>
        </w:rPr>
        <w:t>, OECD Publishing, Paris, </w:t>
      </w:r>
      <w:hyperlink r:id="rId13" w:tgtFrame="_blank" w:history="1">
        <w:r w:rsidRPr="00FA6E6A">
          <w:rPr>
            <w:rFonts w:ascii="Roboto" w:eastAsia="Times New Roman" w:hAnsi="Roboto" w:cs="Times New Roman"/>
            <w:color w:val="0068B6"/>
            <w:kern w:val="0"/>
            <w:sz w:val="24"/>
            <w:szCs w:val="24"/>
            <w:u w:val="single"/>
            <w14:ligatures w14:val="none"/>
          </w:rPr>
          <w:t>https://dx.doi.org/10.1787/69096873-en</w:t>
        </w:r>
      </w:hyperlink>
      <w:r w:rsidRPr="00FA6E6A">
        <w:rPr>
          <w:rFonts w:ascii="Roboto" w:eastAsia="Times New Roman" w:hAnsi="Roboto" w:cs="Times New Roman"/>
          <w:color w:val="333333"/>
          <w:kern w:val="0"/>
          <w:sz w:val="24"/>
          <w:szCs w:val="24"/>
          <w14:ligatures w14:val="none"/>
        </w:rPr>
        <w:t>.</w:t>
      </w:r>
    </w:p>
    <w:p w14:paraId="2CD1D9E2" w14:textId="77777777" w:rsidR="00FA6E6A" w:rsidRPr="00FA6E6A" w:rsidRDefault="00FA6E6A" w:rsidP="00FA6E6A">
      <w:pPr>
        <w:shd w:val="clear" w:color="auto" w:fill="FFFFFF"/>
        <w:spacing w:before="168" w:after="168" w:line="240" w:lineRule="auto"/>
        <w:ind w:left="240" w:hanging="48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OECD (2021), “Regional education”</w:t>
      </w:r>
      <w:r w:rsidRPr="00FA6E6A">
        <w:rPr>
          <w:rFonts w:ascii="Roboto" w:eastAsia="Times New Roman" w:hAnsi="Roboto" w:cs="Times New Roman"/>
          <w:i/>
          <w:iCs/>
          <w:color w:val="333333"/>
          <w:kern w:val="0"/>
          <w:sz w:val="24"/>
          <w:szCs w:val="24"/>
          <w14:ligatures w14:val="none"/>
        </w:rPr>
        <w:t>, OECD Regional Statistics (database)</w:t>
      </w:r>
      <w:r w:rsidRPr="00FA6E6A">
        <w:rPr>
          <w:rFonts w:ascii="Roboto" w:eastAsia="Times New Roman" w:hAnsi="Roboto" w:cs="Times New Roman"/>
          <w:color w:val="333333"/>
          <w:kern w:val="0"/>
          <w:sz w:val="24"/>
          <w:szCs w:val="24"/>
          <w14:ligatures w14:val="none"/>
        </w:rPr>
        <w:t>, </w:t>
      </w:r>
      <w:hyperlink r:id="rId14" w:tgtFrame="_blank" w:history="1">
        <w:r w:rsidRPr="00FA6E6A">
          <w:rPr>
            <w:rFonts w:ascii="Roboto" w:eastAsia="Times New Roman" w:hAnsi="Roboto" w:cs="Times New Roman"/>
            <w:color w:val="0068B6"/>
            <w:kern w:val="0"/>
            <w:sz w:val="24"/>
            <w:szCs w:val="24"/>
            <w:u w:val="single"/>
            <w14:ligatures w14:val="none"/>
          </w:rPr>
          <w:t>https://dx.doi.org/10.1787/213e806c-en</w:t>
        </w:r>
      </w:hyperlink>
      <w:r w:rsidRPr="00FA6E6A">
        <w:rPr>
          <w:rFonts w:ascii="Roboto" w:eastAsia="Times New Roman" w:hAnsi="Roboto" w:cs="Times New Roman"/>
          <w:color w:val="333333"/>
          <w:kern w:val="0"/>
          <w:sz w:val="24"/>
          <w:szCs w:val="24"/>
          <w14:ligatures w14:val="none"/>
        </w:rPr>
        <w:t> (accessed on 27 July 2021).</w:t>
      </w:r>
    </w:p>
    <w:p w14:paraId="09A08A2C" w14:textId="77777777" w:rsidR="00FA6E6A" w:rsidRPr="00FA6E6A" w:rsidRDefault="00FA6E6A" w:rsidP="00FA6E6A">
      <w:pPr>
        <w:shd w:val="clear" w:color="auto" w:fill="FFFFFF"/>
        <w:spacing w:before="168" w:after="168" w:line="240" w:lineRule="auto"/>
        <w:ind w:left="240" w:hanging="480"/>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OECD (2021), “</w:t>
      </w:r>
      <w:r w:rsidRPr="00FA6E6A">
        <w:rPr>
          <w:rFonts w:ascii="Roboto" w:eastAsia="Times New Roman" w:hAnsi="Roboto" w:cs="Times New Roman"/>
          <w:i/>
          <w:iCs/>
          <w:color w:val="333333"/>
          <w:kern w:val="0"/>
          <w:sz w:val="24"/>
          <w:szCs w:val="24"/>
          <w14:ligatures w14:val="none"/>
        </w:rPr>
        <w:t>The state of global education – 18 months into the pandemic</w:t>
      </w:r>
      <w:r w:rsidRPr="00FA6E6A">
        <w:rPr>
          <w:rFonts w:ascii="Roboto" w:eastAsia="Times New Roman" w:hAnsi="Roboto" w:cs="Times New Roman"/>
          <w:color w:val="333333"/>
          <w:kern w:val="0"/>
          <w:sz w:val="24"/>
          <w:szCs w:val="24"/>
          <w14:ligatures w14:val="none"/>
        </w:rPr>
        <w:t>”, OECD Publishing, Paris, </w:t>
      </w:r>
      <w:hyperlink r:id="rId15" w:tgtFrame="_blank" w:history="1">
        <w:r w:rsidRPr="00FA6E6A">
          <w:rPr>
            <w:rFonts w:ascii="Roboto" w:eastAsia="Times New Roman" w:hAnsi="Roboto" w:cs="Times New Roman"/>
            <w:color w:val="0068B6"/>
            <w:kern w:val="0"/>
            <w:sz w:val="24"/>
            <w:szCs w:val="24"/>
            <w:u w:val="single"/>
            <w14:ligatures w14:val="none"/>
          </w:rPr>
          <w:t>https://doi.org/10.1787/1a23bb23-en</w:t>
        </w:r>
      </w:hyperlink>
      <w:r w:rsidRPr="00FA6E6A">
        <w:rPr>
          <w:rFonts w:ascii="Roboto" w:eastAsia="Times New Roman" w:hAnsi="Roboto" w:cs="Times New Roman"/>
          <w:color w:val="333333"/>
          <w:kern w:val="0"/>
          <w:sz w:val="24"/>
          <w:szCs w:val="24"/>
          <w14:ligatures w14:val="none"/>
        </w:rPr>
        <w:t>.</w:t>
      </w:r>
    </w:p>
    <w:p w14:paraId="6EE17001" w14:textId="77777777" w:rsidR="00FA6E6A" w:rsidRPr="00FA6E6A" w:rsidRDefault="00FA6E6A" w:rsidP="00FA6E6A">
      <w:pPr>
        <w:shd w:val="clear" w:color="auto" w:fill="FFFFFF"/>
        <w:spacing w:after="240" w:line="240" w:lineRule="auto"/>
        <w:ind w:left="-450"/>
        <w:outlineLvl w:val="1"/>
        <w:rPr>
          <w:rFonts w:ascii="inherit" w:eastAsia="Times New Roman" w:hAnsi="inherit" w:cs="Times New Roman"/>
          <w:color w:val="4E81BD"/>
          <w:kern w:val="0"/>
          <w:sz w:val="36"/>
          <w:szCs w:val="36"/>
          <w14:ligatures w14:val="none"/>
        </w:rPr>
      </w:pPr>
      <w:r w:rsidRPr="00FA6E6A">
        <w:rPr>
          <w:rFonts w:ascii="inherit" w:eastAsia="Times New Roman" w:hAnsi="inherit" w:cs="Times New Roman"/>
          <w:color w:val="4E81BD"/>
          <w:kern w:val="0"/>
          <w:sz w:val="36"/>
          <w:szCs w:val="36"/>
          <w14:ligatures w14:val="none"/>
        </w:rPr>
        <w:t>More information</w:t>
      </w:r>
    </w:p>
    <w:p w14:paraId="5992D524" w14:textId="77777777" w:rsidR="00FA6E6A" w:rsidRPr="00FA6E6A" w:rsidRDefault="00FA6E6A" w:rsidP="00FA6E6A">
      <w:pPr>
        <w:shd w:val="clear" w:color="auto" w:fill="FFFFFF"/>
        <w:spacing w:before="168" w:after="168" w:line="240" w:lineRule="auto"/>
        <w:rPr>
          <w:rFonts w:ascii="Roboto" w:eastAsia="Times New Roman" w:hAnsi="Roboto" w:cs="Times New Roman"/>
          <w:color w:val="333333"/>
          <w:kern w:val="0"/>
          <w:sz w:val="24"/>
          <w:szCs w:val="24"/>
          <w14:ligatures w14:val="none"/>
        </w:rPr>
      </w:pPr>
      <w:r w:rsidRPr="00FA6E6A">
        <w:rPr>
          <w:rFonts w:ascii="Roboto" w:eastAsia="Times New Roman" w:hAnsi="Roboto" w:cs="Times New Roman"/>
          <w:b/>
          <w:bCs/>
          <w:color w:val="333333"/>
          <w:kern w:val="0"/>
          <w:sz w:val="24"/>
          <w:szCs w:val="24"/>
          <w14:ligatures w14:val="none"/>
        </w:rPr>
        <w:t>For more information on Education at a Glance 2021 and to access the full set of Indicators, see:</w:t>
      </w:r>
      <w:r w:rsidRPr="00FA6E6A">
        <w:rPr>
          <w:rFonts w:ascii="Roboto" w:eastAsia="Times New Roman" w:hAnsi="Roboto" w:cs="Times New Roman"/>
          <w:color w:val="333333"/>
          <w:kern w:val="0"/>
          <w:sz w:val="24"/>
          <w:szCs w:val="24"/>
          <w14:ligatures w14:val="none"/>
        </w:rPr>
        <w:t> </w:t>
      </w:r>
      <w:hyperlink r:id="rId16" w:tgtFrame="_blank" w:history="1">
        <w:r w:rsidRPr="00FA6E6A">
          <w:rPr>
            <w:rFonts w:ascii="Roboto" w:eastAsia="Times New Roman" w:hAnsi="Roboto" w:cs="Times New Roman"/>
            <w:color w:val="0068B6"/>
            <w:kern w:val="0"/>
            <w:sz w:val="24"/>
            <w:szCs w:val="24"/>
            <w:u w:val="single"/>
            <w14:ligatures w14:val="none"/>
          </w:rPr>
          <w:t>https://doi.org/10.1787/b35a14e5-en</w:t>
        </w:r>
      </w:hyperlink>
    </w:p>
    <w:p w14:paraId="7107ACCD" w14:textId="77777777" w:rsidR="00FA6E6A" w:rsidRPr="00FA6E6A" w:rsidRDefault="00FA6E6A" w:rsidP="00FA6E6A">
      <w:pPr>
        <w:shd w:val="clear" w:color="auto" w:fill="FFFFFF"/>
        <w:spacing w:before="168" w:after="168" w:line="240" w:lineRule="auto"/>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For more information on the methodology used during the data collection for each indicator, the references to the sources and the specific notes for each country, see Annex 3 (</w:t>
      </w:r>
      <w:hyperlink r:id="rId17" w:tgtFrame="_blank" w:history="1">
        <w:r w:rsidRPr="00FA6E6A">
          <w:rPr>
            <w:rFonts w:ascii="Roboto" w:eastAsia="Times New Roman" w:hAnsi="Roboto" w:cs="Times New Roman"/>
            <w:color w:val="0068B6"/>
            <w:kern w:val="0"/>
            <w:sz w:val="24"/>
            <w:szCs w:val="24"/>
            <w:u w:val="single"/>
            <w14:ligatures w14:val="none"/>
          </w:rPr>
          <w:t>https://www.oecd.org/education/education-at-a-glance/EAG2021_Annex3.pdf</w:t>
        </w:r>
      </w:hyperlink>
      <w:r w:rsidRPr="00FA6E6A">
        <w:rPr>
          <w:rFonts w:ascii="Roboto" w:eastAsia="Times New Roman" w:hAnsi="Roboto" w:cs="Times New Roman"/>
          <w:color w:val="333333"/>
          <w:kern w:val="0"/>
          <w:sz w:val="24"/>
          <w:szCs w:val="24"/>
          <w14:ligatures w14:val="none"/>
        </w:rPr>
        <w:t>).</w:t>
      </w:r>
    </w:p>
    <w:p w14:paraId="4E7D35CC" w14:textId="77777777" w:rsidR="00FA6E6A" w:rsidRPr="00FA6E6A" w:rsidRDefault="00FA6E6A" w:rsidP="00FA6E6A">
      <w:pPr>
        <w:shd w:val="clear" w:color="auto" w:fill="FFFFFF"/>
        <w:spacing w:before="168" w:after="168" w:line="240" w:lineRule="auto"/>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lastRenderedPageBreak/>
        <w:t>For general information on the methodology, please refer to the OECD Handbook for Internationally Comparative Education Statistics: Concepts, Standards, Definitions and Classifications (</w:t>
      </w:r>
      <w:hyperlink r:id="rId18" w:tgtFrame="_blank" w:history="1">
        <w:r w:rsidRPr="00FA6E6A">
          <w:rPr>
            <w:rFonts w:ascii="Roboto" w:eastAsia="Times New Roman" w:hAnsi="Roboto" w:cs="Times New Roman"/>
            <w:color w:val="0068B6"/>
            <w:kern w:val="0"/>
            <w:sz w:val="24"/>
            <w:szCs w:val="24"/>
            <w:u w:val="single"/>
            <w14:ligatures w14:val="none"/>
          </w:rPr>
          <w:t>https://doi.org/10.1787/9789264304444-en</w:t>
        </w:r>
      </w:hyperlink>
      <w:r w:rsidRPr="00FA6E6A">
        <w:rPr>
          <w:rFonts w:ascii="Roboto" w:eastAsia="Times New Roman" w:hAnsi="Roboto" w:cs="Times New Roman"/>
          <w:color w:val="333333"/>
          <w:kern w:val="0"/>
          <w:sz w:val="24"/>
          <w:szCs w:val="24"/>
          <w14:ligatures w14:val="none"/>
        </w:rPr>
        <w:t>).</w:t>
      </w:r>
    </w:p>
    <w:p w14:paraId="3485C0BB" w14:textId="77777777" w:rsidR="00FA6E6A" w:rsidRPr="00FA6E6A" w:rsidRDefault="00FA6E6A" w:rsidP="00FA6E6A">
      <w:pPr>
        <w:shd w:val="clear" w:color="auto" w:fill="FFFFFF"/>
        <w:spacing w:before="168" w:after="168" w:line="240" w:lineRule="auto"/>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Updated data can be found on line at </w:t>
      </w:r>
      <w:hyperlink r:id="rId19" w:tgtFrame="_blank" w:history="1">
        <w:r w:rsidRPr="00FA6E6A">
          <w:rPr>
            <w:rFonts w:ascii="Roboto" w:eastAsia="Times New Roman" w:hAnsi="Roboto" w:cs="Times New Roman"/>
            <w:color w:val="0068B6"/>
            <w:kern w:val="0"/>
            <w:sz w:val="24"/>
            <w:szCs w:val="24"/>
            <w:u w:val="single"/>
            <w14:ligatures w14:val="none"/>
          </w:rPr>
          <w:t>http://dx.doi.org/10.1787/eag-data-en</w:t>
        </w:r>
      </w:hyperlink>
      <w:r w:rsidRPr="00FA6E6A">
        <w:rPr>
          <w:rFonts w:ascii="Roboto" w:eastAsia="Times New Roman" w:hAnsi="Roboto" w:cs="Times New Roman"/>
          <w:color w:val="333333"/>
          <w:kern w:val="0"/>
          <w:sz w:val="24"/>
          <w:szCs w:val="24"/>
          <w14:ligatures w14:val="none"/>
        </w:rPr>
        <w:t> and by following the</w:t>
      </w:r>
      <w:r w:rsidRPr="00FA6E6A">
        <w:rPr>
          <w:rFonts w:ascii="Roboto" w:eastAsia="Times New Roman" w:hAnsi="Roboto" w:cs="Times New Roman"/>
          <w:i/>
          <w:iCs/>
          <w:color w:val="333333"/>
          <w:kern w:val="0"/>
          <w:sz w:val="24"/>
          <w:szCs w:val="24"/>
          <w14:ligatures w14:val="none"/>
        </w:rPr>
        <w:t> </w:t>
      </w:r>
      <w:proofErr w:type="spellStart"/>
      <w:r w:rsidRPr="00FA6E6A">
        <w:rPr>
          <w:rFonts w:ascii="Roboto" w:eastAsia="Times New Roman" w:hAnsi="Roboto" w:cs="Times New Roman"/>
          <w:i/>
          <w:iCs/>
          <w:color w:val="333333"/>
          <w:kern w:val="0"/>
          <w:sz w:val="24"/>
          <w:szCs w:val="24"/>
          <w14:ligatures w14:val="none"/>
        </w:rPr>
        <w:t>StatLinks</w:t>
      </w:r>
      <w:proofErr w:type="spellEnd"/>
      <w:r w:rsidRPr="00FA6E6A">
        <w:rPr>
          <w:rFonts w:ascii="Roboto" w:eastAsia="Times New Roman" w:hAnsi="Roboto" w:cs="Times New Roman"/>
          <w:color w:val="333333"/>
          <w:kern w:val="0"/>
          <w:sz w:val="24"/>
          <w:szCs w:val="24"/>
          <w14:ligatures w14:val="none"/>
        </w:rPr>
        <w:t> </w:t>
      </w:r>
      <w:r w:rsidRPr="00FA6E6A">
        <w:rPr>
          <w:rFonts w:ascii="Roboto" w:eastAsia="Times New Roman" w:hAnsi="Roboto" w:cs="Times New Roman"/>
          <w:color w:val="4F82BE"/>
          <w:kern w:val="0"/>
          <w:sz w:val="24"/>
          <w:szCs w:val="24"/>
          <w14:ligatures w14:val="none"/>
        </w:rPr>
        <w:t>2</w:t>
      </w:r>
      <w:r w:rsidRPr="00FA6E6A">
        <w:rPr>
          <w:rFonts w:ascii="Roboto" w:eastAsia="Times New Roman" w:hAnsi="Roboto" w:cs="Times New Roman"/>
          <w:color w:val="333333"/>
          <w:kern w:val="0"/>
          <w:sz w:val="24"/>
          <w:szCs w:val="24"/>
          <w14:ligatures w14:val="none"/>
        </w:rPr>
        <w:t>under the tables and charts in the publication.</w:t>
      </w:r>
    </w:p>
    <w:p w14:paraId="0A3F95D0" w14:textId="77777777" w:rsidR="00FA6E6A" w:rsidRPr="00FA6E6A" w:rsidRDefault="00FA6E6A" w:rsidP="00FA6E6A">
      <w:pPr>
        <w:shd w:val="clear" w:color="auto" w:fill="FFFFFF"/>
        <w:spacing w:before="168" w:after="168" w:line="240" w:lineRule="auto"/>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Data on subnational regions for selected indicators are available in the </w:t>
      </w:r>
      <w:r w:rsidRPr="00FA6E6A">
        <w:rPr>
          <w:rFonts w:ascii="Roboto" w:eastAsia="Times New Roman" w:hAnsi="Roboto" w:cs="Times New Roman"/>
          <w:i/>
          <w:iCs/>
          <w:color w:val="333333"/>
          <w:kern w:val="0"/>
          <w:sz w:val="24"/>
          <w:szCs w:val="24"/>
          <w14:ligatures w14:val="none"/>
        </w:rPr>
        <w:t>OECD Regional Statistics</w:t>
      </w:r>
      <w:r w:rsidRPr="00FA6E6A">
        <w:rPr>
          <w:rFonts w:ascii="Roboto" w:eastAsia="Times New Roman" w:hAnsi="Roboto" w:cs="Times New Roman"/>
          <w:color w:val="333333"/>
          <w:kern w:val="0"/>
          <w:sz w:val="24"/>
          <w:szCs w:val="24"/>
          <w14:ligatures w14:val="none"/>
        </w:rPr>
        <w:t> (database) (OECD, 2021). When interpreting the results on subnational entities, readers should take into account that the population size of subnational entities can vary widely within countries. For example, regional variation in enrolment may be influenced by students attending school in a different region from their area of residence, particularly at higher levels of education. Also, regional disparities tend to be higher when more subnational entities are used in the analysis.</w:t>
      </w:r>
    </w:p>
    <w:p w14:paraId="4462F1CD" w14:textId="77777777" w:rsidR="00FA6E6A" w:rsidRPr="00FA6E6A" w:rsidRDefault="00FA6E6A" w:rsidP="00FA6E6A">
      <w:pPr>
        <w:shd w:val="clear" w:color="auto" w:fill="FFFFFF"/>
        <w:spacing w:before="168" w:after="168" w:line="240" w:lineRule="auto"/>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 xml:space="preserve">Explore, compare and </w:t>
      </w:r>
      <w:proofErr w:type="spellStart"/>
      <w:r w:rsidRPr="00FA6E6A">
        <w:rPr>
          <w:rFonts w:ascii="Roboto" w:eastAsia="Times New Roman" w:hAnsi="Roboto" w:cs="Times New Roman"/>
          <w:color w:val="333333"/>
          <w:kern w:val="0"/>
          <w:sz w:val="24"/>
          <w:szCs w:val="24"/>
          <w14:ligatures w14:val="none"/>
        </w:rPr>
        <w:t>visualise</w:t>
      </w:r>
      <w:proofErr w:type="spellEnd"/>
      <w:r w:rsidRPr="00FA6E6A">
        <w:rPr>
          <w:rFonts w:ascii="Roboto" w:eastAsia="Times New Roman" w:hAnsi="Roboto" w:cs="Times New Roman"/>
          <w:color w:val="333333"/>
          <w:kern w:val="0"/>
          <w:sz w:val="24"/>
          <w:szCs w:val="24"/>
          <w14:ligatures w14:val="none"/>
        </w:rPr>
        <w:t xml:space="preserve"> more data and analysis using the Education GPS:</w:t>
      </w:r>
    </w:p>
    <w:p w14:paraId="22E329E1" w14:textId="77777777" w:rsidR="00FA6E6A" w:rsidRPr="00FA6E6A" w:rsidRDefault="00FA6E6A" w:rsidP="00FA6E6A">
      <w:pPr>
        <w:shd w:val="clear" w:color="auto" w:fill="FFFFFF"/>
        <w:spacing w:before="168" w:after="168" w:line="240" w:lineRule="auto"/>
        <w:rPr>
          <w:rFonts w:ascii="Roboto" w:eastAsia="Times New Roman" w:hAnsi="Roboto" w:cs="Times New Roman"/>
          <w:color w:val="333333"/>
          <w:kern w:val="0"/>
          <w:sz w:val="24"/>
          <w:szCs w:val="24"/>
          <w14:ligatures w14:val="none"/>
        </w:rPr>
      </w:pPr>
      <w:hyperlink r:id="rId20" w:tgtFrame="_blank" w:history="1">
        <w:r w:rsidRPr="00FA6E6A">
          <w:rPr>
            <w:rFonts w:ascii="Roboto" w:eastAsia="Times New Roman" w:hAnsi="Roboto" w:cs="Times New Roman"/>
            <w:color w:val="0068B6"/>
            <w:kern w:val="0"/>
            <w:sz w:val="24"/>
            <w:szCs w:val="24"/>
            <w:u w:val="single"/>
            <w14:ligatures w14:val="none"/>
          </w:rPr>
          <w:t>https://gpseducation.oecd.org/</w:t>
        </w:r>
      </w:hyperlink>
    </w:p>
    <w:p w14:paraId="7FCA5F7F" w14:textId="77777777" w:rsidR="00FA6E6A" w:rsidRPr="00FA6E6A" w:rsidRDefault="00FA6E6A" w:rsidP="00FA6E6A">
      <w:pPr>
        <w:shd w:val="clear" w:color="auto" w:fill="FFFFFF"/>
        <w:spacing w:before="168" w:line="240" w:lineRule="auto"/>
        <w:rPr>
          <w:rFonts w:ascii="Roboto" w:eastAsia="Times New Roman" w:hAnsi="Roboto" w:cs="Times New Roman"/>
          <w:color w:val="333333"/>
          <w:kern w:val="0"/>
          <w:sz w:val="24"/>
          <w:szCs w:val="24"/>
          <w14:ligatures w14:val="none"/>
        </w:rPr>
      </w:pPr>
      <w:r w:rsidRPr="00FA6E6A">
        <w:rPr>
          <w:rFonts w:ascii="Roboto" w:eastAsia="Times New Roman" w:hAnsi="Roboto" w:cs="Times New Roman"/>
          <w:color w:val="333333"/>
          <w:kern w:val="0"/>
          <w:sz w:val="24"/>
          <w:szCs w:val="24"/>
          <w14:ligatures w14:val="none"/>
        </w:rPr>
        <w:t>The data on educational responses during COVID-19 were collected and processed by the OECD based on the Survey on Joint National Responses to COVID-19 School Closures, a collaborative effort conducted by the United Nations Educational, Scientific and Cultural Organization (UNESCO); the UNESCO Institute for Statistics (UIS); the United Nations Children's Fund (UNICEF); the World Bank; and the OECD.</w:t>
      </w:r>
    </w:p>
    <w:tbl>
      <w:tblPr>
        <w:tblW w:w="11025" w:type="dxa"/>
        <w:shd w:val="clear" w:color="auto" w:fill="FFFFFF"/>
        <w:tblCellMar>
          <w:left w:w="0" w:type="dxa"/>
          <w:right w:w="0" w:type="dxa"/>
        </w:tblCellMar>
        <w:tblLook w:val="04A0" w:firstRow="1" w:lastRow="0" w:firstColumn="1" w:lastColumn="0" w:noHBand="0" w:noVBand="1"/>
      </w:tblPr>
      <w:tblGrid>
        <w:gridCol w:w="2489"/>
        <w:gridCol w:w="8536"/>
      </w:tblGrid>
      <w:tr w:rsidR="00FA6E6A" w:rsidRPr="00FA6E6A" w14:paraId="10140D1F" w14:textId="77777777" w:rsidTr="00FA6E6A">
        <w:tc>
          <w:tcPr>
            <w:tcW w:w="0" w:type="auto"/>
            <w:tcBorders>
              <w:top w:val="single" w:sz="6" w:space="0" w:color="ECEBEB"/>
              <w:left w:val="single" w:sz="6" w:space="0" w:color="ECEBEB"/>
              <w:bottom w:val="single" w:sz="6" w:space="0" w:color="ECEBEB"/>
              <w:right w:val="single" w:sz="6" w:space="0" w:color="ECEBEB"/>
            </w:tcBorders>
            <w:shd w:val="clear" w:color="auto" w:fill="auto"/>
            <w:tcMar>
              <w:top w:w="72" w:type="dxa"/>
              <w:left w:w="24" w:type="dxa"/>
              <w:bottom w:w="72" w:type="dxa"/>
              <w:right w:w="24" w:type="dxa"/>
            </w:tcMar>
            <w:hideMark/>
          </w:tcPr>
          <w:p w14:paraId="11BE8546" w14:textId="77777777" w:rsidR="00FA6E6A" w:rsidRPr="00FA6E6A" w:rsidRDefault="00FA6E6A" w:rsidP="00FA6E6A">
            <w:pPr>
              <w:spacing w:before="168" w:after="48" w:line="240" w:lineRule="auto"/>
              <w:jc w:val="both"/>
              <w:rPr>
                <w:rFonts w:ascii="Roboto Condensed" w:eastAsia="Times New Roman" w:hAnsi="Roboto Condensed" w:cs="Times New Roman"/>
                <w:color w:val="333333"/>
                <w:kern w:val="0"/>
                <w:sz w:val="21"/>
                <w:szCs w:val="21"/>
                <w14:ligatures w14:val="none"/>
              </w:rPr>
            </w:pPr>
            <w:r w:rsidRPr="00FA6E6A">
              <w:rPr>
                <w:rFonts w:ascii="Roboto Condensed" w:eastAsia="Times New Roman" w:hAnsi="Roboto Condensed" w:cs="Times New Roman"/>
                <w:b/>
                <w:bCs/>
                <w:color w:val="333333"/>
                <w:kern w:val="0"/>
                <w:sz w:val="21"/>
                <w:szCs w:val="21"/>
                <w14:ligatures w14:val="none"/>
              </w:rPr>
              <w:t>Questions can be directed to:</w:t>
            </w:r>
          </w:p>
          <w:p w14:paraId="550B84E7" w14:textId="77777777" w:rsidR="00FA6E6A" w:rsidRPr="00FA6E6A" w:rsidRDefault="00FA6E6A" w:rsidP="00FA6E6A">
            <w:pPr>
              <w:spacing w:before="168" w:after="48" w:line="240" w:lineRule="auto"/>
              <w:jc w:val="both"/>
              <w:rPr>
                <w:rFonts w:ascii="Roboto Condensed" w:eastAsia="Times New Roman" w:hAnsi="Roboto Condensed" w:cs="Times New Roman"/>
                <w:color w:val="333333"/>
                <w:kern w:val="0"/>
                <w:sz w:val="21"/>
                <w:szCs w:val="21"/>
                <w14:ligatures w14:val="none"/>
              </w:rPr>
            </w:pPr>
            <w:r w:rsidRPr="00FA6E6A">
              <w:rPr>
                <w:rFonts w:ascii="Roboto Condensed" w:eastAsia="Times New Roman" w:hAnsi="Roboto Condensed" w:cs="Times New Roman"/>
                <w:color w:val="333333"/>
                <w:kern w:val="0"/>
                <w:sz w:val="21"/>
                <w:szCs w:val="21"/>
                <w14:ligatures w14:val="none"/>
              </w:rPr>
              <w:t xml:space="preserve">Marie-Helene </w:t>
            </w:r>
            <w:proofErr w:type="spellStart"/>
            <w:r w:rsidRPr="00FA6E6A">
              <w:rPr>
                <w:rFonts w:ascii="Roboto Condensed" w:eastAsia="Times New Roman" w:hAnsi="Roboto Condensed" w:cs="Times New Roman"/>
                <w:color w:val="333333"/>
                <w:kern w:val="0"/>
                <w:sz w:val="21"/>
                <w:szCs w:val="21"/>
                <w14:ligatures w14:val="none"/>
              </w:rPr>
              <w:t>Doumet</w:t>
            </w:r>
            <w:proofErr w:type="spellEnd"/>
          </w:p>
          <w:p w14:paraId="35F66DC8" w14:textId="77777777" w:rsidR="00FA6E6A" w:rsidRPr="00FA6E6A" w:rsidRDefault="00FA6E6A" w:rsidP="00FA6E6A">
            <w:pPr>
              <w:spacing w:before="168" w:after="48" w:line="240" w:lineRule="auto"/>
              <w:jc w:val="both"/>
              <w:rPr>
                <w:rFonts w:ascii="Roboto Condensed" w:eastAsia="Times New Roman" w:hAnsi="Roboto Condensed" w:cs="Times New Roman"/>
                <w:color w:val="333333"/>
                <w:kern w:val="0"/>
                <w:sz w:val="21"/>
                <w:szCs w:val="21"/>
                <w14:ligatures w14:val="none"/>
              </w:rPr>
            </w:pPr>
            <w:r w:rsidRPr="00FA6E6A">
              <w:rPr>
                <w:rFonts w:ascii="Roboto Condensed" w:eastAsia="Times New Roman" w:hAnsi="Roboto Condensed" w:cs="Times New Roman"/>
                <w:color w:val="333333"/>
                <w:kern w:val="0"/>
                <w:sz w:val="21"/>
                <w:szCs w:val="21"/>
                <w14:ligatures w14:val="none"/>
              </w:rPr>
              <w:t>Directorate for Education and Skills</w:t>
            </w:r>
          </w:p>
          <w:p w14:paraId="49DE5FA8" w14:textId="77777777" w:rsidR="00FA6E6A" w:rsidRPr="00FA6E6A" w:rsidRDefault="00FA6E6A" w:rsidP="00FA6E6A">
            <w:pPr>
              <w:spacing w:before="168" w:after="48" w:line="240" w:lineRule="auto"/>
              <w:jc w:val="both"/>
              <w:rPr>
                <w:rFonts w:ascii="Roboto Condensed" w:eastAsia="Times New Roman" w:hAnsi="Roboto Condensed" w:cs="Times New Roman"/>
                <w:color w:val="333333"/>
                <w:kern w:val="0"/>
                <w:sz w:val="21"/>
                <w:szCs w:val="21"/>
                <w14:ligatures w14:val="none"/>
              </w:rPr>
            </w:pPr>
            <w:hyperlink r:id="rId21" w:tgtFrame="_blank" w:history="1">
              <w:r w:rsidRPr="00FA6E6A">
                <w:rPr>
                  <w:rFonts w:ascii="Roboto Condensed" w:eastAsia="Times New Roman" w:hAnsi="Roboto Condensed" w:cs="Times New Roman"/>
                  <w:color w:val="0068B6"/>
                  <w:kern w:val="0"/>
                  <w:sz w:val="21"/>
                  <w:szCs w:val="21"/>
                  <w:u w:val="single"/>
                  <w14:ligatures w14:val="none"/>
                </w:rPr>
                <w:t>marie-helene.doumet@oecd.org</w:t>
              </w:r>
            </w:hyperlink>
          </w:p>
        </w:tc>
        <w:tc>
          <w:tcPr>
            <w:tcW w:w="0" w:type="auto"/>
            <w:tcBorders>
              <w:top w:val="single" w:sz="6" w:space="0" w:color="ECEBEB"/>
              <w:left w:val="single" w:sz="6" w:space="0" w:color="ECEBEB"/>
              <w:bottom w:val="single" w:sz="6" w:space="0" w:color="ECEBEB"/>
              <w:right w:val="single" w:sz="6" w:space="0" w:color="ECEBEB"/>
            </w:tcBorders>
            <w:shd w:val="clear" w:color="auto" w:fill="auto"/>
            <w:tcMar>
              <w:top w:w="72" w:type="dxa"/>
              <w:left w:w="24" w:type="dxa"/>
              <w:bottom w:w="72" w:type="dxa"/>
              <w:right w:w="24" w:type="dxa"/>
            </w:tcMar>
            <w:hideMark/>
          </w:tcPr>
          <w:p w14:paraId="73088D3D" w14:textId="77777777" w:rsidR="00FA6E6A" w:rsidRPr="00FA6E6A" w:rsidRDefault="00FA6E6A" w:rsidP="00FA6E6A">
            <w:pPr>
              <w:spacing w:before="168" w:after="48" w:line="240" w:lineRule="auto"/>
              <w:jc w:val="both"/>
              <w:rPr>
                <w:rFonts w:ascii="Roboto Condensed" w:eastAsia="Times New Roman" w:hAnsi="Roboto Condensed" w:cs="Times New Roman"/>
                <w:color w:val="333333"/>
                <w:kern w:val="0"/>
                <w:sz w:val="21"/>
                <w:szCs w:val="21"/>
                <w14:ligatures w14:val="none"/>
              </w:rPr>
            </w:pPr>
            <w:r w:rsidRPr="00FA6E6A">
              <w:rPr>
                <w:rFonts w:ascii="Roboto Condensed" w:eastAsia="Times New Roman" w:hAnsi="Roboto Condensed" w:cs="Times New Roman"/>
                <w:b/>
                <w:bCs/>
                <w:color w:val="333333"/>
                <w:kern w:val="0"/>
                <w:sz w:val="21"/>
                <w:szCs w:val="21"/>
                <w14:ligatures w14:val="none"/>
              </w:rPr>
              <w:t>Country note authors:</w:t>
            </w:r>
          </w:p>
          <w:p w14:paraId="2A1F5BDE" w14:textId="77777777" w:rsidR="00FA6E6A" w:rsidRPr="00FA6E6A" w:rsidRDefault="00FA6E6A" w:rsidP="00FA6E6A">
            <w:pPr>
              <w:spacing w:before="168" w:after="48" w:line="240" w:lineRule="auto"/>
              <w:jc w:val="both"/>
              <w:rPr>
                <w:rFonts w:ascii="Roboto Condensed" w:eastAsia="Times New Roman" w:hAnsi="Roboto Condensed" w:cs="Times New Roman"/>
                <w:color w:val="333333"/>
                <w:kern w:val="0"/>
                <w:sz w:val="21"/>
                <w:szCs w:val="21"/>
                <w14:ligatures w14:val="none"/>
              </w:rPr>
            </w:pPr>
            <w:r w:rsidRPr="00FA6E6A">
              <w:rPr>
                <w:rFonts w:ascii="Roboto Condensed" w:eastAsia="Times New Roman" w:hAnsi="Roboto Condensed" w:cs="Times New Roman"/>
                <w:color w:val="333333"/>
                <w:kern w:val="0"/>
                <w:sz w:val="21"/>
                <w:szCs w:val="21"/>
                <w14:ligatures w14:val="none"/>
              </w:rPr>
              <w:t xml:space="preserve">Etienne </w:t>
            </w:r>
            <w:proofErr w:type="spellStart"/>
            <w:r w:rsidRPr="00FA6E6A">
              <w:rPr>
                <w:rFonts w:ascii="Roboto Condensed" w:eastAsia="Times New Roman" w:hAnsi="Roboto Condensed" w:cs="Times New Roman"/>
                <w:color w:val="333333"/>
                <w:kern w:val="0"/>
                <w:sz w:val="21"/>
                <w:szCs w:val="21"/>
                <w14:ligatures w14:val="none"/>
              </w:rPr>
              <w:t>Albiser</w:t>
            </w:r>
            <w:proofErr w:type="spellEnd"/>
            <w:r w:rsidRPr="00FA6E6A">
              <w:rPr>
                <w:rFonts w:ascii="Roboto Condensed" w:eastAsia="Times New Roman" w:hAnsi="Roboto Condensed" w:cs="Times New Roman"/>
                <w:color w:val="333333"/>
                <w:kern w:val="0"/>
                <w:sz w:val="21"/>
                <w:szCs w:val="21"/>
                <w14:ligatures w14:val="none"/>
              </w:rPr>
              <w:t xml:space="preserve">, </w:t>
            </w:r>
            <w:proofErr w:type="spellStart"/>
            <w:r w:rsidRPr="00FA6E6A">
              <w:rPr>
                <w:rFonts w:ascii="Roboto Condensed" w:eastAsia="Times New Roman" w:hAnsi="Roboto Condensed" w:cs="Times New Roman"/>
                <w:color w:val="333333"/>
                <w:kern w:val="0"/>
                <w:sz w:val="21"/>
                <w:szCs w:val="21"/>
                <w14:ligatures w14:val="none"/>
              </w:rPr>
              <w:t>Heewoon</w:t>
            </w:r>
            <w:proofErr w:type="spellEnd"/>
            <w:r w:rsidRPr="00FA6E6A">
              <w:rPr>
                <w:rFonts w:ascii="Roboto Condensed" w:eastAsia="Times New Roman" w:hAnsi="Roboto Condensed" w:cs="Times New Roman"/>
                <w:color w:val="333333"/>
                <w:kern w:val="0"/>
                <w:sz w:val="21"/>
                <w:szCs w:val="21"/>
                <w14:ligatures w14:val="none"/>
              </w:rPr>
              <w:t xml:space="preserve"> Bae, Andrea </w:t>
            </w:r>
            <w:proofErr w:type="spellStart"/>
            <w:r w:rsidRPr="00FA6E6A">
              <w:rPr>
                <w:rFonts w:ascii="Roboto Condensed" w:eastAsia="Times New Roman" w:hAnsi="Roboto Condensed" w:cs="Times New Roman"/>
                <w:color w:val="333333"/>
                <w:kern w:val="0"/>
                <w:sz w:val="21"/>
                <w:szCs w:val="21"/>
                <w14:ligatures w14:val="none"/>
              </w:rPr>
              <w:t>Borlizzi</w:t>
            </w:r>
            <w:proofErr w:type="spellEnd"/>
            <w:r w:rsidRPr="00FA6E6A">
              <w:rPr>
                <w:rFonts w:ascii="Roboto Condensed" w:eastAsia="Times New Roman" w:hAnsi="Roboto Condensed" w:cs="Times New Roman"/>
                <w:color w:val="333333"/>
                <w:kern w:val="0"/>
                <w:sz w:val="21"/>
                <w:szCs w:val="21"/>
                <w14:ligatures w14:val="none"/>
              </w:rPr>
              <w:t xml:space="preserve">, António Carvalho, Eric Charbonnier, Corinne </w:t>
            </w:r>
            <w:proofErr w:type="spellStart"/>
            <w:r w:rsidRPr="00FA6E6A">
              <w:rPr>
                <w:rFonts w:ascii="Roboto Condensed" w:eastAsia="Times New Roman" w:hAnsi="Roboto Condensed" w:cs="Times New Roman"/>
                <w:color w:val="333333"/>
                <w:kern w:val="0"/>
                <w:sz w:val="21"/>
                <w:szCs w:val="21"/>
                <w14:ligatures w14:val="none"/>
              </w:rPr>
              <w:t>Heckmann</w:t>
            </w:r>
            <w:proofErr w:type="spellEnd"/>
            <w:r w:rsidRPr="00FA6E6A">
              <w:rPr>
                <w:rFonts w:ascii="Roboto Condensed" w:eastAsia="Times New Roman" w:hAnsi="Roboto Condensed" w:cs="Times New Roman"/>
                <w:color w:val="333333"/>
                <w:kern w:val="0"/>
                <w:sz w:val="21"/>
                <w:szCs w:val="21"/>
                <w14:ligatures w14:val="none"/>
              </w:rPr>
              <w:t xml:space="preserve">, Bruce Golding, </w:t>
            </w:r>
            <w:proofErr w:type="spellStart"/>
            <w:r w:rsidRPr="00FA6E6A">
              <w:rPr>
                <w:rFonts w:ascii="Roboto Condensed" w:eastAsia="Times New Roman" w:hAnsi="Roboto Condensed" w:cs="Times New Roman"/>
                <w:color w:val="333333"/>
                <w:kern w:val="0"/>
                <w:sz w:val="21"/>
                <w:szCs w:val="21"/>
                <w14:ligatures w14:val="none"/>
              </w:rPr>
              <w:t>Yanjun</w:t>
            </w:r>
            <w:proofErr w:type="spellEnd"/>
            <w:r w:rsidRPr="00FA6E6A">
              <w:rPr>
                <w:rFonts w:ascii="Roboto Condensed" w:eastAsia="Times New Roman" w:hAnsi="Roboto Condensed" w:cs="Times New Roman"/>
                <w:color w:val="333333"/>
                <w:kern w:val="0"/>
                <w:sz w:val="21"/>
                <w:szCs w:val="21"/>
                <w14:ligatures w14:val="none"/>
              </w:rPr>
              <w:t xml:space="preserve"> Guo, </w:t>
            </w:r>
            <w:proofErr w:type="spellStart"/>
            <w:r w:rsidRPr="00FA6E6A">
              <w:rPr>
                <w:rFonts w:ascii="Roboto Condensed" w:eastAsia="Times New Roman" w:hAnsi="Roboto Condensed" w:cs="Times New Roman"/>
                <w:color w:val="333333"/>
                <w:kern w:val="0"/>
                <w:sz w:val="21"/>
                <w:szCs w:val="21"/>
                <w14:ligatures w14:val="none"/>
              </w:rPr>
              <w:t>Gara</w:t>
            </w:r>
            <w:proofErr w:type="spellEnd"/>
            <w:r w:rsidRPr="00FA6E6A">
              <w:rPr>
                <w:rFonts w:ascii="Roboto Condensed" w:eastAsia="Times New Roman" w:hAnsi="Roboto Condensed" w:cs="Times New Roman"/>
                <w:color w:val="333333"/>
                <w:kern w:val="0"/>
                <w:sz w:val="21"/>
                <w:szCs w:val="21"/>
                <w14:ligatures w14:val="none"/>
              </w:rPr>
              <w:t xml:space="preserve"> Rojas Gonzalez, Daniel Sanchez Serra, Markus Schwabe and Giovanni Maria Semeraro</w:t>
            </w:r>
          </w:p>
        </w:tc>
      </w:tr>
    </w:tbl>
    <w:p w14:paraId="6C481DF3" w14:textId="77777777" w:rsidR="00FA6E6A" w:rsidRPr="00FA6E6A" w:rsidRDefault="00FA6E6A" w:rsidP="00FA6E6A">
      <w:pPr>
        <w:shd w:val="clear" w:color="auto" w:fill="ECEBEB"/>
        <w:spacing w:before="168" w:after="168" w:line="240" w:lineRule="auto"/>
        <w:rPr>
          <w:rFonts w:ascii="Roboto" w:eastAsia="Times New Roman" w:hAnsi="Roboto" w:cs="Times New Roman"/>
          <w:color w:val="333333"/>
          <w:kern w:val="0"/>
          <w:sz w:val="17"/>
          <w:szCs w:val="17"/>
          <w14:ligatures w14:val="none"/>
        </w:rPr>
      </w:pPr>
      <w:r w:rsidRPr="00FA6E6A">
        <w:rPr>
          <w:rFonts w:ascii="Roboto" w:eastAsia="Times New Roman" w:hAnsi="Roboto" w:cs="Times New Roman"/>
          <w:color w:val="333333"/>
          <w:kern w:val="0"/>
          <w:sz w:val="17"/>
          <w:szCs w:val="17"/>
          <w14:ligatures w14:val="none"/>
        </w:rPr>
        <w:t>This work is published under the responsibility of the Secretary-General of the OECD. The opinions expressed and arguments employed herein do not necessarily reflect the official views of OECD member countries.</w:t>
      </w:r>
    </w:p>
    <w:p w14:paraId="25B1DC41" w14:textId="77777777" w:rsidR="00FA6E6A" w:rsidRPr="00FA6E6A" w:rsidRDefault="00FA6E6A" w:rsidP="00FA6E6A">
      <w:pPr>
        <w:shd w:val="clear" w:color="auto" w:fill="ECEBEB"/>
        <w:spacing w:before="168" w:after="168" w:line="240" w:lineRule="auto"/>
        <w:rPr>
          <w:rFonts w:ascii="Roboto" w:eastAsia="Times New Roman" w:hAnsi="Roboto" w:cs="Times New Roman"/>
          <w:color w:val="333333"/>
          <w:kern w:val="0"/>
          <w:sz w:val="17"/>
          <w:szCs w:val="17"/>
          <w14:ligatures w14:val="none"/>
        </w:rPr>
      </w:pPr>
      <w:r w:rsidRPr="00FA6E6A">
        <w:rPr>
          <w:rFonts w:ascii="Roboto" w:eastAsia="Times New Roman" w:hAnsi="Roboto" w:cs="Times New Roman"/>
          <w:color w:val="333333"/>
          <w:kern w:val="0"/>
          <w:sz w:val="17"/>
          <w:szCs w:val="17"/>
          <w14:ligatures w14:val="none"/>
        </w:rPr>
        <w:t>This document, as well as any data and any map included herein, are without prejudice to the status of or sovereignty over any territory, to the delimitation of international frontiers and boundaries and to the name of any territory, city or area.</w:t>
      </w:r>
    </w:p>
    <w:p w14:paraId="335B6F86" w14:textId="77777777" w:rsidR="00FA6E6A" w:rsidRPr="00FA6E6A" w:rsidRDefault="00FA6E6A" w:rsidP="00FA6E6A">
      <w:pPr>
        <w:shd w:val="clear" w:color="auto" w:fill="ECEBEB"/>
        <w:spacing w:before="168" w:after="168" w:line="240" w:lineRule="auto"/>
        <w:rPr>
          <w:rFonts w:ascii="Roboto" w:eastAsia="Times New Roman" w:hAnsi="Roboto" w:cs="Times New Roman"/>
          <w:color w:val="333333"/>
          <w:kern w:val="0"/>
          <w:sz w:val="17"/>
          <w:szCs w:val="17"/>
          <w14:ligatures w14:val="none"/>
        </w:rPr>
      </w:pPr>
      <w:r w:rsidRPr="00FA6E6A">
        <w:rPr>
          <w:rFonts w:ascii="Roboto" w:eastAsia="Times New Roman" w:hAnsi="Roboto" w:cs="Times New Roman"/>
          <w:color w:val="333333"/>
          <w:kern w:val="0"/>
          <w:sz w:val="17"/>
          <w:szCs w:val="17"/>
          <w14:ligatures w14:val="none"/>
        </w:rPr>
        <w:t>The statistical data for Israel are supplied by and under the responsibility of the relevant Israeli authorities. The use of such data by the OECD is without prejudice to the status of the Golan Heights, East Jerusalem and Israeli settlements in the West Bank under the terms of international law.</w:t>
      </w:r>
    </w:p>
    <w:p w14:paraId="55D22D36" w14:textId="77777777" w:rsidR="00FA6E6A" w:rsidRPr="00FA6E6A" w:rsidRDefault="00FA6E6A" w:rsidP="00FA6E6A">
      <w:pPr>
        <w:shd w:val="clear" w:color="auto" w:fill="ECEBEB"/>
        <w:spacing w:before="168" w:line="240" w:lineRule="auto"/>
        <w:rPr>
          <w:rFonts w:ascii="Roboto" w:eastAsia="Times New Roman" w:hAnsi="Roboto" w:cs="Times New Roman"/>
          <w:color w:val="333333"/>
          <w:kern w:val="0"/>
          <w:sz w:val="17"/>
          <w:szCs w:val="17"/>
          <w14:ligatures w14:val="none"/>
        </w:rPr>
      </w:pPr>
      <w:r w:rsidRPr="00FA6E6A">
        <w:rPr>
          <w:rFonts w:ascii="Roboto" w:eastAsia="Times New Roman" w:hAnsi="Roboto" w:cs="Times New Roman"/>
          <w:color w:val="333333"/>
          <w:kern w:val="0"/>
          <w:sz w:val="17"/>
          <w:szCs w:val="17"/>
          <w14:ligatures w14:val="none"/>
        </w:rPr>
        <w:t>The use of this work, whether digital or print, is governed by the terms and conditions to be found at </w:t>
      </w:r>
      <w:hyperlink r:id="rId22" w:tgtFrame="_blank" w:history="1">
        <w:r w:rsidRPr="00FA6E6A">
          <w:rPr>
            <w:rFonts w:ascii="Roboto" w:eastAsia="Times New Roman" w:hAnsi="Roboto" w:cs="Times New Roman"/>
            <w:color w:val="0068B6"/>
            <w:kern w:val="0"/>
            <w:sz w:val="17"/>
            <w:szCs w:val="17"/>
            <w:u w:val="single"/>
            <w14:ligatures w14:val="none"/>
          </w:rPr>
          <w:t>www.oecd.org/termsandconditions/</w:t>
        </w:r>
      </w:hyperlink>
      <w:r w:rsidRPr="00FA6E6A">
        <w:rPr>
          <w:rFonts w:ascii="Roboto" w:eastAsia="Times New Roman" w:hAnsi="Roboto" w:cs="Times New Roman"/>
          <w:color w:val="333333"/>
          <w:kern w:val="0"/>
          <w:sz w:val="17"/>
          <w:szCs w:val="17"/>
          <w14:ligatures w14:val="none"/>
        </w:rPr>
        <w:t>.</w:t>
      </w:r>
    </w:p>
    <w:p w14:paraId="7B1D6008" w14:textId="77777777" w:rsidR="00FA6E6A" w:rsidRPr="00FA6E6A" w:rsidRDefault="00FA6E6A" w:rsidP="00FA6E6A">
      <w:pPr>
        <w:shd w:val="clear" w:color="auto" w:fill="4E81BD"/>
        <w:spacing w:after="0" w:line="240" w:lineRule="auto"/>
        <w:jc w:val="center"/>
        <w:textAlignment w:val="center"/>
        <w:rPr>
          <w:rFonts w:ascii="Roboto" w:eastAsia="Times New Roman" w:hAnsi="Roboto" w:cs="Times New Roman"/>
          <w:color w:val="FFFFFF"/>
          <w:kern w:val="0"/>
          <w14:ligatures w14:val="none"/>
        </w:rPr>
      </w:pPr>
      <w:r w:rsidRPr="00FA6E6A">
        <w:rPr>
          <w:rFonts w:ascii="Roboto" w:eastAsia="Times New Roman" w:hAnsi="Roboto" w:cs="Times New Roman"/>
          <w:color w:val="FFFFFF"/>
          <w:kern w:val="0"/>
          <w14:ligatures w14:val="none"/>
        </w:rPr>
        <w:t>Turkey</w:t>
      </w:r>
    </w:p>
    <w:p w14:paraId="03D4D324" w14:textId="77777777" w:rsidR="00FA6E6A" w:rsidRDefault="00FA6E6A"/>
    <w:sectPr w:rsidR="00FA6E6A">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7BC92" w14:textId="77777777" w:rsidR="004E2714" w:rsidRDefault="004E2714" w:rsidP="00FA6E6A">
      <w:pPr>
        <w:spacing w:after="0" w:line="240" w:lineRule="auto"/>
      </w:pPr>
      <w:r>
        <w:separator/>
      </w:r>
    </w:p>
  </w:endnote>
  <w:endnote w:type="continuationSeparator" w:id="0">
    <w:p w14:paraId="19F66065" w14:textId="77777777" w:rsidR="004E2714" w:rsidRDefault="004E2714" w:rsidP="00FA6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Roboto Condensed">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251281"/>
      <w:docPartObj>
        <w:docPartGallery w:val="Page Numbers (Bottom of Page)"/>
        <w:docPartUnique/>
      </w:docPartObj>
    </w:sdtPr>
    <w:sdtContent>
      <w:sdt>
        <w:sdtPr>
          <w:id w:val="-1769616900"/>
          <w:docPartObj>
            <w:docPartGallery w:val="Page Numbers (Top of Page)"/>
            <w:docPartUnique/>
          </w:docPartObj>
        </w:sdtPr>
        <w:sdtContent>
          <w:p w14:paraId="7FC511FF" w14:textId="6340188D" w:rsidR="00FA6E6A" w:rsidRDefault="00FA6E6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84A7F7" w14:textId="77777777" w:rsidR="00FA6E6A" w:rsidRDefault="00FA6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070BF" w14:textId="77777777" w:rsidR="004E2714" w:rsidRDefault="004E2714" w:rsidP="00FA6E6A">
      <w:pPr>
        <w:spacing w:after="0" w:line="240" w:lineRule="auto"/>
      </w:pPr>
      <w:r>
        <w:separator/>
      </w:r>
    </w:p>
  </w:footnote>
  <w:footnote w:type="continuationSeparator" w:id="0">
    <w:p w14:paraId="0C6CA5EF" w14:textId="77777777" w:rsidR="004E2714" w:rsidRDefault="004E2714" w:rsidP="00FA6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68D2"/>
    <w:multiLevelType w:val="multilevel"/>
    <w:tmpl w:val="198E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590F"/>
    <w:multiLevelType w:val="multilevel"/>
    <w:tmpl w:val="DC0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65180"/>
    <w:multiLevelType w:val="multilevel"/>
    <w:tmpl w:val="9E82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6476E"/>
    <w:multiLevelType w:val="multilevel"/>
    <w:tmpl w:val="141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E730D"/>
    <w:multiLevelType w:val="multilevel"/>
    <w:tmpl w:val="FF8C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564D6"/>
    <w:multiLevelType w:val="multilevel"/>
    <w:tmpl w:val="817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01836"/>
    <w:multiLevelType w:val="multilevel"/>
    <w:tmpl w:val="E77C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626190">
    <w:abstractNumId w:val="4"/>
  </w:num>
  <w:num w:numId="2" w16cid:durableId="809058001">
    <w:abstractNumId w:val="2"/>
  </w:num>
  <w:num w:numId="3" w16cid:durableId="609316240">
    <w:abstractNumId w:val="0"/>
  </w:num>
  <w:num w:numId="4" w16cid:durableId="2000649889">
    <w:abstractNumId w:val="1"/>
  </w:num>
  <w:num w:numId="5" w16cid:durableId="886188249">
    <w:abstractNumId w:val="3"/>
  </w:num>
  <w:num w:numId="6" w16cid:durableId="1003241647">
    <w:abstractNumId w:val="5"/>
  </w:num>
  <w:num w:numId="7" w16cid:durableId="9705227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6A"/>
    <w:rsid w:val="004E2714"/>
    <w:rsid w:val="00524F26"/>
    <w:rsid w:val="00772D5D"/>
    <w:rsid w:val="00807251"/>
    <w:rsid w:val="00942921"/>
    <w:rsid w:val="00FA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266C"/>
  <w15:chartTrackingRefBased/>
  <w15:docId w15:val="{639E900F-5CD1-498C-A73A-CB5012EA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E6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A6E6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E6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A6E6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A6E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ebsharegraph">
    <w:name w:val="web_sharegraph"/>
    <w:basedOn w:val="DefaultParagraphFont"/>
    <w:rsid w:val="00FA6E6A"/>
  </w:style>
  <w:style w:type="paragraph" w:customStyle="1" w:styleId="webnote">
    <w:name w:val="web_note"/>
    <w:basedOn w:val="Normal"/>
    <w:rsid w:val="00FA6E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A6E6A"/>
    <w:rPr>
      <w:i/>
      <w:iCs/>
    </w:rPr>
  </w:style>
  <w:style w:type="paragraph" w:customStyle="1" w:styleId="websource">
    <w:name w:val="web_source"/>
    <w:basedOn w:val="Normal"/>
    <w:rsid w:val="00FA6E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6E6A"/>
    <w:rPr>
      <w:b/>
      <w:bCs/>
    </w:rPr>
  </w:style>
  <w:style w:type="character" w:styleId="Hyperlink">
    <w:name w:val="Hyperlink"/>
    <w:basedOn w:val="DefaultParagraphFont"/>
    <w:uiPriority w:val="99"/>
    <w:unhideWhenUsed/>
    <w:rsid w:val="00FA6E6A"/>
    <w:rPr>
      <w:color w:val="0000FF"/>
      <w:u w:val="single"/>
    </w:rPr>
  </w:style>
  <w:style w:type="character" w:customStyle="1" w:styleId="webcomparescreen">
    <w:name w:val="web_comparescreen"/>
    <w:basedOn w:val="DefaultParagraphFont"/>
    <w:rsid w:val="00FA6E6A"/>
  </w:style>
  <w:style w:type="paragraph" w:customStyle="1" w:styleId="webtext-justify">
    <w:name w:val="web_text-justify"/>
    <w:basedOn w:val="Normal"/>
    <w:rsid w:val="00FA6E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FA6E6A"/>
    <w:rPr>
      <w:color w:val="605E5C"/>
      <w:shd w:val="clear" w:color="auto" w:fill="E1DFDD"/>
    </w:rPr>
  </w:style>
  <w:style w:type="paragraph" w:styleId="Header">
    <w:name w:val="header"/>
    <w:basedOn w:val="Normal"/>
    <w:link w:val="HeaderChar"/>
    <w:uiPriority w:val="99"/>
    <w:unhideWhenUsed/>
    <w:rsid w:val="00FA6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E6A"/>
  </w:style>
  <w:style w:type="paragraph" w:styleId="Footer">
    <w:name w:val="footer"/>
    <w:basedOn w:val="Normal"/>
    <w:link w:val="FooterChar"/>
    <w:uiPriority w:val="99"/>
    <w:unhideWhenUsed/>
    <w:rsid w:val="00FA6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409024">
      <w:bodyDiv w:val="1"/>
      <w:marLeft w:val="0"/>
      <w:marRight w:val="0"/>
      <w:marTop w:val="0"/>
      <w:marBottom w:val="0"/>
      <w:divBdr>
        <w:top w:val="none" w:sz="0" w:space="0" w:color="auto"/>
        <w:left w:val="none" w:sz="0" w:space="0" w:color="auto"/>
        <w:bottom w:val="none" w:sz="0" w:space="0" w:color="auto"/>
        <w:right w:val="none" w:sz="0" w:space="0" w:color="auto"/>
      </w:divBdr>
      <w:divsChild>
        <w:div w:id="1978947899">
          <w:marLeft w:val="0"/>
          <w:marRight w:val="0"/>
          <w:marTop w:val="0"/>
          <w:marBottom w:val="0"/>
          <w:divBdr>
            <w:top w:val="none" w:sz="0" w:space="0" w:color="auto"/>
            <w:left w:val="none" w:sz="0" w:space="0" w:color="auto"/>
            <w:bottom w:val="none" w:sz="0" w:space="0" w:color="auto"/>
            <w:right w:val="none" w:sz="0" w:space="0" w:color="auto"/>
          </w:divBdr>
          <w:divsChild>
            <w:div w:id="1494299024">
              <w:marLeft w:val="0"/>
              <w:marRight w:val="0"/>
              <w:marTop w:val="0"/>
              <w:marBottom w:val="0"/>
              <w:divBdr>
                <w:top w:val="none" w:sz="0" w:space="0" w:color="auto"/>
                <w:left w:val="none" w:sz="0" w:space="0" w:color="auto"/>
                <w:bottom w:val="none" w:sz="0" w:space="0" w:color="auto"/>
                <w:right w:val="none" w:sz="0" w:space="0" w:color="auto"/>
              </w:divBdr>
              <w:divsChild>
                <w:div w:id="1785465992">
                  <w:marLeft w:val="0"/>
                  <w:marRight w:val="0"/>
                  <w:marTop w:val="0"/>
                  <w:marBottom w:val="0"/>
                  <w:divBdr>
                    <w:top w:val="none" w:sz="0" w:space="0" w:color="auto"/>
                    <w:left w:val="none" w:sz="0" w:space="0" w:color="auto"/>
                    <w:bottom w:val="none" w:sz="0" w:space="0" w:color="auto"/>
                    <w:right w:val="none" w:sz="0" w:space="0" w:color="auto"/>
                  </w:divBdr>
                  <w:divsChild>
                    <w:div w:id="742725449">
                      <w:marLeft w:val="0"/>
                      <w:marRight w:val="0"/>
                      <w:marTop w:val="0"/>
                      <w:marBottom w:val="0"/>
                      <w:divBdr>
                        <w:top w:val="none" w:sz="0" w:space="0" w:color="auto"/>
                        <w:left w:val="none" w:sz="0" w:space="0" w:color="auto"/>
                        <w:bottom w:val="none" w:sz="0" w:space="0" w:color="auto"/>
                        <w:right w:val="none" w:sz="0" w:space="0" w:color="auto"/>
                      </w:divBdr>
                      <w:divsChild>
                        <w:div w:id="700939638">
                          <w:marLeft w:val="0"/>
                          <w:marRight w:val="0"/>
                          <w:marTop w:val="240"/>
                          <w:marBottom w:val="240"/>
                          <w:divBdr>
                            <w:top w:val="none" w:sz="0" w:space="0" w:color="auto"/>
                            <w:left w:val="none" w:sz="0" w:space="0" w:color="auto"/>
                            <w:bottom w:val="none" w:sz="0" w:space="0" w:color="auto"/>
                            <w:right w:val="none" w:sz="0" w:space="0" w:color="auto"/>
                          </w:divBdr>
                          <w:divsChild>
                            <w:div w:id="1966081742">
                              <w:marLeft w:val="0"/>
                              <w:marRight w:val="0"/>
                              <w:marTop w:val="0"/>
                              <w:marBottom w:val="0"/>
                              <w:divBdr>
                                <w:top w:val="none" w:sz="0" w:space="0" w:color="auto"/>
                                <w:left w:val="none" w:sz="0" w:space="0" w:color="auto"/>
                                <w:bottom w:val="none" w:sz="0" w:space="0" w:color="auto"/>
                                <w:right w:val="none" w:sz="0" w:space="0" w:color="auto"/>
                              </w:divBdr>
                              <w:divsChild>
                                <w:div w:id="1209802254">
                                  <w:marLeft w:val="0"/>
                                  <w:marRight w:val="0"/>
                                  <w:marTop w:val="0"/>
                                  <w:marBottom w:val="0"/>
                                  <w:divBdr>
                                    <w:top w:val="none" w:sz="0" w:space="0" w:color="auto"/>
                                    <w:left w:val="none" w:sz="0" w:space="0" w:color="auto"/>
                                    <w:bottom w:val="none" w:sz="0" w:space="0" w:color="auto"/>
                                    <w:right w:val="none" w:sz="0" w:space="0" w:color="auto"/>
                                  </w:divBdr>
                                  <w:divsChild>
                                    <w:div w:id="2035230133">
                                      <w:marLeft w:val="0"/>
                                      <w:marRight w:val="0"/>
                                      <w:marTop w:val="0"/>
                                      <w:marBottom w:val="0"/>
                                      <w:divBdr>
                                        <w:top w:val="none" w:sz="0" w:space="0" w:color="auto"/>
                                        <w:left w:val="none" w:sz="0" w:space="0" w:color="auto"/>
                                        <w:bottom w:val="single" w:sz="6" w:space="2" w:color="4E81BD"/>
                                        <w:right w:val="none" w:sz="0" w:space="0" w:color="auto"/>
                                      </w:divBdr>
                                    </w:div>
                                  </w:divsChild>
                                </w:div>
                                <w:div w:id="1770193850">
                                  <w:marLeft w:val="0"/>
                                  <w:marRight w:val="0"/>
                                  <w:marTop w:val="0"/>
                                  <w:marBottom w:val="0"/>
                                  <w:divBdr>
                                    <w:top w:val="none" w:sz="0" w:space="0" w:color="auto"/>
                                    <w:left w:val="none" w:sz="0" w:space="0" w:color="auto"/>
                                    <w:bottom w:val="none" w:sz="0" w:space="0" w:color="auto"/>
                                    <w:right w:val="none" w:sz="0" w:space="0" w:color="auto"/>
                                  </w:divBdr>
                                  <w:divsChild>
                                    <w:div w:id="166134608">
                                      <w:marLeft w:val="0"/>
                                      <w:marRight w:val="0"/>
                                      <w:marTop w:val="0"/>
                                      <w:marBottom w:val="0"/>
                                      <w:divBdr>
                                        <w:top w:val="none" w:sz="0" w:space="0" w:color="auto"/>
                                        <w:left w:val="none" w:sz="0" w:space="0" w:color="auto"/>
                                        <w:bottom w:val="single" w:sz="6" w:space="2" w:color="4E81BD"/>
                                        <w:right w:val="none" w:sz="0" w:space="0" w:color="auto"/>
                                      </w:divBdr>
                                    </w:div>
                                    <w:div w:id="1576741443">
                                      <w:marLeft w:val="0"/>
                                      <w:marRight w:val="0"/>
                                      <w:marTop w:val="0"/>
                                      <w:marBottom w:val="0"/>
                                      <w:divBdr>
                                        <w:top w:val="none" w:sz="0" w:space="0" w:color="auto"/>
                                        <w:left w:val="none" w:sz="0" w:space="0" w:color="auto"/>
                                        <w:bottom w:val="single" w:sz="6" w:space="0" w:color="4E81BD"/>
                                        <w:right w:val="none" w:sz="0" w:space="0" w:color="auto"/>
                                      </w:divBdr>
                                      <w:divsChild>
                                        <w:div w:id="1618640560">
                                          <w:marLeft w:val="0"/>
                                          <w:marRight w:val="0"/>
                                          <w:marTop w:val="0"/>
                                          <w:marBottom w:val="0"/>
                                          <w:divBdr>
                                            <w:top w:val="none" w:sz="0" w:space="0" w:color="auto"/>
                                            <w:left w:val="none" w:sz="0" w:space="0" w:color="auto"/>
                                            <w:bottom w:val="none" w:sz="0" w:space="0" w:color="auto"/>
                                            <w:right w:val="none" w:sz="0" w:space="0" w:color="auto"/>
                                          </w:divBdr>
                                          <w:divsChild>
                                            <w:div w:id="1649700767">
                                              <w:marLeft w:val="0"/>
                                              <w:marRight w:val="0"/>
                                              <w:marTop w:val="0"/>
                                              <w:marBottom w:val="0"/>
                                              <w:divBdr>
                                                <w:top w:val="none" w:sz="0" w:space="0" w:color="auto"/>
                                                <w:left w:val="none" w:sz="0" w:space="0" w:color="auto"/>
                                                <w:bottom w:val="none" w:sz="0" w:space="0" w:color="auto"/>
                                                <w:right w:val="none" w:sz="0" w:space="0" w:color="auto"/>
                                              </w:divBdr>
                                              <w:divsChild>
                                                <w:div w:id="460078917">
                                                  <w:marLeft w:val="0"/>
                                                  <w:marRight w:val="6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041855311">
                                  <w:marLeft w:val="0"/>
                                  <w:marRight w:val="0"/>
                                  <w:marTop w:val="0"/>
                                  <w:marBottom w:val="0"/>
                                  <w:divBdr>
                                    <w:top w:val="none" w:sz="0" w:space="0" w:color="auto"/>
                                    <w:left w:val="none" w:sz="0" w:space="0" w:color="auto"/>
                                    <w:bottom w:val="none" w:sz="0" w:space="0" w:color="auto"/>
                                    <w:right w:val="none" w:sz="0" w:space="0" w:color="auto"/>
                                  </w:divBdr>
                                  <w:divsChild>
                                    <w:div w:id="288440408">
                                      <w:marLeft w:val="0"/>
                                      <w:marRight w:val="0"/>
                                      <w:marTop w:val="0"/>
                                      <w:marBottom w:val="0"/>
                                      <w:divBdr>
                                        <w:top w:val="none" w:sz="0" w:space="0" w:color="auto"/>
                                        <w:left w:val="none" w:sz="0" w:space="0" w:color="auto"/>
                                        <w:bottom w:val="single" w:sz="6" w:space="2" w:color="4E81BD"/>
                                        <w:right w:val="none" w:sz="0" w:space="0" w:color="auto"/>
                                      </w:divBdr>
                                    </w:div>
                                  </w:divsChild>
                                </w:div>
                                <w:div w:id="1753619701">
                                  <w:marLeft w:val="0"/>
                                  <w:marRight w:val="0"/>
                                  <w:marTop w:val="0"/>
                                  <w:marBottom w:val="0"/>
                                  <w:divBdr>
                                    <w:top w:val="none" w:sz="0" w:space="0" w:color="auto"/>
                                    <w:left w:val="none" w:sz="0" w:space="0" w:color="auto"/>
                                    <w:bottom w:val="none" w:sz="0" w:space="0" w:color="auto"/>
                                    <w:right w:val="none" w:sz="0" w:space="0" w:color="auto"/>
                                  </w:divBdr>
                                  <w:divsChild>
                                    <w:div w:id="974023985">
                                      <w:marLeft w:val="0"/>
                                      <w:marRight w:val="0"/>
                                      <w:marTop w:val="0"/>
                                      <w:marBottom w:val="0"/>
                                      <w:divBdr>
                                        <w:top w:val="none" w:sz="0" w:space="0" w:color="auto"/>
                                        <w:left w:val="none" w:sz="0" w:space="0" w:color="auto"/>
                                        <w:bottom w:val="single" w:sz="6" w:space="2" w:color="4E81BD"/>
                                        <w:right w:val="none" w:sz="0" w:space="0" w:color="auto"/>
                                      </w:divBdr>
                                    </w:div>
                                  </w:divsChild>
                                </w:div>
                                <w:div w:id="863982963">
                                  <w:marLeft w:val="0"/>
                                  <w:marRight w:val="0"/>
                                  <w:marTop w:val="0"/>
                                  <w:marBottom w:val="0"/>
                                  <w:divBdr>
                                    <w:top w:val="none" w:sz="0" w:space="0" w:color="auto"/>
                                    <w:left w:val="none" w:sz="0" w:space="0" w:color="auto"/>
                                    <w:bottom w:val="none" w:sz="0" w:space="0" w:color="auto"/>
                                    <w:right w:val="none" w:sz="0" w:space="0" w:color="auto"/>
                                  </w:divBdr>
                                  <w:divsChild>
                                    <w:div w:id="1935477438">
                                      <w:marLeft w:val="0"/>
                                      <w:marRight w:val="0"/>
                                      <w:marTop w:val="0"/>
                                      <w:marBottom w:val="0"/>
                                      <w:divBdr>
                                        <w:top w:val="none" w:sz="0" w:space="0" w:color="auto"/>
                                        <w:left w:val="none" w:sz="0" w:space="0" w:color="auto"/>
                                        <w:bottom w:val="single" w:sz="6" w:space="2" w:color="4E81BD"/>
                                        <w:right w:val="none" w:sz="0" w:space="0" w:color="auto"/>
                                      </w:divBdr>
                                    </w:div>
                                  </w:divsChild>
                                </w:div>
                                <w:div w:id="1527600659">
                                  <w:marLeft w:val="0"/>
                                  <w:marRight w:val="0"/>
                                  <w:marTop w:val="0"/>
                                  <w:marBottom w:val="0"/>
                                  <w:divBdr>
                                    <w:top w:val="none" w:sz="0" w:space="0" w:color="auto"/>
                                    <w:left w:val="none" w:sz="0" w:space="0" w:color="auto"/>
                                    <w:bottom w:val="none" w:sz="0" w:space="0" w:color="auto"/>
                                    <w:right w:val="none" w:sz="0" w:space="0" w:color="auto"/>
                                  </w:divBdr>
                                  <w:divsChild>
                                    <w:div w:id="1306352759">
                                      <w:marLeft w:val="0"/>
                                      <w:marRight w:val="0"/>
                                      <w:marTop w:val="0"/>
                                      <w:marBottom w:val="0"/>
                                      <w:divBdr>
                                        <w:top w:val="none" w:sz="0" w:space="0" w:color="auto"/>
                                        <w:left w:val="none" w:sz="0" w:space="0" w:color="auto"/>
                                        <w:bottom w:val="single" w:sz="6" w:space="2" w:color="4E81BD"/>
                                        <w:right w:val="none" w:sz="0" w:space="0" w:color="auto"/>
                                      </w:divBdr>
                                    </w:div>
                                    <w:div w:id="1905066523">
                                      <w:marLeft w:val="0"/>
                                      <w:marRight w:val="0"/>
                                      <w:marTop w:val="0"/>
                                      <w:marBottom w:val="0"/>
                                      <w:divBdr>
                                        <w:top w:val="none" w:sz="0" w:space="0" w:color="auto"/>
                                        <w:left w:val="none" w:sz="0" w:space="0" w:color="auto"/>
                                        <w:bottom w:val="single" w:sz="6" w:space="0" w:color="4E81BD"/>
                                        <w:right w:val="none" w:sz="0" w:space="0" w:color="auto"/>
                                      </w:divBdr>
                                      <w:divsChild>
                                        <w:div w:id="1912620473">
                                          <w:marLeft w:val="0"/>
                                          <w:marRight w:val="0"/>
                                          <w:marTop w:val="0"/>
                                          <w:marBottom w:val="0"/>
                                          <w:divBdr>
                                            <w:top w:val="none" w:sz="0" w:space="0" w:color="auto"/>
                                            <w:left w:val="none" w:sz="0" w:space="0" w:color="auto"/>
                                            <w:bottom w:val="none" w:sz="0" w:space="0" w:color="auto"/>
                                            <w:right w:val="none" w:sz="0" w:space="0" w:color="auto"/>
                                          </w:divBdr>
                                          <w:divsChild>
                                            <w:div w:id="2123836325">
                                              <w:marLeft w:val="0"/>
                                              <w:marRight w:val="60"/>
                                              <w:marTop w:val="300"/>
                                              <w:marBottom w:val="0"/>
                                              <w:divBdr>
                                                <w:top w:val="none" w:sz="0" w:space="0" w:color="auto"/>
                                                <w:left w:val="none" w:sz="0" w:space="0" w:color="auto"/>
                                                <w:bottom w:val="none" w:sz="0" w:space="0" w:color="auto"/>
                                                <w:right w:val="none" w:sz="0" w:space="0" w:color="auto"/>
                                              </w:divBdr>
                                            </w:div>
                                            <w:div w:id="581450038">
                                              <w:marLeft w:val="0"/>
                                              <w:marRight w:val="0"/>
                                              <w:marTop w:val="0"/>
                                              <w:marBottom w:val="0"/>
                                              <w:divBdr>
                                                <w:top w:val="none" w:sz="0" w:space="0" w:color="auto"/>
                                                <w:left w:val="none" w:sz="0" w:space="0" w:color="auto"/>
                                                <w:bottom w:val="none" w:sz="0" w:space="0" w:color="auto"/>
                                                <w:right w:val="none" w:sz="0" w:space="0" w:color="auto"/>
                                              </w:divBdr>
                                              <w:divsChild>
                                                <w:div w:id="6295063">
                                                  <w:marLeft w:val="0"/>
                                                  <w:marRight w:val="6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789862408">
                                  <w:marLeft w:val="0"/>
                                  <w:marRight w:val="0"/>
                                  <w:marTop w:val="0"/>
                                  <w:marBottom w:val="0"/>
                                  <w:divBdr>
                                    <w:top w:val="none" w:sz="0" w:space="0" w:color="auto"/>
                                    <w:left w:val="none" w:sz="0" w:space="0" w:color="auto"/>
                                    <w:bottom w:val="none" w:sz="0" w:space="0" w:color="auto"/>
                                    <w:right w:val="none" w:sz="0" w:space="0" w:color="auto"/>
                                  </w:divBdr>
                                  <w:divsChild>
                                    <w:div w:id="1217661715">
                                      <w:marLeft w:val="0"/>
                                      <w:marRight w:val="0"/>
                                      <w:marTop w:val="0"/>
                                      <w:marBottom w:val="0"/>
                                      <w:divBdr>
                                        <w:top w:val="none" w:sz="0" w:space="0" w:color="auto"/>
                                        <w:left w:val="none" w:sz="0" w:space="0" w:color="auto"/>
                                        <w:bottom w:val="single" w:sz="6" w:space="2" w:color="4E81BD"/>
                                        <w:right w:val="none" w:sz="0" w:space="0" w:color="auto"/>
                                      </w:divBdr>
                                    </w:div>
                                    <w:div w:id="1253472763">
                                      <w:marLeft w:val="0"/>
                                      <w:marRight w:val="0"/>
                                      <w:marTop w:val="0"/>
                                      <w:marBottom w:val="0"/>
                                      <w:divBdr>
                                        <w:top w:val="none" w:sz="0" w:space="0" w:color="auto"/>
                                        <w:left w:val="none" w:sz="0" w:space="0" w:color="auto"/>
                                        <w:bottom w:val="single" w:sz="6" w:space="0" w:color="4E81BD"/>
                                        <w:right w:val="none" w:sz="0" w:space="0" w:color="auto"/>
                                      </w:divBdr>
                                      <w:divsChild>
                                        <w:div w:id="1552421010">
                                          <w:marLeft w:val="0"/>
                                          <w:marRight w:val="0"/>
                                          <w:marTop w:val="0"/>
                                          <w:marBottom w:val="0"/>
                                          <w:divBdr>
                                            <w:top w:val="none" w:sz="0" w:space="0" w:color="auto"/>
                                            <w:left w:val="none" w:sz="0" w:space="0" w:color="auto"/>
                                            <w:bottom w:val="none" w:sz="0" w:space="0" w:color="auto"/>
                                            <w:right w:val="none" w:sz="0" w:space="0" w:color="auto"/>
                                          </w:divBdr>
                                          <w:divsChild>
                                            <w:div w:id="1464694424">
                                              <w:marLeft w:val="0"/>
                                              <w:marRight w:val="60"/>
                                              <w:marTop w:val="300"/>
                                              <w:marBottom w:val="0"/>
                                              <w:divBdr>
                                                <w:top w:val="none" w:sz="0" w:space="0" w:color="auto"/>
                                                <w:left w:val="none" w:sz="0" w:space="0" w:color="auto"/>
                                                <w:bottom w:val="none" w:sz="0" w:space="0" w:color="auto"/>
                                                <w:right w:val="none" w:sz="0" w:space="0" w:color="auto"/>
                                              </w:divBdr>
                                            </w:div>
                                            <w:div w:id="258418253">
                                              <w:marLeft w:val="0"/>
                                              <w:marRight w:val="0"/>
                                              <w:marTop w:val="0"/>
                                              <w:marBottom w:val="0"/>
                                              <w:divBdr>
                                                <w:top w:val="none" w:sz="0" w:space="0" w:color="auto"/>
                                                <w:left w:val="none" w:sz="0" w:space="0" w:color="auto"/>
                                                <w:bottom w:val="none" w:sz="0" w:space="0" w:color="auto"/>
                                                <w:right w:val="none" w:sz="0" w:space="0" w:color="auto"/>
                                              </w:divBdr>
                                              <w:divsChild>
                                                <w:div w:id="1492793532">
                                                  <w:marLeft w:val="0"/>
                                                  <w:marRight w:val="6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428689995">
                                  <w:marLeft w:val="0"/>
                                  <w:marRight w:val="0"/>
                                  <w:marTop w:val="0"/>
                                  <w:marBottom w:val="0"/>
                                  <w:divBdr>
                                    <w:top w:val="none" w:sz="0" w:space="0" w:color="auto"/>
                                    <w:left w:val="none" w:sz="0" w:space="0" w:color="auto"/>
                                    <w:bottom w:val="none" w:sz="0" w:space="0" w:color="auto"/>
                                    <w:right w:val="none" w:sz="0" w:space="0" w:color="auto"/>
                                  </w:divBdr>
                                </w:div>
                                <w:div w:id="1794396442">
                                  <w:marLeft w:val="0"/>
                                  <w:marRight w:val="0"/>
                                  <w:marTop w:val="0"/>
                                  <w:marBottom w:val="0"/>
                                  <w:divBdr>
                                    <w:top w:val="none" w:sz="0" w:space="0" w:color="auto"/>
                                    <w:left w:val="none" w:sz="0" w:space="0" w:color="auto"/>
                                    <w:bottom w:val="none" w:sz="0" w:space="0" w:color="auto"/>
                                    <w:right w:val="none" w:sz="0" w:space="0" w:color="auto"/>
                                  </w:divBdr>
                                  <w:divsChild>
                                    <w:div w:id="303124673">
                                      <w:marLeft w:val="0"/>
                                      <w:marRight w:val="0"/>
                                      <w:marTop w:val="0"/>
                                      <w:marBottom w:val="0"/>
                                      <w:divBdr>
                                        <w:top w:val="none" w:sz="0" w:space="0" w:color="auto"/>
                                        <w:left w:val="none" w:sz="0" w:space="0" w:color="auto"/>
                                        <w:bottom w:val="single" w:sz="6" w:space="2" w:color="4E81BD"/>
                                        <w:right w:val="none" w:sz="0" w:space="0" w:color="auto"/>
                                      </w:divBdr>
                                    </w:div>
                                    <w:div w:id="357242701">
                                      <w:marLeft w:val="-450"/>
                                      <w:marRight w:val="0"/>
                                      <w:marTop w:val="624"/>
                                      <w:marBottom w:val="624"/>
                                      <w:divBdr>
                                        <w:top w:val="none" w:sz="0" w:space="0" w:color="auto"/>
                                        <w:left w:val="none" w:sz="0" w:space="0" w:color="auto"/>
                                        <w:bottom w:val="none" w:sz="0" w:space="0" w:color="auto"/>
                                        <w:right w:val="none" w:sz="0" w:space="0" w:color="auto"/>
                                      </w:divBdr>
                                      <w:divsChild>
                                        <w:div w:id="796407859">
                                          <w:marLeft w:val="0"/>
                                          <w:marRight w:val="0"/>
                                          <w:marTop w:val="0"/>
                                          <w:marBottom w:val="0"/>
                                          <w:divBdr>
                                            <w:top w:val="none" w:sz="0" w:space="0" w:color="auto"/>
                                            <w:left w:val="none" w:sz="0" w:space="0" w:color="auto"/>
                                            <w:bottom w:val="single" w:sz="6" w:space="0" w:color="4E81BD"/>
                                            <w:right w:val="none" w:sz="0" w:space="0" w:color="auto"/>
                                          </w:divBdr>
                                          <w:divsChild>
                                            <w:div w:id="7239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0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564415015">
                          <w:marLeft w:val="0"/>
                          <w:marRight w:val="0"/>
                          <w:marTop w:val="0"/>
                          <w:marBottom w:val="0"/>
                          <w:divBdr>
                            <w:top w:val="none" w:sz="0" w:space="0" w:color="auto"/>
                            <w:left w:val="none" w:sz="0" w:space="0" w:color="auto"/>
                            <w:bottom w:val="none" w:sz="0" w:space="0" w:color="auto"/>
                            <w:right w:val="none" w:sz="0" w:space="0" w:color="auto"/>
                          </w:divBdr>
                          <w:divsChild>
                            <w:div w:id="1562709866">
                              <w:marLeft w:val="0"/>
                              <w:marRight w:val="0"/>
                              <w:marTop w:val="720"/>
                              <w:marBottom w:val="0"/>
                              <w:divBdr>
                                <w:top w:val="none" w:sz="0" w:space="0" w:color="auto"/>
                                <w:left w:val="none" w:sz="0" w:space="0" w:color="auto"/>
                                <w:bottom w:val="none" w:sz="0" w:space="0" w:color="auto"/>
                                <w:right w:val="none" w:sz="0" w:space="0" w:color="auto"/>
                              </w:divBdr>
                              <w:divsChild>
                                <w:div w:id="10416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reyourcountry.org/education-at-a-glance-2021/en/5/3059+3060+3061+3062+3063+3064/default" TargetMode="External"/><Relationship Id="rId13" Type="http://schemas.openxmlformats.org/officeDocument/2006/relationships/hyperlink" Target="https://dx.doi.org/10.1787/69096873-en" TargetMode="External"/><Relationship Id="rId18" Type="http://schemas.openxmlformats.org/officeDocument/2006/relationships/hyperlink" Target="https://doi.org/10.1787/9789264304444-en" TargetMode="External"/><Relationship Id="rId3" Type="http://schemas.openxmlformats.org/officeDocument/2006/relationships/settings" Target="settings.xml"/><Relationship Id="rId21" Type="http://schemas.openxmlformats.org/officeDocument/2006/relationships/hyperlink" Target="mailto:marie-helene.doumet@oecd.org" TargetMode="External"/><Relationship Id="rId7" Type="http://schemas.openxmlformats.org/officeDocument/2006/relationships/hyperlink" Target="https://www.oecd.org/education/education-at-a-glance/EAG2021_Annex3_ChapterB.pdf" TargetMode="External"/><Relationship Id="rId12" Type="http://schemas.openxmlformats.org/officeDocument/2006/relationships/hyperlink" Target="https://www.oecd.org/education/education-at-a-glance/EAG2021_Annex3_ChapterD.pdf" TargetMode="External"/><Relationship Id="rId17" Type="http://schemas.openxmlformats.org/officeDocument/2006/relationships/hyperlink" Target="https://www.oecd.org/education/education-at-a-glance/EAG2021_Annex3.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787/b35a14e5-en" TargetMode="External"/><Relationship Id="rId20" Type="http://schemas.openxmlformats.org/officeDocument/2006/relationships/hyperlink" Target="https://gpseducation.oecd.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ts.oecd.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787/1a23bb23-en" TargetMode="External"/><Relationship Id="rId23" Type="http://schemas.openxmlformats.org/officeDocument/2006/relationships/footer" Target="footer1.xml"/><Relationship Id="rId10" Type="http://schemas.openxmlformats.org/officeDocument/2006/relationships/hyperlink" Target="https://www.compareyourcountry.org/education-at-a-glance-2021/en/7/all/default" TargetMode="External"/><Relationship Id="rId19" Type="http://schemas.openxmlformats.org/officeDocument/2006/relationships/hyperlink" Target="http://dx.doi.org/10.1787/eag-data-en" TargetMode="External"/><Relationship Id="rId4" Type="http://schemas.openxmlformats.org/officeDocument/2006/relationships/webSettings" Target="webSettings.xml"/><Relationship Id="rId9" Type="http://schemas.openxmlformats.org/officeDocument/2006/relationships/hyperlink" Target="https://www.oecd.org/education/education-at-a-glance/EAG2021_Annex3_ChapterC.pdf" TargetMode="External"/><Relationship Id="rId14" Type="http://schemas.openxmlformats.org/officeDocument/2006/relationships/hyperlink" Target="https://dx.doi.org/10.1787/213e806c-en" TargetMode="External"/><Relationship Id="rId22" Type="http://schemas.openxmlformats.org/officeDocument/2006/relationships/hyperlink" Target="http://www.oecd.org/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3784</Words>
  <Characters>21572</Characters>
  <Application>Microsoft Office Word</Application>
  <DocSecurity>0</DocSecurity>
  <Lines>179</Lines>
  <Paragraphs>50</Paragraphs>
  <ScaleCrop>false</ScaleCrop>
  <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Aleta</dc:creator>
  <cp:keywords/>
  <dc:description/>
  <cp:lastModifiedBy>Mary Aleta</cp:lastModifiedBy>
  <cp:revision>1</cp:revision>
  <dcterms:created xsi:type="dcterms:W3CDTF">2023-07-01T16:43:00Z</dcterms:created>
  <dcterms:modified xsi:type="dcterms:W3CDTF">2023-07-01T16:46:00Z</dcterms:modified>
</cp:coreProperties>
</file>