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4A31" w14:textId="0E6854DA" w:rsidR="00B06938" w:rsidRDefault="00B06938" w:rsidP="00B06938">
      <w:pPr>
        <w:shd w:val="clear" w:color="auto" w:fill="F6F6F6"/>
        <w:spacing w:after="120" w:line="240" w:lineRule="atLeast"/>
        <w:rPr>
          <w:rFonts w:ascii="Open Sans" w:eastAsia="Times New Roman" w:hAnsi="Open Sans" w:cs="Open Sans"/>
          <w:b/>
          <w:bCs/>
          <w:caps/>
          <w:color w:val="787878"/>
          <w:kern w:val="0"/>
          <w:sz w:val="18"/>
          <w:szCs w:val="18"/>
          <w14:ligatures w14:val="none"/>
        </w:rPr>
      </w:pPr>
      <w:r w:rsidRPr="00B06938">
        <w:rPr>
          <w:rFonts w:ascii="Open Sans" w:eastAsia="Times New Roman" w:hAnsi="Open Sans" w:cs="Open Sans"/>
          <w:b/>
          <w:bCs/>
          <w:caps/>
          <w:color w:val="787878"/>
          <w:kern w:val="0"/>
          <w:sz w:val="18"/>
          <w:szCs w:val="18"/>
          <w14:ligatures w14:val="none"/>
        </w:rPr>
        <w:t>https://www.worldbank.org/en/country/turkey/brief/turkeys-improvements-in-the-quality-of-learning</w:t>
      </w:r>
    </w:p>
    <w:p w14:paraId="4727601D" w14:textId="77777777" w:rsidR="00B06938" w:rsidRDefault="00B06938" w:rsidP="00B06938">
      <w:pPr>
        <w:shd w:val="clear" w:color="auto" w:fill="F6F6F6"/>
        <w:spacing w:after="120" w:line="240" w:lineRule="atLeast"/>
        <w:rPr>
          <w:rFonts w:ascii="Open Sans" w:eastAsia="Times New Roman" w:hAnsi="Open Sans" w:cs="Open Sans"/>
          <w:b/>
          <w:bCs/>
          <w:caps/>
          <w:color w:val="787878"/>
          <w:kern w:val="0"/>
          <w:sz w:val="18"/>
          <w:szCs w:val="18"/>
          <w14:ligatures w14:val="none"/>
        </w:rPr>
      </w:pPr>
    </w:p>
    <w:p w14:paraId="43D72885" w14:textId="16F81AC3" w:rsidR="00B06938" w:rsidRPr="00B06938" w:rsidRDefault="00B06938" w:rsidP="00B06938">
      <w:pPr>
        <w:shd w:val="clear" w:color="auto" w:fill="F6F6F6"/>
        <w:spacing w:after="120" w:line="240" w:lineRule="atLeast"/>
        <w:rPr>
          <w:rFonts w:ascii="Open Sans" w:eastAsia="Times New Roman" w:hAnsi="Open Sans" w:cs="Open Sans"/>
          <w:b/>
          <w:bCs/>
          <w:caps/>
          <w:color w:val="787878"/>
          <w:kern w:val="0"/>
          <w:sz w:val="18"/>
          <w:szCs w:val="18"/>
          <w14:ligatures w14:val="none"/>
        </w:rPr>
      </w:pPr>
      <w:r w:rsidRPr="00B06938">
        <w:rPr>
          <w:rFonts w:ascii="Open Sans" w:eastAsia="Times New Roman" w:hAnsi="Open Sans" w:cs="Open Sans"/>
          <w:b/>
          <w:bCs/>
          <w:caps/>
          <w:color w:val="787878"/>
          <w:kern w:val="0"/>
          <w:sz w:val="18"/>
          <w:szCs w:val="18"/>
          <w14:ligatures w14:val="none"/>
        </w:rPr>
        <w:t>BRIEF JANUARY 21, 2021</w:t>
      </w:r>
    </w:p>
    <w:p w14:paraId="303A5AB9" w14:textId="77777777" w:rsidR="00B06938" w:rsidRPr="00B06938" w:rsidRDefault="00B06938" w:rsidP="00B06938">
      <w:pPr>
        <w:shd w:val="clear" w:color="auto" w:fill="F6F6F6"/>
        <w:spacing w:after="240" w:line="720" w:lineRule="atLeast"/>
        <w:outlineLvl w:val="0"/>
        <w:rPr>
          <w:rFonts w:ascii="Arial" w:eastAsia="Times New Roman" w:hAnsi="Arial" w:cs="Arial"/>
          <w:b/>
          <w:bCs/>
          <w:color w:val="333333"/>
          <w:kern w:val="36"/>
          <w:sz w:val="66"/>
          <w:szCs w:val="66"/>
          <w14:ligatures w14:val="none"/>
        </w:rPr>
      </w:pPr>
      <w:r w:rsidRPr="00B06938">
        <w:rPr>
          <w:rFonts w:ascii="Arial" w:eastAsia="Times New Roman" w:hAnsi="Arial" w:cs="Arial"/>
          <w:b/>
          <w:bCs/>
          <w:color w:val="333333"/>
          <w:kern w:val="36"/>
          <w:sz w:val="66"/>
          <w:szCs w:val="66"/>
          <w14:ligatures w14:val="none"/>
        </w:rPr>
        <w:t>Turkey’s Improvements in the Quality of Learning: TIMMS 2019 Results</w:t>
      </w:r>
    </w:p>
    <w:p w14:paraId="55E4706D" w14:textId="77777777" w:rsid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p>
    <w:p w14:paraId="211A36B8" w14:textId="3E942F39"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t>Turkey has made considerable improvements in quality of learning, based on math and science test scores among its students in grades 4 and 8. This has been confirmed by the 2019 </w:t>
      </w:r>
      <w:hyperlink r:id="rId7" w:tgtFrame="_blank" w:history="1">
        <w:r w:rsidRPr="00B06938">
          <w:rPr>
            <w:rFonts w:ascii="Open Sans" w:eastAsia="Times New Roman" w:hAnsi="Open Sans" w:cs="Open Sans"/>
            <w:color w:val="0071BC"/>
            <w:kern w:val="0"/>
            <w:sz w:val="27"/>
            <w:szCs w:val="27"/>
            <w:u w:val="single"/>
            <w14:ligatures w14:val="none"/>
          </w:rPr>
          <w:t>Trends in International Mathematics and Science Study</w:t>
        </w:r>
      </w:hyperlink>
      <w:r w:rsidRPr="00B06938">
        <w:rPr>
          <w:rFonts w:ascii="Open Sans" w:eastAsia="Times New Roman" w:hAnsi="Open Sans" w:cs="Open Sans"/>
          <w:color w:val="333333"/>
          <w:kern w:val="0"/>
          <w:sz w:val="27"/>
          <w:szCs w:val="27"/>
          <w14:ligatures w14:val="none"/>
        </w:rPr>
        <w:t> (TIMSS), which covered 64 countries around the world. It also increased the proportion of students reaching high and advanced international benchmarks. Such progress can be attributed to Turkey’s commitments to increasing the quality and equity of education - along with building on previous gains in schooling access. Some of the proposed educational goals and reforms are included in three key national development plans: </w:t>
      </w:r>
      <w:hyperlink r:id="rId8" w:tgtFrame="_blank" w:history="1">
        <w:r w:rsidRPr="00B06938">
          <w:rPr>
            <w:rFonts w:ascii="Open Sans" w:eastAsia="Times New Roman" w:hAnsi="Open Sans" w:cs="Open Sans"/>
            <w:color w:val="0071BC"/>
            <w:kern w:val="0"/>
            <w:sz w:val="27"/>
            <w:szCs w:val="27"/>
            <w:u w:val="single"/>
            <w14:ligatures w14:val="none"/>
          </w:rPr>
          <w:t>Turkey’s Education Vision 2023</w:t>
        </w:r>
      </w:hyperlink>
      <w:r w:rsidRPr="00B06938">
        <w:rPr>
          <w:rFonts w:ascii="Open Sans" w:eastAsia="Times New Roman" w:hAnsi="Open Sans" w:cs="Open Sans"/>
          <w:color w:val="333333"/>
          <w:kern w:val="0"/>
          <w:sz w:val="27"/>
          <w:szCs w:val="27"/>
          <w14:ligatures w14:val="none"/>
        </w:rPr>
        <w:t>, </w:t>
      </w:r>
      <w:hyperlink r:id="rId9" w:tgtFrame="_blank" w:history="1">
        <w:r w:rsidRPr="00B06938">
          <w:rPr>
            <w:rFonts w:ascii="Open Sans" w:eastAsia="Times New Roman" w:hAnsi="Open Sans" w:cs="Open Sans"/>
            <w:color w:val="0071BC"/>
            <w:kern w:val="0"/>
            <w:sz w:val="27"/>
            <w:szCs w:val="27"/>
            <w:u w:val="single"/>
            <w14:ligatures w14:val="none"/>
          </w:rPr>
          <w:t>Eleventh Development Plan 2019-2023</w:t>
        </w:r>
      </w:hyperlink>
      <w:r w:rsidRPr="00B06938">
        <w:rPr>
          <w:rFonts w:ascii="Open Sans" w:eastAsia="Times New Roman" w:hAnsi="Open Sans" w:cs="Open Sans"/>
          <w:color w:val="333333"/>
          <w:kern w:val="0"/>
          <w:sz w:val="27"/>
          <w:szCs w:val="27"/>
          <w14:ligatures w14:val="none"/>
        </w:rPr>
        <w:t> and </w:t>
      </w:r>
      <w:hyperlink r:id="rId10" w:tgtFrame="_blank" w:history="1">
        <w:r w:rsidRPr="00B06938">
          <w:rPr>
            <w:rFonts w:ascii="Open Sans" w:eastAsia="Times New Roman" w:hAnsi="Open Sans" w:cs="Open Sans"/>
            <w:color w:val="0071BC"/>
            <w:kern w:val="0"/>
            <w:sz w:val="27"/>
            <w:szCs w:val="27"/>
            <w:u w:val="single"/>
            <w14:ligatures w14:val="none"/>
          </w:rPr>
          <w:t>Education Strategy Plan 2019-2023.</w:t>
        </w:r>
      </w:hyperlink>
    </w:p>
    <w:p w14:paraId="05B1E8F8"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t>Turkey participated in TIMMS assessments in 1999, 2007, 2011, 2015 and 2019. Both math and science show ongoing improvement (see Figure 1) and average scores have increased in all regions except the Western Black Sea region, which showed limited increase in science for fourth graders.</w:t>
      </w:r>
    </w:p>
    <w:p w14:paraId="15432772" w14:textId="77777777" w:rsidR="00B06938" w:rsidRPr="00B06938" w:rsidRDefault="00B06938" w:rsidP="00B06938">
      <w:pPr>
        <w:shd w:val="clear" w:color="auto" w:fill="FFFFFF"/>
        <w:spacing w:before="375" w:after="375" w:line="240" w:lineRule="auto"/>
        <w:rPr>
          <w:rFonts w:ascii="Open Sans" w:eastAsia="Times New Roman" w:hAnsi="Open Sans" w:cs="Open Sans"/>
          <w:color w:val="333333"/>
          <w:kern w:val="0"/>
          <w:sz w:val="24"/>
          <w:szCs w:val="24"/>
          <w14:ligatures w14:val="none"/>
        </w:rPr>
      </w:pPr>
      <w:r w:rsidRPr="00B06938">
        <w:rPr>
          <w:rFonts w:ascii="Open Sans" w:eastAsia="Times New Roman" w:hAnsi="Open Sans" w:cs="Open Sans"/>
          <w:color w:val="333333"/>
          <w:kern w:val="0"/>
          <w:sz w:val="24"/>
          <w:szCs w:val="24"/>
          <w14:ligatures w14:val="none"/>
        </w:rPr>
        <w:pict w14:anchorId="2B953DB3">
          <v:rect id="_x0000_i1025" style="width:0;height:0" o:hralign="center" o:hrstd="t" o:hr="t" fillcolor="#a0a0a0" stroked="f"/>
        </w:pict>
      </w:r>
    </w:p>
    <w:p w14:paraId="4C4D007A" w14:textId="0EEE9209"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noProof/>
          <w:color w:val="333333"/>
          <w:kern w:val="0"/>
          <w:sz w:val="27"/>
          <w:szCs w:val="27"/>
          <w14:ligatures w14:val="none"/>
        </w:rPr>
        <w:lastRenderedPageBreak/>
        <w:drawing>
          <wp:inline distT="0" distB="0" distL="0" distR="0" wp14:anchorId="176CCBE7" wp14:editId="1732B24A">
            <wp:extent cx="5943600" cy="3345180"/>
            <wp:effectExtent l="0" t="0" r="0" b="7620"/>
            <wp:docPr id="14840946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B06938">
        <w:rPr>
          <w:rFonts w:ascii="Open Sans" w:eastAsia="Times New Roman" w:hAnsi="Open Sans" w:cs="Open Sans"/>
          <w:color w:val="333333"/>
          <w:kern w:val="0"/>
          <w:sz w:val="27"/>
          <w:szCs w:val="27"/>
          <w14:ligatures w14:val="none"/>
        </w:rPr>
        <w:t> </w:t>
      </w:r>
    </w:p>
    <w:p w14:paraId="41182DC6"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Turkey’s 2019 International and within EU Performance in Math</w:t>
      </w:r>
    </w:p>
    <w:p w14:paraId="57A0DC85"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t>At the fourth-grade level, within all participants, Turkey outperformed 28 countries – including the Slovak Republic, Croatia, Spain and France. Turkey performed lower than 17 countries - including Ireland, Latvia, Lithuania, Austria, Netherlands, Czech Republic and Belgium. Those countries that performed similar to Turkey included Cyprus, Finland, Portugal, Denmark, Hungary, Sweden, Germany, Poland, Bulgaria, and Italy.</w:t>
      </w:r>
    </w:p>
    <w:p w14:paraId="5138C11E"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t>At the eighth-grade level, Turkey performed better than 18 countries overall - including France and Romania. Turkey performed lower than 14 countries- including Ireland, Lithuania, Hungary, and Finland. Participants from EU countries performing at a similar level to Turkey included Sweden, Cyprus, Portugal, and Italy.</w:t>
      </w:r>
    </w:p>
    <w:p w14:paraId="09557DD5"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Turkey’s 2019 International and within EU Performance in Science</w:t>
      </w:r>
    </w:p>
    <w:p w14:paraId="2FC9175E"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lastRenderedPageBreak/>
        <w:t>At the fourth-grade level, out of 58 countries, Turkey performed significantly higher than 29 countries, including Cyprus, Spain, Italy, Portugal, Belgium (Flemish Region), and France. Turkey performed lower than 12 countries, including Finland, Latvia, Lithuania, and Sweden. EU countries with similar performance levels as Turkey are the Czech Republic, Poland, Hungary, Ireland, Croatia, Denmark, Austria, Bulgaria, Slovak Republic, Netherlands, and Germany.</w:t>
      </w:r>
    </w:p>
    <w:p w14:paraId="50923376"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t>At the eighth grade-level, out of 39 countries, Turkey performed better than 22 countries, including Italy, France, Cyprus, and Romania. Turkey's science performance is lower than 9 countries, including Finland, Lithuania, and Hungary. EU countries that perform at the same level as Turkey are Ireland, Sweden, and Portugal.</w:t>
      </w:r>
    </w:p>
    <w:p w14:paraId="13CD0631"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What explains Turkey’s learning improvements?</w:t>
      </w:r>
    </w:p>
    <w:p w14:paraId="3B7354DA"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t>A detailed analysis is planned to identify key interventions that explain Turkey’s learning improvements. So far, attributed factors by the </w:t>
      </w:r>
      <w:hyperlink r:id="rId12" w:tgtFrame="_blank" w:history="1">
        <w:r w:rsidRPr="00B06938">
          <w:rPr>
            <w:rFonts w:ascii="Open Sans" w:eastAsia="Times New Roman" w:hAnsi="Open Sans" w:cs="Open Sans"/>
            <w:color w:val="0071BC"/>
            <w:kern w:val="0"/>
            <w:sz w:val="27"/>
            <w:szCs w:val="27"/>
            <w:u w:val="single"/>
            <w14:ligatures w14:val="none"/>
          </w:rPr>
          <w:t>Ministry of National Education</w:t>
        </w:r>
      </w:hyperlink>
      <w:r w:rsidRPr="00B06938">
        <w:rPr>
          <w:rFonts w:ascii="Open Sans" w:eastAsia="Times New Roman" w:hAnsi="Open Sans" w:cs="Open Sans"/>
          <w:color w:val="333333"/>
          <w:kern w:val="0"/>
          <w:sz w:val="27"/>
          <w:szCs w:val="27"/>
          <w14:ligatures w14:val="none"/>
        </w:rPr>
        <w:t> include investments in teacher training, e-learning support, assessment reforms, and inclusion of 21</w:t>
      </w:r>
      <w:r w:rsidRPr="00B06938">
        <w:rPr>
          <w:rFonts w:ascii="Open Sans" w:eastAsia="Times New Roman" w:hAnsi="Open Sans" w:cs="Open Sans"/>
          <w:color w:val="333333"/>
          <w:kern w:val="0"/>
          <w:sz w:val="20"/>
          <w:szCs w:val="20"/>
          <w:vertAlign w:val="superscript"/>
          <w14:ligatures w14:val="none"/>
        </w:rPr>
        <w:t>st</w:t>
      </w:r>
      <w:r w:rsidRPr="00B06938">
        <w:rPr>
          <w:rFonts w:ascii="Open Sans" w:eastAsia="Times New Roman" w:hAnsi="Open Sans" w:cs="Open Sans"/>
          <w:color w:val="333333"/>
          <w:kern w:val="0"/>
          <w:sz w:val="27"/>
          <w:szCs w:val="27"/>
          <w14:ligatures w14:val="none"/>
        </w:rPr>
        <w:t> century/modern skills in all K-12 curriculum.</w:t>
      </w:r>
    </w:p>
    <w:p w14:paraId="528AFADF"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t>TIMMS also collected preliminary data on other home and school factors which may contribute to learning improvements. For Turkey, these include school climate, school staff, students’ attitude and curriculum and instruction. Some highlights of these factors are:</w:t>
      </w:r>
    </w:p>
    <w:p w14:paraId="38C72862"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t>School Climate</w:t>
      </w:r>
    </w:p>
    <w:p w14:paraId="4B651C9B" w14:textId="77777777" w:rsidR="00B06938" w:rsidRPr="00B06938" w:rsidRDefault="00B06938" w:rsidP="00B06938">
      <w:pPr>
        <w:numPr>
          <w:ilvl w:val="0"/>
          <w:numId w:val="2"/>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Sense of Belonging:</w:t>
      </w:r>
      <w:r w:rsidRPr="00B06938">
        <w:rPr>
          <w:rFonts w:ascii="Open Sans" w:eastAsia="Times New Roman" w:hAnsi="Open Sans" w:cs="Open Sans"/>
          <w:color w:val="333333"/>
          <w:kern w:val="0"/>
          <w:sz w:val="27"/>
          <w:szCs w:val="27"/>
          <w14:ligatures w14:val="none"/>
        </w:rPr>
        <w:t> 71% of 4</w:t>
      </w:r>
      <w:r w:rsidRPr="00B06938">
        <w:rPr>
          <w:rFonts w:ascii="Open Sans" w:eastAsia="Times New Roman" w:hAnsi="Open Sans" w:cs="Open Sans"/>
          <w:color w:val="333333"/>
          <w:kern w:val="0"/>
          <w:sz w:val="20"/>
          <w:szCs w:val="20"/>
          <w:vertAlign w:val="superscript"/>
          <w14:ligatures w14:val="none"/>
        </w:rPr>
        <w:t>th</w:t>
      </w:r>
      <w:r w:rsidRPr="00B06938">
        <w:rPr>
          <w:rFonts w:ascii="Open Sans" w:eastAsia="Times New Roman" w:hAnsi="Open Sans" w:cs="Open Sans"/>
          <w:color w:val="333333"/>
          <w:kern w:val="0"/>
          <w:sz w:val="27"/>
          <w:szCs w:val="27"/>
          <w14:ligatures w14:val="none"/>
        </w:rPr>
        <w:t> grade and 54% of 8</w:t>
      </w:r>
      <w:r w:rsidRPr="00B06938">
        <w:rPr>
          <w:rFonts w:ascii="Open Sans" w:eastAsia="Times New Roman" w:hAnsi="Open Sans" w:cs="Open Sans"/>
          <w:color w:val="333333"/>
          <w:kern w:val="0"/>
          <w:sz w:val="20"/>
          <w:szCs w:val="20"/>
          <w:vertAlign w:val="superscript"/>
          <w14:ligatures w14:val="none"/>
        </w:rPr>
        <w:t>th</w:t>
      </w:r>
      <w:r w:rsidRPr="00B06938">
        <w:rPr>
          <w:rFonts w:ascii="Open Sans" w:eastAsia="Times New Roman" w:hAnsi="Open Sans" w:cs="Open Sans"/>
          <w:color w:val="333333"/>
          <w:kern w:val="0"/>
          <w:sz w:val="27"/>
          <w:szCs w:val="27"/>
          <w14:ligatures w14:val="none"/>
        </w:rPr>
        <w:t> grade students have a high sense of belonging at school, which is considerably higher than the international averages.</w:t>
      </w:r>
    </w:p>
    <w:p w14:paraId="01073A75" w14:textId="77777777" w:rsidR="00B06938" w:rsidRPr="00B06938" w:rsidRDefault="00B06938" w:rsidP="00B06938">
      <w:pPr>
        <w:numPr>
          <w:ilvl w:val="0"/>
          <w:numId w:val="2"/>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lastRenderedPageBreak/>
        <w:t>Parents’ Perception of the School:</w:t>
      </w:r>
      <w:r w:rsidRPr="00B06938">
        <w:rPr>
          <w:rFonts w:ascii="Open Sans" w:eastAsia="Times New Roman" w:hAnsi="Open Sans" w:cs="Open Sans"/>
          <w:color w:val="333333"/>
          <w:kern w:val="0"/>
          <w:sz w:val="27"/>
          <w:szCs w:val="27"/>
          <w14:ligatures w14:val="none"/>
        </w:rPr>
        <w:t> 77% of parents reported being very satisfied with their children’s schooling, which is above the international average.</w:t>
      </w:r>
    </w:p>
    <w:p w14:paraId="0D5A4D4F" w14:textId="77777777" w:rsidR="00B06938" w:rsidRPr="00B06938" w:rsidRDefault="00B06938" w:rsidP="00B06938">
      <w:pPr>
        <w:numPr>
          <w:ilvl w:val="0"/>
          <w:numId w:val="2"/>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School Discipline:</w:t>
      </w:r>
      <w:r w:rsidRPr="00B06938">
        <w:rPr>
          <w:rFonts w:ascii="Open Sans" w:eastAsia="Times New Roman" w:hAnsi="Open Sans" w:cs="Open Sans"/>
          <w:color w:val="333333"/>
          <w:kern w:val="0"/>
          <w:sz w:val="27"/>
          <w:szCs w:val="27"/>
          <w14:ligatures w14:val="none"/>
        </w:rPr>
        <w:t> About one-third of school principals reported no problems related to school discipline and safety and about 42% reported limited problems.</w:t>
      </w:r>
    </w:p>
    <w:p w14:paraId="5C548905" w14:textId="77777777" w:rsidR="00B06938" w:rsidRPr="00B06938" w:rsidRDefault="00B06938" w:rsidP="00B06938">
      <w:pPr>
        <w:numPr>
          <w:ilvl w:val="0"/>
          <w:numId w:val="2"/>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Student Bullying: </w:t>
      </w:r>
      <w:r w:rsidRPr="00B06938">
        <w:rPr>
          <w:rFonts w:ascii="Open Sans" w:eastAsia="Times New Roman" w:hAnsi="Open Sans" w:cs="Open Sans"/>
          <w:color w:val="333333"/>
          <w:kern w:val="0"/>
          <w:sz w:val="27"/>
          <w:szCs w:val="27"/>
          <w14:ligatures w14:val="none"/>
        </w:rPr>
        <w:t>The frequency of being bullied by school peers, such as being teased, physically hurt or exclusion from the activities, is low (60% of 4</w:t>
      </w:r>
      <w:r w:rsidRPr="00B06938">
        <w:rPr>
          <w:rFonts w:ascii="Open Sans" w:eastAsia="Times New Roman" w:hAnsi="Open Sans" w:cs="Open Sans"/>
          <w:color w:val="333333"/>
          <w:kern w:val="0"/>
          <w:sz w:val="20"/>
          <w:szCs w:val="20"/>
          <w:vertAlign w:val="superscript"/>
          <w14:ligatures w14:val="none"/>
        </w:rPr>
        <w:t>th</w:t>
      </w:r>
      <w:r w:rsidRPr="00B06938">
        <w:rPr>
          <w:rFonts w:ascii="Open Sans" w:eastAsia="Times New Roman" w:hAnsi="Open Sans" w:cs="Open Sans"/>
          <w:color w:val="333333"/>
          <w:kern w:val="0"/>
          <w:sz w:val="27"/>
          <w:szCs w:val="27"/>
          <w14:ligatures w14:val="none"/>
        </w:rPr>
        <w:t> graders and 72% of 8</w:t>
      </w:r>
      <w:r w:rsidRPr="00B06938">
        <w:rPr>
          <w:rFonts w:ascii="Open Sans" w:eastAsia="Times New Roman" w:hAnsi="Open Sans" w:cs="Open Sans"/>
          <w:color w:val="333333"/>
          <w:kern w:val="0"/>
          <w:sz w:val="20"/>
          <w:szCs w:val="20"/>
          <w:vertAlign w:val="superscript"/>
          <w14:ligatures w14:val="none"/>
        </w:rPr>
        <w:t>th</w:t>
      </w:r>
      <w:r w:rsidRPr="00B06938">
        <w:rPr>
          <w:rFonts w:ascii="Open Sans" w:eastAsia="Times New Roman" w:hAnsi="Open Sans" w:cs="Open Sans"/>
          <w:color w:val="333333"/>
          <w:kern w:val="0"/>
          <w:sz w:val="27"/>
          <w:szCs w:val="27"/>
          <w14:ligatures w14:val="none"/>
        </w:rPr>
        <w:t> graders have not experienced bullying).</w:t>
      </w:r>
    </w:p>
    <w:p w14:paraId="3219686F"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t>School Staff</w:t>
      </w:r>
    </w:p>
    <w:p w14:paraId="13C843CB" w14:textId="77777777" w:rsidR="00B06938" w:rsidRPr="00B06938" w:rsidRDefault="00B06938" w:rsidP="00B06938">
      <w:pPr>
        <w:numPr>
          <w:ilvl w:val="0"/>
          <w:numId w:val="3"/>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Academic Credentials of Principals:</w:t>
      </w:r>
      <w:r w:rsidRPr="00B06938">
        <w:rPr>
          <w:rFonts w:ascii="Open Sans" w:eastAsia="Times New Roman" w:hAnsi="Open Sans" w:cs="Open Sans"/>
          <w:color w:val="333333"/>
          <w:kern w:val="0"/>
          <w:sz w:val="27"/>
          <w:szCs w:val="27"/>
          <w14:ligatures w14:val="none"/>
        </w:rPr>
        <w:t> School principals have at least a Bachelor’s degree and more than half also have a certificate or license in educational leadership qualification or credential.</w:t>
      </w:r>
    </w:p>
    <w:p w14:paraId="04DD7195" w14:textId="77777777" w:rsidR="00B06938" w:rsidRPr="00B06938" w:rsidRDefault="00B06938" w:rsidP="00B06938">
      <w:pPr>
        <w:numPr>
          <w:ilvl w:val="0"/>
          <w:numId w:val="3"/>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Teachers’ Formal Education:</w:t>
      </w:r>
      <w:r w:rsidRPr="00B06938">
        <w:rPr>
          <w:rFonts w:ascii="Open Sans" w:eastAsia="Times New Roman" w:hAnsi="Open Sans" w:cs="Open Sans"/>
          <w:color w:val="333333"/>
          <w:kern w:val="0"/>
          <w:sz w:val="27"/>
          <w:szCs w:val="27"/>
          <w14:ligatures w14:val="none"/>
        </w:rPr>
        <w:t> The highest level of education completed by most teachers is a Bachelor’s degree, with majors in their specific subject area.</w:t>
      </w:r>
    </w:p>
    <w:p w14:paraId="3E5B0266" w14:textId="77777777" w:rsidR="00B06938" w:rsidRPr="00B06938" w:rsidRDefault="00B06938" w:rsidP="00B06938">
      <w:pPr>
        <w:numPr>
          <w:ilvl w:val="0"/>
          <w:numId w:val="3"/>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Teachers’ Job Satisfaction:</w:t>
      </w:r>
      <w:r w:rsidRPr="00B06938">
        <w:rPr>
          <w:rFonts w:ascii="Open Sans" w:eastAsia="Times New Roman" w:hAnsi="Open Sans" w:cs="Open Sans"/>
          <w:color w:val="333333"/>
          <w:kern w:val="0"/>
          <w:sz w:val="27"/>
          <w:szCs w:val="27"/>
          <w14:ligatures w14:val="none"/>
        </w:rPr>
        <w:t> More than half teachers are “very satisfied” with their job. Teacher satisfaction rates were higher than the international average.</w:t>
      </w:r>
    </w:p>
    <w:p w14:paraId="4477CF68"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t>Students’ Attitudes</w:t>
      </w:r>
    </w:p>
    <w:p w14:paraId="435CA624" w14:textId="77777777" w:rsidR="00B06938" w:rsidRPr="00B06938" w:rsidRDefault="00B06938" w:rsidP="00B06938">
      <w:pPr>
        <w:numPr>
          <w:ilvl w:val="0"/>
          <w:numId w:val="4"/>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Students Self Confidence: </w:t>
      </w:r>
      <w:r w:rsidRPr="00B06938">
        <w:rPr>
          <w:rFonts w:ascii="Open Sans" w:eastAsia="Times New Roman" w:hAnsi="Open Sans" w:cs="Open Sans"/>
          <w:color w:val="333333"/>
          <w:kern w:val="0"/>
          <w:sz w:val="27"/>
          <w:szCs w:val="27"/>
          <w14:ligatures w14:val="none"/>
        </w:rPr>
        <w:t>Students scored above international averages on self-confidence and positive attitude about learning mathematics and science (except for 8</w:t>
      </w:r>
      <w:r w:rsidRPr="00B06938">
        <w:rPr>
          <w:rFonts w:ascii="Open Sans" w:eastAsia="Times New Roman" w:hAnsi="Open Sans" w:cs="Open Sans"/>
          <w:color w:val="333333"/>
          <w:kern w:val="0"/>
          <w:sz w:val="20"/>
          <w:szCs w:val="20"/>
          <w:vertAlign w:val="superscript"/>
          <w14:ligatures w14:val="none"/>
        </w:rPr>
        <w:t>th</w:t>
      </w:r>
      <w:r w:rsidRPr="00B06938">
        <w:rPr>
          <w:rFonts w:ascii="Open Sans" w:eastAsia="Times New Roman" w:hAnsi="Open Sans" w:cs="Open Sans"/>
          <w:color w:val="333333"/>
          <w:kern w:val="0"/>
          <w:sz w:val="27"/>
          <w:szCs w:val="27"/>
          <w14:ligatures w14:val="none"/>
        </w:rPr>
        <w:t> graders’ math).</w:t>
      </w:r>
    </w:p>
    <w:p w14:paraId="545E995B" w14:textId="77777777" w:rsidR="00B06938" w:rsidRPr="00B06938" w:rsidRDefault="00B06938" w:rsidP="00B06938">
      <w:pPr>
        <w:numPr>
          <w:ilvl w:val="0"/>
          <w:numId w:val="4"/>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lastRenderedPageBreak/>
        <w:t>Students Value Math and Science:</w:t>
      </w:r>
      <w:r w:rsidRPr="00B06938">
        <w:rPr>
          <w:rFonts w:ascii="Open Sans" w:eastAsia="Times New Roman" w:hAnsi="Open Sans" w:cs="Open Sans"/>
          <w:color w:val="333333"/>
          <w:kern w:val="0"/>
          <w:sz w:val="27"/>
          <w:szCs w:val="27"/>
          <w14:ligatures w14:val="none"/>
        </w:rPr>
        <w:t> Almost half of eighth-grade students value mathematics. The result is similar in science but slightly less positive.</w:t>
      </w:r>
    </w:p>
    <w:p w14:paraId="4C2E0F93" w14:textId="77777777" w:rsidR="00B06938" w:rsidRPr="00B06938" w:rsidRDefault="00B06938" w:rsidP="00B06938">
      <w:pPr>
        <w:shd w:val="clear" w:color="auto" w:fill="FFFFFF"/>
        <w:spacing w:after="240" w:line="435" w:lineRule="atLeast"/>
        <w:rPr>
          <w:rFonts w:ascii="Open Sans" w:eastAsia="Times New Roman" w:hAnsi="Open Sans" w:cs="Open Sans"/>
          <w:color w:val="333333"/>
          <w:kern w:val="0"/>
          <w:sz w:val="27"/>
          <w:szCs w:val="27"/>
          <w14:ligatures w14:val="none"/>
        </w:rPr>
      </w:pPr>
      <w:r w:rsidRPr="00B06938">
        <w:rPr>
          <w:rFonts w:ascii="Open Sans" w:eastAsia="Times New Roman" w:hAnsi="Open Sans" w:cs="Open Sans"/>
          <w:color w:val="333333"/>
          <w:kern w:val="0"/>
          <w:sz w:val="27"/>
          <w:szCs w:val="27"/>
          <w14:ligatures w14:val="none"/>
        </w:rPr>
        <w:t>Curriculum and Instruction</w:t>
      </w:r>
    </w:p>
    <w:p w14:paraId="1E185A3D" w14:textId="77777777" w:rsidR="00B06938" w:rsidRPr="00B06938" w:rsidRDefault="00B06938" w:rsidP="00B06938">
      <w:pPr>
        <w:numPr>
          <w:ilvl w:val="0"/>
          <w:numId w:val="5"/>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Instructional Time: </w:t>
      </w:r>
      <w:r w:rsidRPr="00B06938">
        <w:rPr>
          <w:rFonts w:ascii="Open Sans" w:eastAsia="Times New Roman" w:hAnsi="Open Sans" w:cs="Open Sans"/>
          <w:color w:val="333333"/>
          <w:kern w:val="0"/>
          <w:sz w:val="27"/>
          <w:szCs w:val="27"/>
          <w14:ligatures w14:val="none"/>
        </w:rPr>
        <w:t>Instructional time devoted to mathematics in 8th-grade is above the international average, but it is below average for 4th-grader. In science, instructional time average is above 4th grade level and below 8th grade.</w:t>
      </w:r>
    </w:p>
    <w:p w14:paraId="274A95DA" w14:textId="77777777" w:rsidR="00B06938" w:rsidRPr="00B06938" w:rsidRDefault="00B06938" w:rsidP="00B06938">
      <w:pPr>
        <w:numPr>
          <w:ilvl w:val="0"/>
          <w:numId w:val="5"/>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Instructional Clarity:</w:t>
      </w:r>
      <w:r w:rsidRPr="00B06938">
        <w:rPr>
          <w:rFonts w:ascii="Open Sans" w:eastAsia="Times New Roman" w:hAnsi="Open Sans" w:cs="Open Sans"/>
          <w:color w:val="333333"/>
          <w:kern w:val="0"/>
          <w:sz w:val="27"/>
          <w:szCs w:val="27"/>
          <w14:ligatures w14:val="none"/>
        </w:rPr>
        <w:t> A majority of 4th and 8</w:t>
      </w:r>
      <w:r w:rsidRPr="00B06938">
        <w:rPr>
          <w:rFonts w:ascii="Open Sans" w:eastAsia="Times New Roman" w:hAnsi="Open Sans" w:cs="Open Sans"/>
          <w:color w:val="333333"/>
          <w:kern w:val="0"/>
          <w:sz w:val="20"/>
          <w:szCs w:val="20"/>
          <w:vertAlign w:val="superscript"/>
          <w14:ligatures w14:val="none"/>
        </w:rPr>
        <w:t>th</w:t>
      </w:r>
      <w:r w:rsidRPr="00B06938">
        <w:rPr>
          <w:rFonts w:ascii="Open Sans" w:eastAsia="Times New Roman" w:hAnsi="Open Sans" w:cs="Open Sans"/>
          <w:color w:val="333333"/>
          <w:kern w:val="0"/>
          <w:sz w:val="27"/>
          <w:szCs w:val="27"/>
          <w14:ligatures w14:val="none"/>
        </w:rPr>
        <w:t> grade level students reported “high clarity” of instruction in both fields.</w:t>
      </w:r>
    </w:p>
    <w:p w14:paraId="73638ECE" w14:textId="77777777" w:rsidR="00B06938" w:rsidRPr="00B06938" w:rsidRDefault="00B06938" w:rsidP="00B06938">
      <w:pPr>
        <w:numPr>
          <w:ilvl w:val="0"/>
          <w:numId w:val="5"/>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Science Investigation:</w:t>
      </w:r>
      <w:r w:rsidRPr="00B06938">
        <w:rPr>
          <w:rFonts w:ascii="Open Sans" w:eastAsia="Times New Roman" w:hAnsi="Open Sans" w:cs="Open Sans"/>
          <w:color w:val="333333"/>
          <w:kern w:val="0"/>
          <w:sz w:val="27"/>
          <w:szCs w:val="27"/>
          <w14:ligatures w14:val="none"/>
        </w:rPr>
        <w:t> Teachers emphasized scientific inquiry and investigation for more than 50% of the lessons. The frequency of conducting a science experiment at the fourth grade-level is above the international average, but it is below average for 8th graders.</w:t>
      </w:r>
    </w:p>
    <w:p w14:paraId="4D6A6108" w14:textId="77777777" w:rsidR="00B06938" w:rsidRPr="00B06938" w:rsidRDefault="00B06938" w:rsidP="00B06938">
      <w:pPr>
        <w:numPr>
          <w:ilvl w:val="0"/>
          <w:numId w:val="5"/>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School Resources:</w:t>
      </w:r>
      <w:r w:rsidRPr="00B06938">
        <w:rPr>
          <w:rFonts w:ascii="Open Sans" w:eastAsia="Times New Roman" w:hAnsi="Open Sans" w:cs="Open Sans"/>
          <w:color w:val="333333"/>
          <w:kern w:val="0"/>
          <w:sz w:val="27"/>
          <w:szCs w:val="27"/>
          <w14:ligatures w14:val="none"/>
        </w:rPr>
        <w:t> School resources, such as science laboratory higher than the international average for 4</w:t>
      </w:r>
      <w:r w:rsidRPr="00B06938">
        <w:rPr>
          <w:rFonts w:ascii="Open Sans" w:eastAsia="Times New Roman" w:hAnsi="Open Sans" w:cs="Open Sans"/>
          <w:color w:val="333333"/>
          <w:kern w:val="0"/>
          <w:sz w:val="20"/>
          <w:szCs w:val="20"/>
          <w:vertAlign w:val="superscript"/>
          <w14:ligatures w14:val="none"/>
        </w:rPr>
        <w:t>th</w:t>
      </w:r>
      <w:r w:rsidRPr="00B06938">
        <w:rPr>
          <w:rFonts w:ascii="Open Sans" w:eastAsia="Times New Roman" w:hAnsi="Open Sans" w:cs="Open Sans"/>
          <w:color w:val="333333"/>
          <w:kern w:val="0"/>
          <w:sz w:val="27"/>
          <w:szCs w:val="27"/>
          <w14:ligatures w14:val="none"/>
        </w:rPr>
        <w:t> graders, but below average in the eight-grade.</w:t>
      </w:r>
    </w:p>
    <w:p w14:paraId="051954D7" w14:textId="77777777" w:rsidR="00B06938" w:rsidRPr="00B06938" w:rsidRDefault="00B06938" w:rsidP="00B06938">
      <w:pPr>
        <w:numPr>
          <w:ilvl w:val="0"/>
          <w:numId w:val="5"/>
        </w:numPr>
        <w:shd w:val="clear" w:color="auto" w:fill="FFFFFF"/>
        <w:spacing w:before="100" w:beforeAutospacing="1" w:after="240" w:line="435" w:lineRule="atLeast"/>
        <w:ind w:left="795"/>
        <w:rPr>
          <w:rFonts w:ascii="Open Sans" w:eastAsia="Times New Roman" w:hAnsi="Open Sans" w:cs="Open Sans"/>
          <w:color w:val="333333"/>
          <w:kern w:val="0"/>
          <w:sz w:val="27"/>
          <w:szCs w:val="27"/>
          <w14:ligatures w14:val="none"/>
        </w:rPr>
      </w:pPr>
      <w:r w:rsidRPr="00B06938">
        <w:rPr>
          <w:rFonts w:ascii="Open Sans" w:eastAsia="Times New Roman" w:hAnsi="Open Sans" w:cs="Open Sans"/>
          <w:b/>
          <w:bCs/>
          <w:color w:val="333333"/>
          <w:kern w:val="0"/>
          <w:sz w:val="27"/>
          <w:szCs w:val="27"/>
          <w14:ligatures w14:val="none"/>
        </w:rPr>
        <w:t>Technology to Support Learning: </w:t>
      </w:r>
      <w:r w:rsidRPr="00B06938">
        <w:rPr>
          <w:rFonts w:ascii="Open Sans" w:eastAsia="Times New Roman" w:hAnsi="Open Sans" w:cs="Open Sans"/>
          <w:color w:val="333333"/>
          <w:kern w:val="0"/>
          <w:sz w:val="27"/>
          <w:szCs w:val="27"/>
          <w14:ligatures w14:val="none"/>
        </w:rPr>
        <w:t>Use of computers every, or almost every, day to support learning during math lessons is the same as the international average for eighth-graders, but below for fourth-graders. In science lessons, it is above the international average for 4</w:t>
      </w:r>
      <w:r w:rsidRPr="00B06938">
        <w:rPr>
          <w:rFonts w:ascii="Open Sans" w:eastAsia="Times New Roman" w:hAnsi="Open Sans" w:cs="Open Sans"/>
          <w:color w:val="333333"/>
          <w:kern w:val="0"/>
          <w:sz w:val="20"/>
          <w:szCs w:val="20"/>
          <w:vertAlign w:val="superscript"/>
          <w14:ligatures w14:val="none"/>
        </w:rPr>
        <w:t>th</w:t>
      </w:r>
      <w:r w:rsidRPr="00B06938">
        <w:rPr>
          <w:rFonts w:ascii="Open Sans" w:eastAsia="Times New Roman" w:hAnsi="Open Sans" w:cs="Open Sans"/>
          <w:color w:val="333333"/>
          <w:kern w:val="0"/>
          <w:sz w:val="27"/>
          <w:szCs w:val="27"/>
          <w14:ligatures w14:val="none"/>
        </w:rPr>
        <w:t> graders, and the same level as the international average for 8</w:t>
      </w:r>
      <w:r w:rsidRPr="00B06938">
        <w:rPr>
          <w:rFonts w:ascii="Open Sans" w:eastAsia="Times New Roman" w:hAnsi="Open Sans" w:cs="Open Sans"/>
          <w:color w:val="333333"/>
          <w:kern w:val="0"/>
          <w:sz w:val="20"/>
          <w:szCs w:val="20"/>
          <w:vertAlign w:val="superscript"/>
          <w14:ligatures w14:val="none"/>
        </w:rPr>
        <w:t>th</w:t>
      </w:r>
      <w:r w:rsidRPr="00B06938">
        <w:rPr>
          <w:rFonts w:ascii="Open Sans" w:eastAsia="Times New Roman" w:hAnsi="Open Sans" w:cs="Open Sans"/>
          <w:color w:val="333333"/>
          <w:kern w:val="0"/>
          <w:sz w:val="27"/>
          <w:szCs w:val="27"/>
          <w14:ligatures w14:val="none"/>
        </w:rPr>
        <w:t> graders.</w:t>
      </w:r>
    </w:p>
    <w:p w14:paraId="7CE697BC" w14:textId="20103E43" w:rsidR="00032240" w:rsidRDefault="00B06938" w:rsidP="00135561">
      <w:pPr>
        <w:shd w:val="clear" w:color="auto" w:fill="FFFFFF"/>
        <w:spacing w:after="240" w:line="435" w:lineRule="atLeast"/>
      </w:pPr>
      <w:r w:rsidRPr="00B06938">
        <w:rPr>
          <w:rFonts w:ascii="Open Sans" w:eastAsia="Times New Roman" w:hAnsi="Open Sans" w:cs="Open Sans"/>
          <w:color w:val="333333"/>
          <w:kern w:val="0"/>
          <w:sz w:val="27"/>
          <w:szCs w:val="27"/>
          <w14:ligatures w14:val="none"/>
        </w:rPr>
        <w:t>The Ministry of National Education has stated its goal of further improving Turkey’s performance in all areas measured by TIMMS.</w:t>
      </w:r>
    </w:p>
    <w:sectPr w:rsidR="0003224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635B8" w14:textId="77777777" w:rsidR="002E7496" w:rsidRDefault="002E7496" w:rsidP="00135561">
      <w:pPr>
        <w:spacing w:after="0" w:line="240" w:lineRule="auto"/>
      </w:pPr>
      <w:r>
        <w:separator/>
      </w:r>
    </w:p>
  </w:endnote>
  <w:endnote w:type="continuationSeparator" w:id="0">
    <w:p w14:paraId="41259CBF" w14:textId="77777777" w:rsidR="002E7496" w:rsidRDefault="002E7496" w:rsidP="00135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43995"/>
      <w:docPartObj>
        <w:docPartGallery w:val="Page Numbers (Bottom of Page)"/>
        <w:docPartUnique/>
      </w:docPartObj>
    </w:sdtPr>
    <w:sdtContent>
      <w:sdt>
        <w:sdtPr>
          <w:id w:val="-1769616900"/>
          <w:docPartObj>
            <w:docPartGallery w:val="Page Numbers (Top of Page)"/>
            <w:docPartUnique/>
          </w:docPartObj>
        </w:sdtPr>
        <w:sdtContent>
          <w:p w14:paraId="3B336DEF" w14:textId="0D751AFB" w:rsidR="00135561" w:rsidRDefault="001355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BC663E" w14:textId="77777777" w:rsidR="00135561" w:rsidRDefault="00135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FDFFD" w14:textId="77777777" w:rsidR="002E7496" w:rsidRDefault="002E7496" w:rsidP="00135561">
      <w:pPr>
        <w:spacing w:after="0" w:line="240" w:lineRule="auto"/>
      </w:pPr>
      <w:r>
        <w:separator/>
      </w:r>
    </w:p>
  </w:footnote>
  <w:footnote w:type="continuationSeparator" w:id="0">
    <w:p w14:paraId="5284A178" w14:textId="77777777" w:rsidR="002E7496" w:rsidRDefault="002E7496" w:rsidP="00135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E5C"/>
    <w:multiLevelType w:val="multilevel"/>
    <w:tmpl w:val="AB2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44488"/>
    <w:multiLevelType w:val="multilevel"/>
    <w:tmpl w:val="A654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012738"/>
    <w:multiLevelType w:val="multilevel"/>
    <w:tmpl w:val="A5F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BA2ED2"/>
    <w:multiLevelType w:val="multilevel"/>
    <w:tmpl w:val="CA40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864B8A"/>
    <w:multiLevelType w:val="multilevel"/>
    <w:tmpl w:val="80C6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055251">
    <w:abstractNumId w:val="0"/>
  </w:num>
  <w:num w:numId="2" w16cid:durableId="1258365405">
    <w:abstractNumId w:val="2"/>
  </w:num>
  <w:num w:numId="3" w16cid:durableId="1668247124">
    <w:abstractNumId w:val="1"/>
  </w:num>
  <w:num w:numId="4" w16cid:durableId="1397124039">
    <w:abstractNumId w:val="3"/>
  </w:num>
  <w:num w:numId="5" w16cid:durableId="1897662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38"/>
    <w:rsid w:val="00135561"/>
    <w:rsid w:val="002E7496"/>
    <w:rsid w:val="00524F26"/>
    <w:rsid w:val="00772D5D"/>
    <w:rsid w:val="00807251"/>
    <w:rsid w:val="00942921"/>
    <w:rsid w:val="00B0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6E26"/>
  <w15:chartTrackingRefBased/>
  <w15:docId w15:val="{955EF102-781B-408A-B94F-502256CC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69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938"/>
    <w:rPr>
      <w:rFonts w:ascii="Times New Roman" w:eastAsia="Times New Roman" w:hAnsi="Times New Roman" w:cs="Times New Roman"/>
      <w:b/>
      <w:bCs/>
      <w:kern w:val="36"/>
      <w:sz w:val="48"/>
      <w:szCs w:val="48"/>
      <w14:ligatures w14:val="none"/>
    </w:rPr>
  </w:style>
  <w:style w:type="paragraph" w:customStyle="1" w:styleId="btn">
    <w:name w:val="btn"/>
    <w:basedOn w:val="Normal"/>
    <w:rsid w:val="00B069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06938"/>
    <w:rPr>
      <w:color w:val="0000FF"/>
      <w:u w:val="single"/>
    </w:rPr>
  </w:style>
  <w:style w:type="character" w:customStyle="1" w:styleId="screen-reader-text">
    <w:name w:val="screen-reader-text"/>
    <w:basedOn w:val="DefaultParagraphFont"/>
    <w:rsid w:val="00B06938"/>
  </w:style>
  <w:style w:type="character" w:customStyle="1" w:styleId="social-btn-text">
    <w:name w:val="social-btn-text"/>
    <w:basedOn w:val="DefaultParagraphFont"/>
    <w:rsid w:val="00B06938"/>
  </w:style>
  <w:style w:type="paragraph" w:customStyle="1" w:styleId="plus-btn">
    <w:name w:val="plus-btn"/>
    <w:basedOn w:val="Normal"/>
    <w:rsid w:val="00B069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069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35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561"/>
  </w:style>
  <w:style w:type="paragraph" w:styleId="Footer">
    <w:name w:val="footer"/>
    <w:basedOn w:val="Normal"/>
    <w:link w:val="FooterChar"/>
    <w:uiPriority w:val="99"/>
    <w:unhideWhenUsed/>
    <w:rsid w:val="00135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87123">
      <w:bodyDiv w:val="1"/>
      <w:marLeft w:val="0"/>
      <w:marRight w:val="0"/>
      <w:marTop w:val="0"/>
      <w:marBottom w:val="0"/>
      <w:divBdr>
        <w:top w:val="none" w:sz="0" w:space="0" w:color="auto"/>
        <w:left w:val="none" w:sz="0" w:space="0" w:color="auto"/>
        <w:bottom w:val="none" w:sz="0" w:space="0" w:color="auto"/>
        <w:right w:val="none" w:sz="0" w:space="0" w:color="auto"/>
      </w:divBdr>
      <w:divsChild>
        <w:div w:id="295137011">
          <w:marLeft w:val="0"/>
          <w:marRight w:val="0"/>
          <w:marTop w:val="0"/>
          <w:marBottom w:val="0"/>
          <w:divBdr>
            <w:top w:val="none" w:sz="0" w:space="0" w:color="auto"/>
            <w:left w:val="none" w:sz="0" w:space="0" w:color="auto"/>
            <w:bottom w:val="none" w:sz="0" w:space="0" w:color="auto"/>
            <w:right w:val="none" w:sz="0" w:space="0" w:color="auto"/>
          </w:divBdr>
          <w:divsChild>
            <w:div w:id="1037051667">
              <w:marLeft w:val="0"/>
              <w:marRight w:val="0"/>
              <w:marTop w:val="0"/>
              <w:marBottom w:val="0"/>
              <w:divBdr>
                <w:top w:val="none" w:sz="0" w:space="0" w:color="auto"/>
                <w:left w:val="none" w:sz="0" w:space="0" w:color="auto"/>
                <w:bottom w:val="none" w:sz="0" w:space="0" w:color="auto"/>
                <w:right w:val="none" w:sz="0" w:space="0" w:color="auto"/>
              </w:divBdr>
              <w:divsChild>
                <w:div w:id="251354650">
                  <w:marLeft w:val="0"/>
                  <w:marRight w:val="0"/>
                  <w:marTop w:val="0"/>
                  <w:marBottom w:val="0"/>
                  <w:divBdr>
                    <w:top w:val="none" w:sz="0" w:space="0" w:color="auto"/>
                    <w:left w:val="none" w:sz="0" w:space="0" w:color="auto"/>
                    <w:bottom w:val="none" w:sz="0" w:space="0" w:color="auto"/>
                    <w:right w:val="none" w:sz="0" w:space="0" w:color="auto"/>
                  </w:divBdr>
                  <w:divsChild>
                    <w:div w:id="289938724">
                      <w:marLeft w:val="0"/>
                      <w:marRight w:val="0"/>
                      <w:marTop w:val="0"/>
                      <w:marBottom w:val="0"/>
                      <w:divBdr>
                        <w:top w:val="none" w:sz="0" w:space="0" w:color="auto"/>
                        <w:left w:val="none" w:sz="0" w:space="0" w:color="auto"/>
                        <w:bottom w:val="none" w:sz="0" w:space="0" w:color="auto"/>
                        <w:right w:val="none" w:sz="0" w:space="0" w:color="auto"/>
                      </w:divBdr>
                      <w:divsChild>
                        <w:div w:id="545873927">
                          <w:marLeft w:val="0"/>
                          <w:marRight w:val="0"/>
                          <w:marTop w:val="0"/>
                          <w:marBottom w:val="0"/>
                          <w:divBdr>
                            <w:top w:val="none" w:sz="0" w:space="0" w:color="auto"/>
                            <w:left w:val="none" w:sz="0" w:space="0" w:color="auto"/>
                            <w:bottom w:val="none" w:sz="0" w:space="0" w:color="auto"/>
                            <w:right w:val="none" w:sz="0" w:space="0" w:color="auto"/>
                          </w:divBdr>
                          <w:divsChild>
                            <w:div w:id="1626159406">
                              <w:marLeft w:val="0"/>
                              <w:marRight w:val="0"/>
                              <w:marTop w:val="0"/>
                              <w:marBottom w:val="0"/>
                              <w:divBdr>
                                <w:top w:val="none" w:sz="0" w:space="0" w:color="auto"/>
                                <w:left w:val="none" w:sz="0" w:space="0" w:color="auto"/>
                                <w:bottom w:val="none" w:sz="0" w:space="0" w:color="auto"/>
                                <w:right w:val="none" w:sz="0" w:space="0" w:color="auto"/>
                              </w:divBdr>
                              <w:divsChild>
                                <w:div w:id="1805148569">
                                  <w:marLeft w:val="-225"/>
                                  <w:marRight w:val="-225"/>
                                  <w:marTop w:val="0"/>
                                  <w:marBottom w:val="0"/>
                                  <w:divBdr>
                                    <w:top w:val="none" w:sz="0" w:space="0" w:color="auto"/>
                                    <w:left w:val="none" w:sz="0" w:space="0" w:color="auto"/>
                                    <w:bottom w:val="none" w:sz="0" w:space="0" w:color="auto"/>
                                    <w:right w:val="none" w:sz="0" w:space="0" w:color="auto"/>
                                  </w:divBdr>
                                  <w:divsChild>
                                    <w:div w:id="2075656999">
                                      <w:marLeft w:val="0"/>
                                      <w:marRight w:val="0"/>
                                      <w:marTop w:val="0"/>
                                      <w:marBottom w:val="0"/>
                                      <w:divBdr>
                                        <w:top w:val="none" w:sz="0" w:space="0" w:color="auto"/>
                                        <w:left w:val="none" w:sz="0" w:space="0" w:color="auto"/>
                                        <w:bottom w:val="none" w:sz="0" w:space="0" w:color="auto"/>
                                        <w:right w:val="none" w:sz="0" w:space="0" w:color="auto"/>
                                      </w:divBdr>
                                      <w:divsChild>
                                        <w:div w:id="687027450">
                                          <w:marLeft w:val="0"/>
                                          <w:marRight w:val="0"/>
                                          <w:marTop w:val="0"/>
                                          <w:marBottom w:val="0"/>
                                          <w:divBdr>
                                            <w:top w:val="none" w:sz="0" w:space="0" w:color="auto"/>
                                            <w:left w:val="none" w:sz="0" w:space="0" w:color="auto"/>
                                            <w:bottom w:val="none" w:sz="0" w:space="0" w:color="auto"/>
                                            <w:right w:val="none" w:sz="0" w:space="0" w:color="auto"/>
                                          </w:divBdr>
                                          <w:divsChild>
                                            <w:div w:id="272521934">
                                              <w:marLeft w:val="0"/>
                                              <w:marRight w:val="0"/>
                                              <w:marTop w:val="0"/>
                                              <w:marBottom w:val="0"/>
                                              <w:divBdr>
                                                <w:top w:val="none" w:sz="0" w:space="0" w:color="auto"/>
                                                <w:left w:val="none" w:sz="0" w:space="0" w:color="auto"/>
                                                <w:bottom w:val="none" w:sz="0" w:space="0" w:color="auto"/>
                                                <w:right w:val="none" w:sz="0" w:space="0" w:color="auto"/>
                                              </w:divBdr>
                                              <w:divsChild>
                                                <w:div w:id="1264148690">
                                                  <w:marLeft w:val="0"/>
                                                  <w:marRight w:val="0"/>
                                                  <w:marTop w:val="0"/>
                                                  <w:marBottom w:val="0"/>
                                                  <w:divBdr>
                                                    <w:top w:val="none" w:sz="0" w:space="0" w:color="auto"/>
                                                    <w:left w:val="none" w:sz="0" w:space="0" w:color="auto"/>
                                                    <w:bottom w:val="none" w:sz="0" w:space="0" w:color="auto"/>
                                                    <w:right w:val="none" w:sz="0" w:space="0" w:color="auto"/>
                                                  </w:divBdr>
                                                  <w:divsChild>
                                                    <w:div w:id="352651136">
                                                      <w:marLeft w:val="0"/>
                                                      <w:marRight w:val="0"/>
                                                      <w:marTop w:val="0"/>
                                                      <w:marBottom w:val="0"/>
                                                      <w:divBdr>
                                                        <w:top w:val="none" w:sz="0" w:space="0" w:color="auto"/>
                                                        <w:left w:val="none" w:sz="0" w:space="0" w:color="auto"/>
                                                        <w:bottom w:val="none" w:sz="0" w:space="0" w:color="auto"/>
                                                        <w:right w:val="none" w:sz="0" w:space="0" w:color="auto"/>
                                                      </w:divBdr>
                                                      <w:divsChild>
                                                        <w:div w:id="1104619940">
                                                          <w:marLeft w:val="-225"/>
                                                          <w:marRight w:val="-225"/>
                                                          <w:marTop w:val="0"/>
                                                          <w:marBottom w:val="0"/>
                                                          <w:divBdr>
                                                            <w:top w:val="none" w:sz="0" w:space="0" w:color="auto"/>
                                                            <w:left w:val="none" w:sz="0" w:space="0" w:color="auto"/>
                                                            <w:bottom w:val="none" w:sz="0" w:space="0" w:color="auto"/>
                                                            <w:right w:val="none" w:sz="0" w:space="0" w:color="auto"/>
                                                          </w:divBdr>
                                                          <w:divsChild>
                                                            <w:div w:id="736629980">
                                                              <w:marLeft w:val="0"/>
                                                              <w:marRight w:val="0"/>
                                                              <w:marTop w:val="0"/>
                                                              <w:marBottom w:val="0"/>
                                                              <w:divBdr>
                                                                <w:top w:val="none" w:sz="0" w:space="0" w:color="auto"/>
                                                                <w:left w:val="none" w:sz="0" w:space="0" w:color="auto"/>
                                                                <w:bottom w:val="none" w:sz="0" w:space="0" w:color="auto"/>
                                                                <w:right w:val="none" w:sz="0" w:space="0" w:color="auto"/>
                                                              </w:divBdr>
                                                              <w:divsChild>
                                                                <w:div w:id="10427038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3764894">
          <w:marLeft w:val="0"/>
          <w:marRight w:val="0"/>
          <w:marTop w:val="0"/>
          <w:marBottom w:val="0"/>
          <w:divBdr>
            <w:top w:val="none" w:sz="0" w:space="0" w:color="auto"/>
            <w:left w:val="none" w:sz="0" w:space="0" w:color="auto"/>
            <w:bottom w:val="none" w:sz="0" w:space="0" w:color="auto"/>
            <w:right w:val="none" w:sz="0" w:space="0" w:color="auto"/>
          </w:divBdr>
          <w:divsChild>
            <w:div w:id="1787847900">
              <w:marLeft w:val="0"/>
              <w:marRight w:val="0"/>
              <w:marTop w:val="0"/>
              <w:marBottom w:val="0"/>
              <w:divBdr>
                <w:top w:val="none" w:sz="0" w:space="0" w:color="auto"/>
                <w:left w:val="none" w:sz="0" w:space="0" w:color="auto"/>
                <w:bottom w:val="none" w:sz="0" w:space="0" w:color="auto"/>
                <w:right w:val="none" w:sz="0" w:space="0" w:color="auto"/>
              </w:divBdr>
              <w:divsChild>
                <w:div w:id="2110225840">
                  <w:marLeft w:val="0"/>
                  <w:marRight w:val="0"/>
                  <w:marTop w:val="0"/>
                  <w:marBottom w:val="0"/>
                  <w:divBdr>
                    <w:top w:val="none" w:sz="0" w:space="0" w:color="auto"/>
                    <w:left w:val="none" w:sz="0" w:space="0" w:color="auto"/>
                    <w:bottom w:val="none" w:sz="0" w:space="0" w:color="auto"/>
                    <w:right w:val="none" w:sz="0" w:space="0" w:color="auto"/>
                  </w:divBdr>
                  <w:divsChild>
                    <w:div w:id="266277319">
                      <w:marLeft w:val="0"/>
                      <w:marRight w:val="0"/>
                      <w:marTop w:val="0"/>
                      <w:marBottom w:val="0"/>
                      <w:divBdr>
                        <w:top w:val="none" w:sz="0" w:space="0" w:color="auto"/>
                        <w:left w:val="none" w:sz="0" w:space="0" w:color="auto"/>
                        <w:bottom w:val="none" w:sz="0" w:space="0" w:color="auto"/>
                        <w:right w:val="none" w:sz="0" w:space="0" w:color="auto"/>
                      </w:divBdr>
                      <w:divsChild>
                        <w:div w:id="97600067">
                          <w:marLeft w:val="0"/>
                          <w:marRight w:val="0"/>
                          <w:marTop w:val="0"/>
                          <w:marBottom w:val="0"/>
                          <w:divBdr>
                            <w:top w:val="none" w:sz="0" w:space="0" w:color="auto"/>
                            <w:left w:val="none" w:sz="0" w:space="0" w:color="auto"/>
                            <w:bottom w:val="none" w:sz="0" w:space="0" w:color="auto"/>
                            <w:right w:val="none" w:sz="0" w:space="0" w:color="auto"/>
                          </w:divBdr>
                          <w:divsChild>
                            <w:div w:id="114714094">
                              <w:marLeft w:val="0"/>
                              <w:marRight w:val="0"/>
                              <w:marTop w:val="0"/>
                              <w:marBottom w:val="0"/>
                              <w:divBdr>
                                <w:top w:val="none" w:sz="0" w:space="0" w:color="auto"/>
                                <w:left w:val="none" w:sz="0" w:space="0" w:color="auto"/>
                                <w:bottom w:val="none" w:sz="0" w:space="0" w:color="auto"/>
                                <w:right w:val="none" w:sz="0" w:space="0" w:color="auto"/>
                              </w:divBdr>
                              <w:divsChild>
                                <w:div w:id="422653662">
                                  <w:marLeft w:val="-225"/>
                                  <w:marRight w:val="-225"/>
                                  <w:marTop w:val="0"/>
                                  <w:marBottom w:val="0"/>
                                  <w:divBdr>
                                    <w:top w:val="none" w:sz="0" w:space="0" w:color="auto"/>
                                    <w:left w:val="none" w:sz="0" w:space="0" w:color="auto"/>
                                    <w:bottom w:val="none" w:sz="0" w:space="0" w:color="auto"/>
                                    <w:right w:val="none" w:sz="0" w:space="0" w:color="auto"/>
                                  </w:divBdr>
                                  <w:divsChild>
                                    <w:div w:id="549803091">
                                      <w:marLeft w:val="0"/>
                                      <w:marRight w:val="0"/>
                                      <w:marTop w:val="0"/>
                                      <w:marBottom w:val="0"/>
                                      <w:divBdr>
                                        <w:top w:val="none" w:sz="0" w:space="0" w:color="auto"/>
                                        <w:left w:val="none" w:sz="0" w:space="0" w:color="auto"/>
                                        <w:bottom w:val="none" w:sz="0" w:space="0" w:color="auto"/>
                                        <w:right w:val="none" w:sz="0" w:space="0" w:color="auto"/>
                                      </w:divBdr>
                                      <w:divsChild>
                                        <w:div w:id="1052733545">
                                          <w:marLeft w:val="0"/>
                                          <w:marRight w:val="0"/>
                                          <w:marTop w:val="0"/>
                                          <w:marBottom w:val="0"/>
                                          <w:divBdr>
                                            <w:top w:val="none" w:sz="0" w:space="0" w:color="auto"/>
                                            <w:left w:val="none" w:sz="0" w:space="0" w:color="auto"/>
                                            <w:bottom w:val="none" w:sz="0" w:space="0" w:color="auto"/>
                                            <w:right w:val="none" w:sz="0" w:space="0" w:color="auto"/>
                                          </w:divBdr>
                                          <w:divsChild>
                                            <w:div w:id="2050717709">
                                              <w:marLeft w:val="0"/>
                                              <w:marRight w:val="0"/>
                                              <w:marTop w:val="0"/>
                                              <w:marBottom w:val="0"/>
                                              <w:divBdr>
                                                <w:top w:val="none" w:sz="0" w:space="0" w:color="auto"/>
                                                <w:left w:val="none" w:sz="0" w:space="0" w:color="auto"/>
                                                <w:bottom w:val="none" w:sz="0" w:space="0" w:color="auto"/>
                                                <w:right w:val="none" w:sz="0" w:space="0" w:color="auto"/>
                                              </w:divBdr>
                                              <w:divsChild>
                                                <w:div w:id="2125733796">
                                                  <w:marLeft w:val="0"/>
                                                  <w:marRight w:val="0"/>
                                                  <w:marTop w:val="0"/>
                                                  <w:marBottom w:val="0"/>
                                                  <w:divBdr>
                                                    <w:top w:val="none" w:sz="0" w:space="0" w:color="auto"/>
                                                    <w:left w:val="none" w:sz="0" w:space="0" w:color="auto"/>
                                                    <w:bottom w:val="none" w:sz="0" w:space="0" w:color="auto"/>
                                                    <w:right w:val="none" w:sz="0" w:space="0" w:color="auto"/>
                                                  </w:divBdr>
                                                  <w:divsChild>
                                                    <w:div w:id="831725178">
                                                      <w:marLeft w:val="0"/>
                                                      <w:marRight w:val="0"/>
                                                      <w:marTop w:val="0"/>
                                                      <w:marBottom w:val="0"/>
                                                      <w:divBdr>
                                                        <w:top w:val="none" w:sz="0" w:space="0" w:color="auto"/>
                                                        <w:left w:val="none" w:sz="0" w:space="0" w:color="auto"/>
                                                        <w:bottom w:val="none" w:sz="0" w:space="0" w:color="auto"/>
                                                        <w:right w:val="none" w:sz="0" w:space="0" w:color="auto"/>
                                                      </w:divBdr>
                                                      <w:divsChild>
                                                        <w:div w:id="1306858455">
                                                          <w:marLeft w:val="0"/>
                                                          <w:marRight w:val="0"/>
                                                          <w:marTop w:val="0"/>
                                                          <w:marBottom w:val="0"/>
                                                          <w:divBdr>
                                                            <w:top w:val="none" w:sz="0" w:space="0" w:color="auto"/>
                                                            <w:left w:val="none" w:sz="0" w:space="0" w:color="auto"/>
                                                            <w:bottom w:val="none" w:sz="0" w:space="0" w:color="auto"/>
                                                            <w:right w:val="none" w:sz="0" w:space="0" w:color="auto"/>
                                                          </w:divBdr>
                                                          <w:divsChild>
                                                            <w:div w:id="308678419">
                                                              <w:marLeft w:val="0"/>
                                                              <w:marRight w:val="0"/>
                                                              <w:marTop w:val="0"/>
                                                              <w:marBottom w:val="0"/>
                                                              <w:divBdr>
                                                                <w:top w:val="none" w:sz="0" w:space="0" w:color="auto"/>
                                                                <w:left w:val="none" w:sz="0" w:space="0" w:color="auto"/>
                                                                <w:bottom w:val="none" w:sz="0" w:space="0" w:color="auto"/>
                                                                <w:right w:val="none" w:sz="0" w:space="0" w:color="auto"/>
                                                              </w:divBdr>
                                                              <w:divsChild>
                                                                <w:div w:id="1856191366">
                                                                  <w:marLeft w:val="0"/>
                                                                  <w:marRight w:val="0"/>
                                                                  <w:marTop w:val="0"/>
                                                                  <w:marBottom w:val="0"/>
                                                                  <w:divBdr>
                                                                    <w:top w:val="none" w:sz="0" w:space="0" w:color="auto"/>
                                                                    <w:left w:val="none" w:sz="0" w:space="0" w:color="auto"/>
                                                                    <w:bottom w:val="none" w:sz="0" w:space="0" w:color="auto"/>
                                                                    <w:right w:val="none" w:sz="0" w:space="0" w:color="auto"/>
                                                                  </w:divBdr>
                                                                  <w:divsChild>
                                                                    <w:div w:id="192424168">
                                                                      <w:marLeft w:val="0"/>
                                                                      <w:marRight w:val="0"/>
                                                                      <w:marTop w:val="0"/>
                                                                      <w:marBottom w:val="0"/>
                                                                      <w:divBdr>
                                                                        <w:top w:val="none" w:sz="0" w:space="0" w:color="auto"/>
                                                                        <w:left w:val="none" w:sz="0" w:space="0" w:color="auto"/>
                                                                        <w:bottom w:val="none" w:sz="0" w:space="0" w:color="auto"/>
                                                                        <w:right w:val="none" w:sz="0" w:space="0" w:color="auto"/>
                                                                      </w:divBdr>
                                                                    </w:div>
                                                                    <w:div w:id="17065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08648">
                                                      <w:marLeft w:val="0"/>
                                                      <w:marRight w:val="0"/>
                                                      <w:marTop w:val="0"/>
                                                      <w:marBottom w:val="0"/>
                                                      <w:divBdr>
                                                        <w:top w:val="none" w:sz="0" w:space="0" w:color="auto"/>
                                                        <w:left w:val="none" w:sz="0" w:space="0" w:color="auto"/>
                                                        <w:bottom w:val="none" w:sz="0" w:space="0" w:color="auto"/>
                                                        <w:right w:val="none" w:sz="0" w:space="0" w:color="auto"/>
                                                      </w:divBdr>
                                                      <w:divsChild>
                                                        <w:div w:id="754087721">
                                                          <w:marLeft w:val="0"/>
                                                          <w:marRight w:val="0"/>
                                                          <w:marTop w:val="0"/>
                                                          <w:marBottom w:val="0"/>
                                                          <w:divBdr>
                                                            <w:top w:val="none" w:sz="0" w:space="0" w:color="auto"/>
                                                            <w:left w:val="none" w:sz="0" w:space="0" w:color="auto"/>
                                                            <w:bottom w:val="none" w:sz="0" w:space="0" w:color="auto"/>
                                                            <w:right w:val="none" w:sz="0" w:space="0" w:color="auto"/>
                                                          </w:divBdr>
                                                        </w:div>
                                                      </w:divsChild>
                                                    </w:div>
                                                    <w:div w:id="1914119034">
                                                      <w:marLeft w:val="0"/>
                                                      <w:marRight w:val="0"/>
                                                      <w:marTop w:val="0"/>
                                                      <w:marBottom w:val="0"/>
                                                      <w:divBdr>
                                                        <w:top w:val="none" w:sz="0" w:space="0" w:color="auto"/>
                                                        <w:left w:val="none" w:sz="0" w:space="0" w:color="auto"/>
                                                        <w:bottom w:val="none" w:sz="0" w:space="0" w:color="auto"/>
                                                        <w:right w:val="none" w:sz="0" w:space="0" w:color="auto"/>
                                                      </w:divBdr>
                                                      <w:divsChild>
                                                        <w:div w:id="11432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23vizyonu.meb.gov.tr/doc/2023_VIZYON_ENG.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imss2019.org/reports/wp-content/themes/timssandpirls/download-center/TIMSS-2019-International-Results-in-Mathematics-and-Science.pdf" TargetMode="External"/><Relationship Id="rId12" Type="http://schemas.openxmlformats.org/officeDocument/2006/relationships/hyperlink" Target="https://www.youtube.com/watch?v=KnegALVPr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b.meb.gov.tr/meb_iys_dosyalar/2019_12/31105532_Milli_EYitim_BakanlYYY_2019-2023_Stratejik_PlanY__31.12.pdf" TargetMode="External"/><Relationship Id="rId4" Type="http://schemas.openxmlformats.org/officeDocument/2006/relationships/webSettings" Target="webSettings.xml"/><Relationship Id="rId9" Type="http://schemas.openxmlformats.org/officeDocument/2006/relationships/hyperlink" Target="https://www.sbb.gov.tr/wp-content/uploads/2019/11/ON_BIRINCI_KALKINMA-PLANI_2019-202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Aleta</dc:creator>
  <cp:keywords/>
  <dc:description/>
  <cp:lastModifiedBy>Mary Aleta</cp:lastModifiedBy>
  <cp:revision>2</cp:revision>
  <dcterms:created xsi:type="dcterms:W3CDTF">2023-07-01T16:39:00Z</dcterms:created>
  <dcterms:modified xsi:type="dcterms:W3CDTF">2023-07-01T16:41:00Z</dcterms:modified>
</cp:coreProperties>
</file>