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bidi w:val="0"/>
        <w:spacing w:before="240" w:after="120"/>
        <w:ind w:hanging="0" w:start="0"/>
        <w:jc w:val="start"/>
        <w:rPr/>
      </w:pPr>
      <w:r>
        <w:rPr/>
        <w:t>The Value Momentum Investing (VMI) Master Document</w:t>
      </w:r>
    </w:p>
    <w:p>
      <w:pPr>
        <w:pStyle w:val="Heading3"/>
        <w:bidi w:val="0"/>
        <w:ind w:hanging="0" w:start="0"/>
        <w:jc w:val="start"/>
        <w:rPr/>
      </w:pPr>
      <w:r>
        <w:rPr/>
        <w:t xml:space="preserve">Complete Notes from Adam Khoo's </w:t>
      </w:r>
      <w:r>
        <w:rPr>
          <w:i/>
        </w:rPr>
        <w:t>Whale Investor / Value Momentum Investor</w:t>
      </w:r>
      <w:r>
        <w:rPr/>
        <w:t xml:space="preserve"> Course</w:t>
      </w:r>
    </w:p>
    <w:p>
      <w:pPr>
        <w:pStyle w:val="HorizontalLine"/>
        <w:bidi w:val="0"/>
        <w:jc w:val="start"/>
        <w:rPr/>
      </w:pPr>
      <w:r>
        <w:rPr/>
      </w:r>
    </w:p>
    <w:p>
      <w:pPr>
        <w:pStyle w:val="Heading2"/>
        <w:bidi w:val="0"/>
        <w:ind w:hanging="0" w:start="0"/>
        <w:jc w:val="start"/>
        <w:rPr/>
      </w:pPr>
      <w:r>
        <w:rPr/>
        <w:t>About This Document</w:t>
      </w:r>
    </w:p>
    <w:p>
      <w:pPr>
        <w:pStyle w:val="BodyText"/>
        <w:bidi w:val="0"/>
        <w:jc w:val="start"/>
        <w:rPr/>
      </w:pPr>
      <w:r>
        <w:rPr/>
        <w:t xml:space="preserve">This document is a complete, exhaustive written record of </w:t>
      </w:r>
      <w:r>
        <w:rPr>
          <w:b/>
        </w:rPr>
        <w:t>every core-methodology lesson</w:t>
      </w:r>
      <w:r>
        <w:rPr/>
        <w:t> </w:t>
      </w:r>
      <w:r>
        <w:rPr>
          <w:b/>
        </w:rPr>
        <w:t>video</w:t>
      </w:r>
      <w:r>
        <w:rPr/>
        <w:t xml:space="preserve"> in the course — </w:t>
      </w:r>
      <w:r>
        <w:rPr>
          <w:b/>
        </w:rPr>
        <w:t>55 videos totalling 23 hours 7 minutes</w:t>
      </w:r>
      <w:r>
        <w:rPr/>
        <w:t xml:space="preserve"> of instruction.</w:t>
      </w:r>
    </w:p>
    <w:p>
      <w:pPr>
        <w:pStyle w:val="BodyText"/>
        <w:bidi w:val="0"/>
        <w:jc w:val="start"/>
        <w:rPr/>
      </w:pPr>
      <w:r>
        <w:rPr/>
        <w:t xml:space="preserve">Every video was transcribed in full (OpenAI Whisper </w:t>
      </w:r>
      <w:r>
        <w:rPr>
          <w:rFonts w:ascii="Liberation Mono" w:hAnsi="Liberation Mono"/>
        </w:rPr>
        <w:t>medium</w:t>
      </w:r>
      <w:r>
        <w:rPr/>
        <w:t>, 236,275 words of raw transcript), then every transcript was read end-to-end and distilled into structured notes. Nothing was skipped or sampled. Concepts, formulas, numeric thresholds, worked examples, company names, tickers, tool navigation steps, and rules are preserved as taught.</w:t>
      </w:r>
    </w:p>
    <w:p>
      <w:pPr>
        <w:pStyle w:val="BodyText"/>
        <w:bidi w:val="0"/>
        <w:jc w:val="start"/>
        <w:rPr/>
      </w:pPr>
      <w:r>
        <w:rPr>
          <w:b/>
        </w:rPr>
        <w:t>Provenance note:</w:t>
      </w:r>
      <w:r>
        <w:rPr/>
        <w:t xml:space="preserve"> all content below comes from the course videos themselves. No outside material has been added. Where the instructor gives a specific number, that number is reproduced exactly as stated in the lesson.</w:t>
      </w:r>
    </w:p>
    <w:p>
      <w:pPr>
        <w:pStyle w:val="BodyText"/>
        <w:bidi w:val="0"/>
        <w:jc w:val="start"/>
        <w:rPr/>
      </w:pPr>
      <w:r>
        <w:rPr>
          <w:b/>
        </w:rPr>
        <w:t>Coverage note:</w:t>
      </w:r>
      <w:r>
        <w:rPr/>
        <w:t xml:space="preserve"> this document covers the full core investing methodology — stock basics, trend following and strategy, fundamental analysis, valuation, technical analysis, the 7-step VMI formula, worked case studies, portfolio construction, finding/monitoring/selling, and investor psychology.</w:t>
      </w:r>
    </w:p>
    <w:p>
      <w:pPr>
        <w:pStyle w:val="BodyText"/>
        <w:bidi w:val="0"/>
        <w:jc w:val="start"/>
        <w:rPr/>
      </w:pPr>
      <w:r>
        <w:rPr/>
        <w:t xml:space="preserve">Deliberately </w:t>
      </w:r>
      <w:r>
        <w:rPr>
          <w:b/>
        </w:rPr>
        <w:t>excluded</w:t>
      </w:r>
      <w:r>
        <w:rPr/>
        <w:t xml:space="preserve"> from this document (not part of the core stock-picking method): the ETF lessons, the broker-selection and IBKR platform walkthroughs, and the options / leverage lessons, along with the bonus webinar recordings.</w:t>
      </w:r>
    </w:p>
    <w:p>
      <w:pPr>
        <w:pStyle w:val="HorizontalLine"/>
        <w:bidi w:val="0"/>
        <w:jc w:val="start"/>
        <w:rPr/>
      </w:pPr>
      <w:r>
        <w:rPr/>
      </w:r>
    </w:p>
    <w:p>
      <w:pPr>
        <w:pStyle w:val="Heading2"/>
        <w:bidi w:val="0"/>
        <w:ind w:hanging="0" w:start="0"/>
        <w:jc w:val="start"/>
        <w:rPr/>
      </w:pPr>
      <w:r>
        <w:rPr/>
        <w:t>The Core Idea in One Page</w:t>
      </w:r>
    </w:p>
    <w:p>
      <w:pPr>
        <w:pStyle w:val="BodyText"/>
        <w:bidi w:val="0"/>
        <w:jc w:val="start"/>
        <w:rPr/>
      </w:pPr>
      <w:r>
        <w:rPr>
          <w:b/>
        </w:rPr>
        <w:t>When you buy a share of stock, you are buying a piece of a business.</w:t>
      </w:r>
      <w:r>
        <w:rPr/>
        <w:t xml:space="preserve"> If the business makes more money over time, the shares become worth more and the price follows. Everything else — elections, the Fed, geopolitics, yield curves, daily headlines — is noise.</w:t>
      </w:r>
    </w:p>
    <w:p>
      <w:pPr>
        <w:pStyle w:val="BodyText"/>
        <w:bidi w:val="0"/>
        <w:jc w:val="start"/>
        <w:rPr/>
      </w:pPr>
      <w:r>
        <w:rPr/>
        <w:t xml:space="preserve">The whole method answers four questions, which the instructor abbreviates </w:t>
      </w:r>
      <w:r>
        <w:rPr>
          <w:b/>
        </w:rPr>
        <w:t>WWHW</w:t>
      </w:r>
      <w:r>
        <w:rPr/>
        <w:t>:</w:t>
      </w:r>
    </w:p>
    <w:tbl>
      <w:tblPr>
        <w:tblW w:w="5000" w:type="pct"/>
        <w:jc w:val="start"/>
        <w:tblInd w:w="-5" w:type="dxa"/>
        <w:tblLayout w:type="fixed"/>
        <w:tblCellMar>
          <w:top w:w="55" w:type="dxa"/>
          <w:start w:w="55" w:type="dxa"/>
          <w:bottom w:w="55" w:type="dxa"/>
          <w:end w:w="55" w:type="dxa"/>
        </w:tblCellMar>
      </w:tblPr>
      <w:tblGrid>
        <w:gridCol w:w="3212"/>
        <w:gridCol w:w="3213"/>
        <w:gridCol w:w="3213"/>
      </w:tblGrid>
      <w:tr>
        <w:trPr>
          <w:tblHeader w:val="true"/>
        </w:trPr>
        <w:tc>
          <w:tcPr>
            <w:tcW w:w="3212" w:type="dxa"/>
            <w:tcBorders>
              <w:top w:val="single" w:sz="4" w:space="0" w:color="000000"/>
              <w:start w:val="single" w:sz="4" w:space="0" w:color="000000"/>
              <w:bottom w:val="single" w:sz="4" w:space="0" w:color="000000"/>
            </w:tcBorders>
          </w:tcPr>
          <w:p>
            <w:pPr>
              <w:pStyle w:val="TableHeading"/>
              <w:bidi w:val="0"/>
              <w:jc w:val="start"/>
              <w:rPr/>
            </w:pPr>
            <w:r>
              <w:rPr/>
              <w:t>Key</w:t>
            </w:r>
          </w:p>
        </w:tc>
        <w:tc>
          <w:tcPr>
            <w:tcW w:w="3213" w:type="dxa"/>
            <w:tcBorders>
              <w:top w:val="single" w:sz="4" w:space="0" w:color="000000"/>
              <w:start w:val="single" w:sz="4" w:space="0" w:color="000000"/>
              <w:bottom w:val="single" w:sz="4" w:space="0" w:color="000000"/>
            </w:tcBorders>
          </w:tcPr>
          <w:p>
            <w:pPr>
              <w:pStyle w:val="TableHeading"/>
              <w:bidi w:val="0"/>
              <w:jc w:val="start"/>
              <w:rPr/>
            </w:pPr>
            <w:r>
              <w:rPr/>
              <w:t>Question</w:t>
            </w:r>
          </w:p>
        </w:tc>
        <w:tc>
          <w:tcPr>
            <w:tcW w:w="3213"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Answered by</w:t>
            </w:r>
          </w:p>
        </w:tc>
      </w:tr>
      <w:tr>
        <w:trPr/>
        <w:tc>
          <w:tcPr>
            <w:tcW w:w="3212" w:type="dxa"/>
            <w:tcBorders>
              <w:start w:val="single" w:sz="4" w:space="0" w:color="000000"/>
              <w:bottom w:val="single" w:sz="4" w:space="0" w:color="000000"/>
            </w:tcBorders>
          </w:tcPr>
          <w:p>
            <w:pPr>
              <w:pStyle w:val="TableContents"/>
              <w:bidi w:val="0"/>
              <w:jc w:val="start"/>
              <w:rPr/>
            </w:pPr>
            <w:r>
              <w:rPr>
                <w:b/>
              </w:rPr>
              <w:t>W</w:t>
            </w:r>
          </w:p>
        </w:tc>
        <w:tc>
          <w:tcPr>
            <w:tcW w:w="3213" w:type="dxa"/>
            <w:tcBorders>
              <w:start w:val="single" w:sz="4" w:space="0" w:color="000000"/>
              <w:bottom w:val="single" w:sz="4" w:space="0" w:color="000000"/>
            </w:tcBorders>
          </w:tcPr>
          <w:p>
            <w:pPr>
              <w:pStyle w:val="TableContents"/>
              <w:bidi w:val="0"/>
              <w:jc w:val="start"/>
              <w:rPr/>
            </w:pPr>
            <w:r>
              <w:rPr>
                <w:b/>
              </w:rPr>
              <w:t>What</w:t>
            </w:r>
            <w:r>
              <w:rPr/>
              <w:t xml:space="preserve"> to buy</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Fundamental analysis → only the top ~1% of businesses</w:t>
            </w:r>
          </w:p>
        </w:tc>
      </w:tr>
      <w:tr>
        <w:trPr/>
        <w:tc>
          <w:tcPr>
            <w:tcW w:w="3212" w:type="dxa"/>
            <w:tcBorders>
              <w:start w:val="single" w:sz="4" w:space="0" w:color="000000"/>
              <w:bottom w:val="single" w:sz="4" w:space="0" w:color="000000"/>
            </w:tcBorders>
          </w:tcPr>
          <w:p>
            <w:pPr>
              <w:pStyle w:val="TableContents"/>
              <w:bidi w:val="0"/>
              <w:jc w:val="start"/>
              <w:rPr/>
            </w:pPr>
            <w:r>
              <w:rPr>
                <w:b/>
              </w:rPr>
              <w:t>W</w:t>
            </w:r>
          </w:p>
        </w:tc>
        <w:tc>
          <w:tcPr>
            <w:tcW w:w="3213" w:type="dxa"/>
            <w:tcBorders>
              <w:start w:val="single" w:sz="4" w:space="0" w:color="000000"/>
              <w:bottom w:val="single" w:sz="4" w:space="0" w:color="000000"/>
            </w:tcBorders>
          </w:tcPr>
          <w:p>
            <w:pPr>
              <w:pStyle w:val="TableContents"/>
              <w:bidi w:val="0"/>
              <w:jc w:val="start"/>
              <w:rPr/>
            </w:pPr>
            <w:r>
              <w:rPr>
                <w:b/>
              </w:rPr>
              <w:t>When</w:t>
            </w:r>
            <w:r>
              <w:rPr/>
              <w:t xml:space="preserve"> to buy</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Valuation (buy below intrinsic value) + technical analysis for timing</w:t>
            </w:r>
          </w:p>
        </w:tc>
      </w:tr>
      <w:tr>
        <w:trPr/>
        <w:tc>
          <w:tcPr>
            <w:tcW w:w="3212" w:type="dxa"/>
            <w:tcBorders>
              <w:start w:val="single" w:sz="4" w:space="0" w:color="000000"/>
              <w:bottom w:val="single" w:sz="4" w:space="0" w:color="000000"/>
            </w:tcBorders>
          </w:tcPr>
          <w:p>
            <w:pPr>
              <w:pStyle w:val="TableContents"/>
              <w:bidi w:val="0"/>
              <w:jc w:val="start"/>
              <w:rPr/>
            </w:pPr>
            <w:r>
              <w:rPr>
                <w:b/>
              </w:rPr>
              <w:t>H</w:t>
            </w:r>
          </w:p>
        </w:tc>
        <w:tc>
          <w:tcPr>
            <w:tcW w:w="3213" w:type="dxa"/>
            <w:tcBorders>
              <w:start w:val="single" w:sz="4" w:space="0" w:color="000000"/>
              <w:bottom w:val="single" w:sz="4" w:space="0" w:color="000000"/>
            </w:tcBorders>
          </w:tcPr>
          <w:p>
            <w:pPr>
              <w:pStyle w:val="TableContents"/>
              <w:bidi w:val="0"/>
              <w:jc w:val="start"/>
              <w:rPr/>
            </w:pPr>
            <w:r>
              <w:rPr>
                <w:b/>
              </w:rPr>
              <w:t>How many</w:t>
            </w:r>
            <w:r>
              <w:rPr/>
              <w:t xml:space="preserve"> shares</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Position sizing and portfolio construction</w:t>
            </w:r>
          </w:p>
        </w:tc>
      </w:tr>
      <w:tr>
        <w:trPr/>
        <w:tc>
          <w:tcPr>
            <w:tcW w:w="3212" w:type="dxa"/>
            <w:tcBorders>
              <w:start w:val="single" w:sz="4" w:space="0" w:color="000000"/>
              <w:bottom w:val="single" w:sz="4" w:space="0" w:color="000000"/>
            </w:tcBorders>
          </w:tcPr>
          <w:p>
            <w:pPr>
              <w:pStyle w:val="TableContents"/>
              <w:bidi w:val="0"/>
              <w:jc w:val="start"/>
              <w:rPr/>
            </w:pPr>
            <w:r>
              <w:rPr>
                <w:b/>
              </w:rPr>
              <w:t>W</w:t>
            </w:r>
          </w:p>
        </w:tc>
        <w:tc>
          <w:tcPr>
            <w:tcW w:w="3213" w:type="dxa"/>
            <w:tcBorders>
              <w:start w:val="single" w:sz="4" w:space="0" w:color="000000"/>
              <w:bottom w:val="single" w:sz="4" w:space="0" w:color="000000"/>
            </w:tcBorders>
          </w:tcPr>
          <w:p>
            <w:pPr>
              <w:pStyle w:val="TableContents"/>
              <w:bidi w:val="0"/>
              <w:jc w:val="start"/>
              <w:rPr/>
            </w:pPr>
            <w:r>
              <w:rPr>
                <w:b/>
              </w:rPr>
              <w:t>When</w:t>
            </w:r>
            <w:r>
              <w:rPr/>
              <w:t xml:space="preserve"> to sell</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Explicit exit rules — and knowing the many invalid reasons to sell</w:t>
            </w:r>
          </w:p>
        </w:tc>
      </w:tr>
    </w:tbl>
    <w:p>
      <w:pPr>
        <w:pStyle w:val="BodyText"/>
        <w:bidi w:val="0"/>
        <w:jc w:val="start"/>
        <w:rPr/>
      </w:pPr>
      <w:r>
        <w:rPr/>
      </w:r>
    </w:p>
    <w:p>
      <w:pPr>
        <w:pStyle w:val="BodyText"/>
        <w:bidi w:val="0"/>
        <w:jc w:val="start"/>
        <w:rPr/>
      </w:pPr>
      <w:r>
        <w:rPr/>
        <w:t>Two engines drive returns, and the name of the method comes from combining them:</w:t>
      </w:r>
    </w:p>
    <w:p>
      <w:pPr>
        <w:pStyle w:val="BodyText"/>
        <w:numPr>
          <w:ilvl w:val="0"/>
          <w:numId w:val="2"/>
        </w:numPr>
        <w:tabs>
          <w:tab w:val="clear" w:pos="709"/>
          <w:tab w:val="left" w:pos="709" w:leader="none"/>
        </w:tabs>
        <w:bidi w:val="0"/>
        <w:ind w:hanging="283" w:start="709"/>
        <w:jc w:val="start"/>
        <w:rPr/>
      </w:pPr>
      <w:r>
        <w:rPr>
          <w:b/>
        </w:rPr>
        <w:t>Value</w:t>
      </w:r>
      <w:r>
        <w:rPr/>
        <w:t xml:space="preserve"> — buy great businesses only when price sits below calculated intrinsic value.</w:t>
      </w:r>
    </w:p>
    <w:p>
      <w:pPr>
        <w:pStyle w:val="BodyText"/>
        <w:numPr>
          <w:ilvl w:val="0"/>
          <w:numId w:val="2"/>
        </w:numPr>
        <w:tabs>
          <w:tab w:val="clear" w:pos="709"/>
          <w:tab w:val="left" w:pos="709" w:leader="none"/>
        </w:tabs>
        <w:bidi w:val="0"/>
        <w:ind w:hanging="283" w:start="709"/>
        <w:jc w:val="start"/>
        <w:rPr/>
      </w:pPr>
      <w:r>
        <w:rPr>
          <w:b/>
        </w:rPr>
        <w:t>Momentum</w:t>
      </w:r>
      <w:r>
        <w:rPr/>
        <w:t xml:space="preserve"> — use trend and chart structure so you buy into strength and avoid catching falling knives, and so exits are disciplined rather than emotional.</w:t>
      </w:r>
    </w:p>
    <w:p>
      <w:pPr>
        <w:pStyle w:val="BodyText"/>
        <w:bidi w:val="0"/>
        <w:jc w:val="start"/>
        <w:rPr/>
      </w:pPr>
      <w:r>
        <w:rPr/>
        <w:t xml:space="preserve">And one factor sits above the method itself: </w:t>
      </w:r>
      <w:r>
        <w:rPr>
          <w:b/>
        </w:rPr>
        <w:t>temperament</w:t>
      </w:r>
      <w:r>
        <w:rPr/>
        <w:t xml:space="preserve">. The instructor's own weighting is that </w:t>
      </w:r>
      <w:r>
        <w:rPr>
          <w:b/>
        </w:rPr>
        <w:t>70% of an investor's success is mindset</w:t>
      </w:r>
      <w:r>
        <w:rPr/>
        <w:t xml:space="preserve"> — the ability to follow the rules when fear or greed says otherwise. That is why Part X exists, and why he tells students to watch that lesson more than any other.</w:t>
      </w:r>
    </w:p>
    <w:p>
      <w:pPr>
        <w:pStyle w:val="HorizontalLine"/>
        <w:bidi w:val="0"/>
        <w:jc w:val="start"/>
        <w:rPr/>
      </w:pPr>
      <w:r>
        <w:rPr/>
      </w:r>
    </w:p>
    <w:p>
      <w:pPr>
        <w:pStyle w:val="Heading2"/>
        <w:bidi w:val="0"/>
        <w:ind w:hanging="0" w:start="0"/>
        <w:jc w:val="start"/>
        <w:rPr/>
      </w:pPr>
      <w:r>
        <w:rPr/>
        <w:t>Table of Contents</w:t>
      </w:r>
    </w:p>
    <w:p>
      <w:pPr>
        <w:pStyle w:val="BodyText"/>
        <w:numPr>
          <w:ilvl w:val="0"/>
          <w:numId w:val="3"/>
        </w:numPr>
        <w:tabs>
          <w:tab w:val="clear" w:pos="709"/>
          <w:tab w:val="left" w:pos="709" w:leader="none"/>
        </w:tabs>
        <w:bidi w:val="0"/>
        <w:spacing w:before="0" w:after="0"/>
        <w:ind w:hanging="283" w:start="709"/>
        <w:jc w:val="start"/>
        <w:rPr/>
      </w:pPr>
      <w:hyperlink w:anchor="part-i--stock-market-basics">
        <w:r>
          <w:rPr>
            <w:rStyle w:val="Hyperlink"/>
            <w:b/>
          </w:rPr>
          <w:t>Part I — Stock Market Basics</w:t>
        </w:r>
      </w:hyperlink>
    </w:p>
    <w:p>
      <w:pPr>
        <w:pStyle w:val="BodyText"/>
        <w:numPr>
          <w:ilvl w:val="1"/>
          <w:numId w:val="3"/>
        </w:numPr>
        <w:tabs>
          <w:tab w:val="clear" w:pos="709"/>
          <w:tab w:val="left" w:pos="1418" w:leader="none"/>
        </w:tabs>
        <w:bidi w:val="0"/>
        <w:ind w:hanging="283" w:start="1418"/>
        <w:jc w:val="start"/>
        <w:rPr/>
      </w:pPr>
      <w:hyperlink w:anchor="course-introduction-video-06--course-str">
        <w:r>
          <w:rPr>
            <w:rStyle w:val="Hyperlink"/>
          </w:rPr>
          <w:t>Course Introduction (Video 06 — Course Structure, Rules, Community)</w:t>
        </w:r>
      </w:hyperlink>
    </w:p>
    <w:p>
      <w:pPr>
        <w:pStyle w:val="BodyText"/>
        <w:numPr>
          <w:ilvl w:val="1"/>
          <w:numId w:val="3"/>
        </w:numPr>
        <w:tabs>
          <w:tab w:val="clear" w:pos="709"/>
          <w:tab w:val="left" w:pos="1418" w:leader="none"/>
        </w:tabs>
        <w:bidi w:val="0"/>
        <w:ind w:hanging="283" w:start="1418"/>
        <w:jc w:val="start"/>
        <w:rPr/>
      </w:pPr>
      <w:hyperlink w:anchor="what-is-a-share-of-stock-parts-of-a-busi">
        <w:r>
          <w:rPr>
            <w:rStyle w:val="Hyperlink"/>
          </w:rPr>
          <w:t>What Is a Share of Stock (Parts of a Business)</w:t>
        </w:r>
      </w:hyperlink>
    </w:p>
    <w:p>
      <w:pPr>
        <w:pStyle w:val="BodyText"/>
        <w:numPr>
          <w:ilvl w:val="1"/>
          <w:numId w:val="3"/>
        </w:numPr>
        <w:tabs>
          <w:tab w:val="clear" w:pos="709"/>
          <w:tab w:val="left" w:pos="1418" w:leader="none"/>
        </w:tabs>
        <w:bidi w:val="0"/>
        <w:ind w:hanging="283" w:start="1418"/>
        <w:jc w:val="start"/>
        <w:rPr/>
      </w:pPr>
      <w:hyperlink w:anchor="net-income--implied-shares-outstanding">
        <w:r>
          <w:rPr>
            <w:rStyle w:val="Hyperlink"/>
          </w:rPr>
          <w:t>Net Income &amp; Implied Shares Outstanding</w:t>
        </w:r>
      </w:hyperlink>
    </w:p>
    <w:p>
      <w:pPr>
        <w:pStyle w:val="BodyText"/>
        <w:numPr>
          <w:ilvl w:val="1"/>
          <w:numId w:val="3"/>
        </w:numPr>
        <w:tabs>
          <w:tab w:val="clear" w:pos="709"/>
          <w:tab w:val="left" w:pos="1418" w:leader="none"/>
        </w:tabs>
        <w:bidi w:val="0"/>
        <w:ind w:hanging="283" w:start="1418"/>
        <w:jc w:val="start"/>
        <w:rPr/>
      </w:pPr>
      <w:hyperlink w:anchor="market-capitalization">
        <w:r>
          <w:rPr>
            <w:rStyle w:val="Hyperlink"/>
          </w:rPr>
          <w:t>Market Capitalization</w:t>
        </w:r>
      </w:hyperlink>
    </w:p>
    <w:p>
      <w:pPr>
        <w:pStyle w:val="BodyText"/>
        <w:numPr>
          <w:ilvl w:val="1"/>
          <w:numId w:val="3"/>
        </w:numPr>
        <w:tabs>
          <w:tab w:val="clear" w:pos="709"/>
          <w:tab w:val="left" w:pos="1418" w:leader="none"/>
        </w:tabs>
        <w:bidi w:val="0"/>
        <w:ind w:hanging="283" w:start="1418"/>
        <w:jc w:val="start"/>
        <w:rPr/>
      </w:pPr>
      <w:hyperlink w:anchor="pe-and-peg-ratio">
        <w:r>
          <w:rPr>
            <w:rStyle w:val="Hyperlink"/>
          </w:rPr>
          <w:t>P/E and PEG Ratio</w:t>
        </w:r>
      </w:hyperlink>
    </w:p>
    <w:p>
      <w:pPr>
        <w:pStyle w:val="BodyText"/>
        <w:numPr>
          <w:ilvl w:val="1"/>
          <w:numId w:val="3"/>
        </w:numPr>
        <w:tabs>
          <w:tab w:val="clear" w:pos="709"/>
          <w:tab w:val="left" w:pos="1418" w:leader="none"/>
        </w:tabs>
        <w:bidi w:val="0"/>
        <w:ind w:hanging="283" w:start="1418"/>
        <w:jc w:val="start"/>
        <w:rPr/>
      </w:pPr>
      <w:hyperlink w:anchor="what-drives-stock-prices">
        <w:r>
          <w:rPr>
            <w:rStyle w:val="Hyperlink"/>
          </w:rPr>
          <w:t>What Drives Stock Prices</w:t>
        </w:r>
      </w:hyperlink>
    </w:p>
    <w:p>
      <w:pPr>
        <w:pStyle w:val="BodyText"/>
        <w:numPr>
          <w:ilvl w:val="1"/>
          <w:numId w:val="3"/>
        </w:numPr>
        <w:tabs>
          <w:tab w:val="clear" w:pos="709"/>
          <w:tab w:val="left" w:pos="1418" w:leader="none"/>
        </w:tabs>
        <w:bidi w:val="0"/>
        <w:ind w:hanging="283" w:start="1418"/>
        <w:jc w:val="start"/>
        <w:rPr/>
      </w:pPr>
      <w:hyperlink w:anchor="how-to-make-money-in-stocks">
        <w:r>
          <w:rPr>
            <w:rStyle w:val="Hyperlink"/>
          </w:rPr>
          <w:t>How to Make Money in Stocks</w:t>
        </w:r>
      </w:hyperlink>
    </w:p>
    <w:p>
      <w:pPr>
        <w:pStyle w:val="BodyText"/>
        <w:numPr>
          <w:ilvl w:val="1"/>
          <w:numId w:val="3"/>
        </w:numPr>
        <w:tabs>
          <w:tab w:val="clear" w:pos="709"/>
          <w:tab w:val="left" w:pos="1418" w:leader="none"/>
        </w:tabs>
        <w:bidi w:val="0"/>
        <w:ind w:hanging="283" w:start="1418"/>
        <w:jc w:val="start"/>
        <w:rPr/>
      </w:pPr>
      <w:hyperlink w:anchor="stock-exchanges">
        <w:r>
          <w:rPr>
            <w:rStyle w:val="Hyperlink"/>
          </w:rPr>
          <w:t>Stock Exchanges</w:t>
        </w:r>
      </w:hyperlink>
    </w:p>
    <w:p>
      <w:pPr>
        <w:pStyle w:val="BodyText"/>
        <w:numPr>
          <w:ilvl w:val="1"/>
          <w:numId w:val="3"/>
        </w:numPr>
        <w:tabs>
          <w:tab w:val="clear" w:pos="709"/>
          <w:tab w:val="left" w:pos="1418" w:leader="none"/>
        </w:tabs>
        <w:bidi w:val="0"/>
        <w:ind w:hanging="283" w:start="1418"/>
        <w:jc w:val="start"/>
        <w:rPr/>
      </w:pPr>
      <w:hyperlink w:anchor="stock-index-performance">
        <w:r>
          <w:rPr>
            <w:rStyle w:val="Hyperlink"/>
          </w:rPr>
          <w:t>Stock Index Performance</w:t>
        </w:r>
      </w:hyperlink>
    </w:p>
    <w:p>
      <w:pPr>
        <w:pStyle w:val="BodyText"/>
        <w:numPr>
          <w:ilvl w:val="1"/>
          <w:numId w:val="3"/>
        </w:numPr>
        <w:tabs>
          <w:tab w:val="clear" w:pos="709"/>
          <w:tab w:val="left" w:pos="1418" w:leader="none"/>
        </w:tabs>
        <w:bidi w:val="0"/>
        <w:ind w:hanging="283" w:start="1418"/>
        <w:jc w:val="start"/>
        <w:rPr/>
      </w:pPr>
      <w:hyperlink w:anchor="lesson-1-quiz--questions--adams-answers-">
        <w:r>
          <w:rPr>
            <w:rStyle w:val="Hyperlink"/>
          </w:rPr>
          <w:t>Lesson 1 Quiz — Questions &amp; Adam's Answers (9 Questions)</w:t>
        </w:r>
      </w:hyperlink>
    </w:p>
    <w:p>
      <w:pPr>
        <w:pStyle w:val="BodyText"/>
        <w:numPr>
          <w:ilvl w:val="1"/>
          <w:numId w:val="3"/>
        </w:numPr>
        <w:tabs>
          <w:tab w:val="clear" w:pos="709"/>
          <w:tab w:val="left" w:pos="1418" w:leader="none"/>
        </w:tabs>
        <w:bidi w:val="0"/>
        <w:ind w:hanging="283" w:start="1418"/>
        <w:jc w:val="start"/>
        <w:rPr/>
      </w:pPr>
      <w:hyperlink w:anchor="shocking-market-facts">
        <w:r>
          <w:rPr>
            <w:rStyle w:val="Hyperlink"/>
          </w:rPr>
          <w:t>Shocking Market Facts</w:t>
        </w:r>
      </w:hyperlink>
    </w:p>
    <w:p>
      <w:pPr>
        <w:pStyle w:val="BodyText"/>
        <w:numPr>
          <w:ilvl w:val="1"/>
          <w:numId w:val="3"/>
        </w:numPr>
        <w:tabs>
          <w:tab w:val="clear" w:pos="709"/>
          <w:tab w:val="left" w:pos="1418" w:leader="none"/>
        </w:tabs>
        <w:bidi w:val="0"/>
        <w:ind w:hanging="283" w:start="1418"/>
        <w:jc w:val="start"/>
        <w:rPr/>
      </w:pPr>
      <w:hyperlink w:anchor="tools--websites-referenced-summary">
        <w:r>
          <w:rPr>
            <w:rStyle w:val="Hyperlink"/>
          </w:rPr>
          <w:t>Tools &amp; Websites Referenced (Summary)</w:t>
        </w:r>
      </w:hyperlink>
    </w:p>
    <w:p>
      <w:pPr>
        <w:pStyle w:val="BodyText"/>
        <w:numPr>
          <w:ilvl w:val="1"/>
          <w:numId w:val="3"/>
        </w:numPr>
        <w:tabs>
          <w:tab w:val="clear" w:pos="709"/>
          <w:tab w:val="left" w:pos="1418" w:leader="none"/>
        </w:tabs>
        <w:bidi w:val="0"/>
        <w:ind w:hanging="283" w:start="1418"/>
        <w:jc w:val="start"/>
        <w:rPr/>
      </w:pPr>
      <w:hyperlink w:anchor="key-takeaways">
        <w:r>
          <w:rPr>
            <w:rStyle w:val="Hyperlink"/>
          </w:rPr>
          <w:t>Key Takeaways</w:t>
        </w:r>
      </w:hyperlink>
    </w:p>
    <w:p>
      <w:pPr>
        <w:pStyle w:val="BodyText"/>
        <w:numPr>
          <w:ilvl w:val="0"/>
          <w:numId w:val="3"/>
        </w:numPr>
        <w:tabs>
          <w:tab w:val="clear" w:pos="709"/>
          <w:tab w:val="left" w:pos="709" w:leader="none"/>
        </w:tabs>
        <w:bidi w:val="0"/>
        <w:spacing w:before="0" w:after="0"/>
        <w:ind w:hanging="283" w:start="709"/>
        <w:jc w:val="start"/>
        <w:rPr/>
      </w:pPr>
      <w:hyperlink w:anchor="part-ii--trend-following-strategy-execut">
        <w:r>
          <w:rPr>
            <w:rStyle w:val="Hyperlink"/>
            <w:b/>
          </w:rPr>
          <w:t>Part II — Trend Following, Strategy Execution &amp; The Keys to Profitable Investing</w:t>
        </w:r>
      </w:hyperlink>
    </w:p>
    <w:p>
      <w:pPr>
        <w:pStyle w:val="BodyText"/>
        <w:numPr>
          <w:ilvl w:val="1"/>
          <w:numId w:val="3"/>
        </w:numPr>
        <w:tabs>
          <w:tab w:val="clear" w:pos="709"/>
          <w:tab w:val="left" w:pos="1418" w:leader="none"/>
        </w:tabs>
        <w:bidi w:val="0"/>
        <w:ind w:hanging="283" w:start="1418"/>
        <w:jc w:val="start"/>
        <w:rPr/>
      </w:pPr>
      <w:hyperlink w:anchor="a1-the-two-methods-of-investing--where-t">
        <w:r>
          <w:rPr>
            <w:rStyle w:val="Hyperlink"/>
          </w:rPr>
          <w:t>A1. The Two Methods of Investing — Where Trend Following Fits</w:t>
        </w:r>
      </w:hyperlink>
    </w:p>
    <w:p>
      <w:pPr>
        <w:pStyle w:val="BodyText"/>
        <w:numPr>
          <w:ilvl w:val="1"/>
          <w:numId w:val="3"/>
        </w:numPr>
        <w:tabs>
          <w:tab w:val="clear" w:pos="709"/>
          <w:tab w:val="left" w:pos="1418" w:leader="none"/>
        </w:tabs>
        <w:bidi w:val="0"/>
        <w:ind w:hanging="283" w:start="1418"/>
        <w:jc w:val="start"/>
        <w:rPr/>
      </w:pPr>
      <w:hyperlink w:anchor="a2-what-a-moving-average-is">
        <w:r>
          <w:rPr>
            <w:rStyle w:val="Hyperlink"/>
          </w:rPr>
          <w:t>A2. What a Moving Average Is</w:t>
        </w:r>
      </w:hyperlink>
    </w:p>
    <w:p>
      <w:pPr>
        <w:pStyle w:val="BodyText"/>
        <w:numPr>
          <w:ilvl w:val="1"/>
          <w:numId w:val="3"/>
        </w:numPr>
        <w:tabs>
          <w:tab w:val="clear" w:pos="709"/>
          <w:tab w:val="left" w:pos="1418" w:leader="none"/>
        </w:tabs>
        <w:bidi w:val="0"/>
        <w:ind w:hanging="283" w:start="1418"/>
        <w:jc w:val="start"/>
        <w:rPr/>
      </w:pPr>
      <w:hyperlink w:anchor="a3-the-hulk-and-smurf-mnemonic">
        <w:r>
          <w:rPr>
            <w:rStyle w:val="Hyperlink"/>
          </w:rPr>
          <w:t>A3. The Hulk-and-Smurf Mnemonic</w:t>
        </w:r>
      </w:hyperlink>
    </w:p>
    <w:p>
      <w:pPr>
        <w:pStyle w:val="BodyText"/>
        <w:numPr>
          <w:ilvl w:val="1"/>
          <w:numId w:val="3"/>
        </w:numPr>
        <w:tabs>
          <w:tab w:val="clear" w:pos="709"/>
          <w:tab w:val="left" w:pos="1418" w:leader="none"/>
        </w:tabs>
        <w:bidi w:val="0"/>
        <w:ind w:hanging="283" w:start="1418"/>
        <w:jc w:val="start"/>
        <w:rPr/>
      </w:pPr>
      <w:hyperlink w:anchor="a4-rule--identifying-a-change-in-trend-5">
        <w:r>
          <w:rPr>
            <w:rStyle w:val="Hyperlink"/>
          </w:rPr>
          <w:t>A4. RULE — Identifying a Change in Trend (50/150 Crossover Method)</w:t>
        </w:r>
      </w:hyperlink>
    </w:p>
    <w:p>
      <w:pPr>
        <w:pStyle w:val="BodyText"/>
        <w:numPr>
          <w:ilvl w:val="1"/>
          <w:numId w:val="3"/>
        </w:numPr>
        <w:tabs>
          <w:tab w:val="clear" w:pos="709"/>
          <w:tab w:val="left" w:pos="1418" w:leader="none"/>
        </w:tabs>
        <w:bidi w:val="0"/>
        <w:ind w:hanging="283" w:start="1418"/>
        <w:jc w:val="start"/>
        <w:rPr/>
      </w:pPr>
      <w:hyperlink w:anchor="a5-rule--timeframe-restriction">
        <w:r>
          <w:rPr>
            <w:rStyle w:val="Hyperlink"/>
          </w:rPr>
          <w:t>A5. RULE — Timeframe Restriction</w:t>
        </w:r>
      </w:hyperlink>
    </w:p>
    <w:p>
      <w:pPr>
        <w:pStyle w:val="BodyText"/>
        <w:numPr>
          <w:ilvl w:val="1"/>
          <w:numId w:val="3"/>
        </w:numPr>
        <w:tabs>
          <w:tab w:val="clear" w:pos="709"/>
          <w:tab w:val="left" w:pos="1418" w:leader="none"/>
        </w:tabs>
        <w:bidi w:val="0"/>
        <w:ind w:hanging="283" w:start="1418"/>
        <w:jc w:val="start"/>
        <w:rPr/>
      </w:pPr>
      <w:hyperlink w:anchor="a6-adding-shares-inside-an-uptrend--buy-">
        <w:r>
          <w:rPr>
            <w:rStyle w:val="Hyperlink"/>
          </w:rPr>
          <w:t>A6. Adding Shares Inside an Uptrend — "Buy the Dip on the Uptrend"</w:t>
        </w:r>
      </w:hyperlink>
    </w:p>
    <w:p>
      <w:pPr>
        <w:pStyle w:val="BodyText"/>
        <w:numPr>
          <w:ilvl w:val="1"/>
          <w:numId w:val="3"/>
        </w:numPr>
        <w:tabs>
          <w:tab w:val="clear" w:pos="709"/>
          <w:tab w:val="left" w:pos="1418" w:leader="none"/>
        </w:tabs>
        <w:bidi w:val="0"/>
        <w:ind w:hanging="283" w:start="1418"/>
        <w:jc w:val="start"/>
        <w:rPr/>
      </w:pPr>
      <w:hyperlink w:anchor="a7-worked-example--2006-to-2011-financia">
        <w:r>
          <w:rPr>
            <w:rStyle w:val="Hyperlink"/>
          </w:rPr>
          <w:t>A7. Worked Example — 2006 to 2011 (Financial Crisis Window)</w:t>
        </w:r>
      </w:hyperlink>
    </w:p>
    <w:p>
      <w:pPr>
        <w:pStyle w:val="BodyText"/>
        <w:numPr>
          <w:ilvl w:val="1"/>
          <w:numId w:val="3"/>
        </w:numPr>
        <w:tabs>
          <w:tab w:val="clear" w:pos="709"/>
          <w:tab w:val="left" w:pos="1418" w:leader="none"/>
        </w:tabs>
        <w:bidi w:val="0"/>
        <w:ind w:hanging="283" w:start="1418"/>
        <w:jc w:val="start"/>
        <w:rPr/>
      </w:pPr>
      <w:hyperlink w:anchor="a8-charting-setup--tools-and-exact-steps">
        <w:r>
          <w:rPr>
            <w:rStyle w:val="Hyperlink"/>
          </w:rPr>
          <w:t>A8. Charting Setup — Tools and Exact Steps</w:t>
        </w:r>
      </w:hyperlink>
    </w:p>
    <w:p>
      <w:pPr>
        <w:pStyle w:val="BodyText"/>
        <w:numPr>
          <w:ilvl w:val="1"/>
          <w:numId w:val="3"/>
        </w:numPr>
        <w:tabs>
          <w:tab w:val="clear" w:pos="709"/>
          <w:tab w:val="left" w:pos="1418" w:leader="none"/>
        </w:tabs>
        <w:bidi w:val="0"/>
        <w:ind w:hanging="283" w:start="1418"/>
        <w:jc w:val="start"/>
        <w:rPr/>
      </w:pPr>
      <w:hyperlink w:anchor="a9-the-20-year-spy-back-test--trade-by-t">
        <w:r>
          <w:rPr>
            <w:rStyle w:val="Hyperlink"/>
          </w:rPr>
          <w:t>A9. The 20-Year SPY Back-Test — Trade-by-Trade Walkthrough (Video 21)</w:t>
        </w:r>
      </w:hyperlink>
    </w:p>
    <w:p>
      <w:pPr>
        <w:pStyle w:val="BodyText"/>
        <w:numPr>
          <w:ilvl w:val="1"/>
          <w:numId w:val="3"/>
        </w:numPr>
        <w:tabs>
          <w:tab w:val="clear" w:pos="709"/>
          <w:tab w:val="left" w:pos="1418" w:leader="none"/>
        </w:tabs>
        <w:bidi w:val="0"/>
        <w:ind w:hanging="283" w:start="1418"/>
        <w:jc w:val="start"/>
        <w:rPr/>
      </w:pPr>
      <w:hyperlink w:anchor="a10-the-limitation--parabolic-drops">
        <w:r>
          <w:rPr>
            <w:rStyle w:val="Hyperlink"/>
          </w:rPr>
          <w:t>A10. The Limitation — Parabolic Drops</w:t>
        </w:r>
      </w:hyperlink>
    </w:p>
    <w:p>
      <w:pPr>
        <w:pStyle w:val="BodyText"/>
        <w:numPr>
          <w:ilvl w:val="1"/>
          <w:numId w:val="3"/>
        </w:numPr>
        <w:tabs>
          <w:tab w:val="clear" w:pos="709"/>
          <w:tab w:val="left" w:pos="1418" w:leader="none"/>
        </w:tabs>
        <w:bidi w:val="0"/>
        <w:ind w:hanging="283" w:start="1418"/>
        <w:jc w:val="start"/>
        <w:rPr/>
      </w:pPr>
      <w:hyperlink w:anchor="a11-rule--staged-buying-into-a-crash-bea">
        <w:r>
          <w:rPr>
            <w:rStyle w:val="Hyperlink"/>
          </w:rPr>
          <w:t>A11. RULE — Staged Buying Into a Crash (Bear-Market Ladder)</w:t>
        </w:r>
      </w:hyperlink>
    </w:p>
    <w:p>
      <w:pPr>
        <w:pStyle w:val="BodyText"/>
        <w:numPr>
          <w:ilvl w:val="1"/>
          <w:numId w:val="3"/>
        </w:numPr>
        <w:tabs>
          <w:tab w:val="clear" w:pos="709"/>
          <w:tab w:val="left" w:pos="1418" w:leader="none"/>
        </w:tabs>
        <w:bidi w:val="0"/>
        <w:ind w:hanging="283" w:start="1418"/>
        <w:jc w:val="start"/>
        <w:rPr/>
      </w:pPr>
      <w:hyperlink w:anchor="a12-supplementary-resources-referenced">
        <w:r>
          <w:rPr>
            <w:rStyle w:val="Hyperlink"/>
          </w:rPr>
          <w:t>A12. Supplementary Resources Referenced</w:t>
        </w:r>
      </w:hyperlink>
    </w:p>
    <w:p>
      <w:pPr>
        <w:pStyle w:val="BodyText"/>
        <w:numPr>
          <w:ilvl w:val="1"/>
          <w:numId w:val="3"/>
        </w:numPr>
        <w:tabs>
          <w:tab w:val="clear" w:pos="709"/>
          <w:tab w:val="left" w:pos="1418" w:leader="none"/>
        </w:tabs>
        <w:bidi w:val="0"/>
        <w:ind w:hanging="283" w:start="1418"/>
        <w:jc w:val="start"/>
        <w:rPr/>
      </w:pPr>
      <w:hyperlink w:anchor="b1-rule--the-200-day-simple-moving-avera">
        <w:r>
          <w:rPr>
            <w:rStyle w:val="Hyperlink"/>
          </w:rPr>
          <w:t>B1. RULE — The 200-Day Simple Moving Average (Red Line)</w:t>
        </w:r>
      </w:hyperlink>
    </w:p>
    <w:p>
      <w:pPr>
        <w:pStyle w:val="BodyText"/>
        <w:numPr>
          <w:ilvl w:val="1"/>
          <w:numId w:val="3"/>
        </w:numPr>
        <w:tabs>
          <w:tab w:val="clear" w:pos="709"/>
          <w:tab w:val="left" w:pos="1418" w:leader="none"/>
        </w:tabs>
        <w:bidi w:val="0"/>
        <w:ind w:hanging="283" w:start="1418"/>
        <w:jc w:val="start"/>
        <w:rPr/>
      </w:pPr>
      <w:hyperlink w:anchor="b2-rule--which-signal-do-i-use-combine-a">
        <w:r>
          <w:rPr>
            <w:rStyle w:val="Hyperlink"/>
          </w:rPr>
          <w:t>B2. RULE — Which Signal Do I Use? Combine All Three and Take Whichever Comes First</w:t>
        </w:r>
      </w:hyperlink>
    </w:p>
    <w:p>
      <w:pPr>
        <w:pStyle w:val="BodyText"/>
        <w:numPr>
          <w:ilvl w:val="1"/>
          <w:numId w:val="3"/>
        </w:numPr>
        <w:tabs>
          <w:tab w:val="clear" w:pos="709"/>
          <w:tab w:val="left" w:pos="1418" w:leader="none"/>
        </w:tabs>
        <w:bidi w:val="0"/>
        <w:ind w:hanging="283" w:start="1418"/>
        <w:jc w:val="start"/>
        <w:rPr/>
      </w:pPr>
      <w:hyperlink w:anchor="b3-rule--complete-etf-trend-following-st">
        <w:r>
          <w:rPr>
            <w:rStyle w:val="Hyperlink"/>
          </w:rPr>
          <w:t>B3. RULE — Complete ETF Trend-Following Strategy (Summary)</w:t>
        </w:r>
      </w:hyperlink>
    </w:p>
    <w:p>
      <w:pPr>
        <w:pStyle w:val="BodyText"/>
        <w:numPr>
          <w:ilvl w:val="1"/>
          <w:numId w:val="3"/>
        </w:numPr>
        <w:tabs>
          <w:tab w:val="clear" w:pos="709"/>
          <w:tab w:val="left" w:pos="1418" w:leader="none"/>
        </w:tabs>
        <w:bidi w:val="0"/>
        <w:ind w:hanging="283" w:start="1418"/>
        <w:jc w:val="start"/>
        <w:rPr/>
      </w:pPr>
      <w:hyperlink w:anchor="b4-the-three-methods-compared">
        <w:r>
          <w:rPr>
            <w:rStyle w:val="Hyperlink"/>
          </w:rPr>
          <w:t>B4. The Three Methods Compared</w:t>
        </w:r>
      </w:hyperlink>
    </w:p>
    <w:p>
      <w:pPr>
        <w:pStyle w:val="BodyText"/>
        <w:numPr>
          <w:ilvl w:val="1"/>
          <w:numId w:val="3"/>
        </w:numPr>
        <w:tabs>
          <w:tab w:val="clear" w:pos="709"/>
          <w:tab w:val="left" w:pos="1418" w:leader="none"/>
        </w:tabs>
        <w:bidi w:val="0"/>
        <w:ind w:hanging="283" w:start="1418"/>
        <w:jc w:val="start"/>
        <w:rPr/>
      </w:pPr>
      <w:hyperlink w:anchor="b5-back-test--buy-and-hold-vs-trend-foll">
        <w:r>
          <w:rPr>
            <w:rStyle w:val="Hyperlink"/>
          </w:rPr>
          <w:t>B5. BACK-TEST — Buy-and-Hold vs Trend Following over 26 Years</w:t>
        </w:r>
      </w:hyperlink>
    </w:p>
    <w:p>
      <w:pPr>
        <w:pStyle w:val="BodyText"/>
        <w:numPr>
          <w:ilvl w:val="1"/>
          <w:numId w:val="3"/>
        </w:numPr>
        <w:tabs>
          <w:tab w:val="clear" w:pos="709"/>
          <w:tab w:val="left" w:pos="1418" w:leader="none"/>
        </w:tabs>
        <w:bidi w:val="0"/>
        <w:ind w:hanging="283" w:start="1418"/>
        <w:jc w:val="start"/>
        <w:rPr/>
      </w:pPr>
      <w:hyperlink w:anchor="b6-cash-rules-and-the-risk-over-time-inv">
        <w:r>
          <w:rPr>
            <w:rStyle w:val="Hyperlink"/>
          </w:rPr>
          <w:t>B6. Cash Rules and the Risk-Over-Time Inversion</w:t>
        </w:r>
      </w:hyperlink>
    </w:p>
    <w:p>
      <w:pPr>
        <w:pStyle w:val="BodyText"/>
        <w:numPr>
          <w:ilvl w:val="1"/>
          <w:numId w:val="3"/>
        </w:numPr>
        <w:tabs>
          <w:tab w:val="clear" w:pos="709"/>
          <w:tab w:val="left" w:pos="1418" w:leader="none"/>
        </w:tabs>
        <w:bidi w:val="0"/>
        <w:ind w:hanging="283" w:start="1418"/>
        <w:jc w:val="start"/>
        <w:rPr/>
      </w:pPr>
      <w:hyperlink w:anchor="b7-study--bad-timing-still-beats-procras">
        <w:r>
          <w:rPr>
            <w:rStyle w:val="Hyperlink"/>
          </w:rPr>
          <w:t>B7. STUDY — Bad Timing Still Beats Procrastination (2001–2020, $2,000/year into the S&amp;P 500 ETF)</w:t>
        </w:r>
      </w:hyperlink>
    </w:p>
    <w:p>
      <w:pPr>
        <w:pStyle w:val="BodyText"/>
        <w:numPr>
          <w:ilvl w:val="1"/>
          <w:numId w:val="3"/>
        </w:numPr>
        <w:tabs>
          <w:tab w:val="clear" w:pos="709"/>
          <w:tab w:val="left" w:pos="1418" w:leader="none"/>
        </w:tabs>
        <w:bidi w:val="0"/>
        <w:ind w:hanging="283" w:start="1418"/>
        <w:jc w:val="start"/>
        <w:rPr/>
      </w:pPr>
      <w:hyperlink w:anchor="b8-rule--ignore-macroeconomics-the-stock">
        <w:r>
          <w:rPr>
            <w:rStyle w:val="Hyperlink"/>
          </w:rPr>
          <w:t>B8. RULE — Ignore Macroeconomics; The Stock Market Is Not The Economy</w:t>
        </w:r>
      </w:hyperlink>
    </w:p>
    <w:p>
      <w:pPr>
        <w:pStyle w:val="BodyText"/>
        <w:numPr>
          <w:ilvl w:val="1"/>
          <w:numId w:val="3"/>
        </w:numPr>
        <w:tabs>
          <w:tab w:val="clear" w:pos="709"/>
          <w:tab w:val="left" w:pos="1418" w:leader="none"/>
        </w:tabs>
        <w:bidi w:val="0"/>
        <w:ind w:hanging="283" w:start="1418"/>
        <w:jc w:val="start"/>
        <w:rPr/>
      </w:pPr>
      <w:hyperlink w:anchor="b9-case-study--marchapril-2020-buying-wh">
        <w:r>
          <w:rPr>
            <w:rStyle w:val="Hyperlink"/>
          </w:rPr>
          <w:t>B9. CASE STUDY — March/April 2020: Buying While the News Screamed Depression</w:t>
        </w:r>
      </w:hyperlink>
    </w:p>
    <w:p>
      <w:pPr>
        <w:pStyle w:val="BodyText"/>
        <w:numPr>
          <w:ilvl w:val="1"/>
          <w:numId w:val="3"/>
        </w:numPr>
        <w:tabs>
          <w:tab w:val="clear" w:pos="709"/>
          <w:tab w:val="left" w:pos="1418" w:leader="none"/>
        </w:tabs>
        <w:bidi w:val="0"/>
        <w:ind w:hanging="283" w:start="1418"/>
        <w:jc w:val="start"/>
        <w:rPr/>
      </w:pPr>
      <w:hyperlink w:anchor="c1-framing">
        <w:r>
          <w:rPr>
            <w:rStyle w:val="Hyperlink"/>
          </w:rPr>
          <w:t>C1. Framing</w:t>
        </w:r>
      </w:hyperlink>
    </w:p>
    <w:p>
      <w:pPr>
        <w:pStyle w:val="BodyText"/>
        <w:numPr>
          <w:ilvl w:val="1"/>
          <w:numId w:val="3"/>
        </w:numPr>
        <w:tabs>
          <w:tab w:val="clear" w:pos="709"/>
          <w:tab w:val="left" w:pos="1418" w:leader="none"/>
        </w:tabs>
        <w:bidi w:val="0"/>
        <w:ind w:hanging="283" w:start="1418"/>
        <w:jc w:val="start"/>
        <w:rPr/>
      </w:pPr>
      <w:hyperlink w:anchor="c2-step-1--identify-great-businesses">
        <w:r>
          <w:rPr>
            <w:rStyle w:val="Hyperlink"/>
          </w:rPr>
          <w:t>C2. STEP 1 — Identify Great Businesses</w:t>
        </w:r>
      </w:hyperlink>
    </w:p>
    <w:p>
      <w:pPr>
        <w:pStyle w:val="BodyText"/>
        <w:numPr>
          <w:ilvl w:val="1"/>
          <w:numId w:val="3"/>
        </w:numPr>
        <w:tabs>
          <w:tab w:val="clear" w:pos="709"/>
          <w:tab w:val="left" w:pos="1418" w:leader="none"/>
        </w:tabs>
        <w:bidi w:val="0"/>
        <w:ind w:hanging="283" w:start="1418"/>
        <w:jc w:val="start"/>
        <w:rPr/>
      </w:pPr>
      <w:hyperlink w:anchor="c3-step-2--buy-only-at-the-right-price-b">
        <w:r>
          <w:rPr>
            <w:rStyle w:val="Hyperlink"/>
          </w:rPr>
          <w:t>C3. STEP 2 — Buy Only at the Right Price (Below Intrinsic Value)</w:t>
        </w:r>
      </w:hyperlink>
    </w:p>
    <w:p>
      <w:pPr>
        <w:pStyle w:val="BodyText"/>
        <w:numPr>
          <w:ilvl w:val="1"/>
          <w:numId w:val="3"/>
        </w:numPr>
        <w:tabs>
          <w:tab w:val="clear" w:pos="709"/>
          <w:tab w:val="left" w:pos="1418" w:leader="none"/>
        </w:tabs>
        <w:bidi w:val="0"/>
        <w:ind w:hanging="283" w:start="1418"/>
        <w:jc w:val="start"/>
        <w:rPr/>
      </w:pPr>
      <w:hyperlink w:anchor="c4-step-3--sell-or-rather-usually-dont">
        <w:r>
          <w:rPr>
            <w:rStyle w:val="Hyperlink"/>
          </w:rPr>
          <w:t>C4. STEP 3 — Sell (Or Rather, Usually, Don't)</w:t>
        </w:r>
      </w:hyperlink>
    </w:p>
    <w:p>
      <w:pPr>
        <w:pStyle w:val="BodyText"/>
        <w:numPr>
          <w:ilvl w:val="1"/>
          <w:numId w:val="3"/>
        </w:numPr>
        <w:tabs>
          <w:tab w:val="clear" w:pos="709"/>
          <w:tab w:val="left" w:pos="1418" w:leader="none"/>
        </w:tabs>
        <w:bidi w:val="0"/>
        <w:ind w:hanging="283" w:start="1418"/>
        <w:jc w:val="start"/>
        <w:rPr/>
      </w:pPr>
      <w:hyperlink w:anchor="c5-what-makes-a-business-great">
        <w:r>
          <w:rPr>
            <w:rStyle w:val="Hyperlink"/>
          </w:rPr>
          <w:t>C5. What Makes a Business "Great"</w:t>
        </w:r>
      </w:hyperlink>
    </w:p>
    <w:p>
      <w:pPr>
        <w:pStyle w:val="BodyText"/>
        <w:numPr>
          <w:ilvl w:val="1"/>
          <w:numId w:val="3"/>
        </w:numPr>
        <w:tabs>
          <w:tab w:val="clear" w:pos="709"/>
          <w:tab w:val="left" w:pos="1418" w:leader="none"/>
        </w:tabs>
        <w:bidi w:val="0"/>
        <w:ind w:hanging="283" w:start="1418"/>
        <w:jc w:val="start"/>
        <w:rPr/>
      </w:pPr>
      <w:hyperlink w:anchor="c6-why-price-diverges-from-value-intrins">
        <w:r>
          <w:rPr>
            <w:rStyle w:val="Hyperlink"/>
          </w:rPr>
          <w:t>C6. Why Price Diverges From Value (Intrinsic Value vs Share Price)</w:t>
        </w:r>
      </w:hyperlink>
    </w:p>
    <w:p>
      <w:pPr>
        <w:pStyle w:val="BodyText"/>
        <w:numPr>
          <w:ilvl w:val="1"/>
          <w:numId w:val="3"/>
        </w:numPr>
        <w:tabs>
          <w:tab w:val="clear" w:pos="709"/>
          <w:tab w:val="left" w:pos="1418" w:leader="none"/>
        </w:tabs>
        <w:bidi w:val="0"/>
        <w:ind w:hanging="283" w:start="1418"/>
        <w:jc w:val="start"/>
        <w:rPr/>
      </w:pPr>
      <w:hyperlink w:anchor="c7-rule--how-to-buy-tranching-at-support">
        <w:r>
          <w:rPr>
            <w:rStyle w:val="Hyperlink"/>
          </w:rPr>
          <w:t>C7. RULE — How to Buy: Tranching at Support Levels</w:t>
        </w:r>
      </w:hyperlink>
    </w:p>
    <w:p>
      <w:pPr>
        <w:pStyle w:val="BodyText"/>
        <w:numPr>
          <w:ilvl w:val="1"/>
          <w:numId w:val="3"/>
        </w:numPr>
        <w:tabs>
          <w:tab w:val="clear" w:pos="709"/>
          <w:tab w:val="left" w:pos="1418" w:leader="none"/>
        </w:tabs>
        <w:bidi w:val="0"/>
        <w:ind w:hanging="283" w:start="1418"/>
        <w:jc w:val="start"/>
        <w:rPr/>
      </w:pPr>
      <w:hyperlink w:anchor="c8-the-five-reasons-a-great-business-sel">
        <w:r>
          <w:rPr>
            <w:rStyle w:val="Hyperlink"/>
          </w:rPr>
          <w:t>C8. THE FIVE REASONS A GREAT BUSINESS SELLS BELOW INTRINSIC VALUE</w:t>
        </w:r>
      </w:hyperlink>
    </w:p>
    <w:p>
      <w:pPr>
        <w:pStyle w:val="BodyText"/>
        <w:numPr>
          <w:ilvl w:val="1"/>
          <w:numId w:val="3"/>
        </w:numPr>
        <w:tabs>
          <w:tab w:val="clear" w:pos="709"/>
          <w:tab w:val="left" w:pos="1418" w:leader="none"/>
        </w:tabs>
        <w:bidi w:val="0"/>
        <w:ind w:hanging="283" w:start="1418"/>
        <w:jc w:val="start"/>
        <w:rPr/>
      </w:pPr>
      <w:hyperlink w:anchor="c9-case-study--alphabet--google-googl-tw">
        <w:r>
          <w:rPr>
            <w:rStyle w:val="Hyperlink"/>
          </w:rPr>
          <w:t>C9. CASE STUDY — Alphabet / Google (GOOGL), two-year chart</w:t>
        </w:r>
      </w:hyperlink>
    </w:p>
    <w:p>
      <w:pPr>
        <w:pStyle w:val="BodyText"/>
        <w:numPr>
          <w:ilvl w:val="1"/>
          <w:numId w:val="3"/>
        </w:numPr>
        <w:tabs>
          <w:tab w:val="clear" w:pos="709"/>
          <w:tab w:val="left" w:pos="1418" w:leader="none"/>
        </w:tabs>
        <w:bidi w:val="0"/>
        <w:ind w:hanging="283" w:start="1418"/>
        <w:jc w:val="start"/>
        <w:rPr/>
      </w:pPr>
      <w:hyperlink w:anchor="c10-case-study--johnson--johnson">
        <w:r>
          <w:rPr>
            <w:rStyle w:val="Hyperlink"/>
          </w:rPr>
          <w:t>C10. CASE STUDY — Johnson &amp; Johnson</w:t>
        </w:r>
      </w:hyperlink>
    </w:p>
    <w:p>
      <w:pPr>
        <w:pStyle w:val="BodyText"/>
        <w:numPr>
          <w:ilvl w:val="1"/>
          <w:numId w:val="3"/>
        </w:numPr>
        <w:tabs>
          <w:tab w:val="clear" w:pos="709"/>
          <w:tab w:val="left" w:pos="1418" w:leader="none"/>
        </w:tabs>
        <w:bidi w:val="0"/>
        <w:ind w:hanging="283" w:start="1418"/>
        <w:jc w:val="start"/>
        <w:rPr/>
      </w:pPr>
      <w:hyperlink w:anchor="c11-critical-caveat--only-do-this-on-gre">
        <w:r>
          <w:rPr>
            <w:rStyle w:val="Hyperlink"/>
          </w:rPr>
          <w:t>C11. CRITICAL CAVEAT — Only Do This On Great Businesses</w:t>
        </w:r>
      </w:hyperlink>
    </w:p>
    <w:p>
      <w:pPr>
        <w:pStyle w:val="BodyText"/>
        <w:numPr>
          <w:ilvl w:val="1"/>
          <w:numId w:val="3"/>
        </w:numPr>
        <w:tabs>
          <w:tab w:val="clear" w:pos="709"/>
          <w:tab w:val="left" w:pos="1418" w:leader="none"/>
        </w:tabs>
        <w:bidi w:val="0"/>
        <w:ind w:hanging="283" w:start="1418"/>
        <w:jc w:val="start"/>
        <w:rPr/>
      </w:pPr>
      <w:hyperlink w:anchor="c12-the-final-step--selling-to-take-prof">
        <w:r>
          <w:rPr>
            <w:rStyle w:val="Hyperlink"/>
          </w:rPr>
          <w:t>C12. THE FINAL STEP — Selling to Take Profits</w:t>
        </w:r>
      </w:hyperlink>
    </w:p>
    <w:p>
      <w:pPr>
        <w:pStyle w:val="BodyText"/>
        <w:numPr>
          <w:ilvl w:val="1"/>
          <w:numId w:val="3"/>
        </w:numPr>
        <w:tabs>
          <w:tab w:val="clear" w:pos="709"/>
          <w:tab w:val="left" w:pos="1418" w:leader="none"/>
        </w:tabs>
        <w:bidi w:val="0"/>
        <w:ind w:hanging="283" w:start="1418"/>
        <w:jc w:val="start"/>
        <w:rPr/>
      </w:pPr>
      <w:hyperlink w:anchor="c13-course-roadmap-references-made-in-le">
        <w:r>
          <w:rPr>
            <w:rStyle w:val="Hyperlink"/>
          </w:rPr>
          <w:t>C13. Course Roadmap References Made in Lesson 3</w:t>
        </w:r>
      </w:hyperlink>
    </w:p>
    <w:p>
      <w:pPr>
        <w:pStyle w:val="BodyText"/>
        <w:numPr>
          <w:ilvl w:val="0"/>
          <w:numId w:val="3"/>
        </w:numPr>
        <w:tabs>
          <w:tab w:val="clear" w:pos="709"/>
          <w:tab w:val="left" w:pos="709" w:leader="none"/>
        </w:tabs>
        <w:bidi w:val="0"/>
        <w:spacing w:before="0" w:after="0"/>
        <w:ind w:hanging="283" w:start="709"/>
        <w:jc w:val="start"/>
        <w:rPr/>
      </w:pPr>
      <w:hyperlink w:anchor="part-iii--fundamental-analysis-reading-t">
        <w:r>
          <w:rPr>
            <w:rStyle w:val="Hyperlink"/>
            <w:b/>
          </w:rPr>
          <w:t>Part III — Fundamental Analysis: Reading the Financial Statements</w:t>
        </w:r>
      </w:hyperlink>
    </w:p>
    <w:p>
      <w:pPr>
        <w:pStyle w:val="BodyText"/>
        <w:numPr>
          <w:ilvl w:val="1"/>
          <w:numId w:val="3"/>
        </w:numPr>
        <w:tabs>
          <w:tab w:val="clear" w:pos="709"/>
          <w:tab w:val="left" w:pos="1418" w:leader="none"/>
        </w:tabs>
        <w:bidi w:val="0"/>
        <w:ind w:hanging="283" w:start="1418"/>
        <w:jc w:val="start"/>
        <w:rPr/>
      </w:pPr>
      <w:hyperlink w:anchor="0-introduction--why-fundamental-analysis">
        <w:r>
          <w:rPr>
            <w:rStyle w:val="Hyperlink"/>
          </w:rPr>
          <w:t>0. Introduction — Why Fundamental Analysis Matters</w:t>
        </w:r>
      </w:hyperlink>
    </w:p>
    <w:p>
      <w:pPr>
        <w:pStyle w:val="BodyText"/>
        <w:numPr>
          <w:ilvl w:val="1"/>
          <w:numId w:val="3"/>
        </w:numPr>
        <w:tabs>
          <w:tab w:val="clear" w:pos="709"/>
          <w:tab w:val="left" w:pos="1418" w:leader="none"/>
        </w:tabs>
        <w:bidi w:val="0"/>
        <w:ind w:hanging="283" w:start="1418"/>
        <w:jc w:val="start"/>
        <w:rPr/>
      </w:pPr>
      <w:hyperlink w:anchor="1-reporting-cadence-earnings-dates-and-w">
        <w:r>
          <w:rPr>
            <w:rStyle w:val="Hyperlink"/>
          </w:rPr>
          <w:t>1. Reporting Cadence, Earnings Dates, and Where to Get the Data</w:t>
        </w:r>
      </w:hyperlink>
    </w:p>
    <w:p>
      <w:pPr>
        <w:pStyle w:val="BodyText"/>
        <w:numPr>
          <w:ilvl w:val="1"/>
          <w:numId w:val="3"/>
        </w:numPr>
        <w:tabs>
          <w:tab w:val="clear" w:pos="709"/>
          <w:tab w:val="left" w:pos="1418" w:leader="none"/>
        </w:tabs>
        <w:bidi w:val="0"/>
        <w:ind w:hanging="283" w:start="1418"/>
        <w:jc w:val="start"/>
        <w:rPr/>
      </w:pPr>
      <w:hyperlink w:anchor="2-the-income-statement">
        <w:r>
          <w:rPr>
            <w:rStyle w:val="Hyperlink"/>
          </w:rPr>
          <w:t>2. The Income Statement</w:t>
        </w:r>
      </w:hyperlink>
    </w:p>
    <w:p>
      <w:pPr>
        <w:pStyle w:val="BodyText"/>
        <w:numPr>
          <w:ilvl w:val="1"/>
          <w:numId w:val="3"/>
        </w:numPr>
        <w:tabs>
          <w:tab w:val="clear" w:pos="709"/>
          <w:tab w:val="left" w:pos="1418" w:leader="none"/>
        </w:tabs>
        <w:bidi w:val="0"/>
        <w:ind w:hanging="283" w:start="1418"/>
        <w:jc w:val="start"/>
        <w:rPr/>
      </w:pPr>
      <w:hyperlink w:anchor="3-the-balance-sheet">
        <w:r>
          <w:rPr>
            <w:rStyle w:val="Hyperlink"/>
          </w:rPr>
          <w:t>3. The Balance Sheet</w:t>
        </w:r>
      </w:hyperlink>
    </w:p>
    <w:p>
      <w:pPr>
        <w:pStyle w:val="BodyText"/>
        <w:numPr>
          <w:ilvl w:val="1"/>
          <w:numId w:val="3"/>
        </w:numPr>
        <w:tabs>
          <w:tab w:val="clear" w:pos="709"/>
          <w:tab w:val="left" w:pos="1418" w:leader="none"/>
        </w:tabs>
        <w:bidi w:val="0"/>
        <w:ind w:hanging="283" w:start="1418"/>
        <w:jc w:val="start"/>
        <w:rPr/>
      </w:pPr>
      <w:hyperlink w:anchor="4-the-statement-of-cash-flows--the-most-">
        <w:r>
          <w:rPr>
            <w:rStyle w:val="Hyperlink"/>
          </w:rPr>
          <w:t>4. The Statement of Cash Flows — the MOST IMPORTANT statement</w:t>
        </w:r>
      </w:hyperlink>
    </w:p>
    <w:p>
      <w:pPr>
        <w:pStyle w:val="BodyText"/>
        <w:numPr>
          <w:ilvl w:val="1"/>
          <w:numId w:val="3"/>
        </w:numPr>
        <w:tabs>
          <w:tab w:val="clear" w:pos="709"/>
          <w:tab w:val="left" w:pos="1418" w:leader="none"/>
        </w:tabs>
        <w:bidi w:val="0"/>
        <w:ind w:hanging="283" w:start="1418"/>
        <w:jc w:val="start"/>
        <w:rPr/>
      </w:pPr>
      <w:hyperlink w:anchor="5-financial-metrics--profitability-fraud">
        <w:r>
          <w:rPr>
            <w:rStyle w:val="Hyperlink"/>
          </w:rPr>
          <w:t>5. Financial Metrics — Profitability, Fraud Screens and Efficiency</w:t>
        </w:r>
      </w:hyperlink>
    </w:p>
    <w:p>
      <w:pPr>
        <w:pStyle w:val="BodyText"/>
        <w:numPr>
          <w:ilvl w:val="1"/>
          <w:numId w:val="3"/>
        </w:numPr>
        <w:tabs>
          <w:tab w:val="clear" w:pos="709"/>
          <w:tab w:val="left" w:pos="1418" w:leader="none"/>
        </w:tabs>
        <w:bidi w:val="0"/>
        <w:ind w:hanging="283" w:start="1418"/>
        <w:jc w:val="start"/>
        <w:rPr/>
      </w:pPr>
      <w:hyperlink w:anchor="6-the-12-point-fundamental-checklist-ada">
        <w:r>
          <w:rPr>
            <w:rStyle w:val="Hyperlink"/>
          </w:rPr>
          <w:t>6. The 12-Point Fundamental Checklist (Adam's Full Summary)</w:t>
        </w:r>
      </w:hyperlink>
    </w:p>
    <w:p>
      <w:pPr>
        <w:pStyle w:val="BodyText"/>
        <w:numPr>
          <w:ilvl w:val="1"/>
          <w:numId w:val="3"/>
        </w:numPr>
        <w:tabs>
          <w:tab w:val="clear" w:pos="709"/>
          <w:tab w:val="left" w:pos="1418" w:leader="none"/>
        </w:tabs>
        <w:bidi w:val="0"/>
        <w:ind w:hanging="283" w:start="1418"/>
        <w:jc w:val="start"/>
        <w:rPr/>
      </w:pPr>
      <w:hyperlink w:anchor="7-case-study--hyflux-how-the-12-metrics-">
        <w:r>
          <w:rPr>
            <w:rStyle w:val="Hyperlink"/>
          </w:rPr>
          <w:t>7. Case Study — HYFLUX (how the 12 metrics would have saved you)</w:t>
        </w:r>
      </w:hyperlink>
    </w:p>
    <w:p>
      <w:pPr>
        <w:pStyle w:val="BodyText"/>
        <w:numPr>
          <w:ilvl w:val="1"/>
          <w:numId w:val="3"/>
        </w:numPr>
        <w:tabs>
          <w:tab w:val="clear" w:pos="709"/>
          <w:tab w:val="left" w:pos="1418" w:leader="none"/>
        </w:tabs>
        <w:bidi w:val="0"/>
        <w:ind w:hanging="283" w:start="1418"/>
        <w:jc w:val="start"/>
        <w:rPr/>
      </w:pPr>
      <w:hyperlink w:anchor="8-great-business-models--the-pillars-of-">
        <w:r>
          <w:rPr>
            <w:rStyle w:val="Hyperlink"/>
          </w:rPr>
          <w:t>8. Great Business Models — The Pillars of a Great Business</w:t>
        </w:r>
      </w:hyperlink>
    </w:p>
    <w:p>
      <w:pPr>
        <w:pStyle w:val="BodyText"/>
        <w:numPr>
          <w:ilvl w:val="1"/>
          <w:numId w:val="3"/>
        </w:numPr>
        <w:tabs>
          <w:tab w:val="clear" w:pos="709"/>
          <w:tab w:val="left" w:pos="1418" w:leader="none"/>
        </w:tabs>
        <w:bidi w:val="0"/>
        <w:ind w:hanging="283" w:start="1418"/>
        <w:jc w:val="start"/>
        <w:rPr/>
      </w:pPr>
      <w:hyperlink w:anchor="9-key-takeaways">
        <w:r>
          <w:rPr>
            <w:rStyle w:val="Hyperlink"/>
          </w:rPr>
          <w:t>9. Key Takeaways</w:t>
        </w:r>
      </w:hyperlink>
    </w:p>
    <w:p>
      <w:pPr>
        <w:pStyle w:val="BodyText"/>
        <w:numPr>
          <w:ilvl w:val="1"/>
          <w:numId w:val="3"/>
        </w:numPr>
        <w:tabs>
          <w:tab w:val="clear" w:pos="709"/>
          <w:tab w:val="left" w:pos="1418" w:leader="none"/>
        </w:tabs>
        <w:bidi w:val="0"/>
        <w:ind w:hanging="283" w:start="1418"/>
        <w:jc w:val="start"/>
        <w:rPr/>
      </w:pPr>
      <w:hyperlink w:anchor="10-quick-reference--all-metrics-and-thre">
        <w:r>
          <w:rPr>
            <w:rStyle w:val="Hyperlink"/>
          </w:rPr>
          <w:t>10. Quick Reference — All Metrics and Thresholds</w:t>
        </w:r>
      </w:hyperlink>
    </w:p>
    <w:p>
      <w:pPr>
        <w:pStyle w:val="BodyText"/>
        <w:numPr>
          <w:ilvl w:val="0"/>
          <w:numId w:val="3"/>
        </w:numPr>
        <w:tabs>
          <w:tab w:val="clear" w:pos="709"/>
          <w:tab w:val="left" w:pos="709" w:leader="none"/>
        </w:tabs>
        <w:bidi w:val="0"/>
        <w:spacing w:before="0" w:after="0"/>
        <w:ind w:hanging="283" w:start="709"/>
        <w:jc w:val="start"/>
        <w:rPr/>
      </w:pPr>
      <w:hyperlink w:anchor="part-iv--stock-valuation-calculating-int">
        <w:r>
          <w:rPr>
            <w:rStyle w:val="Hyperlink"/>
            <w:b/>
          </w:rPr>
          <w:t>Part IV — Stock Valuation: Calculating Intrinsic Value</w:t>
        </w:r>
      </w:hyperlink>
    </w:p>
    <w:p>
      <w:pPr>
        <w:pStyle w:val="BodyText"/>
        <w:numPr>
          <w:ilvl w:val="1"/>
          <w:numId w:val="3"/>
        </w:numPr>
        <w:tabs>
          <w:tab w:val="clear" w:pos="709"/>
          <w:tab w:val="left" w:pos="1418" w:leader="none"/>
        </w:tabs>
        <w:bidi w:val="0"/>
        <w:ind w:hanging="283" w:start="1418"/>
        <w:jc w:val="start"/>
        <w:rPr/>
      </w:pPr>
      <w:hyperlink w:anchor="1-why-valuation-matters">
        <w:r>
          <w:rPr>
            <w:rStyle w:val="Hyperlink"/>
          </w:rPr>
          <w:t>1. Why Valuation Matters</w:t>
        </w:r>
      </w:hyperlink>
    </w:p>
    <w:p>
      <w:pPr>
        <w:pStyle w:val="BodyText"/>
        <w:numPr>
          <w:ilvl w:val="1"/>
          <w:numId w:val="3"/>
        </w:numPr>
        <w:tabs>
          <w:tab w:val="clear" w:pos="709"/>
          <w:tab w:val="left" w:pos="1418" w:leader="none"/>
        </w:tabs>
        <w:bidi w:val="0"/>
        <w:ind w:hanging="283" w:start="1418"/>
        <w:jc w:val="start"/>
        <w:rPr/>
      </w:pPr>
      <w:hyperlink w:anchor="2-the-five-valuation-methods--overview">
        <w:r>
          <w:rPr>
            <w:rStyle w:val="Hyperlink"/>
          </w:rPr>
          <w:t>2. The Five Valuation Methods — Overview</w:t>
        </w:r>
      </w:hyperlink>
    </w:p>
    <w:p>
      <w:pPr>
        <w:pStyle w:val="BodyText"/>
        <w:numPr>
          <w:ilvl w:val="1"/>
          <w:numId w:val="3"/>
        </w:numPr>
        <w:tabs>
          <w:tab w:val="clear" w:pos="709"/>
          <w:tab w:val="left" w:pos="1418" w:leader="none"/>
        </w:tabs>
        <w:bidi w:val="0"/>
        <w:ind w:hanging="283" w:start="1418"/>
        <w:jc w:val="start"/>
        <w:rPr/>
      </w:pPr>
      <w:hyperlink w:anchor="3-method-1--peg-ratio">
        <w:r>
          <w:rPr>
            <w:rStyle w:val="Hyperlink"/>
          </w:rPr>
          <w:t>3. Method 1 — PEG Ratio</w:t>
        </w:r>
      </w:hyperlink>
    </w:p>
    <w:p>
      <w:pPr>
        <w:pStyle w:val="BodyText"/>
        <w:numPr>
          <w:ilvl w:val="1"/>
          <w:numId w:val="3"/>
        </w:numPr>
        <w:tabs>
          <w:tab w:val="clear" w:pos="709"/>
          <w:tab w:val="left" w:pos="1418" w:leader="none"/>
        </w:tabs>
        <w:bidi w:val="0"/>
        <w:ind w:hanging="283" w:start="1418"/>
        <w:jc w:val="start"/>
        <w:rPr/>
      </w:pPr>
      <w:hyperlink w:anchor="4-method-2--discounted-cash-flow-dcf">
        <w:r>
          <w:rPr>
            <w:rStyle w:val="Hyperlink"/>
          </w:rPr>
          <w:t>4. Method 2 — Discounted Cash Flow (DCF)</w:t>
        </w:r>
      </w:hyperlink>
    </w:p>
    <w:p>
      <w:pPr>
        <w:pStyle w:val="BodyText"/>
        <w:numPr>
          <w:ilvl w:val="1"/>
          <w:numId w:val="3"/>
        </w:numPr>
        <w:tabs>
          <w:tab w:val="clear" w:pos="709"/>
          <w:tab w:val="left" w:pos="1418" w:leader="none"/>
        </w:tabs>
        <w:bidi w:val="0"/>
        <w:ind w:hanging="283" w:start="1418"/>
        <w:jc w:val="start"/>
        <w:rPr/>
      </w:pPr>
      <w:hyperlink w:anchor="5-dcf-part-2--handling-inconsistent-cash">
        <w:r>
          <w:rPr>
            <w:rStyle w:val="Hyperlink"/>
          </w:rPr>
          <w:t>5. DCF Part 2 — Handling Inconsistent Cash Flow</w:t>
        </w:r>
      </w:hyperlink>
    </w:p>
    <w:p>
      <w:pPr>
        <w:pStyle w:val="BodyText"/>
        <w:numPr>
          <w:ilvl w:val="1"/>
          <w:numId w:val="3"/>
        </w:numPr>
        <w:tabs>
          <w:tab w:val="clear" w:pos="709"/>
          <w:tab w:val="left" w:pos="1418" w:leader="none"/>
        </w:tabs>
        <w:bidi w:val="0"/>
        <w:ind w:hanging="283" w:start="1418"/>
        <w:jc w:val="start"/>
        <w:rPr/>
      </w:pPr>
      <w:hyperlink w:anchor="6-non-us-listed-stocks-procedure-differe">
        <w:r>
          <w:rPr>
            <w:rStyle w:val="Hyperlink"/>
          </w:rPr>
          <w:t>6. Non-US Listed Stocks (procedure differences)</w:t>
        </w:r>
      </w:hyperlink>
    </w:p>
    <w:p>
      <w:pPr>
        <w:pStyle w:val="BodyText"/>
        <w:numPr>
          <w:ilvl w:val="1"/>
          <w:numId w:val="3"/>
        </w:numPr>
        <w:tabs>
          <w:tab w:val="clear" w:pos="709"/>
          <w:tab w:val="left" w:pos="1418" w:leader="none"/>
        </w:tabs>
        <w:bidi w:val="0"/>
        <w:ind w:hanging="283" w:start="1418"/>
        <w:jc w:val="start"/>
        <w:rPr/>
      </w:pPr>
      <w:hyperlink w:anchor="7-method-3--discounted-net-income">
        <w:r>
          <w:rPr>
            <w:rStyle w:val="Hyperlink"/>
          </w:rPr>
          <w:t>7. Method 3 — Discounted Net Income</w:t>
        </w:r>
      </w:hyperlink>
    </w:p>
    <w:p>
      <w:pPr>
        <w:pStyle w:val="BodyText"/>
        <w:numPr>
          <w:ilvl w:val="1"/>
          <w:numId w:val="3"/>
        </w:numPr>
        <w:tabs>
          <w:tab w:val="clear" w:pos="709"/>
          <w:tab w:val="left" w:pos="1418" w:leader="none"/>
        </w:tabs>
        <w:bidi w:val="0"/>
        <w:ind w:hanging="283" w:start="1418"/>
        <w:jc w:val="start"/>
        <w:rPr/>
      </w:pPr>
      <w:hyperlink w:anchor="8-method-4--price-to-book-ratio">
        <w:r>
          <w:rPr>
            <w:rStyle w:val="Hyperlink"/>
          </w:rPr>
          <w:t>8. Method 4 — Price to Book Ratio</w:t>
        </w:r>
      </w:hyperlink>
    </w:p>
    <w:p>
      <w:pPr>
        <w:pStyle w:val="BodyText"/>
        <w:numPr>
          <w:ilvl w:val="1"/>
          <w:numId w:val="3"/>
        </w:numPr>
        <w:tabs>
          <w:tab w:val="clear" w:pos="709"/>
          <w:tab w:val="left" w:pos="1418" w:leader="none"/>
        </w:tabs>
        <w:bidi w:val="0"/>
        <w:ind w:hanging="283" w:start="1418"/>
        <w:jc w:val="start"/>
        <w:rPr/>
      </w:pPr>
      <w:hyperlink w:anchor="9-reits--price-to-book--price-to-nav--yi">
        <w:r>
          <w:rPr>
            <w:rStyle w:val="Hyperlink"/>
          </w:rPr>
          <w:t>9. REITs — Price to Book / Price to NAV + Yield</w:t>
        </w:r>
      </w:hyperlink>
    </w:p>
    <w:p>
      <w:pPr>
        <w:pStyle w:val="BodyText"/>
        <w:numPr>
          <w:ilvl w:val="1"/>
          <w:numId w:val="3"/>
        </w:numPr>
        <w:tabs>
          <w:tab w:val="clear" w:pos="709"/>
          <w:tab w:val="left" w:pos="1418" w:leader="none"/>
        </w:tabs>
        <w:bidi w:val="0"/>
        <w:ind w:hanging="283" w:start="1418"/>
        <w:jc w:val="start"/>
        <w:rPr/>
      </w:pPr>
      <w:hyperlink w:anchor="10-method-5--price-to-sales-ps-and-price">
        <w:r>
          <w:rPr>
            <w:rStyle w:val="Hyperlink"/>
          </w:rPr>
          <w:t>10. Method 5 — Price to Sales (P/S) and Price to Sales Growth (PSG)</w:t>
        </w:r>
      </w:hyperlink>
    </w:p>
    <w:p>
      <w:pPr>
        <w:pStyle w:val="BodyText"/>
        <w:numPr>
          <w:ilvl w:val="1"/>
          <w:numId w:val="3"/>
        </w:numPr>
        <w:tabs>
          <w:tab w:val="clear" w:pos="709"/>
          <w:tab w:val="left" w:pos="1418" w:leader="none"/>
        </w:tabs>
        <w:bidi w:val="0"/>
        <w:ind w:hanging="283" w:start="1418"/>
        <w:jc w:val="start"/>
        <w:rPr/>
      </w:pPr>
      <w:hyperlink w:anchor="11-adams-full-decision-sequence-as-summa">
        <w:r>
          <w:rPr>
            <w:rStyle w:val="Hyperlink"/>
          </w:rPr>
          <w:t>11. Adam's Full Decision Sequence (as summarised in the lesson)</w:t>
        </w:r>
      </w:hyperlink>
    </w:p>
    <w:p>
      <w:pPr>
        <w:pStyle w:val="BodyText"/>
        <w:numPr>
          <w:ilvl w:val="1"/>
          <w:numId w:val="3"/>
        </w:numPr>
        <w:tabs>
          <w:tab w:val="clear" w:pos="709"/>
          <w:tab w:val="left" w:pos="1418" w:leader="none"/>
        </w:tabs>
        <w:bidi w:val="0"/>
        <w:ind w:hanging="283" w:start="1418"/>
        <w:jc w:val="start"/>
        <w:rPr/>
      </w:pPr>
      <w:hyperlink w:anchor="12-end-of-lesson-quiz-with-answers-as-gi">
        <w:r>
          <w:rPr>
            <w:rStyle w:val="Hyperlink"/>
          </w:rPr>
          <w:t>12. End-of-Lesson Quiz (with answers as given)</w:t>
        </w:r>
      </w:hyperlink>
    </w:p>
    <w:p>
      <w:pPr>
        <w:pStyle w:val="BodyText"/>
        <w:numPr>
          <w:ilvl w:val="1"/>
          <w:numId w:val="3"/>
        </w:numPr>
        <w:tabs>
          <w:tab w:val="clear" w:pos="709"/>
          <w:tab w:val="left" w:pos="1418" w:leader="none"/>
        </w:tabs>
        <w:bidi w:val="0"/>
        <w:ind w:hanging="283" w:start="1418"/>
        <w:jc w:val="start"/>
        <w:rPr/>
      </w:pPr>
      <w:hyperlink w:anchor="13-key-takeaways">
        <w:r>
          <w:rPr>
            <w:rStyle w:val="Hyperlink"/>
          </w:rPr>
          <w:t>13. Key Takeaways</w:t>
        </w:r>
      </w:hyperlink>
    </w:p>
    <w:p>
      <w:pPr>
        <w:pStyle w:val="BodyText"/>
        <w:numPr>
          <w:ilvl w:val="1"/>
          <w:numId w:val="3"/>
        </w:numPr>
        <w:tabs>
          <w:tab w:val="clear" w:pos="709"/>
          <w:tab w:val="left" w:pos="1418" w:leader="none"/>
        </w:tabs>
        <w:bidi w:val="0"/>
        <w:ind w:hanging="283" w:start="1418"/>
        <w:jc w:val="start"/>
        <w:rPr/>
      </w:pPr>
      <w:hyperlink w:anchor="14-decision-table--company-type--valuati">
        <w:r>
          <w:rPr>
            <w:rStyle w:val="Hyperlink"/>
          </w:rPr>
          <w:t>14. Decision Table — Company Type → Valuation Method</w:t>
        </w:r>
      </w:hyperlink>
    </w:p>
    <w:p>
      <w:pPr>
        <w:pStyle w:val="BodyText"/>
        <w:numPr>
          <w:ilvl w:val="0"/>
          <w:numId w:val="3"/>
        </w:numPr>
        <w:tabs>
          <w:tab w:val="clear" w:pos="709"/>
          <w:tab w:val="left" w:pos="709" w:leader="none"/>
        </w:tabs>
        <w:bidi w:val="0"/>
        <w:spacing w:before="0" w:after="0"/>
        <w:ind w:hanging="283" w:start="709"/>
        <w:jc w:val="start"/>
        <w:rPr/>
      </w:pPr>
      <w:hyperlink w:anchor="part-v--technical-analysis-timing-entrie">
        <w:r>
          <w:rPr>
            <w:rStyle w:val="Hyperlink"/>
            <w:b/>
          </w:rPr>
          <w:t>Part V — Technical Analysis: Timing Entries and Exits</w:t>
        </w:r>
      </w:hyperlink>
    </w:p>
    <w:p>
      <w:pPr>
        <w:pStyle w:val="BodyText"/>
        <w:numPr>
          <w:ilvl w:val="1"/>
          <w:numId w:val="3"/>
        </w:numPr>
        <w:tabs>
          <w:tab w:val="clear" w:pos="709"/>
          <w:tab w:val="left" w:pos="1418" w:leader="none"/>
        </w:tabs>
        <w:bidi w:val="0"/>
        <w:ind w:hanging="283" w:start="1418"/>
        <w:jc w:val="start"/>
        <w:rPr/>
      </w:pPr>
      <w:hyperlink w:anchor="1-why-technical-analysis-in-a-value-fram">
        <w:r>
          <w:rPr>
            <w:rStyle w:val="Hyperlink"/>
          </w:rPr>
          <w:t>1. Why Technical Analysis in a Value Framework</w:t>
        </w:r>
      </w:hyperlink>
    </w:p>
    <w:p>
      <w:pPr>
        <w:pStyle w:val="BodyText"/>
        <w:numPr>
          <w:ilvl w:val="1"/>
          <w:numId w:val="3"/>
        </w:numPr>
        <w:tabs>
          <w:tab w:val="clear" w:pos="709"/>
          <w:tab w:val="left" w:pos="1418" w:leader="none"/>
        </w:tabs>
        <w:bidi w:val="0"/>
        <w:ind w:hanging="283" w:start="1418"/>
        <w:jc w:val="start"/>
        <w:rPr/>
      </w:pPr>
      <w:hyperlink w:anchor="2-reading-charts-candlesticks-and-ohlc">
        <w:r>
          <w:rPr>
            <w:rStyle w:val="Hyperlink"/>
          </w:rPr>
          <w:t>2. Reading Charts: Candlesticks and OHLC</w:t>
        </w:r>
      </w:hyperlink>
    </w:p>
    <w:p>
      <w:pPr>
        <w:pStyle w:val="BodyText"/>
        <w:numPr>
          <w:ilvl w:val="1"/>
          <w:numId w:val="3"/>
        </w:numPr>
        <w:tabs>
          <w:tab w:val="clear" w:pos="709"/>
          <w:tab w:val="left" w:pos="1418" w:leader="none"/>
        </w:tabs>
        <w:bidi w:val="0"/>
        <w:ind w:hanging="283" w:start="1418"/>
        <w:jc w:val="start"/>
        <w:rPr/>
      </w:pPr>
      <w:hyperlink w:anchor="3-timeframes--the-three-chart-top-down-r">
        <w:r>
          <w:rPr>
            <w:rStyle w:val="Hyperlink"/>
          </w:rPr>
          <w:t>3. Timeframes — The Three-Chart Top-Down Routine</w:t>
        </w:r>
      </w:hyperlink>
    </w:p>
    <w:p>
      <w:pPr>
        <w:pStyle w:val="BodyText"/>
        <w:numPr>
          <w:ilvl w:val="1"/>
          <w:numId w:val="3"/>
        </w:numPr>
        <w:tabs>
          <w:tab w:val="clear" w:pos="709"/>
          <w:tab w:val="left" w:pos="1418" w:leader="none"/>
        </w:tabs>
        <w:bidi w:val="0"/>
        <w:ind w:hanging="283" w:start="1418"/>
        <w:jc w:val="start"/>
        <w:rPr/>
      </w:pPr>
      <w:hyperlink w:anchor="4-charting-platform-setup--tradingview">
        <w:r>
          <w:rPr>
            <w:rStyle w:val="Hyperlink"/>
          </w:rPr>
          <w:t>4. Charting Platform Setup — TradingView</w:t>
        </w:r>
      </w:hyperlink>
    </w:p>
    <w:p>
      <w:pPr>
        <w:pStyle w:val="BodyText"/>
        <w:numPr>
          <w:ilvl w:val="1"/>
          <w:numId w:val="3"/>
        </w:numPr>
        <w:tabs>
          <w:tab w:val="clear" w:pos="709"/>
          <w:tab w:val="left" w:pos="1418" w:leader="none"/>
        </w:tabs>
        <w:bidi w:val="0"/>
        <w:ind w:hanging="283" w:start="1418"/>
        <w:jc w:val="start"/>
        <w:rPr/>
      </w:pPr>
      <w:hyperlink w:anchor="5-swing-points-support-and-resistance">
        <w:r>
          <w:rPr>
            <w:rStyle w:val="Hyperlink"/>
          </w:rPr>
          <w:t>5. Swing Points, Support and Resistance</w:t>
        </w:r>
      </w:hyperlink>
    </w:p>
    <w:p>
      <w:pPr>
        <w:pStyle w:val="BodyText"/>
        <w:numPr>
          <w:ilvl w:val="1"/>
          <w:numId w:val="3"/>
        </w:numPr>
        <w:tabs>
          <w:tab w:val="clear" w:pos="709"/>
          <w:tab w:val="left" w:pos="1418" w:leader="none"/>
        </w:tabs>
        <w:bidi w:val="0"/>
        <w:ind w:hanging="283" w:start="1418"/>
        <w:jc w:val="start"/>
        <w:rPr/>
      </w:pPr>
      <w:hyperlink w:anchor="6-moving-averages">
        <w:r>
          <w:rPr>
            <w:rStyle w:val="Hyperlink"/>
          </w:rPr>
          <w:t>6. Moving Averages</w:t>
        </w:r>
      </w:hyperlink>
    </w:p>
    <w:p>
      <w:pPr>
        <w:pStyle w:val="BodyText"/>
        <w:numPr>
          <w:ilvl w:val="1"/>
          <w:numId w:val="3"/>
        </w:numPr>
        <w:tabs>
          <w:tab w:val="clear" w:pos="709"/>
          <w:tab w:val="left" w:pos="1418" w:leader="none"/>
        </w:tabs>
        <w:bidi w:val="0"/>
        <w:ind w:hanging="283" w:start="1418"/>
        <w:jc w:val="start"/>
        <w:rPr/>
      </w:pPr>
      <w:hyperlink w:anchor="7-trend-identification">
        <w:r>
          <w:rPr>
            <w:rStyle w:val="Hyperlink"/>
          </w:rPr>
          <w:t>7. Trend Identification</w:t>
        </w:r>
      </w:hyperlink>
    </w:p>
    <w:p>
      <w:pPr>
        <w:pStyle w:val="BodyText"/>
        <w:numPr>
          <w:ilvl w:val="1"/>
          <w:numId w:val="3"/>
        </w:numPr>
        <w:tabs>
          <w:tab w:val="clear" w:pos="709"/>
          <w:tab w:val="left" w:pos="1418" w:leader="none"/>
        </w:tabs>
        <w:bidi w:val="0"/>
        <w:ind w:hanging="283" w:start="1418"/>
        <w:jc w:val="start"/>
        <w:rPr/>
      </w:pPr>
      <w:hyperlink w:anchor="8-buying-on-uptrends">
        <w:r>
          <w:rPr>
            <w:rStyle w:val="Hyperlink"/>
          </w:rPr>
          <w:t>8. BUYING ON UPTRENDS</w:t>
        </w:r>
      </w:hyperlink>
    </w:p>
    <w:p>
      <w:pPr>
        <w:pStyle w:val="BodyText"/>
        <w:numPr>
          <w:ilvl w:val="1"/>
          <w:numId w:val="3"/>
        </w:numPr>
        <w:tabs>
          <w:tab w:val="clear" w:pos="709"/>
          <w:tab w:val="left" w:pos="1418" w:leader="none"/>
        </w:tabs>
        <w:bidi w:val="0"/>
        <w:ind w:hanging="283" w:start="1418"/>
        <w:jc w:val="start"/>
        <w:rPr/>
      </w:pPr>
      <w:hyperlink w:anchor="9-selling--the-parabolic-move-and-what-t">
        <w:r>
          <w:rPr>
            <w:rStyle w:val="Hyperlink"/>
          </w:rPr>
          <w:t>9. SELLING / THE PARABOLIC MOVE, AND WHAT TO DO IN DOWNTRENDS</w:t>
        </w:r>
      </w:hyperlink>
    </w:p>
    <w:p>
      <w:pPr>
        <w:pStyle w:val="BodyText"/>
        <w:numPr>
          <w:ilvl w:val="1"/>
          <w:numId w:val="3"/>
        </w:numPr>
        <w:tabs>
          <w:tab w:val="clear" w:pos="709"/>
          <w:tab w:val="left" w:pos="1418" w:leader="none"/>
        </w:tabs>
        <w:bidi w:val="0"/>
        <w:ind w:hanging="283" w:start="1418"/>
        <w:jc w:val="start"/>
        <w:rPr/>
      </w:pPr>
      <w:hyperlink w:anchor="10-catching-bottoms--buying-during-a-dow">
        <w:r>
          <w:rPr>
            <w:rStyle w:val="Hyperlink"/>
          </w:rPr>
          <w:t>10. CATCHING BOTTOMS — Buying During a Downtrend</w:t>
        </w:r>
      </w:hyperlink>
    </w:p>
    <w:p>
      <w:pPr>
        <w:pStyle w:val="BodyText"/>
        <w:numPr>
          <w:ilvl w:val="1"/>
          <w:numId w:val="3"/>
        </w:numPr>
        <w:tabs>
          <w:tab w:val="clear" w:pos="709"/>
          <w:tab w:val="left" w:pos="1418" w:leader="none"/>
        </w:tabs>
        <w:bidi w:val="0"/>
        <w:ind w:hanging="283" w:start="1418"/>
        <w:jc w:val="start"/>
        <w:rPr/>
      </w:pPr>
      <w:hyperlink w:anchor="11-buying-in-a-consolidation--channel">
        <w:r>
          <w:rPr>
            <w:rStyle w:val="Hyperlink"/>
          </w:rPr>
          <w:t>11. BUYING IN A CONSOLIDATION / CHANNEL</w:t>
        </w:r>
      </w:hyperlink>
    </w:p>
    <w:p>
      <w:pPr>
        <w:pStyle w:val="BodyText"/>
        <w:numPr>
          <w:ilvl w:val="1"/>
          <w:numId w:val="3"/>
        </w:numPr>
        <w:tabs>
          <w:tab w:val="clear" w:pos="709"/>
          <w:tab w:val="left" w:pos="1418" w:leader="none"/>
        </w:tabs>
        <w:bidi w:val="0"/>
        <w:ind w:hanging="283" w:start="1418"/>
        <w:jc w:val="start"/>
        <w:rPr/>
      </w:pPr>
      <w:hyperlink w:anchor="12-summary-of-trend--action-mapping">
        <w:r>
          <w:rPr>
            <w:rStyle w:val="Hyperlink"/>
          </w:rPr>
          <w:t>12. Summary of Trend → Action Mapping</w:t>
        </w:r>
      </w:hyperlink>
    </w:p>
    <w:p>
      <w:pPr>
        <w:pStyle w:val="BodyText"/>
        <w:numPr>
          <w:ilvl w:val="1"/>
          <w:numId w:val="3"/>
        </w:numPr>
        <w:tabs>
          <w:tab w:val="clear" w:pos="709"/>
          <w:tab w:val="left" w:pos="1418" w:leader="none"/>
        </w:tabs>
        <w:bidi w:val="0"/>
        <w:ind w:hanging="283" w:start="1418"/>
        <w:jc w:val="start"/>
        <w:rPr/>
      </w:pPr>
      <w:hyperlink w:anchor="key-takeaways">
        <w:r>
          <w:rPr>
            <w:rStyle w:val="Hyperlink"/>
          </w:rPr>
          <w:t>Key Takeaways</w:t>
        </w:r>
      </w:hyperlink>
    </w:p>
    <w:p>
      <w:pPr>
        <w:pStyle w:val="BodyText"/>
        <w:numPr>
          <w:ilvl w:val="1"/>
          <w:numId w:val="3"/>
        </w:numPr>
        <w:tabs>
          <w:tab w:val="clear" w:pos="709"/>
          <w:tab w:val="left" w:pos="1418" w:leader="none"/>
        </w:tabs>
        <w:bidi w:val="0"/>
        <w:ind w:hanging="283" w:start="1418"/>
        <w:jc w:val="start"/>
        <w:rPr/>
      </w:pPr>
      <w:hyperlink w:anchor="entry--exit-rules-cheat-sheet">
        <w:r>
          <w:rPr>
            <w:rStyle w:val="Hyperlink"/>
          </w:rPr>
          <w:t>Entry &amp; Exit Rules Cheat Sheet</w:t>
        </w:r>
      </w:hyperlink>
    </w:p>
    <w:p>
      <w:pPr>
        <w:pStyle w:val="BodyText"/>
        <w:numPr>
          <w:ilvl w:val="0"/>
          <w:numId w:val="3"/>
        </w:numPr>
        <w:tabs>
          <w:tab w:val="clear" w:pos="709"/>
          <w:tab w:val="left" w:pos="709" w:leader="none"/>
        </w:tabs>
        <w:bidi w:val="0"/>
        <w:spacing w:before="0" w:after="0"/>
        <w:ind w:hanging="283" w:start="709"/>
        <w:jc w:val="start"/>
        <w:rPr/>
      </w:pPr>
      <w:hyperlink w:anchor="part-vi--the-7-step-vmi-formula-core-met">
        <w:r>
          <w:rPr>
            <w:rStyle w:val="Hyperlink"/>
            <w:b/>
          </w:rPr>
          <w:t>Part VI — The 7-Step VMI Formula (Core Methodology)</w:t>
        </w:r>
      </w:hyperlink>
    </w:p>
    <w:p>
      <w:pPr>
        <w:pStyle w:val="BodyText"/>
        <w:numPr>
          <w:ilvl w:val="1"/>
          <w:numId w:val="3"/>
        </w:numPr>
        <w:tabs>
          <w:tab w:val="clear" w:pos="709"/>
          <w:tab w:val="left" w:pos="1418" w:leader="none"/>
        </w:tabs>
        <w:bidi w:val="0"/>
        <w:ind w:hanging="283" w:start="1418"/>
        <w:jc w:val="start"/>
        <w:rPr/>
      </w:pPr>
      <w:hyperlink w:anchor="0-the-master-framework">
        <w:r>
          <w:rPr>
            <w:rStyle w:val="Hyperlink"/>
          </w:rPr>
          <w:t>0. The Master Framework</w:t>
        </w:r>
      </w:hyperlink>
    </w:p>
    <w:p>
      <w:pPr>
        <w:pStyle w:val="BodyText"/>
        <w:numPr>
          <w:ilvl w:val="1"/>
          <w:numId w:val="3"/>
        </w:numPr>
        <w:tabs>
          <w:tab w:val="clear" w:pos="709"/>
          <w:tab w:val="left" w:pos="1418" w:leader="none"/>
        </w:tabs>
        <w:bidi w:val="0"/>
        <w:ind w:hanging="283" w:start="1418"/>
        <w:jc w:val="start"/>
        <w:rPr/>
      </w:pPr>
      <w:hyperlink w:anchor="step-1--consistent-predictable-historica">
        <w:r>
          <w:rPr>
            <w:rStyle w:val="Hyperlink"/>
          </w:rPr>
          <w:t>STEP 1 — Consistent, Predictable Historical Track Record</w:t>
        </w:r>
      </w:hyperlink>
    </w:p>
    <w:p>
      <w:pPr>
        <w:pStyle w:val="BodyText"/>
        <w:numPr>
          <w:ilvl w:val="1"/>
          <w:numId w:val="3"/>
        </w:numPr>
        <w:tabs>
          <w:tab w:val="clear" w:pos="709"/>
          <w:tab w:val="left" w:pos="1418" w:leader="none"/>
        </w:tabs>
        <w:bidi w:val="0"/>
        <w:ind w:hanging="283" w:start="1418"/>
        <w:jc w:val="start"/>
        <w:rPr/>
      </w:pPr>
      <w:hyperlink w:anchor="step-2--positive-projected-growth-rate-g">
        <w:r>
          <w:rPr>
            <w:rStyle w:val="Hyperlink"/>
          </w:rPr>
          <w:t>STEP 2 — Positive Projected Growth Rate (Growth Catalysts)</w:t>
        </w:r>
      </w:hyperlink>
    </w:p>
    <w:p>
      <w:pPr>
        <w:pStyle w:val="BodyText"/>
        <w:numPr>
          <w:ilvl w:val="1"/>
          <w:numId w:val="3"/>
        </w:numPr>
        <w:tabs>
          <w:tab w:val="clear" w:pos="709"/>
          <w:tab w:val="left" w:pos="1418" w:leader="none"/>
        </w:tabs>
        <w:bidi w:val="0"/>
        <w:ind w:hanging="283" w:start="1418"/>
        <w:jc w:val="start"/>
        <w:rPr/>
      </w:pPr>
      <w:hyperlink w:anchor="step-3--sustainable-competitive-advantag">
        <w:r>
          <w:rPr>
            <w:rStyle w:val="Hyperlink"/>
          </w:rPr>
          <w:t>STEP 3 — Sustainable Competitive Advantage (Economic Moat) ⭐ MOST IMPORTANT</w:t>
        </w:r>
      </w:hyperlink>
    </w:p>
    <w:p>
      <w:pPr>
        <w:pStyle w:val="BodyText"/>
        <w:numPr>
          <w:ilvl w:val="1"/>
          <w:numId w:val="3"/>
        </w:numPr>
        <w:tabs>
          <w:tab w:val="clear" w:pos="709"/>
          <w:tab w:val="left" w:pos="1418" w:leader="none"/>
        </w:tabs>
        <w:bidi w:val="0"/>
        <w:ind w:hanging="283" w:start="1418"/>
        <w:jc w:val="start"/>
        <w:rPr/>
      </w:pPr>
      <w:hyperlink w:anchor="step-4--highly-profitable-and-operationa">
        <w:r>
          <w:rPr>
            <w:rStyle w:val="Hyperlink"/>
          </w:rPr>
          <w:t>STEP 4 — Highly Profitable and Operationally Efficient</w:t>
        </w:r>
      </w:hyperlink>
    </w:p>
    <w:p>
      <w:pPr>
        <w:pStyle w:val="BodyText"/>
        <w:numPr>
          <w:ilvl w:val="1"/>
          <w:numId w:val="3"/>
        </w:numPr>
        <w:tabs>
          <w:tab w:val="clear" w:pos="709"/>
          <w:tab w:val="left" w:pos="1418" w:leader="none"/>
        </w:tabs>
        <w:bidi w:val="0"/>
        <w:ind w:hanging="283" w:start="1418"/>
        <w:jc w:val="start"/>
        <w:rPr/>
      </w:pPr>
      <w:hyperlink w:anchor="step-5--conservative-debt-structure-stro">
        <w:r>
          <w:rPr>
            <w:rStyle w:val="Hyperlink"/>
          </w:rPr>
          <w:t>STEP 5 — Conservative Debt Structure (Strong Balance Sheet)</w:t>
        </w:r>
      </w:hyperlink>
    </w:p>
    <w:p>
      <w:pPr>
        <w:pStyle w:val="BodyText"/>
        <w:numPr>
          <w:ilvl w:val="1"/>
          <w:numId w:val="3"/>
        </w:numPr>
        <w:tabs>
          <w:tab w:val="clear" w:pos="709"/>
          <w:tab w:val="left" w:pos="1418" w:leader="none"/>
        </w:tabs>
        <w:bidi w:val="0"/>
        <w:ind w:hanging="283" w:start="1418"/>
        <w:jc w:val="start"/>
        <w:rPr/>
      </w:pPr>
      <w:hyperlink w:anchor="-checkpoint--after-steps-15">
        <w:r>
          <w:rPr>
            <w:rStyle w:val="Hyperlink"/>
          </w:rPr>
          <w:t xml:space="preserve">✅ </w:t>
        </w:r>
        <w:r>
          <w:rPr>
            <w:rStyle w:val="Hyperlink"/>
          </w:rPr>
          <w:t>CHECKPOINT — After Steps 1–5</w:t>
        </w:r>
      </w:hyperlink>
    </w:p>
    <w:p>
      <w:pPr>
        <w:pStyle w:val="BodyText"/>
        <w:numPr>
          <w:ilvl w:val="1"/>
          <w:numId w:val="3"/>
        </w:numPr>
        <w:tabs>
          <w:tab w:val="clear" w:pos="709"/>
          <w:tab w:val="left" w:pos="1418" w:leader="none"/>
        </w:tabs>
        <w:bidi w:val="0"/>
        <w:ind w:hanging="283" w:start="1418"/>
        <w:jc w:val="start"/>
        <w:rPr/>
      </w:pPr>
      <w:hyperlink w:anchor="step-6--great-price-buy-below-intrinsic-">
        <w:r>
          <w:rPr>
            <w:rStyle w:val="Hyperlink"/>
          </w:rPr>
          <w:t>STEP 6 — Great Price: Buy Below Intrinsic Value (Margin of Safety)</w:t>
        </w:r>
      </w:hyperlink>
    </w:p>
    <w:p>
      <w:pPr>
        <w:pStyle w:val="BodyText"/>
        <w:numPr>
          <w:ilvl w:val="1"/>
          <w:numId w:val="3"/>
        </w:numPr>
        <w:tabs>
          <w:tab w:val="clear" w:pos="709"/>
          <w:tab w:val="left" w:pos="1418" w:leader="none"/>
        </w:tabs>
        <w:bidi w:val="0"/>
        <w:ind w:hanging="283" w:start="1418"/>
        <w:jc w:val="start"/>
        <w:rPr/>
      </w:pPr>
      <w:hyperlink w:anchor="step-7--great-point-of-entry-buy-the-wav">
        <w:r>
          <w:rPr>
            <w:rStyle w:val="Hyperlink"/>
          </w:rPr>
          <w:t>STEP 7 — Great Point of Entry: Buy the Wave Down into Support</w:t>
        </w:r>
      </w:hyperlink>
    </w:p>
    <w:p>
      <w:pPr>
        <w:pStyle w:val="BodyText"/>
        <w:numPr>
          <w:ilvl w:val="1"/>
          <w:numId w:val="3"/>
        </w:numPr>
        <w:tabs>
          <w:tab w:val="clear" w:pos="709"/>
          <w:tab w:val="left" w:pos="1418" w:leader="none"/>
        </w:tabs>
        <w:bidi w:val="0"/>
        <w:ind w:hanging="283" w:start="1418"/>
        <w:jc w:val="start"/>
        <w:rPr/>
      </w:pPr>
      <w:hyperlink w:anchor="key-takeaways">
        <w:r>
          <w:rPr>
            <w:rStyle w:val="Hyperlink"/>
          </w:rPr>
          <w:t>Key Takeaways</w:t>
        </w:r>
      </w:hyperlink>
    </w:p>
    <w:p>
      <w:pPr>
        <w:pStyle w:val="BodyText"/>
        <w:numPr>
          <w:ilvl w:val="1"/>
          <w:numId w:val="3"/>
        </w:numPr>
        <w:tabs>
          <w:tab w:val="clear" w:pos="709"/>
          <w:tab w:val="left" w:pos="1418" w:leader="none"/>
        </w:tabs>
        <w:bidi w:val="0"/>
        <w:ind w:hanging="283" w:start="1418"/>
        <w:jc w:val="start"/>
        <w:rPr/>
      </w:pPr>
      <w:hyperlink w:anchor="-the-vmi-7-step-checklist-one-page--appl">
        <w:r>
          <w:rPr>
            <w:rStyle w:val="Hyperlink"/>
          </w:rPr>
          <w:t xml:space="preserve">📋 </w:t>
        </w:r>
        <w:r>
          <w:rPr>
            <w:rStyle w:val="Hyperlink"/>
          </w:rPr>
          <w:t>THE VMI 7-STEP CHECKLIST (One Page — Apply to Any Stock)</w:t>
        </w:r>
      </w:hyperlink>
    </w:p>
    <w:p>
      <w:pPr>
        <w:pStyle w:val="BodyText"/>
        <w:numPr>
          <w:ilvl w:val="0"/>
          <w:numId w:val="3"/>
        </w:numPr>
        <w:tabs>
          <w:tab w:val="clear" w:pos="709"/>
          <w:tab w:val="left" w:pos="709" w:leader="none"/>
        </w:tabs>
        <w:bidi w:val="0"/>
        <w:spacing w:before="0" w:after="0"/>
        <w:ind w:hanging="283" w:start="709"/>
        <w:jc w:val="start"/>
        <w:rPr/>
      </w:pPr>
      <w:hyperlink w:anchor="part-vii--worked-case-studies-googl-msft">
        <w:r>
          <w:rPr>
            <w:rStyle w:val="Hyperlink"/>
            <w:b/>
          </w:rPr>
          <w:t>Part VII — Worked Case Studies: GOOGL, MSFT, AMZN</w:t>
        </w:r>
      </w:hyperlink>
    </w:p>
    <w:p>
      <w:pPr>
        <w:pStyle w:val="BodyText"/>
        <w:numPr>
          <w:ilvl w:val="1"/>
          <w:numId w:val="3"/>
        </w:numPr>
        <w:tabs>
          <w:tab w:val="clear" w:pos="709"/>
          <w:tab w:val="left" w:pos="1418" w:leader="none"/>
        </w:tabs>
        <w:bidi w:val="0"/>
        <w:ind w:hanging="283" w:start="1418"/>
        <w:jc w:val="start"/>
        <w:rPr/>
      </w:pPr>
      <w:hyperlink w:anchor="the-7-step-framework-being-applied">
        <w:r>
          <w:rPr>
            <w:rStyle w:val="Hyperlink"/>
          </w:rPr>
          <w:t>The 7-Step Framework Being Applied</w:t>
        </w:r>
      </w:hyperlink>
    </w:p>
    <w:p>
      <w:pPr>
        <w:pStyle w:val="BodyText"/>
        <w:numPr>
          <w:ilvl w:val="1"/>
          <w:numId w:val="3"/>
        </w:numPr>
        <w:tabs>
          <w:tab w:val="clear" w:pos="709"/>
          <w:tab w:val="left" w:pos="1418" w:leader="none"/>
        </w:tabs>
        <w:bidi w:val="0"/>
        <w:ind w:hanging="283" w:start="1418"/>
        <w:jc w:val="start"/>
        <w:rPr/>
      </w:pPr>
      <w:hyperlink w:anchor="10-idea-sourcing-and-share-class">
        <w:r>
          <w:rPr>
            <w:rStyle w:val="Hyperlink"/>
          </w:rPr>
          <w:t>1.0 Idea sourcing and share class</w:t>
        </w:r>
      </w:hyperlink>
    </w:p>
    <w:p>
      <w:pPr>
        <w:pStyle w:val="BodyText"/>
        <w:numPr>
          <w:ilvl w:val="1"/>
          <w:numId w:val="3"/>
        </w:numPr>
        <w:tabs>
          <w:tab w:val="clear" w:pos="709"/>
          <w:tab w:val="left" w:pos="1418" w:leader="none"/>
        </w:tabs>
        <w:bidi w:val="0"/>
        <w:ind w:hanging="283" w:start="1418"/>
        <w:jc w:val="start"/>
        <w:rPr/>
      </w:pPr>
      <w:hyperlink w:anchor="11-step-1--consistent-revenue--net-incom">
        <w:r>
          <w:rPr>
            <w:rStyle w:val="Hyperlink"/>
          </w:rPr>
          <w:t>1.1 Step 1 — Consistent revenue / net income / operating cash flow</w:t>
        </w:r>
      </w:hyperlink>
    </w:p>
    <w:p>
      <w:pPr>
        <w:pStyle w:val="BodyText"/>
        <w:numPr>
          <w:ilvl w:val="1"/>
          <w:numId w:val="3"/>
        </w:numPr>
        <w:tabs>
          <w:tab w:val="clear" w:pos="709"/>
          <w:tab w:val="left" w:pos="1418" w:leader="none"/>
        </w:tabs>
        <w:bidi w:val="0"/>
        <w:ind w:hanging="283" w:start="1418"/>
        <w:jc w:val="start"/>
        <w:rPr/>
      </w:pPr>
      <w:hyperlink w:anchor="12-step-2--growth-rate-and-growth-cataly">
        <w:r>
          <w:rPr>
            <w:rStyle w:val="Hyperlink"/>
          </w:rPr>
          <w:t>1.2 Step 2 — Growth rate and growth catalysts</w:t>
        </w:r>
      </w:hyperlink>
    </w:p>
    <w:p>
      <w:pPr>
        <w:pStyle w:val="BodyText"/>
        <w:numPr>
          <w:ilvl w:val="1"/>
          <w:numId w:val="3"/>
        </w:numPr>
        <w:tabs>
          <w:tab w:val="clear" w:pos="709"/>
          <w:tab w:val="left" w:pos="1418" w:leader="none"/>
        </w:tabs>
        <w:bidi w:val="0"/>
        <w:ind w:hanging="283" w:start="1418"/>
        <w:jc w:val="start"/>
        <w:rPr/>
      </w:pPr>
      <w:hyperlink w:anchor="13-step-3--economic-moat-the-most-import">
        <w:r>
          <w:rPr>
            <w:rStyle w:val="Hyperlink"/>
          </w:rPr>
          <w:t>1.3 Step 3 — Economic moat (the most important step)</w:t>
        </w:r>
      </w:hyperlink>
    </w:p>
    <w:p>
      <w:pPr>
        <w:pStyle w:val="BodyText"/>
        <w:numPr>
          <w:ilvl w:val="1"/>
          <w:numId w:val="3"/>
        </w:numPr>
        <w:tabs>
          <w:tab w:val="clear" w:pos="709"/>
          <w:tab w:val="left" w:pos="1418" w:leader="none"/>
        </w:tabs>
        <w:bidi w:val="0"/>
        <w:ind w:hanging="283" w:start="1418"/>
        <w:jc w:val="start"/>
        <w:rPr/>
      </w:pPr>
      <w:hyperlink w:anchor="14-step-4--profitability-and-operational">
        <w:r>
          <w:rPr>
            <w:rStyle w:val="Hyperlink"/>
          </w:rPr>
          <w:t>1.4 Step 4 — Profitability and operational efficiency</w:t>
        </w:r>
      </w:hyperlink>
    </w:p>
    <w:p>
      <w:pPr>
        <w:pStyle w:val="BodyText"/>
        <w:numPr>
          <w:ilvl w:val="1"/>
          <w:numId w:val="3"/>
        </w:numPr>
        <w:tabs>
          <w:tab w:val="clear" w:pos="709"/>
          <w:tab w:val="left" w:pos="1418" w:leader="none"/>
        </w:tabs>
        <w:bidi w:val="0"/>
        <w:ind w:hanging="283" w:start="1418"/>
        <w:jc w:val="start"/>
        <w:rPr/>
      </w:pPr>
      <w:hyperlink w:anchor="15-step-5--conservative-debt">
        <w:r>
          <w:rPr>
            <w:rStyle w:val="Hyperlink"/>
          </w:rPr>
          <w:t>1.5 Step 5 — Conservative debt</w:t>
        </w:r>
      </w:hyperlink>
    </w:p>
    <w:p>
      <w:pPr>
        <w:pStyle w:val="BodyText"/>
        <w:numPr>
          <w:ilvl w:val="1"/>
          <w:numId w:val="3"/>
        </w:numPr>
        <w:tabs>
          <w:tab w:val="clear" w:pos="709"/>
          <w:tab w:val="left" w:pos="1418" w:leader="none"/>
        </w:tabs>
        <w:bidi w:val="0"/>
        <w:ind w:hanging="283" w:start="1418"/>
        <w:jc w:val="start"/>
        <w:rPr/>
      </w:pPr>
      <w:hyperlink w:anchor="16-step-6--intrinsic-value-discounted-fr">
        <w:r>
          <w:rPr>
            <w:rStyle w:val="Hyperlink"/>
          </w:rPr>
          <w:t>1.6 Step 6 — Intrinsic value (Discounted Free Cash Flow, with normalised capex)</w:t>
        </w:r>
      </w:hyperlink>
    </w:p>
    <w:p>
      <w:pPr>
        <w:pStyle w:val="BodyText"/>
        <w:numPr>
          <w:ilvl w:val="1"/>
          <w:numId w:val="3"/>
        </w:numPr>
        <w:tabs>
          <w:tab w:val="clear" w:pos="709"/>
          <w:tab w:val="left" w:pos="1418" w:leader="none"/>
        </w:tabs>
        <w:bidi w:val="0"/>
        <w:ind w:hanging="283" w:start="1418"/>
        <w:jc w:val="start"/>
        <w:rPr/>
      </w:pPr>
      <w:hyperlink w:anchor="17-step-7--technical-analysis-and-entry-">
        <w:r>
          <w:rPr>
            <w:rStyle w:val="Hyperlink"/>
          </w:rPr>
          <w:t>1.7 Step 7 — Technical analysis and entry plan</w:t>
        </w:r>
      </w:hyperlink>
    </w:p>
    <w:p>
      <w:pPr>
        <w:pStyle w:val="BodyText"/>
        <w:numPr>
          <w:ilvl w:val="1"/>
          <w:numId w:val="3"/>
        </w:numPr>
        <w:tabs>
          <w:tab w:val="clear" w:pos="709"/>
          <w:tab w:val="left" w:pos="1418" w:leader="none"/>
        </w:tabs>
        <w:bidi w:val="0"/>
        <w:ind w:hanging="283" w:start="1418"/>
        <w:jc w:val="start"/>
        <w:rPr/>
      </w:pPr>
      <w:hyperlink w:anchor="20-investment-thesis-first">
        <w:r>
          <w:rPr>
            <w:rStyle w:val="Hyperlink"/>
          </w:rPr>
          <w:t>2.0 Investment thesis first</w:t>
        </w:r>
      </w:hyperlink>
    </w:p>
    <w:p>
      <w:pPr>
        <w:pStyle w:val="BodyText"/>
        <w:numPr>
          <w:ilvl w:val="1"/>
          <w:numId w:val="3"/>
        </w:numPr>
        <w:tabs>
          <w:tab w:val="clear" w:pos="709"/>
          <w:tab w:val="left" w:pos="1418" w:leader="none"/>
        </w:tabs>
        <w:bidi w:val="0"/>
        <w:ind w:hanging="283" w:start="1418"/>
        <w:jc w:val="start"/>
        <w:rPr/>
      </w:pPr>
      <w:hyperlink w:anchor="21-business-overview-and-segments">
        <w:r>
          <w:rPr>
            <w:rStyle w:val="Hyperlink"/>
          </w:rPr>
          <w:t>2.1 Business overview and segments</w:t>
        </w:r>
      </w:hyperlink>
    </w:p>
    <w:p>
      <w:pPr>
        <w:pStyle w:val="BodyText"/>
        <w:numPr>
          <w:ilvl w:val="1"/>
          <w:numId w:val="3"/>
        </w:numPr>
        <w:tabs>
          <w:tab w:val="clear" w:pos="709"/>
          <w:tab w:val="left" w:pos="1418" w:leader="none"/>
        </w:tabs>
        <w:bidi w:val="0"/>
        <w:ind w:hanging="283" w:start="1418"/>
        <w:jc w:val="start"/>
        <w:rPr/>
      </w:pPr>
      <w:hyperlink w:anchor="22-step-1--consistent-revenue--net-incom">
        <w:r>
          <w:rPr>
            <w:rStyle w:val="Hyperlink"/>
          </w:rPr>
          <w:t>2.2 Step 1 — Consistent revenue / net income / operating cash flow</w:t>
        </w:r>
      </w:hyperlink>
    </w:p>
    <w:p>
      <w:pPr>
        <w:pStyle w:val="BodyText"/>
        <w:numPr>
          <w:ilvl w:val="1"/>
          <w:numId w:val="3"/>
        </w:numPr>
        <w:tabs>
          <w:tab w:val="clear" w:pos="709"/>
          <w:tab w:val="left" w:pos="1418" w:leader="none"/>
        </w:tabs>
        <w:bidi w:val="0"/>
        <w:ind w:hanging="283" w:start="1418"/>
        <w:jc w:val="start"/>
        <w:rPr/>
      </w:pPr>
      <w:hyperlink w:anchor="23-step-2--growth-projections">
        <w:r>
          <w:rPr>
            <w:rStyle w:val="Hyperlink"/>
          </w:rPr>
          <w:t>2.3 Step 2 — Growth projections</w:t>
        </w:r>
      </w:hyperlink>
    </w:p>
    <w:p>
      <w:pPr>
        <w:pStyle w:val="BodyText"/>
        <w:numPr>
          <w:ilvl w:val="1"/>
          <w:numId w:val="3"/>
        </w:numPr>
        <w:tabs>
          <w:tab w:val="clear" w:pos="709"/>
          <w:tab w:val="left" w:pos="1418" w:leader="none"/>
        </w:tabs>
        <w:bidi w:val="0"/>
        <w:ind w:hanging="283" w:start="1418"/>
        <w:jc w:val="start"/>
        <w:rPr/>
      </w:pPr>
      <w:hyperlink w:anchor="24-step-3--economic-moat-qualitative-onl">
        <w:r>
          <w:rPr>
            <w:rStyle w:val="Hyperlink"/>
          </w:rPr>
          <w:t>2.4 Step 3 — Economic moat (qualitative only)</w:t>
        </w:r>
      </w:hyperlink>
    </w:p>
    <w:p>
      <w:pPr>
        <w:pStyle w:val="BodyText"/>
        <w:numPr>
          <w:ilvl w:val="1"/>
          <w:numId w:val="3"/>
        </w:numPr>
        <w:tabs>
          <w:tab w:val="clear" w:pos="709"/>
          <w:tab w:val="left" w:pos="1418" w:leader="none"/>
        </w:tabs>
        <w:bidi w:val="0"/>
        <w:ind w:hanging="283" w:start="1418"/>
        <w:jc w:val="start"/>
        <w:rPr/>
      </w:pPr>
      <w:hyperlink w:anchor="25-step-4--profitability-and-operational">
        <w:r>
          <w:rPr>
            <w:rStyle w:val="Hyperlink"/>
          </w:rPr>
          <w:t>2.5 Step 4 — Profitability and operational efficiency</w:t>
        </w:r>
      </w:hyperlink>
    </w:p>
    <w:p>
      <w:pPr>
        <w:pStyle w:val="BodyText"/>
        <w:numPr>
          <w:ilvl w:val="1"/>
          <w:numId w:val="3"/>
        </w:numPr>
        <w:tabs>
          <w:tab w:val="clear" w:pos="709"/>
          <w:tab w:val="left" w:pos="1418" w:leader="none"/>
        </w:tabs>
        <w:bidi w:val="0"/>
        <w:ind w:hanging="283" w:start="1418"/>
        <w:jc w:val="start"/>
        <w:rPr/>
      </w:pPr>
      <w:hyperlink w:anchor="26-step-5--conservative-debt">
        <w:r>
          <w:rPr>
            <w:rStyle w:val="Hyperlink"/>
          </w:rPr>
          <w:t>2.6 Step 5 — Conservative debt</w:t>
        </w:r>
      </w:hyperlink>
    </w:p>
    <w:p>
      <w:pPr>
        <w:pStyle w:val="BodyText"/>
        <w:numPr>
          <w:ilvl w:val="1"/>
          <w:numId w:val="3"/>
        </w:numPr>
        <w:tabs>
          <w:tab w:val="clear" w:pos="709"/>
          <w:tab w:val="left" w:pos="1418" w:leader="none"/>
        </w:tabs>
        <w:bidi w:val="0"/>
        <w:ind w:hanging="283" w:start="1418"/>
        <w:jc w:val="start"/>
        <w:rPr/>
      </w:pPr>
      <w:hyperlink w:anchor="27-step-6--intrinsic-value-discounted-ca">
        <w:r>
          <w:rPr>
            <w:rStyle w:val="Hyperlink"/>
          </w:rPr>
          <w:t>2.7 Step 6 — Intrinsic value (Discounted Cash Flow from operations)</w:t>
        </w:r>
      </w:hyperlink>
    </w:p>
    <w:p>
      <w:pPr>
        <w:pStyle w:val="BodyText"/>
        <w:numPr>
          <w:ilvl w:val="1"/>
          <w:numId w:val="3"/>
        </w:numPr>
        <w:tabs>
          <w:tab w:val="clear" w:pos="709"/>
          <w:tab w:val="left" w:pos="1418" w:leader="none"/>
        </w:tabs>
        <w:bidi w:val="0"/>
        <w:ind w:hanging="283" w:start="1418"/>
        <w:jc w:val="start"/>
        <w:rPr/>
      </w:pPr>
      <w:hyperlink w:anchor="28-step-7--technical-analysis-and-entry-">
        <w:r>
          <w:rPr>
            <w:rStyle w:val="Hyperlink"/>
          </w:rPr>
          <w:t>2.8 Step 7 — Technical analysis and entry plan</w:t>
        </w:r>
      </w:hyperlink>
    </w:p>
    <w:p>
      <w:pPr>
        <w:pStyle w:val="BodyText"/>
        <w:numPr>
          <w:ilvl w:val="1"/>
          <w:numId w:val="3"/>
        </w:numPr>
        <w:tabs>
          <w:tab w:val="clear" w:pos="709"/>
          <w:tab w:val="left" w:pos="1418" w:leader="none"/>
        </w:tabs>
        <w:bidi w:val="0"/>
        <w:ind w:hanging="283" w:start="1418"/>
        <w:jc w:val="start"/>
        <w:rPr/>
      </w:pPr>
      <w:hyperlink w:anchor="30-thesis-and-classification">
        <w:r>
          <w:rPr>
            <w:rStyle w:val="Hyperlink"/>
          </w:rPr>
          <w:t>3.0 Thesis and classification</w:t>
        </w:r>
      </w:hyperlink>
    </w:p>
    <w:p>
      <w:pPr>
        <w:pStyle w:val="BodyText"/>
        <w:numPr>
          <w:ilvl w:val="1"/>
          <w:numId w:val="3"/>
        </w:numPr>
        <w:tabs>
          <w:tab w:val="clear" w:pos="709"/>
          <w:tab w:val="left" w:pos="1418" w:leader="none"/>
        </w:tabs>
        <w:bidi w:val="0"/>
        <w:ind w:hanging="283" w:start="1418"/>
        <w:jc w:val="start"/>
        <w:rPr/>
      </w:pPr>
      <w:hyperlink w:anchor="31-business-overview-segments-and-compet">
        <w:r>
          <w:rPr>
            <w:rStyle w:val="Hyperlink"/>
          </w:rPr>
          <w:t>3.1 Business overview, segments and competitors</w:t>
        </w:r>
      </w:hyperlink>
    </w:p>
    <w:p>
      <w:pPr>
        <w:pStyle w:val="BodyText"/>
        <w:numPr>
          <w:ilvl w:val="1"/>
          <w:numId w:val="3"/>
        </w:numPr>
        <w:tabs>
          <w:tab w:val="clear" w:pos="709"/>
          <w:tab w:val="left" w:pos="1418" w:leader="none"/>
        </w:tabs>
        <w:bidi w:val="0"/>
        <w:ind w:hanging="283" w:start="1418"/>
        <w:jc w:val="start"/>
        <w:rPr/>
      </w:pPr>
      <w:hyperlink w:anchor="33-step-2--growth-projections-and-cataly">
        <w:r>
          <w:rPr>
            <w:rStyle w:val="Hyperlink"/>
          </w:rPr>
          <w:t>3.3 Step 2 — Growth projections and catalysts</w:t>
        </w:r>
      </w:hyperlink>
    </w:p>
    <w:p>
      <w:pPr>
        <w:pStyle w:val="BodyText"/>
        <w:numPr>
          <w:ilvl w:val="1"/>
          <w:numId w:val="3"/>
        </w:numPr>
        <w:tabs>
          <w:tab w:val="clear" w:pos="709"/>
          <w:tab w:val="left" w:pos="1418" w:leader="none"/>
        </w:tabs>
        <w:bidi w:val="0"/>
        <w:ind w:hanging="283" w:start="1418"/>
        <w:jc w:val="start"/>
        <w:rPr/>
      </w:pPr>
      <w:hyperlink w:anchor="34-step-3--economic-moat">
        <w:r>
          <w:rPr>
            <w:rStyle w:val="Hyperlink"/>
          </w:rPr>
          <w:t>3.4 Step 3 — Economic moat</w:t>
        </w:r>
      </w:hyperlink>
    </w:p>
    <w:p>
      <w:pPr>
        <w:pStyle w:val="BodyText"/>
        <w:numPr>
          <w:ilvl w:val="1"/>
          <w:numId w:val="3"/>
        </w:numPr>
        <w:tabs>
          <w:tab w:val="clear" w:pos="709"/>
          <w:tab w:val="left" w:pos="1418" w:leader="none"/>
        </w:tabs>
        <w:bidi w:val="0"/>
        <w:ind w:hanging="283" w:start="1418"/>
        <w:jc w:val="start"/>
        <w:rPr/>
      </w:pPr>
      <w:hyperlink w:anchor="35-step-4--profitability-and-operational">
        <w:r>
          <w:rPr>
            <w:rStyle w:val="Hyperlink"/>
          </w:rPr>
          <w:t>3.5 Step 4 — Profitability and operational efficiency</w:t>
        </w:r>
      </w:hyperlink>
    </w:p>
    <w:p>
      <w:pPr>
        <w:pStyle w:val="BodyText"/>
        <w:numPr>
          <w:ilvl w:val="1"/>
          <w:numId w:val="3"/>
        </w:numPr>
        <w:tabs>
          <w:tab w:val="clear" w:pos="709"/>
          <w:tab w:val="left" w:pos="1418" w:leader="none"/>
        </w:tabs>
        <w:bidi w:val="0"/>
        <w:ind w:hanging="283" w:start="1418"/>
        <w:jc w:val="start"/>
        <w:rPr/>
      </w:pPr>
      <w:hyperlink w:anchor="36-step-5--conservative-debt">
        <w:r>
          <w:rPr>
            <w:rStyle w:val="Hyperlink"/>
          </w:rPr>
          <w:t>3.6 Step 5 — Conservative debt</w:t>
        </w:r>
      </w:hyperlink>
    </w:p>
    <w:p>
      <w:pPr>
        <w:pStyle w:val="BodyText"/>
        <w:numPr>
          <w:ilvl w:val="1"/>
          <w:numId w:val="3"/>
        </w:numPr>
        <w:tabs>
          <w:tab w:val="clear" w:pos="709"/>
          <w:tab w:val="left" w:pos="1418" w:leader="none"/>
        </w:tabs>
        <w:bidi w:val="0"/>
        <w:ind w:hanging="283" w:start="1418"/>
        <w:jc w:val="start"/>
        <w:rPr/>
      </w:pPr>
      <w:hyperlink w:anchor="37-step-6--intrinsic-value-why-amazon-ge">
        <w:r>
          <w:rPr>
            <w:rStyle w:val="Hyperlink"/>
          </w:rPr>
          <w:t>3.7 Step 6 — Intrinsic value: WHY AMAZON GETS A DIFFERENT METHOD</w:t>
        </w:r>
      </w:hyperlink>
    </w:p>
    <w:p>
      <w:pPr>
        <w:pStyle w:val="BodyText"/>
        <w:numPr>
          <w:ilvl w:val="1"/>
          <w:numId w:val="3"/>
        </w:numPr>
        <w:tabs>
          <w:tab w:val="clear" w:pos="709"/>
          <w:tab w:val="left" w:pos="1418" w:leader="none"/>
        </w:tabs>
        <w:bidi w:val="0"/>
        <w:ind w:hanging="283" w:start="1418"/>
        <w:jc w:val="start"/>
        <w:rPr/>
      </w:pPr>
      <w:hyperlink w:anchor="38-step-7--technical-analysis-and-entry-">
        <w:r>
          <w:rPr>
            <w:rStyle w:val="Hyperlink"/>
          </w:rPr>
          <w:t>3.8 Step 7 — Technical analysis and entry plan</w:t>
        </w:r>
      </w:hyperlink>
    </w:p>
    <w:p>
      <w:pPr>
        <w:pStyle w:val="BodyText"/>
        <w:numPr>
          <w:ilvl w:val="1"/>
          <w:numId w:val="3"/>
        </w:numPr>
        <w:tabs>
          <w:tab w:val="clear" w:pos="709"/>
          <w:tab w:val="left" w:pos="1418" w:leader="none"/>
        </w:tabs>
        <w:bidi w:val="0"/>
        <w:ind w:hanging="283" w:start="1418"/>
        <w:jc w:val="start"/>
        <w:rPr/>
      </w:pPr>
      <w:hyperlink w:anchor="a-the-formula-is-invariant-the-inputs-an">
        <w:r>
          <w:rPr>
            <w:rStyle w:val="Hyperlink"/>
          </w:rPr>
          <w:t xml:space="preserve">A. The formula is invariant; the </w:t>
        </w:r>
      </w:hyperlink>
      <w:hyperlink w:anchor="a-the-formula-is-invariant-the-inputs-an">
        <w:r>
          <w:rPr>
            <w:rStyle w:val="Hyperlink"/>
            <w:i/>
          </w:rPr>
          <w:t>inputs and adjustments</w:t>
        </w:r>
      </w:hyperlink>
      <w:hyperlink w:anchor="a-the-formula-is-invariant-the-inputs-an">
        <w:r>
          <w:rPr>
            <w:rStyle w:val="Hyperlink"/>
          </w:rPr>
          <w:t xml:space="preserve"> are judgement calls</w:t>
        </w:r>
      </w:hyperlink>
    </w:p>
    <w:p>
      <w:pPr>
        <w:pStyle w:val="BodyText"/>
        <w:numPr>
          <w:ilvl w:val="1"/>
          <w:numId w:val="3"/>
        </w:numPr>
        <w:tabs>
          <w:tab w:val="clear" w:pos="709"/>
          <w:tab w:val="left" w:pos="1418" w:leader="none"/>
        </w:tabs>
        <w:bidi w:val="0"/>
        <w:ind w:hanging="283" w:start="1418"/>
        <w:jc w:val="start"/>
        <w:rPr/>
      </w:pPr>
      <w:hyperlink w:anchor="b-three-ways-the-same-distortion-was-han">
        <w:r>
          <w:rPr>
            <w:rStyle w:val="Hyperlink"/>
          </w:rPr>
          <w:t>B. Three ways the same distortion was handled</w:t>
        </w:r>
      </w:hyperlink>
    </w:p>
    <w:p>
      <w:pPr>
        <w:pStyle w:val="BodyText"/>
        <w:numPr>
          <w:ilvl w:val="1"/>
          <w:numId w:val="3"/>
        </w:numPr>
        <w:tabs>
          <w:tab w:val="clear" w:pos="709"/>
          <w:tab w:val="left" w:pos="1418" w:leader="none"/>
        </w:tabs>
        <w:bidi w:val="0"/>
        <w:ind w:hanging="283" w:start="1418"/>
        <w:jc w:val="start"/>
        <w:rPr/>
      </w:pPr>
      <w:hyperlink w:anchor="c-valuation-method-is-chosen-by-the-shap">
        <w:r>
          <w:rPr>
            <w:rStyle w:val="Hyperlink"/>
          </w:rPr>
          <w:t xml:space="preserve">C. Valuation method is chosen by the </w:t>
        </w:r>
      </w:hyperlink>
      <w:hyperlink w:anchor="c-valuation-method-is-chosen-by-the-shap">
        <w:r>
          <w:rPr>
            <w:rStyle w:val="Hyperlink"/>
            <w:i/>
          </w:rPr>
          <w:t>shape of the financials</w:t>
        </w:r>
      </w:hyperlink>
      <w:hyperlink w:anchor="c-valuation-method-is-chosen-by-the-shap">
        <w:r>
          <w:rPr>
            <w:rStyle w:val="Hyperlink"/>
          </w:rPr>
          <w:t>, not by preference</w:t>
        </w:r>
      </w:hyperlink>
    </w:p>
    <w:p>
      <w:pPr>
        <w:pStyle w:val="BodyText"/>
        <w:numPr>
          <w:ilvl w:val="1"/>
          <w:numId w:val="3"/>
        </w:numPr>
        <w:tabs>
          <w:tab w:val="clear" w:pos="709"/>
          <w:tab w:val="left" w:pos="1418" w:leader="none"/>
        </w:tabs>
        <w:bidi w:val="0"/>
        <w:ind w:hanging="283" w:start="1418"/>
        <w:jc w:val="start"/>
        <w:rPr/>
      </w:pPr>
      <w:hyperlink w:anchor="d-intrinsic-value-is-always-a-range--and">
        <w:r>
          <w:rPr>
            <w:rStyle w:val="Hyperlink"/>
          </w:rPr>
          <w:t>D. Intrinsic value is always a range — and the range is built by flexing growth</w:t>
        </w:r>
      </w:hyperlink>
    </w:p>
    <w:p>
      <w:pPr>
        <w:pStyle w:val="BodyText"/>
        <w:numPr>
          <w:ilvl w:val="1"/>
          <w:numId w:val="3"/>
        </w:numPr>
        <w:tabs>
          <w:tab w:val="clear" w:pos="709"/>
          <w:tab w:val="left" w:pos="1418" w:leader="none"/>
        </w:tabs>
        <w:bidi w:val="0"/>
        <w:ind w:hanging="283" w:start="1418"/>
        <w:jc w:val="start"/>
        <w:rPr/>
      </w:pPr>
      <w:hyperlink w:anchor="e-growth-rates-are-triangulated-from-ind">
        <w:r>
          <w:rPr>
            <w:rStyle w:val="Hyperlink"/>
          </w:rPr>
          <w:t>E. Growth rates are triangulated from independent sources, never taken from one</w:t>
        </w:r>
      </w:hyperlink>
    </w:p>
    <w:p>
      <w:pPr>
        <w:pStyle w:val="BodyText"/>
        <w:numPr>
          <w:ilvl w:val="1"/>
          <w:numId w:val="3"/>
        </w:numPr>
        <w:tabs>
          <w:tab w:val="clear" w:pos="709"/>
          <w:tab w:val="left" w:pos="1418" w:leader="none"/>
        </w:tabs>
        <w:bidi w:val="0"/>
        <w:ind w:hanging="283" w:start="1418"/>
        <w:jc w:val="start"/>
        <w:rPr/>
      </w:pPr>
      <w:hyperlink w:anchor="f-step-3-moat-is-the-one-step-with-no-nu">
        <w:r>
          <w:rPr>
            <w:rStyle w:val="Hyperlink"/>
          </w:rPr>
          <w:t>F. Step 3 (moat) is the one step with no number — and the verdicts genuinely differ</w:t>
        </w:r>
      </w:hyperlink>
    </w:p>
    <w:p>
      <w:pPr>
        <w:pStyle w:val="BodyText"/>
        <w:numPr>
          <w:ilvl w:val="1"/>
          <w:numId w:val="3"/>
        </w:numPr>
        <w:tabs>
          <w:tab w:val="clear" w:pos="709"/>
          <w:tab w:val="left" w:pos="1418" w:leader="none"/>
        </w:tabs>
        <w:bidi w:val="0"/>
        <w:ind w:hanging="283" w:start="1418"/>
        <w:jc w:val="start"/>
        <w:rPr/>
      </w:pPr>
      <w:hyperlink w:anchor="g-metrics-get-waived-when-the-business-m">
        <w:r>
          <w:rPr>
            <w:rStyle w:val="Hyperlink"/>
          </w:rPr>
          <w:t>G. Metrics get waived when the business model doesn't support them</w:t>
        </w:r>
      </w:hyperlink>
    </w:p>
    <w:p>
      <w:pPr>
        <w:pStyle w:val="BodyText"/>
        <w:numPr>
          <w:ilvl w:val="1"/>
          <w:numId w:val="3"/>
        </w:numPr>
        <w:tabs>
          <w:tab w:val="clear" w:pos="709"/>
          <w:tab w:val="left" w:pos="1418" w:leader="none"/>
        </w:tabs>
        <w:bidi w:val="0"/>
        <w:ind w:hanging="283" w:start="1418"/>
        <w:jc w:val="start"/>
        <w:rPr/>
      </w:pPr>
      <w:hyperlink w:anchor="h-step-7-is-identical-in-structure-every">
        <w:r>
          <w:rPr>
            <w:rStyle w:val="Hyperlink"/>
          </w:rPr>
          <w:t>H. Step 7 is identical in structure every time</w:t>
        </w:r>
      </w:hyperlink>
    </w:p>
    <w:p>
      <w:pPr>
        <w:pStyle w:val="BodyText"/>
        <w:numPr>
          <w:ilvl w:val="1"/>
          <w:numId w:val="3"/>
        </w:numPr>
        <w:tabs>
          <w:tab w:val="clear" w:pos="709"/>
          <w:tab w:val="left" w:pos="1418" w:leader="none"/>
        </w:tabs>
        <w:bidi w:val="0"/>
        <w:ind w:hanging="283" w:start="1418"/>
        <w:jc w:val="start"/>
        <w:rPr/>
      </w:pPr>
      <w:hyperlink w:anchor="i-supports-are-probabilities-not-predict">
        <w:r>
          <w:rPr>
            <w:rStyle w:val="Hyperlink"/>
          </w:rPr>
          <w:t>I. Supports are probabilities, not predictions — and are subjective</w:t>
        </w:r>
      </w:hyperlink>
    </w:p>
    <w:p>
      <w:pPr>
        <w:pStyle w:val="BodyText"/>
        <w:numPr>
          <w:ilvl w:val="1"/>
          <w:numId w:val="3"/>
        </w:numPr>
        <w:tabs>
          <w:tab w:val="clear" w:pos="709"/>
          <w:tab w:val="left" w:pos="1418" w:leader="none"/>
        </w:tabs>
        <w:bidi w:val="0"/>
        <w:ind w:hanging="283" w:start="1418"/>
        <w:jc w:val="start"/>
        <w:rPr/>
      </w:pPr>
      <w:hyperlink w:anchor="j-a-short-term-downtrend-in-a-great-comp">
        <w:r>
          <w:rPr>
            <w:rStyle w:val="Hyperlink"/>
          </w:rPr>
          <w:t>J. A short-term downtrend in a great company is not a sell signal</w:t>
        </w:r>
      </w:hyperlink>
    </w:p>
    <w:p>
      <w:pPr>
        <w:pStyle w:val="BodyText"/>
        <w:numPr>
          <w:ilvl w:val="1"/>
          <w:numId w:val="3"/>
        </w:numPr>
        <w:tabs>
          <w:tab w:val="clear" w:pos="709"/>
          <w:tab w:val="left" w:pos="1418" w:leader="none"/>
        </w:tabs>
        <w:bidi w:val="0"/>
        <w:ind w:hanging="283" w:start="1418"/>
        <w:jc w:val="start"/>
        <w:rPr/>
      </w:pPr>
      <w:hyperlink w:anchor="k-effort-calibration">
        <w:r>
          <w:rPr>
            <w:rStyle w:val="Hyperlink"/>
          </w:rPr>
          <w:t>K. Effort calibration</w:t>
        </w:r>
      </w:hyperlink>
    </w:p>
    <w:p>
      <w:pPr>
        <w:pStyle w:val="BodyText"/>
        <w:numPr>
          <w:ilvl w:val="0"/>
          <w:numId w:val="3"/>
        </w:numPr>
        <w:tabs>
          <w:tab w:val="clear" w:pos="709"/>
          <w:tab w:val="left" w:pos="709" w:leader="none"/>
        </w:tabs>
        <w:bidi w:val="0"/>
        <w:spacing w:before="0" w:after="0"/>
        <w:ind w:hanging="283" w:start="709"/>
        <w:jc w:val="start"/>
        <w:rPr/>
      </w:pPr>
      <w:hyperlink w:anchor="part-viii--portfolio-construction">
        <w:r>
          <w:rPr>
            <w:rStyle w:val="Hyperlink"/>
            <w:b/>
          </w:rPr>
          <w:t>Part VIII — Portfolio Construction</w:t>
        </w:r>
      </w:hyperlink>
    </w:p>
    <w:p>
      <w:pPr>
        <w:pStyle w:val="BodyText"/>
        <w:numPr>
          <w:ilvl w:val="1"/>
          <w:numId w:val="3"/>
        </w:numPr>
        <w:tabs>
          <w:tab w:val="clear" w:pos="709"/>
          <w:tab w:val="left" w:pos="1418" w:leader="none"/>
        </w:tabs>
        <w:bidi w:val="0"/>
        <w:ind w:hanging="283" w:start="1418"/>
        <w:jc w:val="start"/>
        <w:rPr/>
      </w:pPr>
      <w:hyperlink w:anchor="1-where-this-lesson-sits-in-the-vmi-proc">
        <w:r>
          <w:rPr>
            <w:rStyle w:val="Hyperlink"/>
          </w:rPr>
          <w:t>1. Where This Lesson Sits in the VMI Process</w:t>
        </w:r>
      </w:hyperlink>
    </w:p>
    <w:p>
      <w:pPr>
        <w:pStyle w:val="BodyText"/>
        <w:numPr>
          <w:ilvl w:val="1"/>
          <w:numId w:val="3"/>
        </w:numPr>
        <w:tabs>
          <w:tab w:val="clear" w:pos="709"/>
          <w:tab w:val="left" w:pos="1418" w:leader="none"/>
        </w:tabs>
        <w:bidi w:val="0"/>
        <w:ind w:hanging="283" w:start="1418"/>
        <w:jc w:val="start"/>
        <w:rPr/>
      </w:pPr>
      <w:hyperlink w:anchor="2-why-diversify--the-core-argument">
        <w:r>
          <w:rPr>
            <w:rStyle w:val="Hyperlink"/>
          </w:rPr>
          <w:t>2. Why Diversify — The Core Argument</w:t>
        </w:r>
      </w:hyperlink>
    </w:p>
    <w:p>
      <w:pPr>
        <w:pStyle w:val="BodyText"/>
        <w:numPr>
          <w:ilvl w:val="1"/>
          <w:numId w:val="3"/>
        </w:numPr>
        <w:tabs>
          <w:tab w:val="clear" w:pos="709"/>
          <w:tab w:val="left" w:pos="1418" w:leader="none"/>
        </w:tabs>
        <w:bidi w:val="0"/>
        <w:ind w:hanging="283" w:start="1418"/>
        <w:jc w:val="start"/>
        <w:rPr/>
      </w:pPr>
      <w:hyperlink w:anchor="3-diversification-rules-hard-numbers">
        <w:r>
          <w:rPr>
            <w:rStyle w:val="Hyperlink"/>
          </w:rPr>
          <w:t>3. Diversification Rules (Hard Numbers)</w:t>
        </w:r>
      </w:hyperlink>
    </w:p>
    <w:p>
      <w:pPr>
        <w:pStyle w:val="BodyText"/>
        <w:numPr>
          <w:ilvl w:val="1"/>
          <w:numId w:val="3"/>
        </w:numPr>
        <w:tabs>
          <w:tab w:val="clear" w:pos="709"/>
          <w:tab w:val="left" w:pos="1418" w:leader="none"/>
        </w:tabs>
        <w:bidi w:val="0"/>
        <w:ind w:hanging="283" w:start="1418"/>
        <w:jc w:val="start"/>
        <w:rPr/>
      </w:pPr>
      <w:hyperlink w:anchor="4-position-sizing--the-equal-weight-fram">
        <w:r>
          <w:rPr>
            <w:rStyle w:val="Hyperlink"/>
          </w:rPr>
          <w:t>4. Position Sizing — The Equal-Weight Framework</w:t>
        </w:r>
      </w:hyperlink>
    </w:p>
    <w:p>
      <w:pPr>
        <w:pStyle w:val="BodyText"/>
        <w:numPr>
          <w:ilvl w:val="1"/>
          <w:numId w:val="3"/>
        </w:numPr>
        <w:tabs>
          <w:tab w:val="clear" w:pos="709"/>
          <w:tab w:val="left" w:pos="1418" w:leader="none"/>
        </w:tabs>
        <w:bidi w:val="0"/>
        <w:ind w:hanging="283" w:start="1418"/>
        <w:jc w:val="start"/>
        <w:rPr/>
      </w:pPr>
      <w:hyperlink w:anchor="5-rebalancing-rules-both-directions--no">
        <w:r>
          <w:rPr>
            <w:rStyle w:val="Hyperlink"/>
          </w:rPr>
          <w:t>5. Rebalancing Rules (Both Directions = NO)</w:t>
        </w:r>
      </w:hyperlink>
    </w:p>
    <w:p>
      <w:pPr>
        <w:pStyle w:val="BodyText"/>
        <w:numPr>
          <w:ilvl w:val="1"/>
          <w:numId w:val="3"/>
        </w:numPr>
        <w:tabs>
          <w:tab w:val="clear" w:pos="709"/>
          <w:tab w:val="left" w:pos="1418" w:leader="none"/>
        </w:tabs>
        <w:bidi w:val="0"/>
        <w:ind w:hanging="283" w:start="1418"/>
        <w:jc w:val="start"/>
        <w:rPr/>
      </w:pPr>
      <w:hyperlink w:anchor="6-the-three-broad-stock-types-by-economi">
        <w:r>
          <w:rPr>
            <w:rStyle w:val="Hyperlink"/>
          </w:rPr>
          <w:t>6. The Three Broad Stock TYPES (by economic behaviour)</w:t>
        </w:r>
      </w:hyperlink>
    </w:p>
    <w:p>
      <w:pPr>
        <w:pStyle w:val="BodyText"/>
        <w:numPr>
          <w:ilvl w:val="1"/>
          <w:numId w:val="3"/>
        </w:numPr>
        <w:tabs>
          <w:tab w:val="clear" w:pos="709"/>
          <w:tab w:val="left" w:pos="1418" w:leader="none"/>
        </w:tabs>
        <w:bidi w:val="0"/>
        <w:ind w:hanging="283" w:start="1418"/>
        <w:jc w:val="start"/>
        <w:rPr/>
      </w:pPr>
      <w:hyperlink w:anchor="7-the-11-sectors--full-sector-by-sector-">
        <w:r>
          <w:rPr>
            <w:rStyle w:val="Hyperlink"/>
          </w:rPr>
          <w:t>7. The 11 Sectors — Full Sector-by-Sector Breakdown</w:t>
        </w:r>
      </w:hyperlink>
    </w:p>
    <w:p>
      <w:pPr>
        <w:pStyle w:val="BodyText"/>
        <w:numPr>
          <w:ilvl w:val="1"/>
          <w:numId w:val="3"/>
        </w:numPr>
        <w:tabs>
          <w:tab w:val="clear" w:pos="709"/>
          <w:tab w:val="left" w:pos="1418" w:leader="none"/>
        </w:tabs>
        <w:bidi w:val="0"/>
        <w:ind w:hanging="283" w:start="1418"/>
        <w:jc w:val="start"/>
        <w:rPr/>
      </w:pPr>
      <w:hyperlink w:anchor="8-the-8-stock-investment-categories-inve">
        <w:r>
          <w:rPr>
            <w:rStyle w:val="Hyperlink"/>
          </w:rPr>
          <w:t>8. The 8 Stock Investment Categories (Investment Thesis Framework)</w:t>
        </w:r>
      </w:hyperlink>
    </w:p>
    <w:p>
      <w:pPr>
        <w:pStyle w:val="BodyText"/>
        <w:numPr>
          <w:ilvl w:val="1"/>
          <w:numId w:val="3"/>
        </w:numPr>
        <w:tabs>
          <w:tab w:val="clear" w:pos="709"/>
          <w:tab w:val="left" w:pos="1418" w:leader="none"/>
        </w:tabs>
        <w:bidi w:val="0"/>
        <w:ind w:hanging="283" w:start="1418"/>
        <w:jc w:val="start"/>
        <w:rPr/>
      </w:pPr>
      <w:hyperlink w:anchor="9-category-migration--stocks-move-betwee">
        <w:r>
          <w:rPr>
            <w:rStyle w:val="Hyperlink"/>
          </w:rPr>
          <w:t>9. Category Migration — Stocks Move Between Buckets</w:t>
        </w:r>
      </w:hyperlink>
    </w:p>
    <w:p>
      <w:pPr>
        <w:pStyle w:val="BodyText"/>
        <w:numPr>
          <w:ilvl w:val="1"/>
          <w:numId w:val="3"/>
        </w:numPr>
        <w:tabs>
          <w:tab w:val="clear" w:pos="709"/>
          <w:tab w:val="left" w:pos="1418" w:leader="none"/>
        </w:tabs>
        <w:bidi w:val="0"/>
        <w:ind w:hanging="283" w:start="1418"/>
        <w:jc w:val="start"/>
        <w:rPr/>
      </w:pPr>
      <w:hyperlink w:anchor="10-the-pre-purchase-checklist-four-quest">
        <w:r>
          <w:rPr>
            <w:rStyle w:val="Hyperlink"/>
          </w:rPr>
          <w:t>10. The Pre-Purchase Checklist (Four Questions)</w:t>
        </w:r>
      </w:hyperlink>
    </w:p>
    <w:p>
      <w:pPr>
        <w:pStyle w:val="BodyText"/>
        <w:numPr>
          <w:ilvl w:val="1"/>
          <w:numId w:val="3"/>
        </w:numPr>
        <w:tabs>
          <w:tab w:val="clear" w:pos="709"/>
          <w:tab w:val="left" w:pos="1418" w:leader="none"/>
        </w:tabs>
        <w:bidi w:val="0"/>
        <w:ind w:hanging="283" w:start="1418"/>
        <w:jc w:val="start"/>
        <w:rPr/>
      </w:pPr>
      <w:hyperlink w:anchor="11-adams-own-category-allocation">
        <w:r>
          <w:rPr>
            <w:rStyle w:val="Hyperlink"/>
          </w:rPr>
          <w:t>11. Adam's Own Category Allocation</w:t>
        </w:r>
      </w:hyperlink>
    </w:p>
    <w:p>
      <w:pPr>
        <w:pStyle w:val="BodyText"/>
        <w:numPr>
          <w:ilvl w:val="1"/>
          <w:numId w:val="3"/>
        </w:numPr>
        <w:tabs>
          <w:tab w:val="clear" w:pos="709"/>
          <w:tab w:val="left" w:pos="1418" w:leader="none"/>
        </w:tabs>
        <w:bidi w:val="0"/>
        <w:ind w:hanging="283" w:start="1418"/>
        <w:jc w:val="start"/>
        <w:rPr/>
      </w:pPr>
      <w:hyperlink w:anchor="12-maximizing-portfolio-returns--the-5--">
        <w:r>
          <w:rPr>
            <w:rStyle w:val="Hyperlink"/>
          </w:rPr>
          <w:t>12. Maximizing Portfolio Returns — The 5% / 95% Rule</w:t>
        </w:r>
      </w:hyperlink>
    </w:p>
    <w:p>
      <w:pPr>
        <w:pStyle w:val="BodyText"/>
        <w:numPr>
          <w:ilvl w:val="1"/>
          <w:numId w:val="3"/>
        </w:numPr>
        <w:tabs>
          <w:tab w:val="clear" w:pos="709"/>
          <w:tab w:val="left" w:pos="1418" w:leader="none"/>
        </w:tabs>
        <w:bidi w:val="0"/>
        <w:ind w:hanging="283" w:start="1418"/>
        <w:jc w:val="start"/>
        <w:rPr/>
      </w:pPr>
      <w:hyperlink w:anchor="13-key-takeaways">
        <w:r>
          <w:rPr>
            <w:rStyle w:val="Hyperlink"/>
          </w:rPr>
          <w:t>13. Key Takeaways</w:t>
        </w:r>
      </w:hyperlink>
    </w:p>
    <w:p>
      <w:pPr>
        <w:pStyle w:val="BodyText"/>
        <w:numPr>
          <w:ilvl w:val="1"/>
          <w:numId w:val="3"/>
        </w:numPr>
        <w:tabs>
          <w:tab w:val="clear" w:pos="709"/>
          <w:tab w:val="left" w:pos="1418" w:leader="none"/>
        </w:tabs>
        <w:bidi w:val="0"/>
        <w:ind w:hanging="283" w:start="1418"/>
        <w:jc w:val="start"/>
        <w:rPr/>
      </w:pPr>
      <w:hyperlink w:anchor="14-model-portfolio-blueprint">
        <w:r>
          <w:rPr>
            <w:rStyle w:val="Hyperlink"/>
          </w:rPr>
          <w:t>14. Model Portfolio Blueprint</w:t>
        </w:r>
      </w:hyperlink>
    </w:p>
    <w:p>
      <w:pPr>
        <w:pStyle w:val="BodyText"/>
        <w:numPr>
          <w:ilvl w:val="0"/>
          <w:numId w:val="3"/>
        </w:numPr>
        <w:tabs>
          <w:tab w:val="clear" w:pos="709"/>
          <w:tab w:val="left" w:pos="709" w:leader="none"/>
        </w:tabs>
        <w:bidi w:val="0"/>
        <w:spacing w:before="0" w:after="0"/>
        <w:ind w:hanging="283" w:start="709"/>
        <w:jc w:val="start"/>
        <w:rPr/>
      </w:pPr>
      <w:hyperlink w:anchor="part-ix--finding-stocks-monitoring-drawd">
        <w:r>
          <w:rPr>
            <w:rStyle w:val="Hyperlink"/>
            <w:b/>
          </w:rPr>
          <w:t>Part IX — Finding Stocks, Monitoring, Drawdowns &amp; Exit Rules</w:t>
        </w:r>
      </w:hyperlink>
    </w:p>
    <w:p>
      <w:pPr>
        <w:pStyle w:val="BodyText"/>
        <w:numPr>
          <w:ilvl w:val="1"/>
          <w:numId w:val="3"/>
        </w:numPr>
        <w:tabs>
          <w:tab w:val="clear" w:pos="709"/>
          <w:tab w:val="left" w:pos="1418" w:leader="none"/>
        </w:tabs>
        <w:bidi w:val="0"/>
        <w:ind w:hanging="283" w:start="1418"/>
        <w:jc w:val="start"/>
        <w:rPr/>
      </w:pPr>
      <w:hyperlink w:anchor="part-1--sourcing-where-great-stocks-come">
        <w:r>
          <w:rPr>
            <w:rStyle w:val="Hyperlink"/>
          </w:rPr>
          <w:t>PART 1 — SOURCING: WHERE GREAT STOCKS COME FROM</w:t>
        </w:r>
      </w:hyperlink>
    </w:p>
    <w:p>
      <w:pPr>
        <w:pStyle w:val="BodyText"/>
        <w:numPr>
          <w:ilvl w:val="1"/>
          <w:numId w:val="3"/>
        </w:numPr>
        <w:tabs>
          <w:tab w:val="clear" w:pos="709"/>
          <w:tab w:val="left" w:pos="1418" w:leader="none"/>
        </w:tabs>
        <w:bidi w:val="0"/>
        <w:ind w:hanging="283" w:start="1418"/>
        <w:jc w:val="start"/>
        <w:rPr/>
      </w:pPr>
      <w:hyperlink w:anchor="part-2--screeners-exact-setups">
        <w:r>
          <w:rPr>
            <w:rStyle w:val="Hyperlink"/>
          </w:rPr>
          <w:t>PART 2 — SCREENERS: EXACT SETUPS</w:t>
        </w:r>
      </w:hyperlink>
    </w:p>
    <w:p>
      <w:pPr>
        <w:pStyle w:val="BodyText"/>
        <w:numPr>
          <w:ilvl w:val="1"/>
          <w:numId w:val="3"/>
        </w:numPr>
        <w:tabs>
          <w:tab w:val="clear" w:pos="709"/>
          <w:tab w:val="left" w:pos="1418" w:leader="none"/>
        </w:tabs>
        <w:bidi w:val="0"/>
        <w:ind w:hanging="283" w:start="1418"/>
        <w:jc w:val="start"/>
        <w:rPr/>
      </w:pPr>
      <w:hyperlink w:anchor="part-3--monitoring-watch-list-and-portfo">
        <w:r>
          <w:rPr>
            <w:rStyle w:val="Hyperlink"/>
          </w:rPr>
          <w:t>PART 3 — MONITORING: WATCH LIST AND PORTFOLIO ROUTINE</w:t>
        </w:r>
      </w:hyperlink>
    </w:p>
    <w:p>
      <w:pPr>
        <w:pStyle w:val="BodyText"/>
        <w:numPr>
          <w:ilvl w:val="1"/>
          <w:numId w:val="3"/>
        </w:numPr>
        <w:tabs>
          <w:tab w:val="clear" w:pos="709"/>
          <w:tab w:val="left" w:pos="1418" w:leader="none"/>
        </w:tabs>
        <w:bidi w:val="0"/>
        <w:ind w:hanging="283" w:start="1418"/>
        <w:jc w:val="start"/>
        <w:rPr/>
      </w:pPr>
      <w:hyperlink w:anchor="part-4--dealing-with-drawdowns">
        <w:r>
          <w:rPr>
            <w:rStyle w:val="Hyperlink"/>
          </w:rPr>
          <w:t>PART 4 — DEALING WITH DRAWDOWNS</w:t>
        </w:r>
      </w:hyperlink>
    </w:p>
    <w:p>
      <w:pPr>
        <w:pStyle w:val="BodyText"/>
        <w:numPr>
          <w:ilvl w:val="1"/>
          <w:numId w:val="3"/>
        </w:numPr>
        <w:tabs>
          <w:tab w:val="clear" w:pos="709"/>
          <w:tab w:val="left" w:pos="1418" w:leader="none"/>
        </w:tabs>
        <w:bidi w:val="0"/>
        <w:ind w:hanging="283" w:start="1418"/>
        <w:jc w:val="start"/>
        <w:rPr/>
      </w:pPr>
      <w:hyperlink w:anchor="part-5--sell-rules-the-six-valid-reasons">
        <w:r>
          <w:rPr>
            <w:rStyle w:val="Hyperlink"/>
          </w:rPr>
          <w:t>PART 5 — SELL RULES: THE SIX VALID REASONS TO SELL</w:t>
        </w:r>
      </w:hyperlink>
    </w:p>
    <w:p>
      <w:pPr>
        <w:pStyle w:val="BodyText"/>
        <w:numPr>
          <w:ilvl w:val="1"/>
          <w:numId w:val="3"/>
        </w:numPr>
        <w:tabs>
          <w:tab w:val="clear" w:pos="709"/>
          <w:tab w:val="left" w:pos="1418" w:leader="none"/>
        </w:tabs>
        <w:bidi w:val="0"/>
        <w:ind w:hanging="283" w:start="1418"/>
        <w:jc w:val="start"/>
        <w:rPr/>
      </w:pPr>
      <w:hyperlink w:anchor="part-6--reasons-not-to-sell-invalid-trig">
        <w:r>
          <w:rPr>
            <w:rStyle w:val="Hyperlink"/>
          </w:rPr>
          <w:t xml:space="preserve">PART 6 — REASONS </w:t>
        </w:r>
      </w:hyperlink>
      <w:hyperlink w:anchor="part-6--reasons-not-to-sell-invalid-trig">
        <w:r>
          <w:rPr>
            <w:rStyle w:val="Hyperlink"/>
            <w:i/>
          </w:rPr>
          <w:t>NOT</w:t>
        </w:r>
      </w:hyperlink>
      <w:hyperlink w:anchor="part-6--reasons-not-to-sell-invalid-trig">
        <w:r>
          <w:rPr>
            <w:rStyle w:val="Hyperlink"/>
          </w:rPr>
          <w:t xml:space="preserve"> TO SELL (INVALID TRIGGERS)</w:t>
        </w:r>
      </w:hyperlink>
    </w:p>
    <w:p>
      <w:pPr>
        <w:pStyle w:val="BodyText"/>
        <w:numPr>
          <w:ilvl w:val="1"/>
          <w:numId w:val="3"/>
        </w:numPr>
        <w:tabs>
          <w:tab w:val="clear" w:pos="709"/>
          <w:tab w:val="left" w:pos="1418" w:leader="none"/>
        </w:tabs>
        <w:bidi w:val="0"/>
        <w:ind w:hanging="283" w:start="1418"/>
        <w:jc w:val="start"/>
        <w:rPr/>
      </w:pPr>
      <w:hyperlink w:anchor="key-takeaways">
        <w:r>
          <w:rPr>
            <w:rStyle w:val="Hyperlink"/>
          </w:rPr>
          <w:t>KEY TAKEAWAYS</w:t>
        </w:r>
      </w:hyperlink>
    </w:p>
    <w:p>
      <w:pPr>
        <w:pStyle w:val="BodyText"/>
        <w:numPr>
          <w:ilvl w:val="1"/>
          <w:numId w:val="3"/>
        </w:numPr>
        <w:tabs>
          <w:tab w:val="clear" w:pos="709"/>
          <w:tab w:val="left" w:pos="1418" w:leader="none"/>
        </w:tabs>
        <w:bidi w:val="0"/>
        <w:ind w:hanging="283" w:start="1418"/>
        <w:jc w:val="start"/>
        <w:rPr/>
      </w:pPr>
      <w:hyperlink w:anchor="cheat-sheet-a--sell-checklist-valid-trig">
        <w:r>
          <w:rPr>
            <w:rStyle w:val="Hyperlink"/>
          </w:rPr>
          <w:t>CHEAT SHEET A — SELL CHECKLIST (VALID TRIGGERS)</w:t>
        </w:r>
      </w:hyperlink>
    </w:p>
    <w:p>
      <w:pPr>
        <w:pStyle w:val="BodyText"/>
        <w:numPr>
          <w:ilvl w:val="1"/>
          <w:numId w:val="3"/>
        </w:numPr>
        <w:tabs>
          <w:tab w:val="clear" w:pos="709"/>
          <w:tab w:val="left" w:pos="1418" w:leader="none"/>
        </w:tabs>
        <w:bidi w:val="0"/>
        <w:ind w:hanging="283" w:start="1418"/>
        <w:jc w:val="start"/>
        <w:rPr/>
      </w:pPr>
      <w:hyperlink w:anchor="cheat-sheet-b--do-not-sell-because">
        <w:r>
          <w:rPr>
            <w:rStyle w:val="Hyperlink"/>
          </w:rPr>
          <w:t xml:space="preserve">CHEAT SHEET B — DO </w:t>
        </w:r>
      </w:hyperlink>
      <w:hyperlink w:anchor="cheat-sheet-b--do-not-sell-because">
        <w:r>
          <w:rPr>
            <w:rStyle w:val="Hyperlink"/>
            <w:b/>
          </w:rPr>
          <w:t>NOT</w:t>
        </w:r>
      </w:hyperlink>
      <w:hyperlink w:anchor="cheat-sheet-b--do-not-sell-because">
        <w:r>
          <w:rPr>
            <w:rStyle w:val="Hyperlink"/>
          </w:rPr>
          <w:t xml:space="preserve"> SELL BECAUSE…</w:t>
        </w:r>
      </w:hyperlink>
    </w:p>
    <w:p>
      <w:pPr>
        <w:pStyle w:val="BodyText"/>
        <w:numPr>
          <w:ilvl w:val="0"/>
          <w:numId w:val="3"/>
        </w:numPr>
        <w:tabs>
          <w:tab w:val="clear" w:pos="709"/>
          <w:tab w:val="left" w:pos="709" w:leader="none"/>
        </w:tabs>
        <w:bidi w:val="0"/>
        <w:spacing w:before="0" w:after="0"/>
        <w:ind w:hanging="283" w:start="709"/>
        <w:jc w:val="start"/>
        <w:rPr/>
      </w:pPr>
      <w:hyperlink w:anchor="part-x--investor-psychology-the-most-imp">
        <w:r>
          <w:rPr>
            <w:rStyle w:val="Hyperlink"/>
            <w:b/>
          </w:rPr>
          <w:t>Part X — Investor Psychology (The Most Important Lesson)</w:t>
        </w:r>
      </w:hyperlink>
    </w:p>
    <w:p>
      <w:pPr>
        <w:pStyle w:val="BodyText"/>
        <w:numPr>
          <w:ilvl w:val="1"/>
          <w:numId w:val="3"/>
        </w:numPr>
        <w:tabs>
          <w:tab w:val="clear" w:pos="709"/>
          <w:tab w:val="left" w:pos="1418" w:leader="none"/>
        </w:tabs>
        <w:bidi w:val="0"/>
        <w:ind w:hanging="283" w:start="1418"/>
        <w:jc w:val="start"/>
        <w:rPr/>
      </w:pPr>
      <w:hyperlink w:anchor="opening-framework-strategy-30-vs-psychol">
        <w:r>
          <w:rPr>
            <w:rStyle w:val="Hyperlink"/>
          </w:rPr>
          <w:t>Opening Framework: Strategy (30%) vs. Psychology (70%)</w:t>
        </w:r>
      </w:hyperlink>
    </w:p>
    <w:p>
      <w:pPr>
        <w:pStyle w:val="BodyText"/>
        <w:numPr>
          <w:ilvl w:val="1"/>
          <w:numId w:val="3"/>
        </w:numPr>
        <w:tabs>
          <w:tab w:val="clear" w:pos="709"/>
          <w:tab w:val="left" w:pos="1418" w:leader="none"/>
        </w:tabs>
        <w:bidi w:val="0"/>
        <w:ind w:hanging="283" w:start="1418"/>
        <w:jc w:val="start"/>
        <w:rPr/>
      </w:pPr>
      <w:hyperlink w:anchor="psychology-rule-1-absolute-discipline">
        <w:r>
          <w:rPr>
            <w:rStyle w:val="Hyperlink"/>
          </w:rPr>
          <w:t>Psychology Rule #1: Absolute Discipline</w:t>
        </w:r>
      </w:hyperlink>
    </w:p>
    <w:p>
      <w:pPr>
        <w:pStyle w:val="BodyText"/>
        <w:numPr>
          <w:ilvl w:val="1"/>
          <w:numId w:val="3"/>
        </w:numPr>
        <w:tabs>
          <w:tab w:val="clear" w:pos="709"/>
          <w:tab w:val="left" w:pos="1418" w:leader="none"/>
        </w:tabs>
        <w:bidi w:val="0"/>
        <w:ind w:hanging="283" w:start="1418"/>
        <w:jc w:val="start"/>
        <w:rPr/>
      </w:pPr>
      <w:hyperlink w:anchor="psychology-rule-2-invest-only-within-you">
        <w:r>
          <w:rPr>
            <w:rStyle w:val="Hyperlink"/>
          </w:rPr>
          <w:t>Psychology Rule #2: Invest Only Within Your Circle of Competence; Never Blindly Follow Experts</w:t>
        </w:r>
      </w:hyperlink>
    </w:p>
    <w:p>
      <w:pPr>
        <w:pStyle w:val="BodyText"/>
        <w:numPr>
          <w:ilvl w:val="1"/>
          <w:numId w:val="3"/>
        </w:numPr>
        <w:tabs>
          <w:tab w:val="clear" w:pos="709"/>
          <w:tab w:val="left" w:pos="1418" w:leader="none"/>
        </w:tabs>
        <w:bidi w:val="0"/>
        <w:ind w:hanging="283" w:start="1418"/>
        <w:jc w:val="start"/>
        <w:rPr/>
      </w:pPr>
      <w:hyperlink w:anchor="psychology-rule-3-be-patient-and-think-l">
        <w:r>
          <w:rPr>
            <w:rStyle w:val="Hyperlink"/>
          </w:rPr>
          <w:t>Psychology Rule #3: Be Patient and Think Long-Term</w:t>
        </w:r>
      </w:hyperlink>
    </w:p>
    <w:p>
      <w:pPr>
        <w:pStyle w:val="BodyText"/>
        <w:numPr>
          <w:ilvl w:val="1"/>
          <w:numId w:val="3"/>
        </w:numPr>
        <w:tabs>
          <w:tab w:val="clear" w:pos="709"/>
          <w:tab w:val="left" w:pos="1418" w:leader="none"/>
        </w:tabs>
        <w:bidi w:val="0"/>
        <w:ind w:hanging="283" w:start="1418"/>
        <w:jc w:val="start"/>
        <w:rPr/>
      </w:pPr>
      <w:hyperlink w:anchor="psychology-rule-4-buy-slowly-sell-even-s">
        <w:r>
          <w:rPr>
            <w:rStyle w:val="Hyperlink"/>
          </w:rPr>
          <w:t>Psychology Rule #4: Buy Slowly, Sell Even Slower</w:t>
        </w:r>
      </w:hyperlink>
    </w:p>
    <w:p>
      <w:pPr>
        <w:pStyle w:val="BodyText"/>
        <w:numPr>
          <w:ilvl w:val="1"/>
          <w:numId w:val="3"/>
        </w:numPr>
        <w:tabs>
          <w:tab w:val="clear" w:pos="709"/>
          <w:tab w:val="left" w:pos="1418" w:leader="none"/>
        </w:tabs>
        <w:bidi w:val="0"/>
        <w:ind w:hanging="283" w:start="1418"/>
        <w:jc w:val="start"/>
        <w:rPr/>
      </w:pPr>
      <w:hyperlink w:anchor="psychology-rule-5-judge-investments-by-b">
        <w:r>
          <w:rPr>
            <w:rStyle w:val="Hyperlink"/>
          </w:rPr>
          <w:t>Psychology Rule #5: Judge Investments by Business Performance, Not Short-Term Stock Price</w:t>
        </w:r>
      </w:hyperlink>
    </w:p>
    <w:p>
      <w:pPr>
        <w:pStyle w:val="BodyText"/>
        <w:numPr>
          <w:ilvl w:val="1"/>
          <w:numId w:val="3"/>
        </w:numPr>
        <w:tabs>
          <w:tab w:val="clear" w:pos="709"/>
          <w:tab w:val="left" w:pos="1418" w:leader="none"/>
        </w:tabs>
        <w:bidi w:val="0"/>
        <w:ind w:hanging="283" w:start="1418"/>
        <w:jc w:val="start"/>
        <w:rPr/>
      </w:pPr>
      <w:hyperlink w:anchor="psychology-rule-6-think-independently-co">
        <w:r>
          <w:rPr>
            <w:rStyle w:val="Hyperlink"/>
          </w:rPr>
          <w:t>Psychology Rule #6: Think Independently (Contrarian Psychology)</w:t>
        </w:r>
      </w:hyperlink>
    </w:p>
    <w:p>
      <w:pPr>
        <w:pStyle w:val="BodyText"/>
        <w:numPr>
          <w:ilvl w:val="1"/>
          <w:numId w:val="3"/>
        </w:numPr>
        <w:tabs>
          <w:tab w:val="clear" w:pos="709"/>
          <w:tab w:val="left" w:pos="1418" w:leader="none"/>
        </w:tabs>
        <w:bidi w:val="0"/>
        <w:ind w:hanging="283" w:start="1418"/>
        <w:jc w:val="start"/>
        <w:rPr/>
      </w:pPr>
      <w:hyperlink w:anchor="psychology-rule-7-never-attempt-to-predi">
        <w:r>
          <w:rPr>
            <w:rStyle w:val="Hyperlink"/>
          </w:rPr>
          <w:t>Psychology Rule #7: Never Attempt to Predict the Market</w:t>
        </w:r>
      </w:hyperlink>
    </w:p>
    <w:p>
      <w:pPr>
        <w:pStyle w:val="BodyText"/>
        <w:numPr>
          <w:ilvl w:val="1"/>
          <w:numId w:val="3"/>
        </w:numPr>
        <w:tabs>
          <w:tab w:val="clear" w:pos="709"/>
          <w:tab w:val="left" w:pos="1418" w:leader="none"/>
        </w:tabs>
        <w:bidi w:val="0"/>
        <w:ind w:hanging="283" w:start="1418"/>
        <w:jc w:val="start"/>
        <w:rPr/>
      </w:pPr>
      <w:hyperlink w:anchor="psychology-rule-8-pay-no-attention-to-ma">
        <w:r>
          <w:rPr>
            <w:rStyle w:val="Hyperlink"/>
          </w:rPr>
          <w:t>Psychology Rule #8: Pay No Attention to Macroeconomic or Geopolitical Events</w:t>
        </w:r>
      </w:hyperlink>
    </w:p>
    <w:p>
      <w:pPr>
        <w:pStyle w:val="BodyText"/>
        <w:numPr>
          <w:ilvl w:val="1"/>
          <w:numId w:val="3"/>
        </w:numPr>
        <w:tabs>
          <w:tab w:val="clear" w:pos="709"/>
          <w:tab w:val="left" w:pos="1418" w:leader="none"/>
        </w:tabs>
        <w:bidi w:val="0"/>
        <w:ind w:hanging="283" w:start="1418"/>
        <w:jc w:val="start"/>
        <w:rPr/>
      </w:pPr>
      <w:hyperlink w:anchor="psychology-rule-9-risk-management-and-ca">
        <w:r>
          <w:rPr>
            <w:rStyle w:val="Hyperlink"/>
          </w:rPr>
          <w:t>Psychology Rule #9: Risk Management and Capital Protection</w:t>
        </w:r>
      </w:hyperlink>
    </w:p>
    <w:p>
      <w:pPr>
        <w:pStyle w:val="BodyText"/>
        <w:numPr>
          <w:ilvl w:val="1"/>
          <w:numId w:val="3"/>
        </w:numPr>
        <w:tabs>
          <w:tab w:val="clear" w:pos="709"/>
          <w:tab w:val="left" w:pos="1418" w:leader="none"/>
        </w:tabs>
        <w:bidi w:val="0"/>
        <w:ind w:hanging="283" w:start="1418"/>
        <w:jc w:val="start"/>
        <w:rPr/>
      </w:pPr>
      <w:hyperlink w:anchor="psychology-rule-10-take-responsibility-a">
        <w:r>
          <w:rPr>
            <w:rStyle w:val="Hyperlink"/>
          </w:rPr>
          <w:t>Psychology Rule #10: Take Responsibility and Learn From Mistakes</w:t>
        </w:r>
      </w:hyperlink>
    </w:p>
    <w:p>
      <w:pPr>
        <w:pStyle w:val="BodyText"/>
        <w:numPr>
          <w:ilvl w:val="1"/>
          <w:numId w:val="3"/>
        </w:numPr>
        <w:tabs>
          <w:tab w:val="clear" w:pos="709"/>
          <w:tab w:val="left" w:pos="1418" w:leader="none"/>
        </w:tabs>
        <w:bidi w:val="0"/>
        <w:ind w:hanging="283" w:start="1418"/>
        <w:jc w:val="start"/>
        <w:rPr/>
      </w:pPr>
      <w:hyperlink w:anchor="full-10-rule-summary-as-recapped-by-adam">
        <w:r>
          <w:rPr>
            <w:rStyle w:val="Hyperlink"/>
          </w:rPr>
          <w:t>Full 10-Rule Summary (as recapped by Adam at the end)</w:t>
        </w:r>
      </w:hyperlink>
    </w:p>
    <w:p>
      <w:pPr>
        <w:pStyle w:val="BodyText"/>
        <w:numPr>
          <w:ilvl w:val="1"/>
          <w:numId w:val="3"/>
        </w:numPr>
        <w:tabs>
          <w:tab w:val="clear" w:pos="709"/>
          <w:tab w:val="left" w:pos="1418" w:leader="none"/>
        </w:tabs>
        <w:bidi w:val="0"/>
        <w:ind w:hanging="283" w:start="1418"/>
        <w:jc w:val="start"/>
        <w:rPr/>
      </w:pPr>
      <w:hyperlink w:anchor="key-takeaways">
        <w:r>
          <w:rPr>
            <w:rStyle w:val="Hyperlink"/>
          </w:rPr>
          <w:t>Key Takeaways</w:t>
        </w:r>
      </w:hyperlink>
    </w:p>
    <w:p>
      <w:pPr>
        <w:pStyle w:val="BodyText"/>
        <w:numPr>
          <w:ilvl w:val="1"/>
          <w:numId w:val="3"/>
        </w:numPr>
        <w:tabs>
          <w:tab w:val="clear" w:pos="709"/>
          <w:tab w:val="left" w:pos="1418" w:leader="none"/>
        </w:tabs>
        <w:bidi w:val="0"/>
        <w:ind w:hanging="283" w:start="1418"/>
        <w:jc w:val="start"/>
        <w:rPr/>
      </w:pPr>
      <w:hyperlink w:anchor="psychology-rules-checklist-practical">
        <w:r>
          <w:rPr>
            <w:rStyle w:val="Hyperlink"/>
          </w:rPr>
          <w:t>Psychology Rules Checklist (Practical)</w:t>
        </w:r>
      </w:hyperlink>
    </w:p>
    <w:p>
      <w:pPr>
        <w:pStyle w:val="HorizontalLine"/>
        <w:bidi w:val="0"/>
        <w:jc w:val="start"/>
        <w:rPr/>
      </w:pPr>
      <w:r>
        <w:rPr/>
      </w:r>
    </w:p>
    <w:p>
      <w:pPr>
        <w:pStyle w:val="Heading1"/>
        <w:bidi w:val="0"/>
        <w:ind w:hanging="0" w:start="0"/>
        <w:jc w:val="start"/>
        <w:rPr/>
      </w:pPr>
      <w:r>
        <w:rPr/>
        <w:t>Part I — Stock Market Basics</w:t>
      </w:r>
    </w:p>
    <w:p>
      <w:pPr>
        <w:pStyle w:val="Heading2"/>
        <w:bidi w:val="0"/>
        <w:ind w:hanging="0" w:start="0"/>
        <w:jc w:val="start"/>
        <w:rPr/>
      </w:pPr>
      <w:r>
        <w:rPr/>
        <w:t>Lesson 1: Stock Market Basics — Master Notes (Whale Investor / VMI Course)</w:t>
      </w:r>
    </w:p>
    <w:p>
      <w:pPr>
        <w:pStyle w:val="BodyText"/>
        <w:bidi w:val="0"/>
        <w:jc w:val="start"/>
        <w:rPr/>
      </w:pPr>
      <w:r>
        <w:rPr/>
        <w:t>Source videos: (06) VMI Course Introduction, (07) Stock Basics Part 1 — Parts of a Business, (08) Stock Basics Part 2 — P/E &amp; PEG, (10) Stock Basics Part 4 — What Drives Stock Prices, (11) Stock Basics Part 5 — How to Make Money in Stocks, (12) Stock Basics Part 6 — Stock Index Performance, (14) Shocking Market Facts.</w:t>
      </w:r>
    </w:p>
    <w:p>
      <w:pPr>
        <w:pStyle w:val="HorizontalLine"/>
        <w:bidi w:val="0"/>
        <w:jc w:val="start"/>
        <w:rPr/>
      </w:pPr>
      <w:r>
        <w:rPr/>
      </w:r>
    </w:p>
    <w:p>
      <w:pPr>
        <w:pStyle w:val="Heading3"/>
        <w:bidi w:val="0"/>
        <w:ind w:hanging="0" w:start="0"/>
        <w:jc w:val="start"/>
        <w:rPr/>
      </w:pPr>
      <w:r>
        <w:rPr/>
        <w:t>Course Introduction (Video 06 — Course Structure, Rules, Community)</w:t>
      </w:r>
    </w:p>
    <w:p>
      <w:pPr>
        <w:pStyle w:val="BodyText"/>
        <w:numPr>
          <w:ilvl w:val="0"/>
          <w:numId w:val="4"/>
        </w:numPr>
        <w:tabs>
          <w:tab w:val="clear" w:pos="709"/>
          <w:tab w:val="left" w:pos="709" w:leader="none"/>
        </w:tabs>
        <w:bidi w:val="0"/>
        <w:ind w:hanging="283" w:start="709"/>
        <w:jc w:val="start"/>
        <w:rPr/>
      </w:pPr>
      <w:r>
        <w:rPr/>
        <w:t>Course also called "The Whale Investor" or "Value Momentum Investor (VMI)" course.</w:t>
      </w:r>
    </w:p>
    <w:p>
      <w:pPr>
        <w:pStyle w:val="BodyText"/>
        <w:numPr>
          <w:ilvl w:val="0"/>
          <w:numId w:val="4"/>
        </w:numPr>
        <w:tabs>
          <w:tab w:val="clear" w:pos="709"/>
          <w:tab w:val="left" w:pos="709" w:leader="none"/>
        </w:tabs>
        <w:bidi w:val="0"/>
        <w:ind w:hanging="283" w:start="709"/>
        <w:jc w:val="start"/>
        <w:rPr/>
      </w:pPr>
      <w:r>
        <w:rPr/>
        <w:t>Goal: consistent profits, stress-free, low-risk, sustainable investing; build net worth toward "financial freedom."</w:t>
      </w:r>
    </w:p>
    <w:p>
      <w:pPr>
        <w:pStyle w:val="BodyText"/>
        <w:numPr>
          <w:ilvl w:val="0"/>
          <w:numId w:val="4"/>
        </w:numPr>
        <w:tabs>
          <w:tab w:val="clear" w:pos="709"/>
          <w:tab w:val="left" w:pos="709" w:leader="none"/>
        </w:tabs>
        <w:bidi w:val="0"/>
        <w:ind w:hanging="283" w:start="709"/>
        <w:jc w:val="start"/>
        <w:rPr/>
      </w:pPr>
      <w:r>
        <w:rPr/>
        <w:t>Course explicitly cuts out financial-media "noise/bullshit" and "impractical theories" from business school/financial academia.</w:t>
      </w:r>
    </w:p>
    <w:p>
      <w:pPr>
        <w:pStyle w:val="BodyText"/>
        <w:numPr>
          <w:ilvl w:val="0"/>
          <w:numId w:val="4"/>
        </w:numPr>
        <w:tabs>
          <w:tab w:val="clear" w:pos="709"/>
          <w:tab w:val="left" w:pos="709" w:leader="none"/>
        </w:tabs>
        <w:bidi w:val="0"/>
        <w:spacing w:before="0" w:after="0"/>
        <w:ind w:hanging="283" w:start="709"/>
        <w:jc w:val="start"/>
        <w:rPr/>
      </w:pPr>
      <w:r>
        <w:rPr>
          <w:b/>
        </w:rPr>
        <w:t>The Four Keys — "W, W, H, W":</w:t>
      </w:r>
    </w:p>
    <w:p>
      <w:pPr>
        <w:pStyle w:val="BodyText"/>
        <w:numPr>
          <w:ilvl w:val="1"/>
          <w:numId w:val="4"/>
        </w:numPr>
        <w:tabs>
          <w:tab w:val="clear" w:pos="709"/>
          <w:tab w:val="left" w:pos="1418" w:leader="none"/>
        </w:tabs>
        <w:bidi w:val="0"/>
        <w:ind w:hanging="283" w:start="1418"/>
        <w:jc w:val="start"/>
        <w:rPr/>
      </w:pPr>
      <w:r>
        <w:rPr>
          <w:b/>
        </w:rPr>
        <w:t>What</w:t>
      </w:r>
      <w:r>
        <w:rPr/>
        <w:t xml:space="preserve"> to buy — only the top 1% of the strongest stocks in the market.</w:t>
      </w:r>
    </w:p>
    <w:p>
      <w:pPr>
        <w:pStyle w:val="BodyText"/>
        <w:numPr>
          <w:ilvl w:val="1"/>
          <w:numId w:val="4"/>
        </w:numPr>
        <w:tabs>
          <w:tab w:val="clear" w:pos="709"/>
          <w:tab w:val="left" w:pos="1418" w:leader="none"/>
        </w:tabs>
        <w:bidi w:val="0"/>
        <w:ind w:hanging="283" w:start="1418"/>
        <w:jc w:val="start"/>
        <w:rPr/>
      </w:pPr>
      <w:r>
        <w:rPr>
          <w:b/>
        </w:rPr>
        <w:t>When</w:t>
      </w:r>
      <w:r>
        <w:rPr/>
        <w:t xml:space="preserve"> to buy — only when strong stocks are attractively priced/undervalued.</w:t>
      </w:r>
    </w:p>
    <w:p>
      <w:pPr>
        <w:pStyle w:val="BodyText"/>
        <w:numPr>
          <w:ilvl w:val="1"/>
          <w:numId w:val="4"/>
        </w:numPr>
        <w:tabs>
          <w:tab w:val="clear" w:pos="709"/>
          <w:tab w:val="left" w:pos="1418" w:leader="none"/>
        </w:tabs>
        <w:bidi w:val="0"/>
        <w:ind w:hanging="283" w:start="1418"/>
        <w:jc w:val="start"/>
        <w:rPr/>
      </w:pPr>
      <w:r>
        <w:rPr>
          <w:b/>
        </w:rPr>
        <w:t>How</w:t>
      </w:r>
      <w:r>
        <w:rPr/>
        <w:t xml:space="preserve"> many shares to buy — position sizing, building a diversified, balanced portfolio.</w:t>
      </w:r>
    </w:p>
    <w:p>
      <w:pPr>
        <w:pStyle w:val="BodyText"/>
        <w:numPr>
          <w:ilvl w:val="1"/>
          <w:numId w:val="4"/>
        </w:numPr>
        <w:tabs>
          <w:tab w:val="clear" w:pos="709"/>
          <w:tab w:val="left" w:pos="1418" w:leader="none"/>
        </w:tabs>
        <w:bidi w:val="0"/>
        <w:ind w:hanging="283" w:start="1418"/>
        <w:jc w:val="start"/>
        <w:rPr/>
      </w:pPr>
      <w:r>
        <w:rPr>
          <w:b/>
        </w:rPr>
        <w:t>When</w:t>
      </w:r>
      <w:r>
        <w:rPr/>
        <w:t xml:space="preserve"> to sell — exit rules.</w:t>
      </w:r>
    </w:p>
    <w:p>
      <w:pPr>
        <w:pStyle w:val="BodyText"/>
        <w:numPr>
          <w:ilvl w:val="0"/>
          <w:numId w:val="4"/>
        </w:numPr>
        <w:tabs>
          <w:tab w:val="clear" w:pos="709"/>
          <w:tab w:val="left" w:pos="709" w:leader="none"/>
        </w:tabs>
        <w:bidi w:val="0"/>
        <w:ind w:hanging="283" w:start="709"/>
        <w:jc w:val="start"/>
        <w:rPr/>
      </w:pPr>
      <w:r>
        <w:rPr/>
        <w:t>Following the methodology strictly → can beat the market, achieve double-digit returns over the long run, outperform most retail investors and most professional money managers.</w:t>
      </w:r>
    </w:p>
    <w:p>
      <w:pPr>
        <w:pStyle w:val="BodyText"/>
        <w:numPr>
          <w:ilvl w:val="0"/>
          <w:numId w:val="4"/>
        </w:numPr>
        <w:tabs>
          <w:tab w:val="clear" w:pos="709"/>
          <w:tab w:val="left" w:pos="709" w:leader="none"/>
        </w:tabs>
        <w:bidi w:val="0"/>
        <w:ind w:hanging="283" w:start="709"/>
        <w:jc w:val="start"/>
        <w:rPr/>
      </w:pPr>
      <w:r>
        <w:rPr/>
        <w:t>You CAN fail — but only by failing to take action, failing to apply what's taught, or breaking the rules. Rules exist to keep you safe.</w:t>
      </w:r>
    </w:p>
    <w:p>
      <w:pPr>
        <w:pStyle w:val="BodyText"/>
        <w:numPr>
          <w:ilvl w:val="0"/>
          <w:numId w:val="4"/>
        </w:numPr>
        <w:tabs>
          <w:tab w:val="clear" w:pos="709"/>
          <w:tab w:val="left" w:pos="709" w:leader="none"/>
        </w:tabs>
        <w:bidi w:val="0"/>
        <w:spacing w:before="0" w:after="0"/>
        <w:ind w:hanging="283" w:start="709"/>
        <w:jc w:val="start"/>
        <w:rPr/>
      </w:pPr>
      <w:r>
        <w:rPr>
          <w:b/>
        </w:rPr>
        <w:t>Course structure — 12 core lessons, each ~2–3 hours:</w:t>
      </w:r>
    </w:p>
    <w:p>
      <w:pPr>
        <w:pStyle w:val="BodyText"/>
        <w:numPr>
          <w:ilvl w:val="1"/>
          <w:numId w:val="4"/>
        </w:numPr>
        <w:tabs>
          <w:tab w:val="clear" w:pos="709"/>
          <w:tab w:val="left" w:pos="1418" w:leader="none"/>
        </w:tabs>
        <w:bidi w:val="0"/>
        <w:ind w:hanging="283" w:start="1418"/>
        <w:jc w:val="start"/>
        <w:rPr/>
      </w:pPr>
      <w:r>
        <w:rPr/>
        <w:t>Stock Market Basics (this lesson)</w:t>
      </w:r>
    </w:p>
    <w:p>
      <w:pPr>
        <w:pStyle w:val="BodyText"/>
        <w:numPr>
          <w:ilvl w:val="1"/>
          <w:numId w:val="4"/>
        </w:numPr>
        <w:tabs>
          <w:tab w:val="clear" w:pos="709"/>
          <w:tab w:val="left" w:pos="1418" w:leader="none"/>
        </w:tabs>
        <w:bidi w:val="0"/>
        <w:ind w:hanging="283" w:start="1418"/>
        <w:jc w:val="start"/>
        <w:rPr/>
      </w:pPr>
      <w:r>
        <w:rPr/>
        <w:t>Exchange Traded Funds (ETFs) — simplest way to start investing</w:t>
      </w:r>
    </w:p>
    <w:p>
      <w:pPr>
        <w:pStyle w:val="BodyText"/>
        <w:numPr>
          <w:ilvl w:val="1"/>
          <w:numId w:val="4"/>
        </w:numPr>
        <w:tabs>
          <w:tab w:val="clear" w:pos="709"/>
          <w:tab w:val="left" w:pos="1418" w:leader="none"/>
        </w:tabs>
        <w:bidi w:val="0"/>
        <w:ind w:hanging="283" w:start="1418"/>
        <w:jc w:val="start"/>
        <w:rPr/>
      </w:pPr>
      <w:r>
        <w:rPr/>
        <w:t>Keys to Profitable Investing — overview of the methodology</w:t>
      </w:r>
    </w:p>
    <w:p>
      <w:pPr>
        <w:pStyle w:val="BodyText"/>
        <w:numPr>
          <w:ilvl w:val="1"/>
          <w:numId w:val="4"/>
        </w:numPr>
        <w:tabs>
          <w:tab w:val="clear" w:pos="709"/>
          <w:tab w:val="left" w:pos="1418" w:leader="none"/>
        </w:tabs>
        <w:bidi w:val="0"/>
        <w:ind w:hanging="283" w:start="1418"/>
        <w:jc w:val="start"/>
        <w:rPr/>
      </w:pPr>
      <w:r>
        <w:rPr/>
        <w:t>Fundamental Analysis — analyzing a business inside out, identifying great companies</w:t>
      </w:r>
    </w:p>
    <w:p>
      <w:pPr>
        <w:pStyle w:val="BodyText"/>
        <w:numPr>
          <w:ilvl w:val="1"/>
          <w:numId w:val="4"/>
        </w:numPr>
        <w:tabs>
          <w:tab w:val="clear" w:pos="709"/>
          <w:tab w:val="left" w:pos="1418" w:leader="none"/>
        </w:tabs>
        <w:bidi w:val="0"/>
        <w:ind w:hanging="283" w:start="1418"/>
        <w:jc w:val="start"/>
        <w:rPr/>
      </w:pPr>
      <w:r>
        <w:rPr/>
        <w:t>Stock Valuation — how to value businesses (expensive vs. cheap)</w:t>
      </w:r>
    </w:p>
    <w:p>
      <w:pPr>
        <w:pStyle w:val="BodyText"/>
        <w:numPr>
          <w:ilvl w:val="1"/>
          <w:numId w:val="4"/>
        </w:numPr>
        <w:tabs>
          <w:tab w:val="clear" w:pos="709"/>
          <w:tab w:val="left" w:pos="1418" w:leader="none"/>
        </w:tabs>
        <w:bidi w:val="0"/>
        <w:ind w:hanging="283" w:start="1418"/>
        <w:jc w:val="start"/>
        <w:rPr/>
      </w:pPr>
      <w:r>
        <w:rPr/>
        <w:t>Technical Analysis — optimizing entries/exits via chart patterns</w:t>
      </w:r>
    </w:p>
    <w:p>
      <w:pPr>
        <w:pStyle w:val="BodyText"/>
        <w:numPr>
          <w:ilvl w:val="1"/>
          <w:numId w:val="4"/>
        </w:numPr>
        <w:tabs>
          <w:tab w:val="clear" w:pos="709"/>
          <w:tab w:val="left" w:pos="1418" w:leader="none"/>
        </w:tabs>
        <w:bidi w:val="0"/>
        <w:ind w:hanging="283" w:start="1418"/>
        <w:jc w:val="start"/>
        <w:rPr/>
      </w:pPr>
      <w:r>
        <w:rPr/>
        <w:t>The Seven-Step VMI Formula (Value Momentum Investment Formula) — everything combined into a checklist/methodology</w:t>
      </w:r>
    </w:p>
    <w:p>
      <w:pPr>
        <w:pStyle w:val="BodyText"/>
        <w:numPr>
          <w:ilvl w:val="1"/>
          <w:numId w:val="4"/>
        </w:numPr>
        <w:tabs>
          <w:tab w:val="clear" w:pos="709"/>
          <w:tab w:val="left" w:pos="1418" w:leader="none"/>
        </w:tabs>
        <w:bidi w:val="0"/>
        <w:ind w:hanging="283" w:start="1418"/>
        <w:jc w:val="start"/>
        <w:rPr/>
      </w:pPr>
      <w:r>
        <w:rPr/>
        <w:t>Building a bulletproof, diversified portfolio that performs in all economic conditions</w:t>
      </w:r>
    </w:p>
    <w:p>
      <w:pPr>
        <w:pStyle w:val="BodyText"/>
        <w:numPr>
          <w:ilvl w:val="1"/>
          <w:numId w:val="4"/>
        </w:numPr>
        <w:tabs>
          <w:tab w:val="clear" w:pos="709"/>
          <w:tab w:val="left" w:pos="1418" w:leader="none"/>
        </w:tabs>
        <w:bidi w:val="0"/>
        <w:ind w:hanging="283" w:start="1418"/>
        <w:jc w:val="start"/>
        <w:rPr/>
      </w:pPr>
      <w:r>
        <w:rPr/>
        <w:t>Finding great stocks/opportunities + exit rules (when to say goodbye to a stock and replace it)</w:t>
      </w:r>
    </w:p>
    <w:p>
      <w:pPr>
        <w:pStyle w:val="BodyText"/>
        <w:numPr>
          <w:ilvl w:val="1"/>
          <w:numId w:val="4"/>
        </w:numPr>
        <w:tabs>
          <w:tab w:val="clear" w:pos="709"/>
          <w:tab w:val="left" w:pos="1418" w:leader="none"/>
        </w:tabs>
        <w:bidi w:val="0"/>
        <w:ind w:hanging="283" w:start="1418"/>
        <w:jc w:val="start"/>
        <w:rPr/>
      </w:pPr>
      <w:r>
        <w:rPr>
          <w:b/>
        </w:rPr>
        <w:t>Psychology</w:t>
      </w:r>
      <w:r>
        <w:rPr/>
        <w:t xml:space="preserve"> — Adam calls this one of the most important lessons even though numbered 10th. "70% of an investor's success is their mindset" — ability to manage temperament and emotions. Recommended to rewatch multiple times.</w:t>
      </w:r>
    </w:p>
    <w:p>
      <w:pPr>
        <w:pStyle w:val="BodyText"/>
        <w:numPr>
          <w:ilvl w:val="1"/>
          <w:numId w:val="4"/>
        </w:numPr>
        <w:tabs>
          <w:tab w:val="clear" w:pos="709"/>
          <w:tab w:val="left" w:pos="1418" w:leader="none"/>
        </w:tabs>
        <w:bidi w:val="0"/>
        <w:ind w:hanging="283" w:start="1418"/>
        <w:jc w:val="start"/>
        <w:rPr/>
      </w:pPr>
      <w:r>
        <w:rPr/>
        <w:t>Choosing the right stockbroker for your objectives</w:t>
      </w:r>
    </w:p>
    <w:p>
      <w:pPr>
        <w:pStyle w:val="BodyText"/>
        <w:numPr>
          <w:ilvl w:val="1"/>
          <w:numId w:val="4"/>
        </w:numPr>
        <w:tabs>
          <w:tab w:val="clear" w:pos="709"/>
          <w:tab w:val="left" w:pos="1418" w:leader="none"/>
        </w:tabs>
        <w:bidi w:val="0"/>
        <w:ind w:hanging="283" w:start="1418"/>
        <w:jc w:val="start"/>
        <w:rPr/>
      </w:pPr>
      <w:r>
        <w:rPr/>
        <w:t>Turbocharging your portfolio using options (generating extra income)</w:t>
      </w:r>
    </w:p>
    <w:p>
      <w:pPr>
        <w:pStyle w:val="BodyText"/>
        <w:numPr>
          <w:ilvl w:val="1"/>
          <w:numId w:val="4"/>
        </w:numPr>
        <w:tabs>
          <w:tab w:val="clear" w:pos="709"/>
          <w:tab w:val="left" w:pos="1418" w:leader="none"/>
        </w:tabs>
        <w:bidi w:val="0"/>
        <w:ind w:hanging="283" w:start="1418"/>
        <w:jc w:val="start"/>
        <w:rPr/>
      </w:pPr>
      <w:r>
        <w:rPr/>
        <w:t>Plus additional sections: how to use TradingView (Adam's charting platform of choice) and how to use Interactive Brokers (his brokerage); any reputable broker will do since broker mechanics are similar once you learn one.</w:t>
      </w:r>
    </w:p>
    <w:p>
      <w:pPr>
        <w:pStyle w:val="BodyText"/>
        <w:numPr>
          <w:ilvl w:val="1"/>
          <w:numId w:val="4"/>
        </w:numPr>
        <w:tabs>
          <w:tab w:val="clear" w:pos="709"/>
          <w:tab w:val="left" w:pos="1418" w:leader="none"/>
        </w:tabs>
        <w:bidi w:val="0"/>
        <w:ind w:hanging="283" w:start="1418"/>
        <w:jc w:val="start"/>
        <w:rPr/>
      </w:pPr>
      <w:r>
        <w:rPr/>
        <w:t>Bonus section: past webinars for students.</w:t>
      </w:r>
    </w:p>
    <w:p>
      <w:pPr>
        <w:pStyle w:val="BodyText"/>
        <w:numPr>
          <w:ilvl w:val="0"/>
          <w:numId w:val="4"/>
        </w:numPr>
        <w:tabs>
          <w:tab w:val="clear" w:pos="709"/>
          <w:tab w:val="left" w:pos="709" w:leader="none"/>
        </w:tabs>
        <w:bidi w:val="0"/>
        <w:spacing w:before="0" w:after="0"/>
        <w:ind w:hanging="283" w:start="709"/>
        <w:jc w:val="start"/>
        <w:rPr/>
      </w:pPr>
      <w:r>
        <w:rPr>
          <w:b/>
        </w:rPr>
        <w:t>Recommended learning approach:</w:t>
      </w:r>
    </w:p>
    <w:p>
      <w:pPr>
        <w:pStyle w:val="BodyText"/>
        <w:numPr>
          <w:ilvl w:val="1"/>
          <w:numId w:val="4"/>
        </w:numPr>
        <w:tabs>
          <w:tab w:val="clear" w:pos="709"/>
          <w:tab w:val="left" w:pos="1418" w:leader="none"/>
        </w:tabs>
        <w:bidi w:val="0"/>
        <w:ind w:hanging="283" w:start="1418"/>
        <w:jc w:val="start"/>
        <w:rPr/>
      </w:pPr>
      <w:r>
        <w:rPr/>
        <w:t>Complete every lesson, don't skip any — even experienced/professional investors should redo the basics.</w:t>
      </w:r>
    </w:p>
    <w:p>
      <w:pPr>
        <w:pStyle w:val="BodyText"/>
        <w:numPr>
          <w:ilvl w:val="1"/>
          <w:numId w:val="4"/>
        </w:numPr>
        <w:tabs>
          <w:tab w:val="clear" w:pos="709"/>
          <w:tab w:val="left" w:pos="1418" w:leader="none"/>
        </w:tabs>
        <w:bidi w:val="0"/>
        <w:ind w:hanging="283" w:start="1418"/>
        <w:jc w:val="start"/>
        <w:rPr/>
      </w:pPr>
      <w:r>
        <w:rPr/>
        <w:t>Learn actively: take your own notes (even though slides/notes are provided), pause and repeat videos.</w:t>
      </w:r>
    </w:p>
    <w:p>
      <w:pPr>
        <w:pStyle w:val="BodyText"/>
        <w:numPr>
          <w:ilvl w:val="1"/>
          <w:numId w:val="4"/>
        </w:numPr>
        <w:tabs>
          <w:tab w:val="clear" w:pos="709"/>
          <w:tab w:val="left" w:pos="1418" w:leader="none"/>
        </w:tabs>
        <w:bidi w:val="0"/>
        <w:ind w:hanging="283" w:start="1418"/>
        <w:jc w:val="start"/>
        <w:rPr/>
      </w:pPr>
      <w:r>
        <w:rPr/>
        <w:t>Each lesson ends with a quiz — attempt it before seeing answers.</w:t>
      </w:r>
    </w:p>
    <w:p>
      <w:pPr>
        <w:pStyle w:val="BodyText"/>
        <w:numPr>
          <w:ilvl w:val="1"/>
          <w:numId w:val="4"/>
        </w:numPr>
        <w:tabs>
          <w:tab w:val="clear" w:pos="709"/>
          <w:tab w:val="left" w:pos="1418" w:leader="none"/>
        </w:tabs>
        <w:bidi w:val="0"/>
        <w:ind w:hanging="283" w:start="1418"/>
        <w:jc w:val="start"/>
        <w:rPr/>
      </w:pPr>
      <w:r>
        <w:rPr/>
        <w:t>Downloadable course notes + resources (Excel templates for managing investments, an intrinsic value calculator) available under "Course Notes and Resources."</w:t>
      </w:r>
    </w:p>
    <w:p>
      <w:pPr>
        <w:pStyle w:val="BodyText"/>
        <w:numPr>
          <w:ilvl w:val="1"/>
          <w:numId w:val="4"/>
        </w:numPr>
        <w:tabs>
          <w:tab w:val="clear" w:pos="709"/>
          <w:tab w:val="left" w:pos="1418" w:leader="none"/>
        </w:tabs>
        <w:bidi w:val="0"/>
        <w:ind w:hanging="283" w:start="1418"/>
        <w:jc w:val="start"/>
        <w:rPr/>
      </w:pPr>
      <w:r>
        <w:rPr/>
        <w:t>Time to finish: intensive pace (12–13 hrs/day) = ~2 days; moderate pace (~2 hrs/day) = ~13 days (~1.5 weeks); relaxed pace (~1 hr/day) = ~26 days (~1 month). "Repetition is the mother of skill."</w:t>
      </w:r>
    </w:p>
    <w:p>
      <w:pPr>
        <w:pStyle w:val="BodyText"/>
        <w:numPr>
          <w:ilvl w:val="0"/>
          <w:numId w:val="4"/>
        </w:numPr>
        <w:tabs>
          <w:tab w:val="clear" w:pos="709"/>
          <w:tab w:val="left" w:pos="709" w:leader="none"/>
        </w:tabs>
        <w:bidi w:val="0"/>
        <w:spacing w:before="0" w:after="0"/>
        <w:ind w:hanging="283" w:start="709"/>
        <w:jc w:val="start"/>
        <w:rPr/>
      </w:pPr>
      <w:r>
        <w:rPr>
          <w:b/>
        </w:rPr>
        <w:t>Community (Discord):</w:t>
      </w:r>
    </w:p>
    <w:p>
      <w:pPr>
        <w:pStyle w:val="BodyText"/>
        <w:numPr>
          <w:ilvl w:val="1"/>
          <w:numId w:val="4"/>
        </w:numPr>
        <w:tabs>
          <w:tab w:val="clear" w:pos="709"/>
          <w:tab w:val="left" w:pos="1418" w:leader="none"/>
        </w:tabs>
        <w:bidi w:val="0"/>
        <w:ind w:hanging="283" w:start="1418"/>
        <w:jc w:val="start"/>
        <w:rPr/>
      </w:pPr>
      <w:r>
        <w:rPr/>
        <w:t>Active chat 7 days/week, including weekends/holidays, ~15–16 hours/day.</w:t>
      </w:r>
    </w:p>
    <w:p>
      <w:pPr>
        <w:pStyle w:val="BodyText"/>
        <w:numPr>
          <w:ilvl w:val="1"/>
          <w:numId w:val="4"/>
        </w:numPr>
        <w:tabs>
          <w:tab w:val="clear" w:pos="709"/>
          <w:tab w:val="left" w:pos="1418" w:leader="none"/>
        </w:tabs>
        <w:bidi w:val="0"/>
        <w:ind w:hanging="283" w:start="1418"/>
        <w:jc w:val="start"/>
        <w:rPr/>
      </w:pPr>
      <w:r>
        <w:rPr/>
        <w:t>Members can tag "Adam Koo" directly with questions.</w:t>
      </w:r>
    </w:p>
    <w:p>
      <w:pPr>
        <w:pStyle w:val="BodyText"/>
        <w:numPr>
          <w:ilvl w:val="1"/>
          <w:numId w:val="4"/>
        </w:numPr>
        <w:tabs>
          <w:tab w:val="clear" w:pos="709"/>
          <w:tab w:val="left" w:pos="1418" w:leader="none"/>
        </w:tabs>
        <w:bidi w:val="0"/>
        <w:ind w:hanging="283" w:start="1418"/>
        <w:jc w:val="start"/>
        <w:rPr/>
      </w:pPr>
      <w:r>
        <w:rPr/>
        <w:t xml:space="preserve">New members only granted chat-group access </w:t>
      </w:r>
      <w:r>
        <w:rPr>
          <w:b/>
        </w:rPr>
        <w:t>7 days after enrolling</w:t>
      </w:r>
      <w:r>
        <w:rPr/>
        <w:t>, so they first watch lessons (most questions get answered by the content itself).</w:t>
      </w:r>
    </w:p>
    <w:p>
      <w:pPr>
        <w:pStyle w:val="BodyText"/>
        <w:numPr>
          <w:ilvl w:val="1"/>
          <w:numId w:val="4"/>
        </w:numPr>
        <w:tabs>
          <w:tab w:val="clear" w:pos="709"/>
          <w:tab w:val="left" w:pos="1418" w:leader="none"/>
        </w:tabs>
        <w:bidi w:val="0"/>
        <w:ind w:hanging="283" w:start="1418"/>
        <w:jc w:val="start"/>
        <w:rPr/>
      </w:pPr>
      <w:r>
        <w:rPr/>
        <w:t>Members encouraged to share their own stock analyses/ideas — but should NOT ask "Adam, what do you think of this stock?" (Adam won't spoon-feed picks; he guides members to do their own analysis, and will give feedback on analysis already done).</w:t>
      </w:r>
    </w:p>
    <w:p>
      <w:pPr>
        <w:pStyle w:val="BodyText"/>
        <w:numPr>
          <w:ilvl w:val="1"/>
          <w:numId w:val="4"/>
        </w:numPr>
        <w:tabs>
          <w:tab w:val="clear" w:pos="709"/>
          <w:tab w:val="left" w:pos="1418" w:leader="none"/>
        </w:tabs>
        <w:bidi w:val="0"/>
        <w:ind w:hanging="283" w:start="1418"/>
        <w:jc w:val="start"/>
        <w:rPr/>
      </w:pPr>
      <w:r>
        <w:rPr/>
        <w:t xml:space="preserve">Security warning: turn off direct messages (DMs) in the group — scammers impersonate Adam or others via DM. Adam states he will </w:t>
      </w:r>
      <w:r>
        <w:rPr>
          <w:b/>
        </w:rPr>
        <w:t>never</w:t>
      </w:r>
      <w:r>
        <w:rPr/>
        <w:t xml:space="preserve"> DM anyone directly; all his communication happens in the main chat group (under "Investing Costs" → main chat stock group).</w:t>
      </w:r>
    </w:p>
    <w:p>
      <w:pPr>
        <w:pStyle w:val="BodyText"/>
        <w:numPr>
          <w:ilvl w:val="1"/>
          <w:numId w:val="4"/>
        </w:numPr>
        <w:tabs>
          <w:tab w:val="clear" w:pos="709"/>
          <w:tab w:val="left" w:pos="1418" w:leader="none"/>
        </w:tabs>
        <w:bidi w:val="0"/>
        <w:ind w:hanging="283" w:start="1418"/>
        <w:jc w:val="start"/>
        <w:rPr/>
      </w:pPr>
      <w:r>
        <w:rPr/>
        <w:t>Separate "Friendly Chit Chat" channel exists for off-topic/social conversation.</w:t>
      </w:r>
    </w:p>
    <w:p>
      <w:pPr>
        <w:pStyle w:val="HorizontalLine"/>
        <w:bidi w:val="0"/>
        <w:jc w:val="start"/>
        <w:rPr/>
      </w:pPr>
      <w:r>
        <w:rPr/>
      </w:r>
    </w:p>
    <w:p>
      <w:pPr>
        <w:pStyle w:val="Heading3"/>
        <w:bidi w:val="0"/>
        <w:ind w:hanging="0" w:start="0"/>
        <w:jc w:val="start"/>
        <w:rPr/>
      </w:pPr>
      <w:r>
        <w:rPr/>
        <w:t>What Is a Share of Stock (Parts of a Business)</w:t>
      </w:r>
    </w:p>
    <w:p>
      <w:pPr>
        <w:pStyle w:val="BodyText"/>
        <w:numPr>
          <w:ilvl w:val="0"/>
          <w:numId w:val="5"/>
        </w:numPr>
        <w:tabs>
          <w:tab w:val="clear" w:pos="709"/>
          <w:tab w:val="left" w:pos="709" w:leader="none"/>
        </w:tabs>
        <w:bidi w:val="0"/>
        <w:ind w:hanging="283" w:start="709"/>
        <w:jc w:val="start"/>
        <w:rPr/>
      </w:pPr>
      <w:r>
        <w:rPr/>
        <w:t xml:space="preserve">A share of stock is </w:t>
      </w:r>
      <w:r>
        <w:rPr>
          <w:b/>
        </w:rPr>
        <w:t>not</w:t>
      </w:r>
      <w:r>
        <w:rPr/>
        <w:t xml:space="preserve"> a lottery ticket / price-prediction bet. Buying a share = </w:t>
      </w:r>
      <w:r>
        <w:rPr>
          <w:b/>
        </w:rPr>
        <w:t>becoming a part owner (shareholder) of an underlying business.</w:t>
      </w:r>
    </w:p>
    <w:p>
      <w:pPr>
        <w:pStyle w:val="BodyText"/>
        <w:numPr>
          <w:ilvl w:val="0"/>
          <w:numId w:val="5"/>
        </w:numPr>
        <w:tabs>
          <w:tab w:val="clear" w:pos="709"/>
          <w:tab w:val="left" w:pos="709" w:leader="none"/>
        </w:tabs>
        <w:bidi w:val="0"/>
        <w:ind w:hanging="283" w:start="709"/>
        <w:jc w:val="start"/>
        <w:rPr/>
      </w:pPr>
      <w:r>
        <w:rPr/>
        <w:t xml:space="preserve">A business (McDonald's, Microsoft, Apple, etc.) is fundamentally </w:t>
      </w:r>
      <w:r>
        <w:rPr>
          <w:b/>
        </w:rPr>
        <w:t>a money-making machine</w:t>
      </w:r>
      <w:r>
        <w:rPr/>
        <w:t>: it sells products/services to make money.</w:t>
      </w:r>
    </w:p>
    <w:p>
      <w:pPr>
        <w:pStyle w:val="BodyText"/>
        <w:numPr>
          <w:ilvl w:val="0"/>
          <w:numId w:val="5"/>
        </w:numPr>
        <w:tabs>
          <w:tab w:val="clear" w:pos="709"/>
          <w:tab w:val="left" w:pos="709" w:leader="none"/>
        </w:tabs>
        <w:bidi w:val="0"/>
        <w:ind w:hanging="283" w:start="709"/>
        <w:jc w:val="start"/>
        <w:rPr/>
      </w:pPr>
      <w:r>
        <w:rPr/>
        <w:t>Core logic chain: more money the business makes → more the business is worth → more valuable the shares → share price rises over time. As an owner, you have a claim over the business's profits.</w:t>
      </w:r>
    </w:p>
    <w:p>
      <w:pPr>
        <w:pStyle w:val="BodyText"/>
        <w:numPr>
          <w:ilvl w:val="0"/>
          <w:numId w:val="5"/>
        </w:numPr>
        <w:tabs>
          <w:tab w:val="clear" w:pos="709"/>
          <w:tab w:val="left" w:pos="709" w:leader="none"/>
        </w:tabs>
        <w:bidi w:val="0"/>
        <w:ind w:hanging="283" w:start="709"/>
        <w:jc w:val="start"/>
        <w:rPr/>
      </w:pPr>
      <w:r>
        <w:rPr/>
        <w:t>Adam uses "stocks" and "businesses" interchangeably — deliberately.</w:t>
      </w:r>
    </w:p>
    <w:p>
      <w:pPr>
        <w:pStyle w:val="BodyText"/>
        <w:numPr>
          <w:ilvl w:val="0"/>
          <w:numId w:val="5"/>
        </w:numPr>
        <w:tabs>
          <w:tab w:val="clear" w:pos="709"/>
          <w:tab w:val="left" w:pos="709" w:leader="none"/>
        </w:tabs>
        <w:bidi w:val="0"/>
        <w:ind w:hanging="283" w:start="709"/>
        <w:jc w:val="start"/>
        <w:rPr/>
      </w:pPr>
      <w:r>
        <w:rPr>
          <w:b/>
        </w:rPr>
        <w:t>Core rule:</w:t>
      </w:r>
      <w:r>
        <w:rPr/>
        <w:t xml:space="preserve"> "If the business does well, the shares will do very well... Everything else is noise and distraction." Ignore financial-media sensationalism (geopolitics, elections, war, yield curve, inflation, what the Fed is doing) — the only real question is: </w:t>
      </w:r>
      <w:r>
        <w:rPr>
          <w:i/>
        </w:rPr>
        <w:t>will this business make more money over time?</w:t>
      </w:r>
    </w:p>
    <w:p>
      <w:pPr>
        <w:pStyle w:val="BodyText"/>
        <w:numPr>
          <w:ilvl w:val="0"/>
          <w:numId w:val="5"/>
        </w:numPr>
        <w:tabs>
          <w:tab w:val="clear" w:pos="709"/>
          <w:tab w:val="left" w:pos="709" w:leader="none"/>
        </w:tabs>
        <w:bidi w:val="0"/>
        <w:ind w:hanging="283" w:start="709"/>
        <w:jc w:val="start"/>
        <w:rPr/>
      </w:pPr>
      <w:r>
        <w:rPr>
          <w:b/>
        </w:rPr>
        <w:t>Example — Microsoft:</w:t>
      </w:r>
      <w:r>
        <w:rPr/>
        <w:t xml:space="preserve"> Adam is a shareholder because regardless of who's US President, the yield curve, inflation, or wars, people keep using Microsoft, more people use it every year, Microsoft keeps raising prices, and profits keep growing → as a shareholder his claim on those profits grows → share value rises over time.</w:t>
      </w:r>
    </w:p>
    <w:p>
      <w:pPr>
        <w:pStyle w:val="Heading4"/>
        <w:numPr>
          <w:ilvl w:val="0"/>
          <w:numId w:val="0"/>
        </w:numPr>
        <w:bidi w:val="0"/>
        <w:ind w:hanging="0" w:start="0"/>
        <w:jc w:val="start"/>
        <w:rPr/>
      </w:pPr>
      <w:r>
        <w:rPr/>
        <w:t>Shares Outstanding (the "pizza" concept)</w:t>
      </w:r>
    </w:p>
    <w:p>
      <w:pPr>
        <w:pStyle w:val="BodyText"/>
        <w:numPr>
          <w:ilvl w:val="0"/>
          <w:numId w:val="6"/>
        </w:numPr>
        <w:tabs>
          <w:tab w:val="clear" w:pos="709"/>
          <w:tab w:val="left" w:pos="709" w:leader="none"/>
        </w:tabs>
        <w:bidi w:val="0"/>
        <w:ind w:hanging="283" w:start="709"/>
        <w:jc w:val="start"/>
        <w:rPr/>
      </w:pPr>
      <w:r>
        <w:rPr/>
        <w:t>Before buying into a business, you need to know how many total "pieces" (shares) exist.</w:t>
      </w:r>
    </w:p>
    <w:p>
      <w:pPr>
        <w:pStyle w:val="BodyText"/>
        <w:numPr>
          <w:ilvl w:val="0"/>
          <w:numId w:val="6"/>
        </w:numPr>
        <w:tabs>
          <w:tab w:val="clear" w:pos="709"/>
          <w:tab w:val="left" w:pos="709" w:leader="none"/>
        </w:tabs>
        <w:bidi w:val="0"/>
        <w:ind w:hanging="283" w:start="709"/>
        <w:jc w:val="start"/>
        <w:rPr/>
      </w:pPr>
      <w:r>
        <w:rPr>
          <w:b/>
        </w:rPr>
        <w:t>Example: "Success Company"</w:t>
      </w:r>
      <w:r>
        <w:rPr/>
        <w:t xml:space="preserve"> — has </w:t>
      </w:r>
      <w:r>
        <w:rPr>
          <w:b/>
        </w:rPr>
        <w:t>100 million shares outstanding</w:t>
      </w:r>
      <w:r>
        <w:rPr/>
        <w:t>. Think of the company as a pizza with 100 million slices; you can buy as many slices as you want.</w:t>
      </w:r>
    </w:p>
    <w:p>
      <w:pPr>
        <w:pStyle w:val="BodyText"/>
        <w:numPr>
          <w:ilvl w:val="0"/>
          <w:numId w:val="6"/>
        </w:numPr>
        <w:tabs>
          <w:tab w:val="clear" w:pos="709"/>
          <w:tab w:val="left" w:pos="709" w:leader="none"/>
        </w:tabs>
        <w:bidi w:val="0"/>
        <w:ind w:hanging="283" w:start="709"/>
        <w:jc w:val="start"/>
        <w:rPr/>
      </w:pPr>
      <w:r>
        <w:rPr/>
        <w:t xml:space="preserve">Companies can </w:t>
      </w:r>
      <w:r>
        <w:rPr>
          <w:b/>
        </w:rPr>
        <w:t>issue more shares</w:t>
      </w:r>
      <w:r>
        <w:rPr/>
        <w:t xml:space="preserve"> (increasing shares outstanding) or </w:t>
      </w:r>
      <w:r>
        <w:rPr>
          <w:b/>
        </w:rPr>
        <w:t>buy back and cancel shares</w:t>
      </w:r>
      <w:r>
        <w:rPr/>
        <w:t xml:space="preserve"> (decreasing shares outstanding) — the number is not fixed over time.</w:t>
      </w:r>
    </w:p>
    <w:p>
      <w:pPr>
        <w:pStyle w:val="BodyText"/>
        <w:numPr>
          <w:ilvl w:val="0"/>
          <w:numId w:val="6"/>
        </w:numPr>
        <w:tabs>
          <w:tab w:val="clear" w:pos="709"/>
          <w:tab w:val="left" w:pos="709" w:leader="none"/>
        </w:tabs>
        <w:bidi w:val="0"/>
        <w:ind w:hanging="283" w:start="709"/>
        <w:jc w:val="start"/>
        <w:rPr/>
      </w:pPr>
      <w:r>
        <w:rPr/>
        <w:t xml:space="preserve">If you buy 1 million shares out of 100 million total, you own </w:t>
      </w:r>
      <w:r>
        <w:rPr>
          <w:b/>
        </w:rPr>
        <w:t>1% of the business</w:t>
      </w:r>
      <w:r>
        <w:rPr/>
        <w:t>, entitling you to 1% of the profits and 1% of voting rights (voting rights not a focus of this course — "we're just interested in the money").</w:t>
      </w:r>
    </w:p>
    <w:p>
      <w:pPr>
        <w:pStyle w:val="Heading4"/>
        <w:numPr>
          <w:ilvl w:val="0"/>
          <w:numId w:val="0"/>
        </w:numPr>
        <w:bidi w:val="0"/>
        <w:ind w:hanging="0" w:start="0"/>
        <w:jc w:val="start"/>
        <w:rPr/>
      </w:pPr>
      <w:r>
        <w:rPr/>
        <w:t>Minimum Shares / Fractional Shares by Market</w:t>
      </w:r>
    </w:p>
    <w:p>
      <w:pPr>
        <w:pStyle w:val="BodyText"/>
        <w:numPr>
          <w:ilvl w:val="0"/>
          <w:numId w:val="7"/>
        </w:numPr>
        <w:tabs>
          <w:tab w:val="clear" w:pos="709"/>
          <w:tab w:val="left" w:pos="709" w:leader="none"/>
        </w:tabs>
        <w:bidi w:val="0"/>
        <w:spacing w:before="0" w:after="0"/>
        <w:ind w:hanging="283" w:start="709"/>
        <w:jc w:val="start"/>
        <w:rPr/>
      </w:pPr>
      <w:r>
        <w:rPr>
          <w:b/>
        </w:rPr>
        <w:t>US market:</w:t>
      </w:r>
      <w:r>
        <w:rPr/>
        <w:t xml:space="preserve"> biggest market in the world; </w:t>
      </w:r>
      <w:r>
        <w:rPr>
          <w:b/>
        </w:rPr>
        <w:t>no minimum number of shares</w:t>
      </w:r>
      <w:r>
        <w:rPr/>
        <w:t xml:space="preserve"> — you can buy as little as 1 share. Some brokers (e.g., </w:t>
      </w:r>
      <w:r>
        <w:rPr>
          <w:b/>
        </w:rPr>
        <w:t>Interactive Brokers</w:t>
      </w:r>
      <w:r>
        <w:rPr/>
        <w:t xml:space="preserve">, Adam's broker) even allow </w:t>
      </w:r>
      <w:r>
        <w:rPr>
          <w:b/>
        </w:rPr>
        <w:t>fractional shares</w:t>
      </w:r>
      <w:r>
        <w:rPr/>
        <w:t>.</w:t>
      </w:r>
    </w:p>
    <w:p>
      <w:pPr>
        <w:pStyle w:val="BodyText"/>
        <w:numPr>
          <w:ilvl w:val="1"/>
          <w:numId w:val="7"/>
        </w:numPr>
        <w:tabs>
          <w:tab w:val="clear" w:pos="709"/>
          <w:tab w:val="left" w:pos="1418" w:leader="none"/>
        </w:tabs>
        <w:bidi w:val="0"/>
        <w:ind w:hanging="283" w:start="1418"/>
        <w:jc w:val="start"/>
        <w:rPr/>
      </w:pPr>
      <w:r>
        <w:rPr/>
        <w:t xml:space="preserve">Example: </w:t>
      </w:r>
      <w:r>
        <w:rPr>
          <w:b/>
        </w:rPr>
        <w:t>Meta Platforms (owns Facebook &amp; Instagram)</w:t>
      </w:r>
      <w:r>
        <w:rPr/>
        <w:t xml:space="preserve"> — one share priced at ~</w:t>
      </w:r>
      <w:r>
        <w:rPr>
          <w:b/>
        </w:rPr>
        <w:t>$600</w:t>
      </w:r>
      <w:r>
        <w:rPr/>
        <w:t xml:space="preserve">. If you can't afford a full share, you could buy </w:t>
      </w:r>
      <w:r>
        <w:rPr>
          <w:b/>
        </w:rPr>
        <w:t>0.1 of a share for $60</w:t>
      </w:r>
      <w:r>
        <w:rPr/>
        <w:t>.</w:t>
      </w:r>
    </w:p>
    <w:p>
      <w:pPr>
        <w:pStyle w:val="BodyText"/>
        <w:numPr>
          <w:ilvl w:val="0"/>
          <w:numId w:val="7"/>
        </w:numPr>
        <w:tabs>
          <w:tab w:val="clear" w:pos="709"/>
          <w:tab w:val="left" w:pos="709" w:leader="none"/>
        </w:tabs>
        <w:bidi w:val="0"/>
        <w:spacing w:before="0" w:after="0"/>
        <w:ind w:hanging="283" w:start="709"/>
        <w:jc w:val="start"/>
        <w:rPr/>
      </w:pPr>
      <w:r>
        <w:rPr>
          <w:b/>
        </w:rPr>
        <w:t>Asian exchanges (e.g., Singapore):</w:t>
      </w:r>
      <w:r>
        <w:rPr/>
        <w:t xml:space="preserve"> typically require a </w:t>
      </w:r>
      <w:r>
        <w:rPr>
          <w:b/>
        </w:rPr>
        <w:t>minimum of 100 shares, in multiples of 100</w:t>
      </w:r>
      <w:r>
        <w:rPr/>
        <w:t>.</w:t>
      </w:r>
    </w:p>
    <w:p>
      <w:pPr>
        <w:pStyle w:val="BodyText"/>
        <w:numPr>
          <w:ilvl w:val="1"/>
          <w:numId w:val="7"/>
        </w:numPr>
        <w:tabs>
          <w:tab w:val="clear" w:pos="709"/>
          <w:tab w:val="left" w:pos="1418" w:leader="none"/>
        </w:tabs>
        <w:bidi w:val="0"/>
        <w:ind w:hanging="283" w:start="1418"/>
        <w:jc w:val="start"/>
        <w:rPr/>
      </w:pPr>
      <w:r>
        <w:rPr/>
        <w:t xml:space="preserve">Example: </w:t>
      </w:r>
      <w:r>
        <w:rPr>
          <w:b/>
        </w:rPr>
        <w:t>DBS Bank</w:t>
      </w:r>
      <w:r>
        <w:rPr/>
        <w:t xml:space="preserve"> on the Singapore Exchange — 1 share = </w:t>
      </w:r>
      <w:r>
        <w:rPr>
          <w:b/>
        </w:rPr>
        <w:t>$40</w:t>
      </w:r>
      <w:r>
        <w:rPr/>
        <w:t xml:space="preserve">, so minimum investment = $40 × 100 = </w:t>
      </w:r>
      <w:r>
        <w:rPr>
          <w:b/>
        </w:rPr>
        <w:t>$4,000</w:t>
      </w:r>
      <w:r>
        <w:rPr/>
        <w:t>.</w:t>
      </w:r>
    </w:p>
    <w:p>
      <w:pPr>
        <w:pStyle w:val="BodyText"/>
        <w:numPr>
          <w:ilvl w:val="1"/>
          <w:numId w:val="7"/>
        </w:numPr>
        <w:tabs>
          <w:tab w:val="clear" w:pos="709"/>
          <w:tab w:val="left" w:pos="1418" w:leader="none"/>
        </w:tabs>
        <w:bidi w:val="0"/>
        <w:ind w:hanging="283" w:start="1418"/>
        <w:jc w:val="start"/>
        <w:rPr/>
      </w:pPr>
      <w:r>
        <w:rPr/>
        <w:t>Conclusion: Asian markets are "less flexible" than US markets for position sizing.</w:t>
      </w:r>
    </w:p>
    <w:p>
      <w:pPr>
        <w:pStyle w:val="Heading4"/>
        <w:numPr>
          <w:ilvl w:val="0"/>
          <w:numId w:val="0"/>
        </w:numPr>
        <w:bidi w:val="0"/>
        <w:ind w:hanging="0" w:start="0"/>
        <w:jc w:val="start"/>
        <w:rPr/>
      </w:pPr>
      <w:r>
        <w:rPr/>
        <w:t>Yahoo Finance — First Tool Introduced</w:t>
      </w:r>
    </w:p>
    <w:p>
      <w:pPr>
        <w:pStyle w:val="BodyText"/>
        <w:numPr>
          <w:ilvl w:val="0"/>
          <w:numId w:val="8"/>
        </w:numPr>
        <w:tabs>
          <w:tab w:val="clear" w:pos="709"/>
          <w:tab w:val="left" w:pos="709" w:leader="none"/>
        </w:tabs>
        <w:bidi w:val="0"/>
        <w:ind w:hanging="283" w:start="709"/>
        <w:jc w:val="start"/>
        <w:rPr/>
      </w:pPr>
      <w:r>
        <w:rPr/>
        <w:t xml:space="preserve">Website: </w:t>
      </w:r>
      <w:r>
        <w:rPr>
          <w:b/>
        </w:rPr>
        <w:t>finance.yahoo.com</w:t>
      </w:r>
      <w:r>
        <w:rPr/>
        <w:t xml:space="preserve">. Search by company name or </w:t>
      </w:r>
      <w:r>
        <w:rPr>
          <w:b/>
        </w:rPr>
        <w:t>ticker symbol</w:t>
      </w:r>
      <w:r>
        <w:rPr/>
        <w:t xml:space="preserve"> in the search bar.</w:t>
      </w:r>
    </w:p>
    <w:p>
      <w:pPr>
        <w:pStyle w:val="BodyText"/>
        <w:numPr>
          <w:ilvl w:val="0"/>
          <w:numId w:val="8"/>
        </w:numPr>
        <w:tabs>
          <w:tab w:val="clear" w:pos="709"/>
          <w:tab w:val="left" w:pos="709" w:leader="none"/>
        </w:tabs>
        <w:bidi w:val="0"/>
        <w:ind w:hanging="283" w:start="709"/>
        <w:jc w:val="start"/>
        <w:rPr/>
      </w:pPr>
      <w:r>
        <w:rPr/>
        <w:t xml:space="preserve">Every stock has a ticker symbol (does not need to be memorized): Meta = </w:t>
      </w:r>
      <w:r>
        <w:rPr>
          <w:b/>
        </w:rPr>
        <w:t>META</w:t>
      </w:r>
      <w:r>
        <w:rPr/>
        <w:t xml:space="preserve">, Apple = </w:t>
      </w:r>
      <w:r>
        <w:rPr>
          <w:b/>
        </w:rPr>
        <w:t>AAPL</w:t>
      </w:r>
      <w:r>
        <w:rPr/>
        <w:t xml:space="preserve">, Microsoft = </w:t>
      </w:r>
      <w:r>
        <w:rPr>
          <w:b/>
        </w:rPr>
        <w:t>MSFT</w:t>
      </w:r>
      <w:r>
        <w:rPr/>
        <w:t>.</w:t>
      </w:r>
    </w:p>
    <w:p>
      <w:pPr>
        <w:pStyle w:val="HorizontalLine"/>
        <w:bidi w:val="0"/>
        <w:jc w:val="start"/>
        <w:rPr/>
      </w:pPr>
      <w:r>
        <w:rPr/>
      </w:r>
    </w:p>
    <w:p>
      <w:pPr>
        <w:pStyle w:val="Heading3"/>
        <w:bidi w:val="0"/>
        <w:ind w:hanging="0" w:start="0"/>
        <w:jc w:val="start"/>
        <w:rPr/>
      </w:pPr>
      <w:r>
        <w:rPr/>
        <w:t>Net Income &amp; Implied Shares Outstanding</w:t>
      </w:r>
    </w:p>
    <w:p>
      <w:pPr>
        <w:pStyle w:val="BodyText"/>
        <w:numPr>
          <w:ilvl w:val="0"/>
          <w:numId w:val="9"/>
        </w:numPr>
        <w:tabs>
          <w:tab w:val="clear" w:pos="709"/>
          <w:tab w:val="left" w:pos="709" w:leader="none"/>
        </w:tabs>
        <w:bidi w:val="0"/>
        <w:ind w:hanging="283" w:start="709"/>
        <w:jc w:val="start"/>
        <w:rPr/>
      </w:pPr>
      <w:r>
        <w:rPr/>
        <w:t xml:space="preserve">The first basic question when considering owning a piece of a business: </w:t>
      </w:r>
      <w:r>
        <w:rPr>
          <w:b/>
        </w:rPr>
        <w:t>how much money is the business making?</w:t>
      </w:r>
      <w:r>
        <w:rPr/>
        <w:t xml:space="preserve"> → this is the </w:t>
      </w:r>
      <w:r>
        <w:rPr>
          <w:b/>
        </w:rPr>
        <w:t>net income</w:t>
      </w:r>
      <w:r>
        <w:rPr/>
        <w:t>.</w:t>
      </w:r>
    </w:p>
    <w:p>
      <w:pPr>
        <w:pStyle w:val="BodyText"/>
        <w:numPr>
          <w:ilvl w:val="0"/>
          <w:numId w:val="9"/>
        </w:numPr>
        <w:tabs>
          <w:tab w:val="clear" w:pos="709"/>
          <w:tab w:val="left" w:pos="709" w:leader="none"/>
        </w:tabs>
        <w:bidi w:val="0"/>
        <w:ind w:hanging="283" w:start="709"/>
        <w:jc w:val="start"/>
        <w:rPr/>
      </w:pPr>
      <w:r>
        <w:rPr>
          <w:b/>
        </w:rPr>
        <w:t>Net income = net profits = earnings</w:t>
      </w:r>
      <w:r>
        <w:rPr/>
        <w:t xml:space="preserve"> — these three terms are used interchangeably.</w:t>
      </w:r>
    </w:p>
    <w:p>
      <w:pPr>
        <w:pStyle w:val="BodyText"/>
        <w:numPr>
          <w:ilvl w:val="0"/>
          <w:numId w:val="9"/>
        </w:numPr>
        <w:tabs>
          <w:tab w:val="clear" w:pos="709"/>
          <w:tab w:val="left" w:pos="709" w:leader="none"/>
        </w:tabs>
        <w:bidi w:val="0"/>
        <w:ind w:hanging="283" w:start="709"/>
        <w:jc w:val="start"/>
        <w:rPr/>
      </w:pPr>
      <w:r>
        <w:rPr/>
        <w:t xml:space="preserve">Net income specifically means </w:t>
      </w:r>
      <w:r>
        <w:rPr>
          <w:b/>
        </w:rPr>
        <w:t>net income after tax</w:t>
      </w:r>
      <w:r>
        <w:rPr/>
        <w:t xml:space="preserve"> — what's left after deducting everything.</w:t>
      </w:r>
    </w:p>
    <w:p>
      <w:pPr>
        <w:pStyle w:val="BodyText"/>
        <w:numPr>
          <w:ilvl w:val="0"/>
          <w:numId w:val="9"/>
        </w:numPr>
        <w:tabs>
          <w:tab w:val="clear" w:pos="709"/>
          <w:tab w:val="left" w:pos="709" w:leader="none"/>
        </w:tabs>
        <w:bidi w:val="0"/>
        <w:ind w:hanging="283" w:start="709"/>
        <w:jc w:val="start"/>
        <w:rPr/>
      </w:pPr>
      <w:r>
        <w:rPr/>
        <w:t xml:space="preserve">Found on Yahoo Finance under </w:t>
      </w:r>
      <w:r>
        <w:rPr>
          <w:b/>
        </w:rPr>
        <w:t>Statistics</w:t>
      </w:r>
      <w:r>
        <w:rPr/>
        <w:t xml:space="preserve"> → "Net income available to common shareholders" (shares you buy as a retail investor are "common shares").</w:t>
      </w:r>
    </w:p>
    <w:p>
      <w:pPr>
        <w:pStyle w:val="BodyText"/>
        <w:numPr>
          <w:ilvl w:val="0"/>
          <w:numId w:val="9"/>
        </w:numPr>
        <w:tabs>
          <w:tab w:val="clear" w:pos="709"/>
          <w:tab w:val="left" w:pos="709" w:leader="none"/>
        </w:tabs>
        <w:bidi w:val="0"/>
        <w:ind w:hanging="283" w:start="709"/>
        <w:jc w:val="start"/>
        <w:rPr/>
      </w:pPr>
      <w:r>
        <w:rPr>
          <w:b/>
        </w:rPr>
        <w:t>TTM</w:t>
      </w:r>
      <w:r>
        <w:rPr/>
        <w:t xml:space="preserve"> = </w:t>
      </w:r>
      <w:r>
        <w:rPr>
          <w:b/>
        </w:rPr>
        <w:t>Trailing Twelve Months</w:t>
      </w:r>
      <w:r>
        <w:rPr/>
        <w:t xml:space="preserve"> — the last 12 months from the date you're looking at the data (e.g., recording in Dec 2024 → TTM covers Dec 2023–Dec 2024).</w:t>
      </w:r>
    </w:p>
    <w:p>
      <w:pPr>
        <w:pStyle w:val="BodyText"/>
        <w:numPr>
          <w:ilvl w:val="0"/>
          <w:numId w:val="9"/>
        </w:numPr>
        <w:tabs>
          <w:tab w:val="clear" w:pos="709"/>
          <w:tab w:val="left" w:pos="709" w:leader="none"/>
        </w:tabs>
        <w:bidi w:val="0"/>
        <w:ind w:hanging="283" w:start="709"/>
        <w:jc w:val="start"/>
        <w:rPr/>
      </w:pPr>
      <w:r>
        <w:rPr>
          <w:b/>
        </w:rPr>
        <w:t>Example — Meta Platforms:</w:t>
      </w:r>
      <w:r>
        <w:rPr/>
        <w:t xml:space="preserve"> Net income (TTM) = </w:t>
      </w:r>
      <w:r>
        <w:rPr>
          <w:b/>
        </w:rPr>
        <w:t>$55.54 billion</w:t>
      </w:r>
      <w:r>
        <w:rPr/>
        <w:t xml:space="preserve"> = 55,540 million (1 billion = 1,000 million).</w:t>
      </w:r>
    </w:p>
    <w:p>
      <w:pPr>
        <w:pStyle w:val="Heading4"/>
        <w:numPr>
          <w:ilvl w:val="0"/>
          <w:numId w:val="0"/>
        </w:numPr>
        <w:bidi w:val="0"/>
        <w:ind w:hanging="0" w:start="0"/>
        <w:jc w:val="start"/>
        <w:rPr/>
      </w:pPr>
      <w:r>
        <w:rPr/>
        <w:t>Shares Outstanding vs. Implied Shares Outstanding</w:t>
      </w:r>
    </w:p>
    <w:p>
      <w:pPr>
        <w:pStyle w:val="BodyText"/>
        <w:numPr>
          <w:ilvl w:val="0"/>
          <w:numId w:val="10"/>
        </w:numPr>
        <w:tabs>
          <w:tab w:val="clear" w:pos="709"/>
          <w:tab w:val="left" w:pos="709" w:leader="none"/>
        </w:tabs>
        <w:bidi w:val="0"/>
        <w:spacing w:before="0" w:after="0"/>
        <w:ind w:hanging="283" w:start="709"/>
        <w:jc w:val="start"/>
        <w:rPr/>
      </w:pPr>
      <w:r>
        <w:rPr/>
        <w:t>Yahoo Finance Statistics page shows two figures for Meta:</w:t>
      </w:r>
    </w:p>
    <w:p>
      <w:pPr>
        <w:pStyle w:val="BodyText"/>
        <w:numPr>
          <w:ilvl w:val="1"/>
          <w:numId w:val="10"/>
        </w:numPr>
        <w:tabs>
          <w:tab w:val="clear" w:pos="709"/>
          <w:tab w:val="left" w:pos="1418" w:leader="none"/>
        </w:tabs>
        <w:bidi w:val="0"/>
        <w:ind w:hanging="283" w:start="1418"/>
        <w:jc w:val="start"/>
        <w:rPr/>
      </w:pPr>
      <w:r>
        <w:rPr>
          <w:b/>
        </w:rPr>
        <w:t>Shares Outstanding:</w:t>
      </w:r>
      <w:r>
        <w:rPr/>
        <w:t xml:space="preserve"> 2.18 billion (current pieces of the "pizza" actually in the market).</w:t>
      </w:r>
    </w:p>
    <w:p>
      <w:pPr>
        <w:pStyle w:val="BodyText"/>
        <w:numPr>
          <w:ilvl w:val="1"/>
          <w:numId w:val="10"/>
        </w:numPr>
        <w:tabs>
          <w:tab w:val="clear" w:pos="709"/>
          <w:tab w:val="left" w:pos="1418" w:leader="none"/>
        </w:tabs>
        <w:bidi w:val="0"/>
        <w:ind w:hanging="283" w:start="1418"/>
        <w:jc w:val="start"/>
        <w:rPr/>
      </w:pPr>
      <w:r>
        <w:rPr>
          <w:b/>
        </w:rPr>
        <w:t>Implied Shares Outstanding:</w:t>
      </w:r>
      <w:r>
        <w:rPr/>
        <w:t xml:space="preserve"> 2.52 billion.</w:t>
      </w:r>
    </w:p>
    <w:p>
      <w:pPr>
        <w:pStyle w:val="BodyText"/>
        <w:numPr>
          <w:ilvl w:val="0"/>
          <w:numId w:val="10"/>
        </w:numPr>
        <w:tabs>
          <w:tab w:val="clear" w:pos="709"/>
          <w:tab w:val="left" w:pos="709" w:leader="none"/>
        </w:tabs>
        <w:bidi w:val="0"/>
        <w:ind w:hanging="283" w:start="709"/>
        <w:jc w:val="start"/>
        <w:rPr/>
      </w:pPr>
      <w:r>
        <w:rPr>
          <w:b/>
        </w:rPr>
        <w:t>Why the difference:</w:t>
      </w:r>
      <w:r>
        <w:rPr/>
        <w:t xml:space="preserve"> companies grant employees free shares via </w:t>
      </w:r>
      <w:r>
        <w:rPr>
          <w:b/>
        </w:rPr>
        <w:t>options</w:t>
      </w:r>
      <w:r>
        <w:rPr/>
        <w:t>, which employees can convert into actual shares in the future. Implied shares outstanding accounts for what happens if all employees convert their options — i.e., a larger, more conservative share count.</w:t>
      </w:r>
    </w:p>
    <w:p>
      <w:pPr>
        <w:pStyle w:val="BodyText"/>
        <w:numPr>
          <w:ilvl w:val="0"/>
          <w:numId w:val="10"/>
        </w:numPr>
        <w:tabs>
          <w:tab w:val="clear" w:pos="709"/>
          <w:tab w:val="left" w:pos="709" w:leader="none"/>
        </w:tabs>
        <w:bidi w:val="0"/>
        <w:ind w:hanging="283" w:start="709"/>
        <w:jc w:val="start"/>
        <w:rPr/>
      </w:pPr>
      <w:r>
        <w:rPr>
          <w:b/>
        </w:rPr>
        <w:t>Rule: always use the implied shares outstanding figure</w:t>
      </w:r>
      <w:r>
        <w:rPr/>
        <w:t xml:space="preserve"> (to be conservative). For Meta: </w:t>
      </w:r>
      <w:r>
        <w:rPr>
          <w:b/>
        </w:rPr>
        <w:t>2.52 billion = 2,520 million shares.</w:t>
      </w:r>
    </w:p>
    <w:p>
      <w:pPr>
        <w:pStyle w:val="Heading4"/>
        <w:numPr>
          <w:ilvl w:val="0"/>
          <w:numId w:val="0"/>
        </w:numPr>
        <w:bidi w:val="0"/>
        <w:ind w:hanging="0" w:start="0"/>
        <w:jc w:val="start"/>
        <w:rPr/>
      </w:pPr>
      <w:r>
        <w:rPr/>
        <w:t>Earnings Per Share (EPS)</w:t>
      </w:r>
    </w:p>
    <w:p>
      <w:pPr>
        <w:pStyle w:val="BodyText"/>
        <w:numPr>
          <w:ilvl w:val="0"/>
          <w:numId w:val="11"/>
        </w:numPr>
        <w:tabs>
          <w:tab w:val="clear" w:pos="709"/>
          <w:tab w:val="left" w:pos="709" w:leader="none"/>
        </w:tabs>
        <w:bidi w:val="0"/>
        <w:ind w:hanging="283" w:start="709"/>
        <w:jc w:val="start"/>
        <w:rPr/>
      </w:pPr>
      <w:r>
        <w:rPr>
          <w:b/>
        </w:rPr>
        <w:t>Formula:</w:t>
      </w:r>
      <w:r>
        <w:rPr/>
        <w:t xml:space="preserve"> EPS = Total net income ÷ Total (implied) shares outstanding.</w:t>
      </w:r>
    </w:p>
    <w:p>
      <w:pPr>
        <w:pStyle w:val="BodyText"/>
        <w:numPr>
          <w:ilvl w:val="0"/>
          <w:numId w:val="11"/>
        </w:numPr>
        <w:tabs>
          <w:tab w:val="clear" w:pos="709"/>
          <w:tab w:val="left" w:pos="709" w:leader="none"/>
        </w:tabs>
        <w:bidi w:val="0"/>
        <w:ind w:hanging="283" w:start="709"/>
        <w:jc w:val="start"/>
        <w:rPr/>
      </w:pPr>
      <w:r>
        <w:rPr/>
        <w:t>Calculation for Meta: $55.54 billion ÷ 2,520 million.</w:t>
      </w:r>
    </w:p>
    <w:p>
      <w:pPr>
        <w:pStyle w:val="BodyText"/>
        <w:numPr>
          <w:ilvl w:val="0"/>
          <w:numId w:val="11"/>
        </w:numPr>
        <w:tabs>
          <w:tab w:val="clear" w:pos="709"/>
          <w:tab w:val="left" w:pos="709" w:leader="none"/>
        </w:tabs>
        <w:bidi w:val="0"/>
        <w:ind w:hanging="283" w:start="709"/>
        <w:jc w:val="start"/>
        <w:rPr/>
      </w:pPr>
      <w:r>
        <w:rPr/>
        <w:t xml:space="preserve">Pre-calculated on Yahoo Finance's </w:t>
      </w:r>
      <w:r>
        <w:rPr>
          <w:b/>
        </w:rPr>
        <w:t>Summary</w:t>
      </w:r>
      <w:r>
        <w:rPr/>
        <w:t xml:space="preserve"> page as "Earnings Per Share (TTM)."</w:t>
      </w:r>
    </w:p>
    <w:p>
      <w:pPr>
        <w:pStyle w:val="BodyText"/>
        <w:numPr>
          <w:ilvl w:val="0"/>
          <w:numId w:val="11"/>
        </w:numPr>
        <w:tabs>
          <w:tab w:val="clear" w:pos="709"/>
          <w:tab w:val="left" w:pos="709" w:leader="none"/>
        </w:tabs>
        <w:bidi w:val="0"/>
        <w:ind w:hanging="283" w:start="709"/>
        <w:jc w:val="start"/>
        <w:rPr/>
      </w:pPr>
      <w:r>
        <w:rPr>
          <w:b/>
        </w:rPr>
        <w:t>Meta EPS (TTM) = $21.17</w:t>
      </w:r>
      <w:r>
        <w:rPr/>
        <w:t xml:space="preserve"> — meaning every share entitles the owner to $21.17 of profit per year (based on trailing 12 months). This figure is </w:t>
      </w:r>
      <w:r>
        <w:rPr>
          <w:i/>
        </w:rPr>
        <w:t>entitled</w:t>
      </w:r>
      <w:r>
        <w:rPr/>
        <w:t xml:space="preserve"> profit, not necessarily cash received.</w:t>
      </w:r>
    </w:p>
    <w:p>
      <w:pPr>
        <w:pStyle w:val="Heading4"/>
        <w:numPr>
          <w:ilvl w:val="0"/>
          <w:numId w:val="0"/>
        </w:numPr>
        <w:bidi w:val="0"/>
        <w:ind w:hanging="0" w:start="0"/>
        <w:jc w:val="start"/>
        <w:rPr/>
      </w:pPr>
      <w:r>
        <w:rPr/>
        <w:t>The Four Ways a Company Returns Profit to Shareholders</w:t>
      </w:r>
    </w:p>
    <w:p>
      <w:pPr>
        <w:pStyle w:val="BodyText"/>
        <w:bidi w:val="0"/>
        <w:jc w:val="start"/>
        <w:rPr/>
      </w:pPr>
      <w:r>
        <w:rPr/>
        <w:t>Adam poses the question: as a shareholder "entitled" to $21.17/share, how do you actually get that money? Four mechanisms:</w:t>
      </w:r>
    </w:p>
    <w:p>
      <w:pPr>
        <w:pStyle w:val="BodyText"/>
        <w:numPr>
          <w:ilvl w:val="0"/>
          <w:numId w:val="12"/>
        </w:numPr>
        <w:tabs>
          <w:tab w:val="clear" w:pos="709"/>
          <w:tab w:val="left" w:pos="709" w:leader="none"/>
        </w:tabs>
        <w:bidi w:val="0"/>
        <w:spacing w:before="0" w:after="0"/>
        <w:ind w:hanging="283" w:start="709"/>
        <w:jc w:val="start"/>
        <w:rPr/>
      </w:pPr>
      <w:r>
        <w:rPr>
          <w:b/>
        </w:rPr>
        <w:t>Dividends</w:t>
      </w:r>
      <w:r>
        <w:rPr/>
        <w:t xml:space="preserve"> — company pays out cash from profits.</w:t>
      </w:r>
    </w:p>
    <w:p>
      <w:pPr>
        <w:pStyle w:val="BodyText"/>
        <w:numPr>
          <w:ilvl w:val="1"/>
          <w:numId w:val="12"/>
        </w:numPr>
        <w:tabs>
          <w:tab w:val="clear" w:pos="709"/>
          <w:tab w:val="left" w:pos="1418" w:leader="none"/>
        </w:tabs>
        <w:bidi w:val="0"/>
        <w:ind w:hanging="283" w:start="1418"/>
        <w:jc w:val="start"/>
        <w:rPr/>
      </w:pPr>
      <w:r>
        <w:rPr/>
        <w:t>Not all companies pay dividends; some keep 100% of profit ("like a savings account"), some pay a little, some pay a lot.</w:t>
      </w:r>
    </w:p>
    <w:p>
      <w:pPr>
        <w:pStyle w:val="BodyText"/>
        <w:numPr>
          <w:ilvl w:val="1"/>
          <w:numId w:val="12"/>
        </w:numPr>
        <w:tabs>
          <w:tab w:val="clear" w:pos="709"/>
          <w:tab w:val="left" w:pos="1418" w:leader="none"/>
        </w:tabs>
        <w:bidi w:val="0"/>
        <w:ind w:hanging="283" w:start="1418"/>
        <w:jc w:val="start"/>
        <w:rPr/>
      </w:pPr>
      <w:r>
        <w:rPr>
          <w:b/>
        </w:rPr>
        <w:t>"Forward" dividend</w:t>
      </w:r>
      <w:r>
        <w:rPr/>
        <w:t xml:space="preserve"> = expected dividend over the </w:t>
      </w:r>
      <w:r>
        <w:rPr>
          <w:i/>
        </w:rPr>
        <w:t>next</w:t>
      </w:r>
      <w:r>
        <w:rPr/>
        <w:t xml:space="preserve"> 12 months if you buy now.</w:t>
      </w:r>
    </w:p>
    <w:p>
      <w:pPr>
        <w:pStyle w:val="BodyText"/>
        <w:numPr>
          <w:ilvl w:val="1"/>
          <w:numId w:val="12"/>
        </w:numPr>
        <w:tabs>
          <w:tab w:val="clear" w:pos="709"/>
          <w:tab w:val="left" w:pos="1418" w:leader="none"/>
        </w:tabs>
        <w:bidi w:val="0"/>
        <w:ind w:hanging="283" w:start="1418"/>
        <w:jc w:val="start"/>
        <w:rPr/>
      </w:pPr>
      <w:r>
        <w:rPr/>
        <w:t xml:space="preserve">Meta example: forward dividend = </w:t>
      </w:r>
      <w:r>
        <w:rPr>
          <w:b/>
        </w:rPr>
        <w:t>$2.00 per share</w:t>
      </w:r>
      <w:r>
        <w:rPr/>
        <w:t xml:space="preserve"> (i.e., out of the ~$21 earned, the company pays $2 cash).</w:t>
      </w:r>
    </w:p>
    <w:p>
      <w:pPr>
        <w:pStyle w:val="BodyText"/>
        <w:numPr>
          <w:ilvl w:val="1"/>
          <w:numId w:val="12"/>
        </w:numPr>
        <w:tabs>
          <w:tab w:val="clear" w:pos="709"/>
          <w:tab w:val="left" w:pos="1418" w:leader="none"/>
        </w:tabs>
        <w:bidi w:val="0"/>
        <w:spacing w:before="0" w:after="0"/>
        <w:ind w:hanging="283" w:start="1418"/>
        <w:jc w:val="start"/>
        <w:rPr/>
      </w:pPr>
      <w:r>
        <w:rPr>
          <w:b/>
        </w:rPr>
        <w:t>Dividend taxation:</w:t>
      </w:r>
      <w:r>
        <w:rPr/>
        <w:t xml:space="preserve"> depends where the stock is listed and where the investor resides.</w:t>
      </w:r>
    </w:p>
    <w:p>
      <w:pPr>
        <w:pStyle w:val="BodyText"/>
        <w:numPr>
          <w:ilvl w:val="2"/>
          <w:numId w:val="12"/>
        </w:numPr>
        <w:tabs>
          <w:tab w:val="clear" w:pos="709"/>
          <w:tab w:val="left" w:pos="2127" w:leader="none"/>
        </w:tabs>
        <w:bidi w:val="0"/>
        <w:ind w:hanging="283" w:start="2127"/>
        <w:jc w:val="start"/>
        <w:rPr/>
      </w:pPr>
      <w:r>
        <w:rPr/>
        <w:t xml:space="preserve">US-listed stocks: dividends are taxed. A US resident pays tax per their income bracket. A resident of a country with </w:t>
      </w:r>
      <w:r>
        <w:rPr>
          <w:b/>
        </w:rPr>
        <w:t>no tax treaty with the US</w:t>
      </w:r>
      <w:r>
        <w:rPr/>
        <w:t xml:space="preserve"> (e.g., Singapore) pays a </w:t>
      </w:r>
      <w:r>
        <w:rPr>
          <w:b/>
        </w:rPr>
        <w:t>flat 30% withholding tax</w:t>
      </w:r>
      <w:r>
        <w:rPr/>
        <w:t xml:space="preserve"> — i.e., only 70% of each $1 of US dividend is received.</w:t>
      </w:r>
    </w:p>
    <w:p>
      <w:pPr>
        <w:pStyle w:val="BodyText"/>
        <w:numPr>
          <w:ilvl w:val="2"/>
          <w:numId w:val="12"/>
        </w:numPr>
        <w:tabs>
          <w:tab w:val="clear" w:pos="709"/>
          <w:tab w:val="left" w:pos="2127" w:leader="none"/>
        </w:tabs>
        <w:bidi w:val="0"/>
        <w:ind w:hanging="283" w:start="2127"/>
        <w:jc w:val="start"/>
        <w:rPr/>
      </w:pPr>
      <w:r>
        <w:rPr/>
        <w:t xml:space="preserve">Singapore or Hong Kong-listed stocks: dividends are generally </w:t>
      </w:r>
      <w:r>
        <w:rPr>
          <w:b/>
        </w:rPr>
        <w:t>tax-free</w:t>
      </w:r>
      <w:r>
        <w:rPr/>
        <w:t xml:space="preserve"> for the investor — though </w:t>
      </w:r>
      <w:r>
        <w:rPr>
          <w:b/>
        </w:rPr>
        <w:t>certain Hong Kong stocks carry a 10% withholding tax</w:t>
      </w:r>
      <w:r>
        <w:rPr/>
        <w:t>.</w:t>
      </w:r>
    </w:p>
    <w:p>
      <w:pPr>
        <w:pStyle w:val="BodyText"/>
        <w:numPr>
          <w:ilvl w:val="2"/>
          <w:numId w:val="12"/>
        </w:numPr>
        <w:tabs>
          <w:tab w:val="clear" w:pos="709"/>
          <w:tab w:val="left" w:pos="2127" w:leader="none"/>
        </w:tabs>
        <w:bidi w:val="0"/>
        <w:ind w:hanging="283" w:start="2127"/>
        <w:jc w:val="start"/>
        <w:rPr/>
      </w:pPr>
      <w:r>
        <w:rPr/>
        <w:t xml:space="preserve">Adam's personal preference: doesn't like buying </w:t>
      </w:r>
      <w:r>
        <w:rPr>
          <w:b/>
        </w:rPr>
        <w:t>US stocks for dividends</w:t>
      </w:r>
      <w:r>
        <w:rPr/>
        <w:t xml:space="preserve"> (30% tax hit); prefers US stocks for </w:t>
      </w:r>
      <w:r>
        <w:rPr>
          <w:b/>
        </w:rPr>
        <w:t>capital gains</w:t>
      </w:r>
      <w:r>
        <w:rPr/>
        <w:t xml:space="preserve"> (zero capital gains tax for a Singaporean). For dividend income specifically, he prefers </w:t>
      </w:r>
      <w:r>
        <w:rPr>
          <w:b/>
        </w:rPr>
        <w:t>Singapore-listed stocks</w:t>
      </w:r>
      <w:r>
        <w:rPr/>
        <w:t xml:space="preserve"> (no dividend tax).</w:t>
      </w:r>
    </w:p>
    <w:p>
      <w:pPr>
        <w:pStyle w:val="BodyText"/>
        <w:numPr>
          <w:ilvl w:val="0"/>
          <w:numId w:val="12"/>
        </w:numPr>
        <w:tabs>
          <w:tab w:val="clear" w:pos="709"/>
          <w:tab w:val="left" w:pos="709" w:leader="none"/>
        </w:tabs>
        <w:bidi w:val="0"/>
        <w:spacing w:before="0" w:after="0"/>
        <w:ind w:hanging="283" w:start="709"/>
        <w:jc w:val="start"/>
        <w:rPr/>
      </w:pPr>
      <w:r>
        <w:rPr>
          <w:b/>
        </w:rPr>
        <w:t>Share buybacks</w:t>
      </w:r>
      <w:r>
        <w:rPr/>
        <w:t xml:space="preserve"> — company uses profit to repurchase its own shares from the market and cancel them.</w:t>
      </w:r>
    </w:p>
    <w:p>
      <w:pPr>
        <w:pStyle w:val="BodyText"/>
        <w:numPr>
          <w:ilvl w:val="1"/>
          <w:numId w:val="12"/>
        </w:numPr>
        <w:tabs>
          <w:tab w:val="clear" w:pos="709"/>
          <w:tab w:val="left" w:pos="1418" w:leader="none"/>
        </w:tabs>
        <w:bidi w:val="0"/>
        <w:ind w:hanging="283" w:start="1418"/>
        <w:jc w:val="start"/>
        <w:rPr/>
      </w:pPr>
      <w:r>
        <w:rPr/>
        <w:t>Good when done while shares are undervalued and the business is healthy/growing profits.</w:t>
      </w:r>
    </w:p>
    <w:p>
      <w:pPr>
        <w:pStyle w:val="BodyText"/>
        <w:numPr>
          <w:ilvl w:val="1"/>
          <w:numId w:val="12"/>
        </w:numPr>
        <w:tabs>
          <w:tab w:val="clear" w:pos="709"/>
          <w:tab w:val="left" w:pos="1418" w:leader="none"/>
        </w:tabs>
        <w:bidi w:val="0"/>
        <w:ind w:hanging="283" w:start="1418"/>
        <w:jc w:val="start"/>
        <w:rPr/>
      </w:pPr>
      <w:r>
        <w:rPr/>
        <w:t>Mechanism: fewer shares outstanding → each remaining share represents a larger ownership slice → EPS rises (same total profit split among fewer shares) → over time this should push the share price higher.</w:t>
      </w:r>
    </w:p>
    <w:p>
      <w:pPr>
        <w:pStyle w:val="BodyText"/>
        <w:numPr>
          <w:ilvl w:val="1"/>
          <w:numId w:val="12"/>
        </w:numPr>
        <w:tabs>
          <w:tab w:val="clear" w:pos="709"/>
          <w:tab w:val="left" w:pos="1418" w:leader="none"/>
        </w:tabs>
        <w:bidi w:val="0"/>
        <w:ind w:hanging="283" w:start="1418"/>
        <w:jc w:val="start"/>
        <w:rPr/>
      </w:pPr>
      <w:r>
        <w:rPr>
          <w:b/>
        </w:rPr>
        <w:t>Extreme illustrative example:</w:t>
      </w:r>
      <w:r>
        <w:rPr/>
        <w:t xml:space="preserve"> if a company buys back and cancels </w:t>
      </w:r>
      <w:r>
        <w:rPr>
          <w:b/>
        </w:rPr>
        <w:t>half</w:t>
      </w:r>
      <w:r>
        <w:rPr/>
        <w:t xml:space="preserve"> of all its shares outstanding — Meta's 2,520 million shares ÷ 2 = </w:t>
      </w:r>
      <w:r>
        <w:rPr>
          <w:b/>
        </w:rPr>
        <w:t>1,260 million shares</w:t>
      </w:r>
      <w:r>
        <w:rPr/>
        <w:t xml:space="preserve"> remaining. Recomputing EPS: $55.54 billion ÷ 1.26 billion = EPS </w:t>
      </w:r>
      <w:r>
        <w:rPr>
          <w:b/>
        </w:rPr>
        <w:t xml:space="preserve">doubles from </w:t>
      </w:r>
      <w:r>
        <w:rPr>
          <w:b/>
          <w:strike/>
        </w:rPr>
        <w:t xml:space="preserve">$21 to </w:t>
      </w:r>
      <w:r>
        <w:rPr>
          <w:b/>
        </w:rPr>
        <w:t>$42 per share</w:t>
      </w:r>
      <w:r>
        <w:rPr/>
        <w:t>.</w:t>
      </w:r>
    </w:p>
    <w:p>
      <w:pPr>
        <w:pStyle w:val="BodyText"/>
        <w:numPr>
          <w:ilvl w:val="1"/>
          <w:numId w:val="12"/>
        </w:numPr>
        <w:tabs>
          <w:tab w:val="clear" w:pos="709"/>
          <w:tab w:val="left" w:pos="1418" w:leader="none"/>
        </w:tabs>
        <w:bidi w:val="0"/>
        <w:ind w:hanging="283" w:start="1418"/>
        <w:jc w:val="start"/>
        <w:rPr/>
      </w:pPr>
      <w:r>
        <w:rPr>
          <w:b/>
        </w:rPr>
        <w:t>Pizza analogy:</w:t>
      </w:r>
      <w:r>
        <w:rPr/>
        <w:t xml:space="preserve"> a pizza has 4 slices, you own 1 slice (25% of pizza). If the company buys back and cancels 2 slices, only 2 slices remain, and you still own 1 — now you own </w:t>
      </w:r>
      <w:r>
        <w:rPr>
          <w:b/>
        </w:rPr>
        <w:t>50%</w:t>
      </w:r>
      <w:r>
        <w:rPr/>
        <w:t xml:space="preserve"> of the pizza, without spending any additional money yourself. "The company buys shares on your behalf."</w:t>
      </w:r>
    </w:p>
    <w:p>
      <w:pPr>
        <w:pStyle w:val="BodyText"/>
        <w:numPr>
          <w:ilvl w:val="0"/>
          <w:numId w:val="12"/>
        </w:numPr>
        <w:tabs>
          <w:tab w:val="clear" w:pos="709"/>
          <w:tab w:val="left" w:pos="709" w:leader="none"/>
        </w:tabs>
        <w:bidi w:val="0"/>
        <w:spacing w:before="0" w:after="0"/>
        <w:ind w:hanging="283" w:start="709"/>
        <w:jc w:val="start"/>
        <w:rPr/>
      </w:pPr>
      <w:r>
        <w:rPr>
          <w:b/>
        </w:rPr>
        <w:t>Reinvest profits in the business</w:t>
      </w:r>
      <w:r>
        <w:rPr/>
        <w:t xml:space="preserve"> — via R&amp;D, entering new markets, building factories, new products — aiming to generate more future revenue/profit, which should raise intrinsic value and share price.</w:t>
      </w:r>
    </w:p>
    <w:p>
      <w:pPr>
        <w:pStyle w:val="BodyText"/>
        <w:numPr>
          <w:ilvl w:val="1"/>
          <w:numId w:val="12"/>
        </w:numPr>
        <w:tabs>
          <w:tab w:val="clear" w:pos="709"/>
          <w:tab w:val="left" w:pos="1418" w:leader="none"/>
        </w:tabs>
        <w:bidi w:val="0"/>
        <w:ind w:hanging="283" w:start="1418"/>
        <w:jc w:val="start"/>
        <w:rPr/>
      </w:pPr>
      <w:r>
        <w:rPr/>
        <w:t xml:space="preserve">Key metric to evaluate this option: </w:t>
      </w:r>
      <w:r>
        <w:rPr>
          <w:b/>
        </w:rPr>
        <w:t>Return on Invested Capital (ROIC)</w:t>
      </w:r>
      <w:r>
        <w:rPr/>
        <w:t>.</w:t>
      </w:r>
    </w:p>
    <w:p>
      <w:pPr>
        <w:pStyle w:val="BodyText"/>
        <w:numPr>
          <w:ilvl w:val="1"/>
          <w:numId w:val="12"/>
        </w:numPr>
        <w:tabs>
          <w:tab w:val="clear" w:pos="709"/>
          <w:tab w:val="left" w:pos="1418" w:leader="none"/>
        </w:tabs>
        <w:bidi w:val="0"/>
        <w:ind w:hanging="283" w:start="1418"/>
        <w:jc w:val="start"/>
        <w:rPr/>
      </w:pPr>
      <w:r>
        <w:rPr>
          <w:b/>
        </w:rPr>
        <w:t>Not available on Yahoo Finance</w:t>
      </w:r>
      <w:r>
        <w:rPr/>
        <w:t xml:space="preserve"> — Adam uses </w:t>
      </w:r>
      <w:r>
        <w:rPr>
          <w:b/>
        </w:rPr>
        <w:t>Stock Oracle</w:t>
      </w:r>
      <w:r>
        <w:rPr/>
        <w:t xml:space="preserve"> (</w:t>
      </w:r>
      <w:r>
        <w:rPr>
          <w:b/>
        </w:rPr>
        <w:t>app.stockoracle.com</w:t>
      </w:r>
      <w:r>
        <w:rPr/>
        <w:t>) instead, found under "Company Metrics" (as a chart or as a standalone favorited metric).</w:t>
      </w:r>
    </w:p>
    <w:p>
      <w:pPr>
        <w:pStyle w:val="BodyText"/>
        <w:numPr>
          <w:ilvl w:val="1"/>
          <w:numId w:val="12"/>
        </w:numPr>
        <w:tabs>
          <w:tab w:val="clear" w:pos="709"/>
          <w:tab w:val="left" w:pos="1418" w:leader="none"/>
        </w:tabs>
        <w:bidi w:val="0"/>
        <w:ind w:hanging="283" w:start="1418"/>
        <w:jc w:val="start"/>
        <w:rPr/>
      </w:pPr>
      <w:r>
        <w:rPr>
          <w:b/>
        </w:rPr>
        <w:t>Meta ROIC (TTM) = 22.81%.</w:t>
      </w:r>
    </w:p>
    <w:p>
      <w:pPr>
        <w:pStyle w:val="BodyText"/>
        <w:numPr>
          <w:ilvl w:val="1"/>
          <w:numId w:val="12"/>
        </w:numPr>
        <w:tabs>
          <w:tab w:val="clear" w:pos="709"/>
          <w:tab w:val="left" w:pos="1418" w:leader="none"/>
        </w:tabs>
        <w:bidi w:val="0"/>
        <w:ind w:hanging="283" w:start="1418"/>
        <w:jc w:val="start"/>
        <w:rPr/>
      </w:pPr>
      <w:r>
        <w:rPr>
          <w:b/>
        </w:rPr>
        <w:t>Benchmarks:</w:t>
      </w:r>
      <w:r>
        <w:rPr/>
        <w:t xml:space="preserve"> ROIC of </w:t>
      </w:r>
      <w:r>
        <w:rPr>
          <w:b/>
        </w:rPr>
        <w:t>12% and above</w:t>
      </w:r>
      <w:r>
        <w:rPr/>
        <w:t xml:space="preserve"> = good business; </w:t>
      </w:r>
      <w:r>
        <w:rPr>
          <w:b/>
        </w:rPr>
        <w:t>15%+</w:t>
      </w:r>
      <w:r>
        <w:rPr/>
        <w:t xml:space="preserve"> = excellent business.</w:t>
      </w:r>
    </w:p>
    <w:p>
      <w:pPr>
        <w:pStyle w:val="BodyText"/>
        <w:numPr>
          <w:ilvl w:val="1"/>
          <w:numId w:val="12"/>
        </w:numPr>
        <w:tabs>
          <w:tab w:val="clear" w:pos="709"/>
          <w:tab w:val="left" w:pos="1418" w:leader="none"/>
        </w:tabs>
        <w:bidi w:val="0"/>
        <w:ind w:hanging="283" w:start="1418"/>
        <w:jc w:val="start"/>
        <w:rPr/>
      </w:pPr>
      <w:r>
        <w:rPr>
          <w:b/>
        </w:rPr>
        <w:t>ROIC does not apply to:</w:t>
      </w:r>
      <w:r>
        <w:rPr/>
        <w:t xml:space="preserve"> financial-services companies (banks, insurers) — use </w:t>
      </w:r>
      <w:r>
        <w:rPr>
          <w:b/>
        </w:rPr>
        <w:t>Return on Equity (ROE)</w:t>
      </w:r>
      <w:r>
        <w:rPr/>
        <w:t xml:space="preserve"> instead for those; also does not apply to </w:t>
      </w:r>
      <w:r>
        <w:rPr>
          <w:b/>
        </w:rPr>
        <w:t>REITs</w:t>
      </w:r>
      <w:r>
        <w:rPr/>
        <w:t xml:space="preserve"> (Real Estate Investment Trusts). Applies to all other company types.</w:t>
      </w:r>
    </w:p>
    <w:p>
      <w:pPr>
        <w:pStyle w:val="BodyText"/>
        <w:numPr>
          <w:ilvl w:val="1"/>
          <w:numId w:val="12"/>
        </w:numPr>
        <w:tabs>
          <w:tab w:val="clear" w:pos="709"/>
          <w:tab w:val="left" w:pos="1418" w:leader="none"/>
        </w:tabs>
        <w:bidi w:val="0"/>
        <w:ind w:hanging="283" w:start="1418"/>
        <w:jc w:val="start"/>
        <w:rPr/>
      </w:pPr>
      <w:r>
        <w:rPr/>
        <w:t>Interpretation: Meta grows reinvested profits internally at ~22.81%/year on average — an investor must weigh whether they could personally beat that return if paid out as a dividend instead.</w:t>
      </w:r>
    </w:p>
    <w:p>
      <w:pPr>
        <w:pStyle w:val="BodyText"/>
        <w:numPr>
          <w:ilvl w:val="1"/>
          <w:numId w:val="12"/>
        </w:numPr>
        <w:tabs>
          <w:tab w:val="clear" w:pos="709"/>
          <w:tab w:val="left" w:pos="1418" w:leader="none"/>
        </w:tabs>
        <w:bidi w:val="0"/>
        <w:ind w:hanging="283" w:start="1418"/>
        <w:jc w:val="start"/>
        <w:rPr/>
      </w:pPr>
      <w:r>
        <w:rPr>
          <w:b/>
        </w:rPr>
        <w:t>Warren Buffett / Berkshire Hathaway example:</w:t>
      </w:r>
      <w:r>
        <w:rPr/>
        <w:t xml:space="preserve"> Berkshire has never paid a dividend in </w:t>
      </w:r>
      <w:r>
        <w:rPr>
          <w:b/>
        </w:rPr>
        <w:t>60 years</w:t>
      </w:r>
      <w:r>
        <w:rPr/>
        <w:t>, despite Buffett being the largest shareholder — he prefers reinvesting internally at a high ROIC, compounding his wealth tax-free.</w:t>
      </w:r>
    </w:p>
    <w:p>
      <w:pPr>
        <w:pStyle w:val="BodyText"/>
        <w:numPr>
          <w:ilvl w:val="0"/>
          <w:numId w:val="12"/>
        </w:numPr>
        <w:tabs>
          <w:tab w:val="clear" w:pos="709"/>
          <w:tab w:val="left" w:pos="709" w:leader="none"/>
        </w:tabs>
        <w:bidi w:val="0"/>
        <w:spacing w:before="0" w:after="0"/>
        <w:ind w:hanging="283" w:start="709"/>
        <w:jc w:val="start"/>
        <w:rPr/>
      </w:pPr>
      <w:r>
        <w:rPr>
          <w:b/>
        </w:rPr>
        <w:t>Retain the cash (retained earnings)</w:t>
      </w:r>
      <w:r>
        <w:rPr/>
        <w:t xml:space="preserve"> — company simply keeps the profit without returning it via any of the above three methods.</w:t>
      </w:r>
    </w:p>
    <w:p>
      <w:pPr>
        <w:pStyle w:val="BodyText"/>
        <w:numPr>
          <w:ilvl w:val="1"/>
          <w:numId w:val="12"/>
        </w:numPr>
        <w:tabs>
          <w:tab w:val="clear" w:pos="709"/>
          <w:tab w:val="left" w:pos="1418" w:leader="none"/>
        </w:tabs>
        <w:bidi w:val="0"/>
        <w:ind w:hanging="283" w:start="1418"/>
        <w:jc w:val="start"/>
        <w:rPr/>
      </w:pPr>
      <w:r>
        <w:rPr/>
        <w:t>Shareholders generally dislike this: "why are you keeping my cash?" — not returned as dividend, buyback, or productive reinvestment.</w:t>
      </w:r>
    </w:p>
    <w:p>
      <w:pPr>
        <w:pStyle w:val="BodyText"/>
        <w:numPr>
          <w:ilvl w:val="1"/>
          <w:numId w:val="12"/>
        </w:numPr>
        <w:tabs>
          <w:tab w:val="clear" w:pos="709"/>
          <w:tab w:val="left" w:pos="1418" w:leader="none"/>
        </w:tabs>
        <w:bidi w:val="0"/>
        <w:ind w:hanging="283" w:start="1418"/>
        <w:jc w:val="start"/>
        <w:rPr/>
      </w:pPr>
      <w:r>
        <w:rPr/>
        <w:t xml:space="preserve">Adam's preference: companies that return capital via the </w:t>
      </w:r>
      <w:r>
        <w:rPr>
          <w:b/>
        </w:rPr>
        <w:t>first three</w:t>
      </w:r>
      <w:r>
        <w:rPr/>
        <w:t xml:space="preserve"> methods.</w:t>
      </w:r>
    </w:p>
    <w:p>
      <w:pPr>
        <w:pStyle w:val="HorizontalLine"/>
        <w:bidi w:val="0"/>
        <w:jc w:val="start"/>
        <w:rPr/>
      </w:pPr>
      <w:r>
        <w:rPr/>
      </w:r>
    </w:p>
    <w:p>
      <w:pPr>
        <w:pStyle w:val="Heading3"/>
        <w:bidi w:val="0"/>
        <w:ind w:hanging="0" w:start="0"/>
        <w:jc w:val="start"/>
        <w:rPr/>
      </w:pPr>
      <w:r>
        <w:rPr/>
        <w:t>Market Capitalization</w:t>
      </w:r>
    </w:p>
    <w:p>
      <w:pPr>
        <w:pStyle w:val="BodyText"/>
        <w:numPr>
          <w:ilvl w:val="0"/>
          <w:numId w:val="13"/>
        </w:numPr>
        <w:tabs>
          <w:tab w:val="clear" w:pos="709"/>
          <w:tab w:val="left" w:pos="709" w:leader="none"/>
        </w:tabs>
        <w:bidi w:val="0"/>
        <w:ind w:hanging="283" w:start="709"/>
        <w:jc w:val="start"/>
        <w:rPr/>
      </w:pPr>
      <w:r>
        <w:rPr>
          <w:b/>
        </w:rPr>
        <w:t>Formula:</w:t>
      </w:r>
      <w:r>
        <w:rPr/>
        <w:t xml:space="preserve"> Market Cap = Share price × Total shares outstanding (theoretical cost to buy 100% of the company).</w:t>
      </w:r>
    </w:p>
    <w:p>
      <w:pPr>
        <w:pStyle w:val="BodyText"/>
        <w:numPr>
          <w:ilvl w:val="0"/>
          <w:numId w:val="13"/>
        </w:numPr>
        <w:tabs>
          <w:tab w:val="clear" w:pos="709"/>
          <w:tab w:val="left" w:pos="709" w:leader="none"/>
        </w:tabs>
        <w:bidi w:val="0"/>
        <w:ind w:hanging="283" w:start="709"/>
        <w:jc w:val="start"/>
        <w:rPr/>
      </w:pPr>
      <w:r>
        <w:rPr/>
        <w:t>No need to calculate manually — available on any finance website.</w:t>
      </w:r>
    </w:p>
    <w:p>
      <w:pPr>
        <w:pStyle w:val="BodyText"/>
        <w:numPr>
          <w:ilvl w:val="0"/>
          <w:numId w:val="13"/>
        </w:numPr>
        <w:tabs>
          <w:tab w:val="clear" w:pos="709"/>
          <w:tab w:val="left" w:pos="709" w:leader="none"/>
        </w:tabs>
        <w:bidi w:val="0"/>
        <w:ind w:hanging="283" w:start="709"/>
        <w:jc w:val="start"/>
        <w:rPr/>
      </w:pPr>
      <w:r>
        <w:rPr>
          <w:b/>
        </w:rPr>
        <w:t>Meta example:</w:t>
      </w:r>
      <w:r>
        <w:rPr/>
        <w:t xml:space="preserve"> Share price ~$599.81 × shares outstanding → </w:t>
      </w:r>
      <w:r>
        <w:rPr>
          <w:b/>
        </w:rPr>
        <w:t>Market cap = $1.51 trillion</w:t>
      </w:r>
      <w:r>
        <w:rPr/>
        <w:t xml:space="preserve"> (i.e., </w:t>
      </w:r>
      <w:r>
        <w:rPr>
          <w:b/>
        </w:rPr>
        <w:t>$1,514 billion</w:t>
      </w:r>
      <w:r>
        <w:rPr/>
        <w:t>; 1 trillion = 1,000 billion).</w:t>
      </w:r>
    </w:p>
    <w:p>
      <w:pPr>
        <w:pStyle w:val="BodyText"/>
        <w:numPr>
          <w:ilvl w:val="0"/>
          <w:numId w:val="13"/>
        </w:numPr>
        <w:tabs>
          <w:tab w:val="clear" w:pos="709"/>
          <w:tab w:val="left" w:pos="709" w:leader="none"/>
        </w:tabs>
        <w:bidi w:val="0"/>
        <w:spacing w:before="0" w:after="0"/>
        <w:ind w:hanging="283" w:start="709"/>
        <w:jc w:val="start"/>
        <w:rPr/>
      </w:pPr>
      <w:r>
        <w:rPr>
          <w:b/>
        </w:rPr>
        <w:t>Company size classifications by market cap:</w:t>
      </w:r>
    </w:p>
    <w:p>
      <w:pPr>
        <w:pStyle w:val="BodyText"/>
        <w:numPr>
          <w:ilvl w:val="1"/>
          <w:numId w:val="13"/>
        </w:numPr>
        <w:tabs>
          <w:tab w:val="clear" w:pos="709"/>
          <w:tab w:val="left" w:pos="1418" w:leader="none"/>
        </w:tabs>
        <w:bidi w:val="0"/>
        <w:ind w:hanging="283" w:start="1418"/>
        <w:jc w:val="start"/>
        <w:rPr/>
      </w:pPr>
      <w:r>
        <w:rPr>
          <w:b/>
        </w:rPr>
        <w:t>Large-cap:</w:t>
      </w:r>
      <w:r>
        <w:rPr/>
        <w:t xml:space="preserve"> $10 billion or more.</w:t>
      </w:r>
    </w:p>
    <w:p>
      <w:pPr>
        <w:pStyle w:val="BodyText"/>
        <w:numPr>
          <w:ilvl w:val="1"/>
          <w:numId w:val="13"/>
        </w:numPr>
        <w:tabs>
          <w:tab w:val="clear" w:pos="709"/>
          <w:tab w:val="left" w:pos="1418" w:leader="none"/>
        </w:tabs>
        <w:bidi w:val="0"/>
        <w:ind w:hanging="283" w:start="1418"/>
        <w:jc w:val="start"/>
        <w:rPr/>
      </w:pPr>
      <w:r>
        <w:rPr>
          <w:b/>
        </w:rPr>
        <w:t>Mid-cap:</w:t>
      </w:r>
      <w:r>
        <w:rPr/>
        <w:t xml:space="preserve"> $2 billion – $10 billion.</w:t>
      </w:r>
    </w:p>
    <w:p>
      <w:pPr>
        <w:pStyle w:val="BodyText"/>
        <w:numPr>
          <w:ilvl w:val="1"/>
          <w:numId w:val="13"/>
        </w:numPr>
        <w:tabs>
          <w:tab w:val="clear" w:pos="709"/>
          <w:tab w:val="left" w:pos="1418" w:leader="none"/>
        </w:tabs>
        <w:bidi w:val="0"/>
        <w:ind w:hanging="283" w:start="1418"/>
        <w:jc w:val="start"/>
        <w:rPr/>
      </w:pPr>
      <w:r>
        <w:rPr>
          <w:b/>
        </w:rPr>
        <w:t>Small-cap:</w:t>
      </w:r>
      <w:r>
        <w:rPr/>
        <w:t xml:space="preserve"> less than $2 billion.</w:t>
      </w:r>
    </w:p>
    <w:p>
      <w:pPr>
        <w:pStyle w:val="BodyText"/>
        <w:numPr>
          <w:ilvl w:val="0"/>
          <w:numId w:val="13"/>
        </w:numPr>
        <w:tabs>
          <w:tab w:val="clear" w:pos="709"/>
          <w:tab w:val="left" w:pos="709" w:leader="none"/>
        </w:tabs>
        <w:bidi w:val="0"/>
        <w:ind w:hanging="283" w:start="709"/>
        <w:jc w:val="start"/>
        <w:rPr/>
      </w:pPr>
      <w:r>
        <w:rPr/>
        <w:t xml:space="preserve">It doesn't matter which size category a company falls into as long as it meets the course's investment criteria — but Adam personally buys </w:t>
      </w:r>
      <w:r>
        <w:rPr>
          <w:b/>
        </w:rPr>
        <w:t>mostly large-cap companies</w:t>
      </w:r>
      <w:r>
        <w:rPr/>
        <w:t>, believing they are generally the "strongest and safest" in the markets.</w:t>
      </w:r>
    </w:p>
    <w:p>
      <w:pPr>
        <w:pStyle w:val="HorizontalLine"/>
        <w:bidi w:val="0"/>
        <w:jc w:val="start"/>
        <w:rPr/>
      </w:pPr>
      <w:r>
        <w:rPr/>
      </w:r>
    </w:p>
    <w:p>
      <w:pPr>
        <w:pStyle w:val="Heading3"/>
        <w:bidi w:val="0"/>
        <w:ind w:hanging="0" w:start="0"/>
        <w:jc w:val="start"/>
        <w:rPr/>
      </w:pPr>
      <w:r>
        <w:rPr/>
        <w:t>P/E and PEG Ratio</w:t>
      </w:r>
    </w:p>
    <w:p>
      <w:pPr>
        <w:pStyle w:val="Heading4"/>
        <w:bidi w:val="0"/>
        <w:ind w:hanging="0" w:start="0"/>
        <w:jc w:val="start"/>
        <w:rPr/>
      </w:pPr>
      <w:r>
        <w:rPr/>
        <w:t>Price-to-Earnings (P/E) Ratio</w:t>
      </w:r>
    </w:p>
    <w:p>
      <w:pPr>
        <w:pStyle w:val="BodyText"/>
        <w:numPr>
          <w:ilvl w:val="0"/>
          <w:numId w:val="14"/>
        </w:numPr>
        <w:tabs>
          <w:tab w:val="clear" w:pos="709"/>
          <w:tab w:val="left" w:pos="709" w:leader="none"/>
        </w:tabs>
        <w:bidi w:val="0"/>
        <w:ind w:hanging="283" w:start="709"/>
        <w:jc w:val="start"/>
        <w:rPr/>
      </w:pPr>
      <w:r>
        <w:rPr>
          <w:b/>
        </w:rPr>
        <w:t>Formula:</w:t>
      </w:r>
      <w:r>
        <w:rPr/>
        <w:t xml:space="preserve"> P/E = Share price ÷ EPS.</w:t>
      </w:r>
    </w:p>
    <w:p>
      <w:pPr>
        <w:pStyle w:val="BodyText"/>
        <w:numPr>
          <w:ilvl w:val="0"/>
          <w:numId w:val="14"/>
        </w:numPr>
        <w:tabs>
          <w:tab w:val="clear" w:pos="709"/>
          <w:tab w:val="left" w:pos="709" w:leader="none"/>
        </w:tabs>
        <w:bidi w:val="0"/>
        <w:ind w:hanging="283" w:start="709"/>
        <w:jc w:val="start"/>
        <w:rPr/>
      </w:pPr>
      <w:r>
        <w:rPr>
          <w:b/>
        </w:rPr>
        <w:t>Meta example:</w:t>
      </w:r>
      <w:r>
        <w:rPr/>
        <w:t xml:space="preserve"> $599 ÷ $21.70 (approx.) = </w:t>
      </w:r>
      <w:r>
        <w:rPr>
          <w:b/>
        </w:rPr>
        <w:t>28.31×</w:t>
      </w:r>
      <w:r>
        <w:rPr/>
        <w:t xml:space="preserve"> (Yahoo Finance's own precomputed figure showed </w:t>
      </w:r>
      <w:r>
        <w:rPr>
          <w:b/>
        </w:rPr>
        <w:t>28.33×</w:t>
      </w:r>
      <w:r>
        <w:rPr/>
        <w:t>, a slight rounding difference). Based on trailing twelve months (TTM) earnings.</w:t>
      </w:r>
    </w:p>
    <w:p>
      <w:pPr>
        <w:pStyle w:val="BodyText"/>
        <w:numPr>
          <w:ilvl w:val="0"/>
          <w:numId w:val="14"/>
        </w:numPr>
        <w:tabs>
          <w:tab w:val="clear" w:pos="709"/>
          <w:tab w:val="left" w:pos="709" w:leader="none"/>
        </w:tabs>
        <w:bidi w:val="0"/>
        <w:ind w:hanging="283" w:start="709"/>
        <w:jc w:val="start"/>
        <w:rPr/>
      </w:pPr>
      <w:r>
        <w:rPr/>
        <w:t>P/E changes constantly — every second while the market is open, since price fluctuates continuously.</w:t>
      </w:r>
    </w:p>
    <w:p>
      <w:pPr>
        <w:pStyle w:val="BodyText"/>
        <w:numPr>
          <w:ilvl w:val="0"/>
          <w:numId w:val="14"/>
        </w:numPr>
        <w:tabs>
          <w:tab w:val="clear" w:pos="709"/>
          <w:tab w:val="left" w:pos="709" w:leader="none"/>
        </w:tabs>
        <w:bidi w:val="0"/>
        <w:ind w:hanging="283" w:start="709"/>
        <w:jc w:val="start"/>
        <w:rPr/>
      </w:pPr>
      <w:r>
        <w:rPr>
          <w:b/>
        </w:rPr>
        <w:t>Interpretation:</w:t>
      </w:r>
      <w:r>
        <w:rPr/>
        <w:t xml:space="preserve"> P/E of 28× means you pay $28 for every $1 of annual earnings per share — theoretically it would take 28 years of flat $21/year earnings to "get back" your $599 investment.</w:t>
      </w:r>
    </w:p>
    <w:p>
      <w:pPr>
        <w:pStyle w:val="BodyText"/>
        <w:numPr>
          <w:ilvl w:val="0"/>
          <w:numId w:val="14"/>
        </w:numPr>
        <w:tabs>
          <w:tab w:val="clear" w:pos="709"/>
          <w:tab w:val="left" w:pos="709" w:leader="none"/>
        </w:tabs>
        <w:bidi w:val="0"/>
        <w:ind w:hanging="283" w:start="709"/>
        <w:jc w:val="start"/>
        <w:rPr/>
      </w:pPr>
      <w:r>
        <w:rPr>
          <w:b/>
        </w:rPr>
        <w:t>But</w:t>
      </w:r>
      <w:r>
        <w:rPr/>
        <w:t xml:space="preserve"> this ignores earnings growth. Illustrative extreme example: if EPS were to </w:t>
      </w:r>
      <w:r>
        <w:rPr>
          <w:b/>
        </w:rPr>
        <w:t>double every year</w:t>
      </w:r>
      <w:r>
        <w:rPr/>
        <w:t xml:space="preserve"> (100% growth) starting from $21 → $42 → $84 → $168 → $336, cumulative profit exceeds $650 (the cost of the share) in under 5 years, not 28.</w:t>
      </w:r>
    </w:p>
    <w:p>
      <w:pPr>
        <w:pStyle w:val="BodyText"/>
        <w:numPr>
          <w:ilvl w:val="0"/>
          <w:numId w:val="14"/>
        </w:numPr>
        <w:tabs>
          <w:tab w:val="clear" w:pos="709"/>
          <w:tab w:val="left" w:pos="709" w:leader="none"/>
        </w:tabs>
        <w:bidi w:val="0"/>
        <w:ind w:hanging="283" w:start="709"/>
        <w:jc w:val="start"/>
        <w:rPr/>
      </w:pPr>
      <w:r>
        <w:rPr>
          <w:b/>
        </w:rPr>
        <w:t>Core teaching:</w:t>
      </w:r>
      <w:r>
        <w:rPr/>
        <w:t xml:space="preserve"> "P/E ratio by itself is quite useless / meaningless" unless you know the earnings growth rate. A common investor mistake: assuming low P/E = cheap and high P/E = expensive. This is false — a high-P/E stock can be cheap if growth is high, and a low-P/E stock can be expensive if growth is low.</w:t>
      </w:r>
    </w:p>
    <w:p>
      <w:pPr>
        <w:pStyle w:val="Heading4"/>
        <w:numPr>
          <w:ilvl w:val="0"/>
          <w:numId w:val="0"/>
        </w:numPr>
        <w:bidi w:val="0"/>
        <w:ind w:hanging="0" w:start="0"/>
        <w:jc w:val="start"/>
        <w:rPr/>
      </w:pPr>
      <w:r>
        <w:rPr/>
        <w:t>Finding Earnings Growth Projections</w:t>
      </w:r>
    </w:p>
    <w:p>
      <w:pPr>
        <w:pStyle w:val="BodyText"/>
        <w:numPr>
          <w:ilvl w:val="0"/>
          <w:numId w:val="15"/>
        </w:numPr>
        <w:tabs>
          <w:tab w:val="clear" w:pos="709"/>
          <w:tab w:val="left" w:pos="709" w:leader="none"/>
        </w:tabs>
        <w:bidi w:val="0"/>
        <w:spacing w:before="0" w:after="0"/>
        <w:ind w:hanging="283" w:start="709"/>
        <w:jc w:val="start"/>
        <w:rPr/>
      </w:pPr>
      <w:r>
        <w:rPr/>
        <w:t>Previously available free on Yahoo Finance and GuruFocus, but both removed this data. Two current free sources:</w:t>
      </w:r>
    </w:p>
    <w:p>
      <w:pPr>
        <w:pStyle w:val="BodyText"/>
        <w:numPr>
          <w:ilvl w:val="1"/>
          <w:numId w:val="15"/>
        </w:numPr>
        <w:tabs>
          <w:tab w:val="clear" w:pos="709"/>
          <w:tab w:val="left" w:pos="1418" w:leader="none"/>
        </w:tabs>
        <w:bidi w:val="0"/>
        <w:spacing w:before="0" w:after="0"/>
        <w:ind w:hanging="283" w:start="1418"/>
        <w:jc w:val="start"/>
        <w:rPr/>
      </w:pPr>
      <w:r>
        <w:rPr>
          <w:b/>
        </w:rPr>
        <w:t>finviz.com</w:t>
      </w:r>
      <w:r>
        <w:rPr/>
        <w:t xml:space="preserve"> — shows past 5-year growth and projected next-5-year growth.</w:t>
      </w:r>
    </w:p>
    <w:p>
      <w:pPr>
        <w:pStyle w:val="BodyText"/>
        <w:numPr>
          <w:ilvl w:val="2"/>
          <w:numId w:val="15"/>
        </w:numPr>
        <w:tabs>
          <w:tab w:val="clear" w:pos="709"/>
          <w:tab w:val="left" w:pos="2127" w:leader="none"/>
        </w:tabs>
        <w:bidi w:val="0"/>
        <w:ind w:hanging="283" w:start="2127"/>
        <w:jc w:val="start"/>
        <w:rPr/>
      </w:pPr>
      <w:r>
        <w:rPr/>
        <w:t xml:space="preserve">Meta: past 5-year EPS growth = </w:t>
      </w:r>
      <w:r>
        <w:rPr>
          <w:b/>
        </w:rPr>
        <w:t>14%</w:t>
      </w:r>
      <w:r>
        <w:rPr/>
        <w:t xml:space="preserve">; projected next 5-year growth = </w:t>
      </w:r>
      <w:r>
        <w:rPr>
          <w:b/>
        </w:rPr>
        <w:t>17%</w:t>
      </w:r>
      <w:r>
        <w:rPr/>
        <w:t>.</w:t>
      </w:r>
    </w:p>
    <w:p>
      <w:pPr>
        <w:pStyle w:val="BodyText"/>
        <w:numPr>
          <w:ilvl w:val="1"/>
          <w:numId w:val="15"/>
        </w:numPr>
        <w:tabs>
          <w:tab w:val="clear" w:pos="709"/>
          <w:tab w:val="left" w:pos="1418" w:leader="none"/>
        </w:tabs>
        <w:bidi w:val="0"/>
        <w:spacing w:before="0" w:after="0"/>
        <w:ind w:hanging="283" w:start="1418"/>
        <w:jc w:val="start"/>
        <w:rPr/>
      </w:pPr>
      <w:r>
        <w:rPr>
          <w:b/>
        </w:rPr>
        <w:t>zacks.com</w:t>
      </w:r>
      <w:r>
        <w:rPr/>
        <w:t xml:space="preserve"> — a second opinion source (Adam recommends getting more than one growth estimate).</w:t>
      </w:r>
    </w:p>
    <w:p>
      <w:pPr>
        <w:pStyle w:val="BodyText"/>
        <w:numPr>
          <w:ilvl w:val="2"/>
          <w:numId w:val="15"/>
        </w:numPr>
        <w:tabs>
          <w:tab w:val="clear" w:pos="709"/>
          <w:tab w:val="left" w:pos="2127" w:leader="none"/>
        </w:tabs>
        <w:bidi w:val="0"/>
        <w:ind w:hanging="283" w:start="2127"/>
        <w:jc w:val="start"/>
        <w:rPr/>
      </w:pPr>
      <w:r>
        <w:rPr/>
        <w:t xml:space="preserve">Meta: projected earnings growth = </w:t>
      </w:r>
      <w:r>
        <w:rPr>
          <w:b/>
        </w:rPr>
        <w:t>20.05%</w:t>
      </w:r>
      <w:r>
        <w:rPr/>
        <w:t>.</w:t>
      </w:r>
    </w:p>
    <w:p>
      <w:pPr>
        <w:pStyle w:val="BodyText"/>
        <w:numPr>
          <w:ilvl w:val="1"/>
          <w:numId w:val="15"/>
        </w:numPr>
        <w:tabs>
          <w:tab w:val="clear" w:pos="709"/>
          <w:tab w:val="left" w:pos="1418" w:leader="none"/>
        </w:tabs>
        <w:bidi w:val="0"/>
        <w:ind w:hanging="283" w:start="1418"/>
        <w:jc w:val="start"/>
        <w:rPr/>
      </w:pPr>
      <w:r>
        <w:rPr/>
        <w:t xml:space="preserve">Combined range used for Meta: </w:t>
      </w:r>
      <w:r>
        <w:rPr>
          <w:b/>
        </w:rPr>
        <w:t>17%–20%</w:t>
      </w:r>
      <w:r>
        <w:rPr/>
        <w:t xml:space="preserve"> projected growth.</w:t>
      </w:r>
    </w:p>
    <w:p>
      <w:pPr>
        <w:pStyle w:val="Heading4"/>
        <w:numPr>
          <w:ilvl w:val="0"/>
          <w:numId w:val="0"/>
        </w:numPr>
        <w:bidi w:val="0"/>
        <w:ind w:hanging="0" w:start="0"/>
        <w:jc w:val="start"/>
        <w:rPr/>
      </w:pPr>
      <w:r>
        <w:rPr/>
        <w:t>PEG (or "PEC") Ratio</w:t>
      </w:r>
    </w:p>
    <w:p>
      <w:pPr>
        <w:pStyle w:val="BodyText"/>
        <w:numPr>
          <w:ilvl w:val="0"/>
          <w:numId w:val="16"/>
        </w:numPr>
        <w:tabs>
          <w:tab w:val="clear" w:pos="709"/>
          <w:tab w:val="left" w:pos="709" w:leader="none"/>
        </w:tabs>
        <w:bidi w:val="0"/>
        <w:ind w:hanging="283" w:start="709"/>
        <w:jc w:val="start"/>
        <w:rPr/>
      </w:pPr>
      <w:r>
        <w:rPr/>
        <w:t xml:space="preserve">Theoretical rule: for a </w:t>
      </w:r>
      <w:r>
        <w:rPr>
          <w:b/>
        </w:rPr>
        <w:t>fairly valued company</w:t>
      </w:r>
      <w:r>
        <w:rPr/>
        <w:t>, the P/E ratio should roughly equal the earnings growth rate (e.g., 15% growth → P/E of 15; 5% growth → P/E of 5; 20% growth → P/E of 20).</w:t>
      </w:r>
    </w:p>
    <w:p>
      <w:pPr>
        <w:pStyle w:val="BodyText"/>
        <w:numPr>
          <w:ilvl w:val="0"/>
          <w:numId w:val="16"/>
        </w:numPr>
        <w:tabs>
          <w:tab w:val="clear" w:pos="709"/>
          <w:tab w:val="left" w:pos="709" w:leader="none"/>
        </w:tabs>
        <w:bidi w:val="0"/>
        <w:ind w:hanging="283" w:start="709"/>
        <w:jc w:val="start"/>
        <w:rPr/>
      </w:pPr>
      <w:r>
        <w:rPr>
          <w:b/>
        </w:rPr>
        <w:t>Formula:</w:t>
      </w:r>
      <w:r>
        <w:rPr/>
        <w:t xml:space="preserve"> PEG = P/E ratio ÷ Earnings growth rate (%).</w:t>
      </w:r>
    </w:p>
    <w:p>
      <w:pPr>
        <w:pStyle w:val="BodyText"/>
        <w:numPr>
          <w:ilvl w:val="0"/>
          <w:numId w:val="16"/>
        </w:numPr>
        <w:tabs>
          <w:tab w:val="clear" w:pos="709"/>
          <w:tab w:val="left" w:pos="709" w:leader="none"/>
        </w:tabs>
        <w:bidi w:val="0"/>
        <w:ind w:hanging="283" w:start="709"/>
        <w:jc w:val="start"/>
        <w:rPr/>
      </w:pPr>
      <w:r>
        <w:rPr>
          <w:b/>
        </w:rPr>
        <w:t>Meta example:</w:t>
      </w:r>
      <w:r>
        <w:rPr/>
        <w:t xml:space="preserve"> P/E 28.31 ÷ 20 (using 20% growth) = </w:t>
      </w:r>
      <w:r>
        <w:rPr>
          <w:b/>
        </w:rPr>
        <w:t>PEG 1.41</w:t>
      </w:r>
      <w:r>
        <w:rPr/>
        <w:t>.</w:t>
      </w:r>
    </w:p>
    <w:p>
      <w:pPr>
        <w:pStyle w:val="BodyText"/>
        <w:numPr>
          <w:ilvl w:val="0"/>
          <w:numId w:val="16"/>
        </w:numPr>
        <w:tabs>
          <w:tab w:val="clear" w:pos="709"/>
          <w:tab w:val="left" w:pos="709" w:leader="none"/>
        </w:tabs>
        <w:bidi w:val="0"/>
        <w:ind w:hanging="283" w:start="709"/>
        <w:jc w:val="start"/>
        <w:rPr/>
      </w:pPr>
      <w:r>
        <w:rPr>
          <w:b/>
        </w:rPr>
        <w:t>Textbook/theoretical interpretation:</w:t>
      </w:r>
      <w:r>
        <w:rPr/>
        <w:t xml:space="preserve"> PEG &gt; 1 = expensive; PEG &lt; 1 = undervalued.</w:t>
      </w:r>
    </w:p>
    <w:p>
      <w:pPr>
        <w:pStyle w:val="BodyText"/>
        <w:numPr>
          <w:ilvl w:val="0"/>
          <w:numId w:val="16"/>
        </w:numPr>
        <w:tabs>
          <w:tab w:val="clear" w:pos="709"/>
          <w:tab w:val="left" w:pos="709" w:leader="none"/>
        </w:tabs>
        <w:bidi w:val="0"/>
        <w:spacing w:before="0" w:after="0"/>
        <w:ind w:hanging="283" w:start="709"/>
        <w:jc w:val="start"/>
        <w:rPr/>
      </w:pPr>
      <w:r>
        <w:rPr>
          <w:b/>
        </w:rPr>
        <w:t>Adam's practical/real-world rule (differs from pure theory):</w:t>
      </w:r>
      <w:r>
        <w:rPr/>
        <w:t xml:space="preserve"> Strictly requiring PEG &lt; 1 finds very cheap stocks but causes you to </w:t>
      </w:r>
      <w:r>
        <w:rPr>
          <w:b/>
        </w:rPr>
        <w:t>miss many great companies</w:t>
      </w:r>
      <w:r>
        <w:rPr/>
        <w:t xml:space="preserve">. Adam's threshold: PEG up to </w:t>
      </w:r>
      <w:r>
        <w:rPr>
          <w:b/>
        </w:rPr>
        <w:t>1.5</w:t>
      </w:r>
      <w:r>
        <w:rPr/>
        <w:t xml:space="preserve"> is acceptable; </w:t>
      </w:r>
      <w:r>
        <w:rPr>
          <w:b/>
        </w:rPr>
        <w:t>above 1.5</w:t>
      </w:r>
      <w:r>
        <w:rPr/>
        <w:t xml:space="preserve"> starts to look expensive.</w:t>
      </w:r>
    </w:p>
    <w:p>
      <w:pPr>
        <w:pStyle w:val="BodyText"/>
        <w:numPr>
          <w:ilvl w:val="1"/>
          <w:numId w:val="16"/>
        </w:numPr>
        <w:tabs>
          <w:tab w:val="clear" w:pos="709"/>
          <w:tab w:val="left" w:pos="1418" w:leader="none"/>
        </w:tabs>
        <w:bidi w:val="0"/>
        <w:ind w:hanging="283" w:start="1418"/>
        <w:jc w:val="start"/>
        <w:rPr/>
      </w:pPr>
      <w:r>
        <w:rPr/>
        <w:t>Meta's PEG of 1.41 (on 20% growth assumption) = "reasonably priced."</w:t>
      </w:r>
    </w:p>
    <w:p>
      <w:pPr>
        <w:pStyle w:val="Heading4"/>
        <w:numPr>
          <w:ilvl w:val="0"/>
          <w:numId w:val="0"/>
        </w:numPr>
        <w:bidi w:val="0"/>
        <w:ind w:hanging="0" w:start="0"/>
        <w:jc w:val="start"/>
        <w:rPr/>
      </w:pPr>
      <w:r>
        <w:rPr/>
        <w:t>Worked Comparison — NVIDIA vs. Ford Motor Company</w:t>
      </w:r>
    </w:p>
    <w:p>
      <w:pPr>
        <w:pStyle w:val="BodyText"/>
        <w:numPr>
          <w:ilvl w:val="0"/>
          <w:numId w:val="17"/>
        </w:numPr>
        <w:tabs>
          <w:tab w:val="clear" w:pos="709"/>
          <w:tab w:val="left" w:pos="709" w:leader="none"/>
        </w:tabs>
        <w:bidi w:val="0"/>
        <w:spacing w:before="0" w:after="0"/>
        <w:ind w:hanging="283" w:start="709"/>
        <w:jc w:val="start"/>
        <w:rPr/>
      </w:pPr>
      <w:r>
        <w:rPr>
          <w:b/>
        </w:rPr>
        <w:t>NVIDIA:</w:t>
      </w:r>
      <w:r>
        <w:rPr/>
        <w:t xml:space="preserve"> price ~</w:t>
      </w:r>
      <w:r>
        <w:rPr>
          <w:b/>
        </w:rPr>
        <w:t>$137</w:t>
      </w:r>
      <w:r>
        <w:rPr/>
        <w:t xml:space="preserve">/share, P/E = </w:t>
      </w:r>
      <w:r>
        <w:rPr>
          <w:b/>
        </w:rPr>
        <w:t>53.97×</w:t>
      </w:r>
      <w:r>
        <w:rPr/>
        <w:t xml:space="preserve">, past-5-year EPS growth = </w:t>
      </w:r>
      <w:r>
        <w:rPr>
          <w:b/>
        </w:rPr>
        <w:t>48%</w:t>
      </w:r>
      <w:r>
        <w:rPr/>
        <w:t xml:space="preserve">, projected next-5-year growth = </w:t>
      </w:r>
      <w:r>
        <w:rPr>
          <w:b/>
        </w:rPr>
        <w:t>35%</w:t>
      </w:r>
      <w:r>
        <w:rPr/>
        <w:t>.</w:t>
      </w:r>
    </w:p>
    <w:p>
      <w:pPr>
        <w:pStyle w:val="BodyText"/>
        <w:numPr>
          <w:ilvl w:val="1"/>
          <w:numId w:val="17"/>
        </w:numPr>
        <w:tabs>
          <w:tab w:val="clear" w:pos="709"/>
          <w:tab w:val="left" w:pos="1418" w:leader="none"/>
        </w:tabs>
        <w:bidi w:val="0"/>
        <w:ind w:hanging="283" w:start="1418"/>
        <w:jc w:val="start"/>
        <w:rPr/>
      </w:pPr>
      <w:r>
        <w:rPr/>
        <w:t xml:space="preserve">PEG = 53.97 ÷ 35 = </w:t>
      </w:r>
      <w:r>
        <w:rPr>
          <w:b/>
        </w:rPr>
        <w:t>1.54</w:t>
      </w:r>
      <w:r>
        <w:rPr/>
        <w:t xml:space="preserve"> (slightly above the 1.5 threshold — "not cheap, but not super expensive... slightly expensive").</w:t>
      </w:r>
    </w:p>
    <w:p>
      <w:pPr>
        <w:pStyle w:val="BodyText"/>
        <w:numPr>
          <w:ilvl w:val="0"/>
          <w:numId w:val="17"/>
        </w:numPr>
        <w:tabs>
          <w:tab w:val="clear" w:pos="709"/>
          <w:tab w:val="left" w:pos="709" w:leader="none"/>
        </w:tabs>
        <w:bidi w:val="0"/>
        <w:spacing w:before="0" w:after="0"/>
        <w:ind w:hanging="283" w:start="709"/>
        <w:jc w:val="start"/>
        <w:rPr/>
      </w:pPr>
      <w:r>
        <w:rPr>
          <w:b/>
        </w:rPr>
        <w:t>Ford Motor Company:</w:t>
      </w:r>
      <w:r>
        <w:rPr/>
        <w:t xml:space="preserve"> price ~</w:t>
      </w:r>
      <w:r>
        <w:rPr>
          <w:b/>
        </w:rPr>
        <w:t>$10</w:t>
      </w:r>
      <w:r>
        <w:rPr/>
        <w:t xml:space="preserve">/share, P/E = </w:t>
      </w:r>
      <w:r>
        <w:rPr>
          <w:b/>
        </w:rPr>
        <w:t>11.44×</w:t>
      </w:r>
      <w:r>
        <w:rPr/>
        <w:t xml:space="preserve">, projected next-5-year growth = </w:t>
      </w:r>
      <w:r>
        <w:rPr>
          <w:b/>
        </w:rPr>
        <w:t>3%</w:t>
      </w:r>
      <w:r>
        <w:rPr/>
        <w:t xml:space="preserve"> (stated as 3.06%).</w:t>
      </w:r>
    </w:p>
    <w:p>
      <w:pPr>
        <w:pStyle w:val="BodyText"/>
        <w:numPr>
          <w:ilvl w:val="1"/>
          <w:numId w:val="17"/>
        </w:numPr>
        <w:tabs>
          <w:tab w:val="clear" w:pos="709"/>
          <w:tab w:val="left" w:pos="1418" w:leader="none"/>
        </w:tabs>
        <w:bidi w:val="0"/>
        <w:ind w:hanging="283" w:start="1418"/>
        <w:jc w:val="start"/>
        <w:rPr/>
      </w:pPr>
      <w:r>
        <w:rPr/>
        <w:t xml:space="preserve">PEG = 11.44 ÷ 3.06 = </w:t>
      </w:r>
      <w:r>
        <w:rPr>
          <w:b/>
        </w:rPr>
        <w:t>3.74</w:t>
      </w:r>
      <w:r>
        <w:rPr/>
        <w:t xml:space="preserve"> — "very expensive" by the PEG framework.</w:t>
      </w:r>
    </w:p>
    <w:p>
      <w:pPr>
        <w:pStyle w:val="BodyText"/>
        <w:numPr>
          <w:ilvl w:val="0"/>
          <w:numId w:val="17"/>
        </w:numPr>
        <w:tabs>
          <w:tab w:val="clear" w:pos="709"/>
          <w:tab w:val="left" w:pos="709" w:leader="none"/>
        </w:tabs>
        <w:bidi w:val="0"/>
        <w:ind w:hanging="283" w:start="709"/>
        <w:jc w:val="start"/>
        <w:rPr/>
      </w:pPr>
      <w:r>
        <w:rPr>
          <w:b/>
        </w:rPr>
        <w:t>Conclusion:</w:t>
      </w:r>
      <w:r>
        <w:rPr/>
        <w:t xml:space="preserve"> despite Nvidia's much higher headline P/E (53.97 vs. 11.44) and much higher share price, </w:t>
      </w:r>
      <w:r>
        <w:rPr>
          <w:b/>
        </w:rPr>
        <w:t>Nvidia is actually the cheaper stock on a PEG basis</w:t>
      </w:r>
      <w:r>
        <w:rPr/>
        <w:t xml:space="preserve"> — Ford is more expensive. This directly rebuts the "low P/E = cheap" fallacy.</w:t>
      </w:r>
    </w:p>
    <w:p>
      <w:pPr>
        <w:pStyle w:val="BodyText"/>
        <w:numPr>
          <w:ilvl w:val="0"/>
          <w:numId w:val="17"/>
        </w:numPr>
        <w:tabs>
          <w:tab w:val="clear" w:pos="709"/>
          <w:tab w:val="left" w:pos="709" w:leader="none"/>
        </w:tabs>
        <w:bidi w:val="0"/>
        <w:spacing w:before="0" w:after="0"/>
        <w:ind w:hanging="283" w:start="709"/>
        <w:jc w:val="start"/>
        <w:rPr/>
      </w:pPr>
      <w:r>
        <w:rPr>
          <w:b/>
        </w:rPr>
        <w:t>Trailing vs. Forward P/E clarified:</w:t>
      </w:r>
      <w:r>
        <w:rPr/>
        <w:t xml:space="preserve"> P/E = Price ÷ Earnings, but "Earnings" can be last-12-months (trailing) earnings or next-12-months (projected) earnings.</w:t>
      </w:r>
    </w:p>
    <w:p>
      <w:pPr>
        <w:pStyle w:val="BodyText"/>
        <w:numPr>
          <w:ilvl w:val="1"/>
          <w:numId w:val="17"/>
        </w:numPr>
        <w:tabs>
          <w:tab w:val="clear" w:pos="709"/>
          <w:tab w:val="left" w:pos="1418" w:leader="none"/>
        </w:tabs>
        <w:bidi w:val="0"/>
        <w:ind w:hanging="283" w:start="1418"/>
        <w:jc w:val="start"/>
        <w:rPr/>
      </w:pPr>
      <w:r>
        <w:rPr/>
        <w:t>Trailing P/E uses last 12 months of earnings.</w:t>
      </w:r>
    </w:p>
    <w:p>
      <w:pPr>
        <w:pStyle w:val="BodyText"/>
        <w:numPr>
          <w:ilvl w:val="1"/>
          <w:numId w:val="17"/>
        </w:numPr>
        <w:tabs>
          <w:tab w:val="clear" w:pos="709"/>
          <w:tab w:val="left" w:pos="1418" w:leader="none"/>
        </w:tabs>
        <w:bidi w:val="0"/>
        <w:ind w:hanging="283" w:start="1418"/>
        <w:jc w:val="start"/>
        <w:rPr/>
      </w:pPr>
      <w:r>
        <w:rPr>
          <w:b/>
        </w:rPr>
        <w:t>Forward P/E</w:t>
      </w:r>
      <w:r>
        <w:rPr/>
        <w:t xml:space="preserve"> uses projected earnings for the next 12 months. In Nvidia's case, the video shows the forward P/E figure at </w:t>
      </w:r>
      <w:r>
        <w:rPr>
          <w:b/>
        </w:rPr>
        <w:t>30.95×</w:t>
      </w:r>
      <w:r>
        <w:rPr/>
        <w:t xml:space="preserve">, lower than the trailing 53.97× because next year's earnings are projected to be much larger than the trailing-12-months figure (bigger expected future earnings → lower forward P/E for the same price). </w:t>
      </w:r>
      <w:r>
        <w:rPr>
          <w:i/>
        </w:rPr>
        <w:t>(Note: transcript audio says "Ford PE" here in context of discussing forward P/E for Nvidia — this is understood as "forward P/E," not a reference to Ford Motor Company, based on the surrounding explanation of trailing vs. projected earnings.)</w:t>
      </w:r>
    </w:p>
    <w:p>
      <w:pPr>
        <w:pStyle w:val="Heading4"/>
        <w:numPr>
          <w:ilvl w:val="0"/>
          <w:numId w:val="0"/>
        </w:numPr>
        <w:bidi w:val="0"/>
        <w:ind w:hanging="0" w:start="0"/>
        <w:jc w:val="start"/>
        <w:rPr/>
      </w:pPr>
      <w:r>
        <w:rPr/>
        <w:t>Historical Case Study — Why P/E Alone Misleads (Adam's Own Trades)</w:t>
      </w:r>
    </w:p>
    <w:p>
      <w:pPr>
        <w:pStyle w:val="BodyText"/>
        <w:numPr>
          <w:ilvl w:val="0"/>
          <w:numId w:val="18"/>
        </w:numPr>
        <w:tabs>
          <w:tab w:val="clear" w:pos="709"/>
          <w:tab w:val="left" w:pos="709" w:leader="none"/>
        </w:tabs>
        <w:bidi w:val="0"/>
        <w:ind w:hanging="283" w:start="709"/>
        <w:jc w:val="start"/>
        <w:rPr/>
      </w:pPr>
      <w:r>
        <w:rPr>
          <w:b/>
        </w:rPr>
        <w:t>NVIDIA:</w:t>
      </w:r>
      <w:r>
        <w:rPr/>
        <w:t xml:space="preserve"> Adam first bought in </w:t>
      </w:r>
      <w:r>
        <w:rPr>
          <w:b/>
        </w:rPr>
        <w:t>October 2022</w:t>
      </w:r>
      <w:r>
        <w:rPr/>
        <w:t xml:space="preserve">. At that time, many avoided it because the P/E ratio looked high — approximately </w:t>
      </w:r>
      <w:r>
        <w:rPr>
          <w:b/>
        </w:rPr>
        <w:t>39.9× (~40×)</w:t>
      </w:r>
      <w:r>
        <w:rPr/>
        <w:t xml:space="preserve"> on TradingView's P/E indicator overlay at the time of purchase.</w:t>
      </w:r>
    </w:p>
    <w:p>
      <w:pPr>
        <w:pStyle w:val="BodyText"/>
        <w:numPr>
          <w:ilvl w:val="0"/>
          <w:numId w:val="18"/>
        </w:numPr>
        <w:tabs>
          <w:tab w:val="clear" w:pos="709"/>
          <w:tab w:val="left" w:pos="709" w:leader="none"/>
        </w:tabs>
        <w:bidi w:val="0"/>
        <w:ind w:hanging="283" w:start="709"/>
        <w:jc w:val="start"/>
        <w:rPr/>
      </w:pPr>
      <w:r>
        <w:rPr>
          <w:b/>
        </w:rPr>
        <w:t>Result:</w:t>
      </w:r>
      <w:r>
        <w:rPr/>
        <w:t xml:space="preserve"> From October 2022 to the time of recording (~3 years later, 2022–2024/25), Nvidia's share price rose </w:t>
      </w:r>
      <w:r>
        <w:rPr>
          <w:b/>
        </w:rPr>
        <w:t>1,133%</w:t>
      </w:r>
      <w:r>
        <w:rPr/>
        <w:t xml:space="preserve"> (roughly </w:t>
      </w:r>
      <w:r>
        <w:rPr>
          <w:b/>
        </w:rPr>
        <w:t>12×</w:t>
      </w:r>
      <w:r>
        <w:rPr/>
        <w:t>).</w:t>
      </w:r>
    </w:p>
    <w:p>
      <w:pPr>
        <w:pStyle w:val="BodyText"/>
        <w:numPr>
          <w:ilvl w:val="0"/>
          <w:numId w:val="18"/>
        </w:numPr>
        <w:tabs>
          <w:tab w:val="clear" w:pos="709"/>
          <w:tab w:val="left" w:pos="709" w:leader="none"/>
        </w:tabs>
        <w:bidi w:val="0"/>
        <w:ind w:hanging="283" w:start="709"/>
        <w:jc w:val="start"/>
        <w:rPr/>
      </w:pPr>
      <w:r>
        <w:rPr>
          <w:b/>
        </w:rPr>
        <w:t>Ford Motor Company (contrast):</w:t>
      </w:r>
      <w:r>
        <w:rPr/>
        <w:t xml:space="preserve"> Many investors bought Ford around the same period (Oct 2022) because its P/E looked very low — </w:t>
      </w:r>
      <w:r>
        <w:rPr>
          <w:b/>
        </w:rPr>
        <w:t>3.8×</w:t>
      </w:r>
      <w:r>
        <w:rPr/>
        <w:t xml:space="preserve"> at that time.</w:t>
      </w:r>
    </w:p>
    <w:p>
      <w:pPr>
        <w:pStyle w:val="BodyText"/>
        <w:numPr>
          <w:ilvl w:val="0"/>
          <w:numId w:val="18"/>
        </w:numPr>
        <w:tabs>
          <w:tab w:val="clear" w:pos="709"/>
          <w:tab w:val="left" w:pos="709" w:leader="none"/>
        </w:tabs>
        <w:bidi w:val="0"/>
        <w:ind w:hanging="283" w:start="709"/>
        <w:jc w:val="start"/>
        <w:rPr/>
      </w:pPr>
      <w:r>
        <w:rPr>
          <w:b/>
        </w:rPr>
        <w:t>Result:</w:t>
      </w:r>
      <w:r>
        <w:rPr/>
        <w:t xml:space="preserve"> Holding Ford for 3 years, "the price basically went nowhere" — no meaningful gain.</w:t>
      </w:r>
    </w:p>
    <w:p>
      <w:pPr>
        <w:pStyle w:val="BodyText"/>
        <w:numPr>
          <w:ilvl w:val="0"/>
          <w:numId w:val="18"/>
        </w:numPr>
        <w:tabs>
          <w:tab w:val="clear" w:pos="709"/>
          <w:tab w:val="left" w:pos="709" w:leader="none"/>
        </w:tabs>
        <w:bidi w:val="0"/>
        <w:ind w:hanging="283" w:start="709"/>
        <w:jc w:val="start"/>
        <w:rPr/>
      </w:pPr>
      <w:r>
        <w:rPr>
          <w:b/>
        </w:rPr>
        <w:t>Takeaway (stated emphatically):</w:t>
      </w:r>
      <w:r>
        <w:rPr/>
        <w:t xml:space="preserve"> "P/E ratio itself is totally useless, is totally meaningless. Don't look at it." Only the </w:t>
      </w:r>
      <w:r>
        <w:rPr>
          <w:b/>
        </w:rPr>
        <w:t>PEG ratio</w:t>
      </w:r>
      <w:r>
        <w:rPr/>
        <w:t xml:space="preserve"> (P/E relative to earnings growth) should be considered — and even PEG "is also not the best way to value a stock... only a rough guide." The most comprehensive valuation method taught later in the course is the </w:t>
      </w:r>
      <w:r>
        <w:rPr>
          <w:b/>
        </w:rPr>
        <w:t>Discounted Cash Flow (DCF) method</w:t>
      </w:r>
      <w:r>
        <w:rPr/>
        <w:t>, which Adam uses primarily because it gives "the most accurate intrinsic value of the stock."</w:t>
      </w:r>
    </w:p>
    <w:p>
      <w:pPr>
        <w:pStyle w:val="Heading4"/>
        <w:numPr>
          <w:ilvl w:val="0"/>
          <w:numId w:val="0"/>
        </w:numPr>
        <w:bidi w:val="0"/>
        <w:ind w:hanging="0" w:start="0"/>
        <w:jc w:val="start"/>
        <w:rPr/>
      </w:pPr>
      <w:r>
        <w:rPr/>
        <w:t>Stock Oracle Full Walkthrough — Microsoft (MSFT) Example (recorded 2026)</w:t>
      </w:r>
    </w:p>
    <w:p>
      <w:pPr>
        <w:pStyle w:val="BodyText"/>
        <w:bidi w:val="0"/>
        <w:jc w:val="start"/>
        <w:rPr/>
      </w:pPr>
      <w:r>
        <w:rPr/>
        <w:t xml:space="preserve">Using </w:t>
      </w:r>
      <w:r>
        <w:rPr>
          <w:b/>
        </w:rPr>
        <w:t>app.stockoracle.com</w:t>
      </w:r>
      <w:r>
        <w:rPr/>
        <w:t>, searching MSFT:</w:t>
      </w:r>
    </w:p>
    <w:p>
      <w:pPr>
        <w:pStyle w:val="BodyText"/>
        <w:numPr>
          <w:ilvl w:val="0"/>
          <w:numId w:val="19"/>
        </w:numPr>
        <w:tabs>
          <w:tab w:val="clear" w:pos="709"/>
          <w:tab w:val="left" w:pos="709" w:leader="none"/>
        </w:tabs>
        <w:bidi w:val="0"/>
        <w:ind w:hanging="283" w:start="709"/>
        <w:jc w:val="start"/>
        <w:rPr/>
      </w:pPr>
      <w:r>
        <w:rPr/>
        <w:t xml:space="preserve">Share price: </w:t>
      </w:r>
      <w:r>
        <w:rPr>
          <w:b/>
        </w:rPr>
        <w:t>$397</w:t>
      </w:r>
      <w:r>
        <w:rPr/>
        <w:t xml:space="preserve"> per share.</w:t>
      </w:r>
    </w:p>
    <w:p>
      <w:pPr>
        <w:pStyle w:val="BodyText"/>
        <w:numPr>
          <w:ilvl w:val="0"/>
          <w:numId w:val="19"/>
        </w:numPr>
        <w:tabs>
          <w:tab w:val="clear" w:pos="709"/>
          <w:tab w:val="left" w:pos="709" w:leader="none"/>
        </w:tabs>
        <w:bidi w:val="0"/>
        <w:ind w:hanging="283" w:start="709"/>
        <w:jc w:val="start"/>
        <w:rPr/>
      </w:pPr>
      <w:r>
        <w:rPr/>
        <w:t xml:space="preserve">Market capitalization: </w:t>
      </w:r>
      <w:r>
        <w:rPr>
          <w:b/>
        </w:rPr>
        <w:t>$2.9 trillion</w:t>
      </w:r>
      <w:r>
        <w:rPr/>
        <w:t xml:space="preserve"> (stated precisely as </w:t>
      </w:r>
      <w:r>
        <w:rPr>
          <w:b/>
        </w:rPr>
        <w:t>$2,958 billion</w:t>
      </w:r>
      <w:r>
        <w:rPr/>
        <w:t>).</w:t>
      </w:r>
    </w:p>
    <w:p>
      <w:pPr>
        <w:pStyle w:val="BodyText"/>
        <w:numPr>
          <w:ilvl w:val="0"/>
          <w:numId w:val="19"/>
        </w:numPr>
        <w:tabs>
          <w:tab w:val="clear" w:pos="709"/>
          <w:tab w:val="left" w:pos="709" w:leader="none"/>
        </w:tabs>
        <w:bidi w:val="0"/>
        <w:ind w:hanging="283" w:start="709"/>
        <w:jc w:val="start"/>
        <w:rPr/>
      </w:pPr>
      <w:r>
        <w:rPr/>
        <w:t xml:space="preserve">Net profit (annual): </w:t>
      </w:r>
      <w:r>
        <w:rPr>
          <w:b/>
        </w:rPr>
        <w:t>$119 billion</w:t>
      </w:r>
      <w:r>
        <w:rPr/>
        <w:t>.</w:t>
      </w:r>
    </w:p>
    <w:p>
      <w:pPr>
        <w:pStyle w:val="BodyText"/>
        <w:numPr>
          <w:ilvl w:val="0"/>
          <w:numId w:val="19"/>
        </w:numPr>
        <w:tabs>
          <w:tab w:val="clear" w:pos="709"/>
          <w:tab w:val="left" w:pos="709" w:leader="none"/>
        </w:tabs>
        <w:bidi w:val="0"/>
        <w:ind w:hanging="283" w:start="709"/>
        <w:jc w:val="start"/>
        <w:rPr/>
      </w:pPr>
      <w:r>
        <w:rPr/>
        <w:t xml:space="preserve">Shares outstanding: </w:t>
      </w:r>
      <w:r>
        <w:rPr>
          <w:b/>
        </w:rPr>
        <w:t>7.46 billion</w:t>
      </w:r>
      <w:r>
        <w:rPr/>
        <w:t>.</w:t>
      </w:r>
    </w:p>
    <w:p>
      <w:pPr>
        <w:pStyle w:val="BodyText"/>
        <w:numPr>
          <w:ilvl w:val="0"/>
          <w:numId w:val="19"/>
        </w:numPr>
        <w:tabs>
          <w:tab w:val="clear" w:pos="709"/>
          <w:tab w:val="left" w:pos="709" w:leader="none"/>
        </w:tabs>
        <w:bidi w:val="0"/>
        <w:ind w:hanging="283" w:start="709"/>
        <w:jc w:val="start"/>
        <w:rPr/>
      </w:pPr>
      <w:r>
        <w:rPr/>
        <w:t>EPS = net profit ÷ shares outstanding (derivable from the above).</w:t>
      </w:r>
    </w:p>
    <w:p>
      <w:pPr>
        <w:pStyle w:val="BodyText"/>
        <w:numPr>
          <w:ilvl w:val="0"/>
          <w:numId w:val="19"/>
        </w:numPr>
        <w:tabs>
          <w:tab w:val="clear" w:pos="709"/>
          <w:tab w:val="left" w:pos="709" w:leader="none"/>
        </w:tabs>
        <w:bidi w:val="0"/>
        <w:ind w:hanging="283" w:start="709"/>
        <w:jc w:val="start"/>
        <w:rPr/>
      </w:pPr>
      <w:r>
        <w:rPr>
          <w:b/>
        </w:rPr>
        <w:t>P/E ratio (trailing 12 months): 24.93×</w:t>
      </w:r>
      <w:r>
        <w:rPr/>
        <w:t xml:space="preserve"> (~24 stated first, then refined to 24.93).</w:t>
      </w:r>
    </w:p>
    <w:p>
      <w:pPr>
        <w:pStyle w:val="BodyText"/>
        <w:numPr>
          <w:ilvl w:val="0"/>
          <w:numId w:val="19"/>
        </w:numPr>
        <w:tabs>
          <w:tab w:val="clear" w:pos="709"/>
          <w:tab w:val="left" w:pos="709" w:leader="none"/>
        </w:tabs>
        <w:bidi w:val="0"/>
        <w:ind w:hanging="283" w:start="709"/>
        <w:jc w:val="start"/>
        <w:rPr/>
      </w:pPr>
      <w:r>
        <w:rPr>
          <w:b/>
        </w:rPr>
        <w:t>Forward P/E ratio (next year's projected earnings): 20.95×.</w:t>
      </w:r>
    </w:p>
    <w:p>
      <w:pPr>
        <w:pStyle w:val="BodyText"/>
        <w:numPr>
          <w:ilvl w:val="0"/>
          <w:numId w:val="19"/>
        </w:numPr>
        <w:tabs>
          <w:tab w:val="clear" w:pos="709"/>
          <w:tab w:val="left" w:pos="709" w:leader="none"/>
        </w:tabs>
        <w:bidi w:val="0"/>
        <w:ind w:hanging="283" w:start="709"/>
        <w:jc w:val="start"/>
        <w:rPr/>
      </w:pPr>
      <w:r>
        <w:rPr>
          <w:b/>
        </w:rPr>
        <w:t>Projected earnings growth rate (5-year): 19.62%.</w:t>
      </w:r>
    </w:p>
    <w:p>
      <w:pPr>
        <w:pStyle w:val="BodyText"/>
        <w:numPr>
          <w:ilvl w:val="0"/>
          <w:numId w:val="19"/>
        </w:numPr>
        <w:tabs>
          <w:tab w:val="clear" w:pos="709"/>
          <w:tab w:val="left" w:pos="709" w:leader="none"/>
        </w:tabs>
        <w:bidi w:val="0"/>
        <w:ind w:hanging="283" w:start="709"/>
        <w:jc w:val="start"/>
        <w:rPr/>
      </w:pPr>
      <w:r>
        <w:rPr>
          <w:b/>
        </w:rPr>
        <w:t>PEG ratio = P/E ÷ growth rate = 24.93 ÷ 19.62% (or forward P/E basis) ≈ 1.27.</w:t>
      </w:r>
    </w:p>
    <w:p>
      <w:pPr>
        <w:pStyle w:val="BodyText"/>
        <w:numPr>
          <w:ilvl w:val="0"/>
          <w:numId w:val="19"/>
        </w:numPr>
        <w:tabs>
          <w:tab w:val="clear" w:pos="709"/>
          <w:tab w:val="left" w:pos="709" w:leader="none"/>
        </w:tabs>
        <w:bidi w:val="0"/>
        <w:ind w:hanging="283" w:start="709"/>
        <w:jc w:val="start"/>
        <w:rPr/>
      </w:pPr>
      <w:r>
        <w:rPr>
          <w:b/>
        </w:rPr>
        <w:t>Long-term growth rate beyond 5 years: 8.9%</w:t>
      </w:r>
      <w:r>
        <w:rPr/>
        <w:t xml:space="preserve"> — Adam notes </w:t>
      </w:r>
      <w:r>
        <w:rPr>
          <w:b/>
        </w:rPr>
        <w:t>Stock Oracle is the only website that also shows long-term growth projections beyond the standard next-5-years window.</w:t>
      </w:r>
    </w:p>
    <w:p>
      <w:pPr>
        <w:pStyle w:val="BodyText"/>
        <w:numPr>
          <w:ilvl w:val="0"/>
          <w:numId w:val="19"/>
        </w:numPr>
        <w:tabs>
          <w:tab w:val="clear" w:pos="709"/>
          <w:tab w:val="left" w:pos="709" w:leader="none"/>
        </w:tabs>
        <w:bidi w:val="0"/>
        <w:ind w:hanging="283" w:start="709"/>
        <w:jc w:val="start"/>
        <w:rPr/>
      </w:pPr>
      <w:r>
        <w:rPr>
          <w:b/>
        </w:rPr>
        <w:t>ROIC: 26.71%.</w:t>
      </w:r>
    </w:p>
    <w:p>
      <w:pPr>
        <w:pStyle w:val="BodyText"/>
        <w:numPr>
          <w:ilvl w:val="0"/>
          <w:numId w:val="19"/>
        </w:numPr>
        <w:tabs>
          <w:tab w:val="clear" w:pos="709"/>
          <w:tab w:val="left" w:pos="709" w:leader="none"/>
        </w:tabs>
        <w:bidi w:val="0"/>
        <w:ind w:hanging="283" w:start="709"/>
        <w:jc w:val="start"/>
        <w:rPr/>
      </w:pPr>
      <w:r>
        <w:rPr>
          <w:b/>
        </w:rPr>
        <w:t>ROE (Return on Equity): 34.39%.</w:t>
      </w:r>
    </w:p>
    <w:p>
      <w:pPr>
        <w:pStyle w:val="BodyText"/>
        <w:numPr>
          <w:ilvl w:val="0"/>
          <w:numId w:val="19"/>
        </w:numPr>
        <w:tabs>
          <w:tab w:val="clear" w:pos="709"/>
          <w:tab w:val="left" w:pos="709" w:leader="none"/>
        </w:tabs>
        <w:bidi w:val="0"/>
        <w:ind w:hanging="283" w:start="709"/>
        <w:jc w:val="start"/>
        <w:rPr/>
      </w:pPr>
      <w:r>
        <w:rPr/>
        <w:t xml:space="preserve">Stock Oracle's "Favorites" feature lets you customize which metrics display (out of </w:t>
      </w:r>
      <w:r>
        <w:rPr>
          <w:b/>
        </w:rPr>
        <w:t>~479–497 available metrics</w:t>
      </w:r>
      <w:r>
        <w:rPr/>
        <w:t xml:space="preserve"> on the platform). Adam's </w:t>
      </w:r>
      <w:r>
        <w:rPr>
          <w:b/>
        </w:rPr>
        <w:t>personal "10 favorite metrics"</w:t>
      </w:r>
      <w:r>
        <w:rPr/>
        <w:t xml:space="preserve"> to check on any stock at a glance: trailing P/E, forward P/E, 5-year projected growth rate, long-term growth rate (beyond 5 yrs), shares outstanding, PEG ratio, ROIC, ROE (plus other items rounding out the ten).</w:t>
      </w:r>
    </w:p>
    <w:p>
      <w:pPr>
        <w:pStyle w:val="HorizontalLine"/>
        <w:bidi w:val="0"/>
        <w:jc w:val="start"/>
        <w:rPr/>
      </w:pPr>
      <w:r>
        <w:rPr/>
      </w:r>
    </w:p>
    <w:p>
      <w:pPr>
        <w:pStyle w:val="Heading3"/>
        <w:bidi w:val="0"/>
        <w:ind w:hanging="0" w:start="0"/>
        <w:jc w:val="start"/>
        <w:rPr/>
      </w:pPr>
      <w:r>
        <w:rPr/>
        <w:t>What Drives Stock Prices</w:t>
      </w:r>
    </w:p>
    <w:p>
      <w:pPr>
        <w:pStyle w:val="Heading4"/>
        <w:bidi w:val="0"/>
        <w:ind w:hanging="0" w:start="0"/>
        <w:jc w:val="start"/>
        <w:rPr/>
      </w:pPr>
      <w:r>
        <w:rPr/>
        <w:t>Short-Term Price Movement: Demand, Supply, and Emotion</w:t>
      </w:r>
    </w:p>
    <w:p>
      <w:pPr>
        <w:pStyle w:val="BodyText"/>
        <w:numPr>
          <w:ilvl w:val="0"/>
          <w:numId w:val="20"/>
        </w:numPr>
        <w:tabs>
          <w:tab w:val="clear" w:pos="709"/>
          <w:tab w:val="left" w:pos="709" w:leader="none"/>
        </w:tabs>
        <w:bidi w:val="0"/>
        <w:ind w:hanging="283" w:start="709"/>
        <w:jc w:val="start"/>
        <w:rPr/>
      </w:pPr>
      <w:r>
        <w:rPr/>
        <w:t>A common beginner surprise: prices are highly volatile day-to-day (e.g., up 5% one day, down 5% the next, up 8%, down 3%, etc.).</w:t>
      </w:r>
    </w:p>
    <w:p>
      <w:pPr>
        <w:pStyle w:val="BodyText"/>
        <w:numPr>
          <w:ilvl w:val="0"/>
          <w:numId w:val="20"/>
        </w:numPr>
        <w:tabs>
          <w:tab w:val="clear" w:pos="709"/>
          <w:tab w:val="left" w:pos="709" w:leader="none"/>
        </w:tabs>
        <w:bidi w:val="0"/>
        <w:ind w:hanging="283" w:start="709"/>
        <w:jc w:val="start"/>
        <w:rPr/>
      </w:pPr>
      <w:r>
        <w:rPr>
          <w:b/>
        </w:rPr>
        <w:t>Key mistake to avoid:</w:t>
      </w:r>
      <w:r>
        <w:rPr/>
        <w:t xml:space="preserve"> believing price always reflects business worth. A 5% two-day price swing does NOT mean the business made 5% more or fewer profits, or that usage changed 5% — "it's the exact same business."</w:t>
      </w:r>
    </w:p>
    <w:p>
      <w:pPr>
        <w:pStyle w:val="BodyText"/>
        <w:numPr>
          <w:ilvl w:val="0"/>
          <w:numId w:val="20"/>
        </w:numPr>
        <w:tabs>
          <w:tab w:val="clear" w:pos="709"/>
          <w:tab w:val="left" w:pos="709" w:leader="none"/>
        </w:tabs>
        <w:bidi w:val="0"/>
        <w:ind w:hanging="283" w:start="709"/>
        <w:jc w:val="start"/>
        <w:rPr/>
      </w:pPr>
      <w:r>
        <w:rPr>
          <w:b/>
        </w:rPr>
        <w:t>Stock market = an auction-driven market</w:t>
      </w:r>
      <w:r>
        <w:rPr/>
        <w:t xml:space="preserve"> (compared explicitly to a live auction: "do I get $25... sold to the man for $29").</w:t>
      </w:r>
    </w:p>
    <w:p>
      <w:pPr>
        <w:pStyle w:val="BodyText"/>
        <w:numPr>
          <w:ilvl w:val="0"/>
          <w:numId w:val="20"/>
        </w:numPr>
        <w:tabs>
          <w:tab w:val="clear" w:pos="709"/>
          <w:tab w:val="left" w:pos="709" w:leader="none"/>
        </w:tabs>
        <w:bidi w:val="0"/>
        <w:ind w:hanging="283" w:start="709"/>
        <w:jc w:val="start"/>
        <w:rPr/>
      </w:pPr>
      <w:r>
        <w:rPr>
          <w:b/>
        </w:rPr>
        <w:t>Short-term price driver = demand and supply.</w:t>
      </w:r>
      <w:r>
        <w:rPr/>
        <w:t xml:space="preserve"> More buyers than sellers on a given day → price rises (same company); more sellers than buyers → price falls (same company).</w:t>
      </w:r>
    </w:p>
    <w:p>
      <w:pPr>
        <w:pStyle w:val="BodyText"/>
        <w:numPr>
          <w:ilvl w:val="0"/>
          <w:numId w:val="20"/>
        </w:numPr>
        <w:tabs>
          <w:tab w:val="clear" w:pos="709"/>
          <w:tab w:val="left" w:pos="709" w:leader="none"/>
        </w:tabs>
        <w:bidi w:val="0"/>
        <w:spacing w:before="0" w:after="0"/>
        <w:ind w:hanging="283" w:start="709"/>
        <w:jc w:val="start"/>
        <w:rPr/>
      </w:pPr>
      <w:r>
        <w:rPr>
          <w:b/>
        </w:rPr>
        <w:t>What drives demand/supply short-term = emotions</w:t>
      </w:r>
      <w:r>
        <w:rPr/>
        <w:t xml:space="preserve">, specifically </w:t>
      </w:r>
      <w:r>
        <w:rPr>
          <w:b/>
        </w:rPr>
        <w:t>fear and greed</w:t>
      </w:r>
      <w:r>
        <w:rPr/>
        <w:t>.</w:t>
      </w:r>
    </w:p>
    <w:p>
      <w:pPr>
        <w:pStyle w:val="BodyText"/>
        <w:numPr>
          <w:ilvl w:val="1"/>
          <w:numId w:val="20"/>
        </w:numPr>
        <w:tabs>
          <w:tab w:val="clear" w:pos="709"/>
          <w:tab w:val="left" w:pos="1418" w:leader="none"/>
        </w:tabs>
        <w:bidi w:val="0"/>
        <w:ind w:hanging="283" w:start="1418"/>
        <w:jc w:val="start"/>
        <w:rPr/>
      </w:pPr>
      <w:r>
        <w:rPr/>
        <w:t>Fear → panic selling.</w:t>
      </w:r>
    </w:p>
    <w:p>
      <w:pPr>
        <w:pStyle w:val="BodyText"/>
        <w:numPr>
          <w:ilvl w:val="1"/>
          <w:numId w:val="20"/>
        </w:numPr>
        <w:tabs>
          <w:tab w:val="clear" w:pos="709"/>
          <w:tab w:val="left" w:pos="1418" w:leader="none"/>
        </w:tabs>
        <w:bidi w:val="0"/>
        <w:ind w:hanging="283" w:start="1418"/>
        <w:jc w:val="start"/>
        <w:rPr/>
      </w:pPr>
      <w:r>
        <w:rPr/>
        <w:t>Greed → excited buying.</w:t>
      </w:r>
    </w:p>
    <w:p>
      <w:pPr>
        <w:pStyle w:val="BodyText"/>
        <w:numPr>
          <w:ilvl w:val="1"/>
          <w:numId w:val="20"/>
        </w:numPr>
        <w:tabs>
          <w:tab w:val="clear" w:pos="709"/>
          <w:tab w:val="left" w:pos="1418" w:leader="none"/>
        </w:tabs>
        <w:bidi w:val="0"/>
        <w:ind w:hanging="283" w:start="1418"/>
        <w:jc w:val="start"/>
        <w:rPr/>
      </w:pPr>
      <w:r>
        <w:rPr/>
        <w:t xml:space="preserve">Fear can also cause buying — </w:t>
      </w:r>
      <w:r>
        <w:rPr>
          <w:b/>
        </w:rPr>
        <w:t>FOMO (fear of missing out)</w:t>
      </w:r>
      <w:r>
        <w:rPr/>
        <w:t>: fear that a rising stock will keep rising without you, so people buy, which itself pushes price higher.</w:t>
      </w:r>
    </w:p>
    <w:p>
      <w:pPr>
        <w:pStyle w:val="BodyText"/>
        <w:numPr>
          <w:ilvl w:val="0"/>
          <w:numId w:val="20"/>
        </w:numPr>
        <w:tabs>
          <w:tab w:val="clear" w:pos="709"/>
          <w:tab w:val="left" w:pos="709" w:leader="none"/>
        </w:tabs>
        <w:bidi w:val="0"/>
        <w:ind w:hanging="283" w:start="709"/>
        <w:jc w:val="start"/>
        <w:rPr/>
      </w:pPr>
      <w:r>
        <w:rPr>
          <w:b/>
        </w:rPr>
        <w:t>Emotions are triggered by news</w:t>
      </w:r>
      <w:r>
        <w:rPr/>
        <w:t xml:space="preserve"> — lockdowns, recession/depression fears, war headlines → panic/selling; good earnings announcements, rate news → buying/price rises.</w:t>
      </w:r>
    </w:p>
    <w:p>
      <w:pPr>
        <w:pStyle w:val="BodyText"/>
        <w:numPr>
          <w:ilvl w:val="0"/>
          <w:numId w:val="20"/>
        </w:numPr>
        <w:tabs>
          <w:tab w:val="clear" w:pos="709"/>
          <w:tab w:val="left" w:pos="709" w:leader="none"/>
        </w:tabs>
        <w:bidi w:val="0"/>
        <w:ind w:hanging="283" w:start="709"/>
        <w:jc w:val="start"/>
        <w:rPr/>
      </w:pPr>
      <w:r>
        <w:rPr/>
        <w:t xml:space="preserve">Rule for investors: </w:t>
      </w:r>
      <w:r>
        <w:rPr>
          <w:b/>
        </w:rPr>
        <w:t>ignore the news noise and disassociate emotionally from the market</w:t>
      </w:r>
      <w:r>
        <w:rPr/>
        <w:t>; "if you get emotional in the market... you're going to lose money, I guarantee you that." The way to make money is to go opposite of the crowd.</w:t>
      </w:r>
    </w:p>
    <w:p>
      <w:pPr>
        <w:pStyle w:val="Heading4"/>
        <w:numPr>
          <w:ilvl w:val="0"/>
          <w:numId w:val="0"/>
        </w:numPr>
        <w:bidi w:val="0"/>
        <w:ind w:hanging="0" w:start="0"/>
        <w:jc w:val="start"/>
        <w:rPr/>
      </w:pPr>
      <w:r>
        <w:rPr/>
        <w:t>Case Study — Microsoft, 2019–2020 (COVID Crash)</w:t>
      </w:r>
    </w:p>
    <w:p>
      <w:pPr>
        <w:pStyle w:val="BodyText"/>
        <w:numPr>
          <w:ilvl w:val="0"/>
          <w:numId w:val="21"/>
        </w:numPr>
        <w:tabs>
          <w:tab w:val="clear" w:pos="709"/>
          <w:tab w:val="left" w:pos="709" w:leader="none"/>
        </w:tabs>
        <w:bidi w:val="0"/>
        <w:ind w:hanging="283" w:start="709"/>
        <w:jc w:val="start"/>
        <w:rPr/>
      </w:pPr>
      <w:r>
        <w:rPr>
          <w:b/>
        </w:rPr>
        <w:t>2019:</w:t>
      </w:r>
      <w:r>
        <w:rPr/>
        <w:t xml:space="preserve"> Microsoft share price ~</w:t>
      </w:r>
      <w:r>
        <w:rPr>
          <w:b/>
        </w:rPr>
        <w:t>$190</w:t>
      </w:r>
      <w:r>
        <w:rPr/>
        <w:t xml:space="preserve"> ("said $109" appears to be a transcription slip immediately corrected/contextualized as $190 throughout); Adam's calculated </w:t>
      </w:r>
      <w:r>
        <w:rPr>
          <w:b/>
        </w:rPr>
        <w:t>intrinsic value = $230</w:t>
      </w:r>
      <w:r>
        <w:rPr/>
        <w:t xml:space="preserve"> at that time (intrinsic value calculation covered in the later Stock Valuation lesson). Conclusion: the stock was </w:t>
      </w:r>
      <w:r>
        <w:rPr>
          <w:b/>
        </w:rPr>
        <w:t>already undervalued</w:t>
      </w:r>
      <w:r>
        <w:rPr/>
        <w:t xml:space="preserve"> at $190.</w:t>
      </w:r>
    </w:p>
    <w:p>
      <w:pPr>
        <w:pStyle w:val="BodyText"/>
        <w:numPr>
          <w:ilvl w:val="0"/>
          <w:numId w:val="21"/>
        </w:numPr>
        <w:tabs>
          <w:tab w:val="clear" w:pos="709"/>
          <w:tab w:val="left" w:pos="709" w:leader="none"/>
        </w:tabs>
        <w:bidi w:val="0"/>
        <w:ind w:hanging="283" w:start="709"/>
        <w:jc w:val="start"/>
        <w:rPr/>
      </w:pPr>
      <w:r>
        <w:rPr>
          <w:b/>
        </w:rPr>
        <w:t>2020 COVID-19 pandemic / global lockdown announced</w:t>
      </w:r>
      <w:r>
        <w:rPr/>
        <w:t xml:space="preserve"> → panic selling across the market ("whether it's McDonald's or Microsoft, every stock came down").</w:t>
      </w:r>
    </w:p>
    <w:p>
      <w:pPr>
        <w:pStyle w:val="BodyText"/>
        <w:numPr>
          <w:ilvl w:val="0"/>
          <w:numId w:val="21"/>
        </w:numPr>
        <w:tabs>
          <w:tab w:val="clear" w:pos="709"/>
          <w:tab w:val="left" w:pos="709" w:leader="none"/>
        </w:tabs>
        <w:bidi w:val="0"/>
        <w:ind w:hanging="283" w:start="709"/>
        <w:jc w:val="start"/>
        <w:rPr/>
      </w:pPr>
      <w:r>
        <w:rPr/>
        <w:t xml:space="preserve">Microsoft dropped from </w:t>
      </w:r>
      <w:r>
        <w:rPr>
          <w:b/>
        </w:rPr>
        <w:t>$190 to $133 in four weeks</w:t>
      </w:r>
      <w:r>
        <w:rPr/>
        <w:t xml:space="preserve"> (roughly a 30% drop as characterized in the discussion — later stated as "35% less").</w:t>
      </w:r>
    </w:p>
    <w:p>
      <w:pPr>
        <w:pStyle w:val="BodyText"/>
        <w:numPr>
          <w:ilvl w:val="0"/>
          <w:numId w:val="21"/>
        </w:numPr>
        <w:tabs>
          <w:tab w:val="clear" w:pos="709"/>
          <w:tab w:val="left" w:pos="709" w:leader="none"/>
        </w:tabs>
        <w:bidi w:val="0"/>
        <w:ind w:hanging="283" w:start="709"/>
        <w:jc w:val="start"/>
        <w:rPr/>
      </w:pPr>
      <w:r>
        <w:rPr>
          <w:b/>
        </w:rPr>
        <w:t>Reality check:</w:t>
      </w:r>
      <w:r>
        <w:rPr/>
        <w:t xml:space="preserve"> the business itself did not deteriorate — Microsoft's revenue and profits actually </w:t>
      </w:r>
      <w:r>
        <w:rPr>
          <w:b/>
        </w:rPr>
        <w:t>increased</w:t>
      </w:r>
      <w:r>
        <w:rPr/>
        <w:t xml:space="preserve"> during the pandemic (whether working from home or in-office, people still needed Microsoft subscriptions).</w:t>
      </w:r>
    </w:p>
    <w:p>
      <w:pPr>
        <w:pStyle w:val="BodyText"/>
        <w:numPr>
          <w:ilvl w:val="0"/>
          <w:numId w:val="21"/>
        </w:numPr>
        <w:tabs>
          <w:tab w:val="clear" w:pos="709"/>
          <w:tab w:val="left" w:pos="709" w:leader="none"/>
        </w:tabs>
        <w:bidi w:val="0"/>
        <w:ind w:hanging="283" w:start="709"/>
        <w:jc w:val="start"/>
        <w:rPr/>
      </w:pPr>
      <w:r>
        <w:rPr>
          <w:b/>
        </w:rPr>
        <w:t>Why the price fell anyway:</w:t>
      </w:r>
      <w:r>
        <w:rPr/>
        <w:t xml:space="preserve"> short-term market price reflects emotion and manipulation, not underlying value. Adam also implicates </w:t>
      </w:r>
      <w:r>
        <w:rPr>
          <w:b/>
        </w:rPr>
        <w:t>market makers/institutions</w:t>
      </w:r>
      <w:r>
        <w:rPr/>
        <w:t xml:space="preserve"> deliberately fueling fear to cause retail investors to panic-sell at the bottom, so institutions can buy the cheap shares — "that's how they make a lot of money, by scaring the retail investors."</w:t>
      </w:r>
    </w:p>
    <w:p>
      <w:pPr>
        <w:pStyle w:val="BodyText"/>
        <w:numPr>
          <w:ilvl w:val="0"/>
          <w:numId w:val="21"/>
        </w:numPr>
        <w:tabs>
          <w:tab w:val="clear" w:pos="709"/>
          <w:tab w:val="left" w:pos="709" w:leader="none"/>
        </w:tabs>
        <w:bidi w:val="0"/>
        <w:ind w:hanging="283" w:start="709"/>
        <w:jc w:val="start"/>
        <w:rPr/>
      </w:pPr>
      <w:r>
        <w:rPr>
          <w:b/>
        </w:rPr>
        <w:t>Margin selling mechanic explained:</w:t>
      </w:r>
      <w:r>
        <w:rPr/>
        <w:t xml:space="preserve"> some investors get greedy during rallies and borrow money from their broker to buy more shares — </w:t>
      </w:r>
      <w:r>
        <w:rPr>
          <w:b/>
        </w:rPr>
        <w:t>"buying on margin."</w:t>
      </w:r>
      <w:r>
        <w:rPr/>
        <w:t xml:space="preserve"> Existing shares serve as </w:t>
      </w:r>
      <w:r>
        <w:rPr>
          <w:b/>
        </w:rPr>
        <w:t>collateral</w:t>
      </w:r>
      <w:r>
        <w:rPr/>
        <w:t xml:space="preserve">. When the market drops suddenly, collateral value falls, and the broker demands more cash ("margin call"); investors without spare cash get </w:t>
      </w:r>
      <w:r>
        <w:rPr>
          <w:b/>
        </w:rPr>
        <w:t>forcibly liquidated</w:t>
      </w:r>
      <w:r>
        <w:rPr/>
        <w:t xml:space="preserve"> by the broker (shares sold at very low prices). Mass forced liquidations create a feedback loop of extra selling pressure, accelerating the price's "free fall" during a panic.</w:t>
      </w:r>
    </w:p>
    <w:p>
      <w:pPr>
        <w:pStyle w:val="BodyText"/>
        <w:numPr>
          <w:ilvl w:val="0"/>
          <w:numId w:val="21"/>
        </w:numPr>
        <w:tabs>
          <w:tab w:val="clear" w:pos="709"/>
          <w:tab w:val="left" w:pos="709" w:leader="none"/>
        </w:tabs>
        <w:bidi w:val="0"/>
        <w:ind w:hanging="283" w:start="709"/>
        <w:jc w:val="start"/>
        <w:rPr/>
      </w:pPr>
      <w:r>
        <w:rPr>
          <w:b/>
        </w:rPr>
        <w:t>Investor response:</w:t>
      </w:r>
      <w:r>
        <w:rPr/>
        <w:t xml:space="preserve"> rational investors benefit from this mispricing by buying shares of great companies while they're 30–40% (or more) below intrinsic value due to panic and forced liquidations.</w:t>
      </w:r>
    </w:p>
    <w:p>
      <w:pPr>
        <w:pStyle w:val="BodyText"/>
        <w:numPr>
          <w:ilvl w:val="0"/>
          <w:numId w:val="21"/>
        </w:numPr>
        <w:tabs>
          <w:tab w:val="clear" w:pos="709"/>
          <w:tab w:val="left" w:pos="709" w:leader="none"/>
        </w:tabs>
        <w:bidi w:val="0"/>
        <w:ind w:hanging="283" w:start="709"/>
        <w:jc w:val="start"/>
        <w:rPr/>
      </w:pPr>
      <w:r>
        <w:rPr>
          <w:b/>
        </w:rPr>
        <w:t>On timing the bottom:</w:t>
      </w:r>
      <w:r>
        <w:rPr/>
        <w:t xml:space="preserve"> "no one knows where is the bottom... there's no way to predict the bottom." As long as a purchase is made while the stock is undervalued, timing precision doesn't matter — you don't have to catch the exact bottom. Adam's method: </w:t>
      </w:r>
      <w:r>
        <w:rPr>
          <w:b/>
        </w:rPr>
        <w:t>never buy all at once</w:t>
      </w:r>
      <w:r>
        <w:rPr/>
        <w:t xml:space="preserve">; instead </w:t>
      </w:r>
      <w:r>
        <w:rPr>
          <w:b/>
        </w:rPr>
        <w:t>"nibble"</w:t>
      </w:r>
      <w:r>
        <w:rPr/>
        <w:t xml:space="preserve"> — buy in small tranches as the price moves.</w:t>
      </w:r>
    </w:p>
    <w:p>
      <w:pPr>
        <w:pStyle w:val="Heading4"/>
        <w:numPr>
          <w:ilvl w:val="0"/>
          <w:numId w:val="0"/>
        </w:numPr>
        <w:bidi w:val="0"/>
        <w:ind w:hanging="0" w:start="0"/>
        <w:jc w:val="start"/>
        <w:rPr/>
      </w:pPr>
      <w:r>
        <w:rPr/>
        <w:t>Quotes Cited</w:t>
      </w:r>
    </w:p>
    <w:p>
      <w:pPr>
        <w:pStyle w:val="BodyText"/>
        <w:numPr>
          <w:ilvl w:val="0"/>
          <w:numId w:val="22"/>
        </w:numPr>
        <w:tabs>
          <w:tab w:val="clear" w:pos="709"/>
          <w:tab w:val="left" w:pos="709" w:leader="none"/>
        </w:tabs>
        <w:bidi w:val="0"/>
        <w:ind w:hanging="283" w:start="709"/>
        <w:jc w:val="start"/>
        <w:rPr/>
      </w:pPr>
      <w:r>
        <w:rPr>
          <w:b/>
        </w:rPr>
        <w:t>Benjamin Graham</w:t>
      </w:r>
      <w:r>
        <w:rPr/>
        <w:t xml:space="preserve"> (mentor to Warren Buffett, known as "the father of value investing," author of </w:t>
      </w:r>
      <w:r>
        <w:rPr>
          <w:i/>
        </w:rPr>
        <w:t>The Intelligent Investor</w:t>
      </w:r>
      <w:r>
        <w:rPr/>
        <w:t>, which Adam highly recommends reading):</w:t>
      </w:r>
    </w:p>
    <w:p>
      <w:pPr>
        <w:pStyle w:val="BlockQuotation"/>
        <w:numPr>
          <w:ilvl w:val="0"/>
          <w:numId w:val="0"/>
        </w:numPr>
        <w:bidi w:val="0"/>
        <w:ind w:hanging="0" w:start="567"/>
        <w:jc w:val="start"/>
        <w:rPr/>
      </w:pPr>
      <w:r>
        <w:rPr/>
        <w:t>"The market is a pendulum that forever swings between unsustainable optimism that makes stocks too expensive at times and unjustified pessimism which makes them too cheap at times. And the intelligent investor is a realist who sells to optimists when stocks are too expensive, and buys from pessimists when stocks are too cheap."</w:t>
      </w:r>
    </w:p>
    <w:p>
      <w:pPr>
        <w:pStyle w:val="BodyText"/>
        <w:numPr>
          <w:ilvl w:val="0"/>
          <w:numId w:val="22"/>
        </w:numPr>
        <w:tabs>
          <w:tab w:val="clear" w:pos="709"/>
          <w:tab w:val="left" w:pos="709" w:leader="none"/>
        </w:tabs>
        <w:bidi w:val="0"/>
        <w:ind w:hanging="283" w:start="709"/>
        <w:jc w:val="start"/>
        <w:rPr/>
      </w:pPr>
      <w:r>
        <w:rPr>
          <w:b/>
        </w:rPr>
        <w:t>Peter Lynch</w:t>
      </w:r>
      <w:r>
        <w:rPr/>
        <w:t xml:space="preserve"> (described as one of the very few fund managers who actually beat the market by a wide margin over his career; Adam has studied his work extensively):</w:t>
      </w:r>
    </w:p>
    <w:p>
      <w:pPr>
        <w:pStyle w:val="BlockQuotation"/>
        <w:numPr>
          <w:ilvl w:val="0"/>
          <w:numId w:val="0"/>
        </w:numPr>
        <w:bidi w:val="0"/>
        <w:ind w:hanging="0" w:start="567"/>
        <w:jc w:val="start"/>
        <w:rPr/>
      </w:pPr>
      <w:r>
        <w:rPr/>
        <w:t xml:space="preserve">(paraphrased per Adam) "Often there's no correlation between the success of a company's operations and the success of the stock price over a few months or even sometimes a year or so" — but Adam adds that over the </w:t>
      </w:r>
      <w:r>
        <w:rPr>
          <w:b/>
        </w:rPr>
        <w:t>long term</w:t>
      </w:r>
      <w:r>
        <w:rPr/>
        <w:t xml:space="preserve"> (defined here as </w:t>
      </w:r>
      <w:r>
        <w:rPr>
          <w:b/>
        </w:rPr>
        <w:t>at least two years or more</w:t>
      </w:r>
      <w:r>
        <w:rPr/>
        <w:t>), "there's a hundred percent correlation between the success of a company and the success of its stock price."</w:t>
      </w:r>
    </w:p>
    <w:p>
      <w:pPr>
        <w:pStyle w:val="BodyText"/>
        <w:numPr>
          <w:ilvl w:val="0"/>
          <w:numId w:val="22"/>
        </w:numPr>
        <w:tabs>
          <w:tab w:val="clear" w:pos="709"/>
          <w:tab w:val="left" w:pos="709" w:leader="none"/>
        </w:tabs>
        <w:bidi w:val="0"/>
        <w:ind w:hanging="283" w:start="709"/>
        <w:jc w:val="start"/>
        <w:rPr/>
      </w:pPr>
      <w:r>
        <w:rPr/>
        <w:t>Adam's synthesis: "this disparity is the key to making money. It pays to be patient and to own successful companies."</w:t>
      </w:r>
    </w:p>
    <w:p>
      <w:pPr>
        <w:pStyle w:val="Heading4"/>
        <w:numPr>
          <w:ilvl w:val="0"/>
          <w:numId w:val="0"/>
        </w:numPr>
        <w:bidi w:val="0"/>
        <w:ind w:hanging="0" w:start="0"/>
        <w:jc w:val="start"/>
        <w:rPr/>
      </w:pPr>
      <w:r>
        <w:rPr/>
        <w:t>Long-Term Price Drivers (5 Factors)</w:t>
      </w:r>
    </w:p>
    <w:p>
      <w:pPr>
        <w:pStyle w:val="BodyText"/>
        <w:bidi w:val="0"/>
        <w:jc w:val="start"/>
        <w:rPr/>
      </w:pPr>
      <w:r>
        <w:rPr/>
        <w:t>Over the long run (the S&amp;P 500 specifically referenced as having risen for over 120 years), five factors drive stock prices higher:</w:t>
      </w:r>
    </w:p>
    <w:p>
      <w:pPr>
        <w:pStyle w:val="BodyText"/>
        <w:numPr>
          <w:ilvl w:val="0"/>
          <w:numId w:val="23"/>
        </w:numPr>
        <w:tabs>
          <w:tab w:val="clear" w:pos="709"/>
          <w:tab w:val="left" w:pos="709" w:leader="none"/>
        </w:tabs>
        <w:bidi w:val="0"/>
        <w:spacing w:before="0" w:after="0"/>
        <w:ind w:hanging="283" w:start="709"/>
        <w:jc w:val="start"/>
        <w:rPr/>
      </w:pPr>
      <w:r>
        <w:rPr>
          <w:b/>
        </w:rPr>
        <w:t>Earnings</w:t>
      </w:r>
      <w:r>
        <w:rPr/>
        <w:t xml:space="preserve"> — companies (in aggregate, the 500 biggest US companies) make more profit over time. </w:t>
      </w:r>
      <w:r>
        <w:rPr>
          <w:b/>
        </w:rPr>
        <w:t>Corporate earnings grow at an average of ~8% per year over the long run</w:t>
      </w:r>
      <w:r>
        <w:rPr/>
        <w:t xml:space="preserve"> (explicitly called out to "write this down"). Higher EPS → higher share value → higher share price.</w:t>
      </w:r>
    </w:p>
    <w:p>
      <w:pPr>
        <w:pStyle w:val="BodyText"/>
        <w:numPr>
          <w:ilvl w:val="1"/>
          <w:numId w:val="23"/>
        </w:numPr>
        <w:tabs>
          <w:tab w:val="clear" w:pos="709"/>
          <w:tab w:val="left" w:pos="1418" w:leader="none"/>
        </w:tabs>
        <w:bidi w:val="0"/>
        <w:ind w:hanging="283" w:start="1418"/>
        <w:jc w:val="start"/>
        <w:rPr/>
      </w:pPr>
      <w:r>
        <w:rPr/>
        <w:t xml:space="preserve">Beyond EPS, </w:t>
      </w:r>
      <w:r>
        <w:rPr>
          <w:b/>
        </w:rPr>
        <w:t>free cash flow per share</w:t>
      </w:r>
      <w:r>
        <w:rPr/>
        <w:t xml:space="preserve"> is highlighted as even more important than reported accounting earnings — "cash flow is more tangible" than accounting profit (expanded further in the Fundamental Analysis lesson).</w:t>
      </w:r>
    </w:p>
    <w:p>
      <w:pPr>
        <w:pStyle w:val="BodyText"/>
        <w:numPr>
          <w:ilvl w:val="0"/>
          <w:numId w:val="23"/>
        </w:numPr>
        <w:tabs>
          <w:tab w:val="clear" w:pos="709"/>
          <w:tab w:val="left" w:pos="709" w:leader="none"/>
        </w:tabs>
        <w:bidi w:val="0"/>
        <w:ind w:hanging="283" w:start="709"/>
        <w:jc w:val="start"/>
        <w:rPr/>
      </w:pPr>
      <w:r>
        <w:rPr>
          <w:b/>
        </w:rPr>
        <w:t>Share buybacks</w:t>
      </w:r>
      <w:r>
        <w:rPr/>
        <w:t xml:space="preserve"> — reduce share count, so each remaining share is worth more (same mechanism as described earlier).</w:t>
      </w:r>
    </w:p>
    <w:p>
      <w:pPr>
        <w:pStyle w:val="BodyText"/>
        <w:numPr>
          <w:ilvl w:val="0"/>
          <w:numId w:val="23"/>
        </w:numPr>
        <w:tabs>
          <w:tab w:val="clear" w:pos="709"/>
          <w:tab w:val="left" w:pos="709" w:leader="none"/>
        </w:tabs>
        <w:bidi w:val="0"/>
        <w:ind w:hanging="283" w:start="709"/>
        <w:jc w:val="start"/>
        <w:rPr/>
      </w:pPr>
      <w:r>
        <w:rPr>
          <w:b/>
        </w:rPr>
        <w:t>Dividends</w:t>
      </w:r>
      <w:r>
        <w:rPr/>
        <w:t xml:space="preserve"> — more dividends paid (e.g., by the S&amp;P 500 in aggregate) increases attractiveness/value, since investors are willing to pay more for dividend income.</w:t>
      </w:r>
    </w:p>
    <w:p>
      <w:pPr>
        <w:pStyle w:val="BodyText"/>
        <w:numPr>
          <w:ilvl w:val="0"/>
          <w:numId w:val="23"/>
        </w:numPr>
        <w:tabs>
          <w:tab w:val="clear" w:pos="709"/>
          <w:tab w:val="left" w:pos="709" w:leader="none"/>
        </w:tabs>
        <w:bidi w:val="0"/>
        <w:ind w:hanging="283" w:start="709"/>
        <w:jc w:val="start"/>
        <w:rPr/>
      </w:pPr>
      <w:r>
        <w:rPr>
          <w:b/>
        </w:rPr>
        <w:t>Future earnings growth (anticipation)</w:t>
      </w:r>
      <w:r>
        <w:rPr/>
        <w:t xml:space="preserve"> — the market often prices in </w:t>
      </w:r>
      <w:r>
        <w:rPr>
          <w:i/>
        </w:rPr>
        <w:t>future</w:t>
      </w:r>
      <w:r>
        <w:rPr/>
        <w:t>, not just current, earnings. Some companies with current losses still see rising share prices because investors anticipate future profitability/cash flow growth.</w:t>
      </w:r>
    </w:p>
    <w:p>
      <w:pPr>
        <w:pStyle w:val="BodyText"/>
        <w:numPr>
          <w:ilvl w:val="0"/>
          <w:numId w:val="23"/>
        </w:numPr>
        <w:tabs>
          <w:tab w:val="clear" w:pos="709"/>
          <w:tab w:val="left" w:pos="709" w:leader="none"/>
        </w:tabs>
        <w:bidi w:val="0"/>
        <w:spacing w:before="0" w:after="0"/>
        <w:ind w:hanging="283" w:start="709"/>
        <w:jc w:val="start"/>
        <w:rPr/>
      </w:pPr>
      <w:r>
        <w:rPr>
          <w:b/>
        </w:rPr>
        <w:t>Money supply</w:t>
      </w:r>
      <w:r>
        <w:rPr/>
        <w:t xml:space="preserve"> — controlled largely by the </w:t>
      </w:r>
      <w:r>
        <w:rPr>
          <w:b/>
        </w:rPr>
        <w:t>Federal Reserve</w:t>
      </w:r>
      <w:r>
        <w:rPr/>
        <w:t>. When the Fed lowers interest rates and buys bonds, money supply increases, inflating asset prices (including stocks). Conversely, raising rates / halting bond purchases reduces money supply.</w:t>
      </w:r>
    </w:p>
    <w:p>
      <w:pPr>
        <w:pStyle w:val="BodyText"/>
        <w:numPr>
          <w:ilvl w:val="1"/>
          <w:numId w:val="23"/>
        </w:numPr>
        <w:tabs>
          <w:tab w:val="clear" w:pos="709"/>
          <w:tab w:val="left" w:pos="1418" w:leader="none"/>
        </w:tabs>
        <w:bidi w:val="0"/>
        <w:ind w:hanging="283" w:start="1418"/>
        <w:jc w:val="start"/>
        <w:rPr/>
      </w:pPr>
      <w:r>
        <w:rPr>
          <w:b/>
        </w:rPr>
        <w:t>Example: 2022–2023</w:t>
      </w:r>
      <w:r>
        <w:rPr/>
        <w:t xml:space="preserve"> — the Fed </w:t>
      </w:r>
      <w:r>
        <w:rPr>
          <w:b/>
        </w:rPr>
        <w:t>reduced money supply by ~40%</w:t>
      </w:r>
      <w:r>
        <w:rPr/>
        <w:t xml:space="preserve"> (raised interest rates, stopped buying bonds), yet the </w:t>
      </w:r>
      <w:r>
        <w:rPr>
          <w:b/>
        </w:rPr>
        <w:t>stock market still rose in 2023</w:t>
      </w:r>
      <w:r>
        <w:rPr/>
        <w:t xml:space="preserve"> — because even with lower money supply, growing corporate earnings were enough to push the market higher. When all five factors move favorably together (money supply up, earnings up, dividends up), the market rises even more strongly.</w:t>
      </w:r>
    </w:p>
    <w:p>
      <w:pPr>
        <w:pStyle w:val="BodyText"/>
        <w:numPr>
          <w:ilvl w:val="0"/>
          <w:numId w:val="24"/>
        </w:numPr>
        <w:tabs>
          <w:tab w:val="clear" w:pos="709"/>
          <w:tab w:val="left" w:pos="709" w:leader="none"/>
        </w:tabs>
        <w:bidi w:val="0"/>
        <w:ind w:hanging="283" w:start="709"/>
        <w:jc w:val="start"/>
        <w:rPr/>
      </w:pPr>
      <w:r>
        <w:rPr/>
        <w:t>Supporting chart description: S&amp;P 500 share price (red line) tracks alongside forward earnings/projected company earnings (blue line) over the long run — they move together over time despite short-term divergence.</w:t>
      </w:r>
    </w:p>
    <w:p>
      <w:pPr>
        <w:pStyle w:val="Heading4"/>
        <w:numPr>
          <w:ilvl w:val="0"/>
          <w:numId w:val="0"/>
        </w:numPr>
        <w:bidi w:val="0"/>
        <w:ind w:hanging="0" w:start="0"/>
        <w:jc w:val="start"/>
        <w:rPr/>
      </w:pPr>
      <w:r>
        <w:rPr/>
        <w:t>Summary Framework: Short-Term vs. Long-Term Drivers</w:t>
      </w:r>
    </w:p>
    <w:p>
      <w:pPr>
        <w:pStyle w:val="BodyText"/>
        <w:numPr>
          <w:ilvl w:val="0"/>
          <w:numId w:val="25"/>
        </w:numPr>
        <w:tabs>
          <w:tab w:val="clear" w:pos="709"/>
          <w:tab w:val="left" w:pos="709" w:leader="none"/>
        </w:tabs>
        <w:bidi w:val="0"/>
        <w:ind w:hanging="283" w:start="709"/>
        <w:jc w:val="start"/>
        <w:rPr/>
      </w:pPr>
      <w:r>
        <w:rPr>
          <w:b/>
        </w:rPr>
        <w:t>Short term (next day/week/month/few months):</w:t>
      </w:r>
      <w:r>
        <w:rPr/>
        <w:t xml:space="preserve"> price driven mainly by </w:t>
      </w:r>
      <w:r>
        <w:rPr>
          <w:b/>
        </w:rPr>
        <w:t>emotion</w:t>
      </w:r>
      <w:r>
        <w:rPr/>
        <w:t xml:space="preserve"> (fear/greed) and </w:t>
      </w:r>
      <w:r>
        <w:rPr>
          <w:b/>
        </w:rPr>
        <w:t>market sentiment</w:t>
      </w:r>
      <w:r>
        <w:rPr/>
        <w:t xml:space="preserve">, triggered by news. The </w:t>
      </w:r>
      <w:r>
        <w:rPr>
          <w:b/>
        </w:rPr>
        <w:t>study of these short-term emotional/price patterns is called Technical Analysis.</w:t>
      </w:r>
    </w:p>
    <w:p>
      <w:pPr>
        <w:pStyle w:val="BodyText"/>
        <w:numPr>
          <w:ilvl w:val="0"/>
          <w:numId w:val="25"/>
        </w:numPr>
        <w:tabs>
          <w:tab w:val="clear" w:pos="709"/>
          <w:tab w:val="left" w:pos="709" w:leader="none"/>
        </w:tabs>
        <w:bidi w:val="0"/>
        <w:ind w:hanging="283" w:start="709"/>
        <w:jc w:val="start"/>
        <w:rPr/>
      </w:pPr>
      <w:r>
        <w:rPr>
          <w:b/>
        </w:rPr>
        <w:t>Long term (2+ years):</w:t>
      </w:r>
      <w:r>
        <w:rPr/>
        <w:t xml:space="preserve"> price driven by the underlying </w:t>
      </w:r>
      <w:r>
        <w:rPr>
          <w:b/>
        </w:rPr>
        <w:t>intrinsic value</w:t>
      </w:r>
      <w:r>
        <w:rPr/>
        <w:t xml:space="preserve"> of the business — determined by revenue, profit, cash flow, assets, and liabilities. </w:t>
      </w:r>
      <w:r>
        <w:rPr>
          <w:b/>
        </w:rPr>
        <w:t>The study of the business itself is called Fundamental Analysis.</w:t>
      </w:r>
    </w:p>
    <w:p>
      <w:pPr>
        <w:pStyle w:val="BodyText"/>
        <w:numPr>
          <w:ilvl w:val="0"/>
          <w:numId w:val="25"/>
        </w:numPr>
        <w:tabs>
          <w:tab w:val="clear" w:pos="709"/>
          <w:tab w:val="left" w:pos="709" w:leader="none"/>
        </w:tabs>
        <w:bidi w:val="0"/>
        <w:ind w:hanging="283" w:start="709"/>
        <w:jc w:val="start"/>
        <w:rPr/>
      </w:pPr>
      <w:r>
        <w:rPr>
          <w:b/>
        </w:rPr>
        <w:t>Weighting rule for investing decisions (explicitly told to "write this down"):</w:t>
      </w:r>
      <w:r>
        <w:rPr/>
        <w:t xml:space="preserve"> </w:t>
      </w:r>
      <w:r>
        <w:rPr>
          <w:b/>
        </w:rPr>
        <w:t>90% of buy/sell decisions should be based on fundamentals</w:t>
      </w:r>
      <w:r>
        <w:rPr/>
        <w:t xml:space="preserve">, and only </w:t>
      </w:r>
      <w:r>
        <w:rPr>
          <w:b/>
        </w:rPr>
        <w:t>10%</w:t>
      </w:r>
      <w:r>
        <w:rPr/>
        <w:t xml:space="preserve"> on technical analysis (used to optimize entry/exit timing). This 90/10 split applies to </w:t>
      </w:r>
      <w:r>
        <w:rPr>
          <w:i/>
        </w:rPr>
        <w:t>investing</w:t>
      </w:r>
      <w:r>
        <w:rPr/>
        <w:t>; short-term speculative trading would weight technicals more heavily.</w:t>
      </w:r>
    </w:p>
    <w:p>
      <w:pPr>
        <w:pStyle w:val="BodyText"/>
        <w:numPr>
          <w:ilvl w:val="0"/>
          <w:numId w:val="25"/>
        </w:numPr>
        <w:tabs>
          <w:tab w:val="clear" w:pos="709"/>
          <w:tab w:val="left" w:pos="709" w:leader="none"/>
        </w:tabs>
        <w:bidi w:val="0"/>
        <w:ind w:hanging="283" w:start="709"/>
        <w:jc w:val="start"/>
        <w:rPr/>
      </w:pPr>
      <w:r>
        <w:rPr/>
        <w:t xml:space="preserve">Two things needed to maximize investing profit: (1) identify which are the great companies, and (2) determine the stock's </w:t>
      </w:r>
      <w:r>
        <w:rPr>
          <w:b/>
        </w:rPr>
        <w:t>intrinsic value</w:t>
      </w:r>
      <w:r>
        <w:rPr/>
        <w:t>.</w:t>
      </w:r>
    </w:p>
    <w:p>
      <w:pPr>
        <w:pStyle w:val="Heading4"/>
        <w:numPr>
          <w:ilvl w:val="0"/>
          <w:numId w:val="0"/>
        </w:numPr>
        <w:bidi w:val="0"/>
        <w:ind w:hanging="0" w:start="0"/>
        <w:jc w:val="start"/>
        <w:rPr/>
      </w:pPr>
      <w:r>
        <w:rPr/>
        <w:t>Trend/Pattern Vocabulary Introduced</w:t>
      </w:r>
    </w:p>
    <w:p>
      <w:pPr>
        <w:pStyle w:val="BodyText"/>
        <w:numPr>
          <w:ilvl w:val="0"/>
          <w:numId w:val="26"/>
        </w:numPr>
        <w:tabs>
          <w:tab w:val="clear" w:pos="709"/>
          <w:tab w:val="left" w:pos="709" w:leader="none"/>
        </w:tabs>
        <w:bidi w:val="0"/>
        <w:ind w:hanging="283" w:start="709"/>
        <w:jc w:val="start"/>
        <w:rPr/>
      </w:pPr>
      <w:r>
        <w:rPr>
          <w:b/>
        </w:rPr>
        <w:t>Uptrend pattern:</w:t>
      </w:r>
      <w:r>
        <w:rPr/>
        <w:t xml:space="preserve"> price makes a repeating "wave up, wave down" sequence trending higher overall.</w:t>
      </w:r>
    </w:p>
    <w:p>
      <w:pPr>
        <w:pStyle w:val="BodyText"/>
        <w:numPr>
          <w:ilvl w:val="0"/>
          <w:numId w:val="26"/>
        </w:numPr>
        <w:tabs>
          <w:tab w:val="clear" w:pos="709"/>
          <w:tab w:val="left" w:pos="709" w:leader="none"/>
        </w:tabs>
        <w:bidi w:val="0"/>
        <w:ind w:hanging="283" w:start="709"/>
        <w:jc w:val="start"/>
        <w:rPr/>
      </w:pPr>
      <w:r>
        <w:rPr>
          <w:b/>
        </w:rPr>
        <w:t>Downtrend pattern:</w:t>
      </w:r>
      <w:r>
        <w:rPr/>
        <w:t xml:space="preserve"> price makes a repeating wave sequence trending lower overall.</w:t>
      </w:r>
    </w:p>
    <w:p>
      <w:pPr>
        <w:pStyle w:val="BodyText"/>
        <w:numPr>
          <w:ilvl w:val="0"/>
          <w:numId w:val="26"/>
        </w:numPr>
        <w:tabs>
          <w:tab w:val="clear" w:pos="709"/>
          <w:tab w:val="left" w:pos="709" w:leader="none"/>
        </w:tabs>
        <w:bidi w:val="0"/>
        <w:ind w:hanging="283" w:start="709"/>
        <w:jc w:val="start"/>
        <w:rPr/>
      </w:pPr>
      <w:r>
        <w:rPr>
          <w:b/>
        </w:rPr>
        <w:t>Consolidation:</w:t>
      </w:r>
      <w:r>
        <w:rPr/>
        <w:t xml:space="preserve"> price moves sideways in waves without a clear directional trend.</w:t>
      </w:r>
    </w:p>
    <w:p>
      <w:pPr>
        <w:pStyle w:val="BodyText"/>
        <w:numPr>
          <w:ilvl w:val="0"/>
          <w:numId w:val="26"/>
        </w:numPr>
        <w:tabs>
          <w:tab w:val="clear" w:pos="709"/>
          <w:tab w:val="left" w:pos="709" w:leader="none"/>
        </w:tabs>
        <w:bidi w:val="0"/>
        <w:ind w:hanging="283" w:start="709"/>
        <w:jc w:val="start"/>
        <w:rPr/>
      </w:pPr>
      <w:r>
        <w:rPr/>
        <w:t>These patterns are explored in depth in the later Technical Analysis lesson; described here as "the cherry on the cake," with fundamentals being "the main cake."</w:t>
      </w:r>
    </w:p>
    <w:p>
      <w:pPr>
        <w:pStyle w:val="Heading4"/>
        <w:numPr>
          <w:ilvl w:val="0"/>
          <w:numId w:val="0"/>
        </w:numPr>
        <w:bidi w:val="0"/>
        <w:ind w:hanging="0" w:start="0"/>
        <w:jc w:val="start"/>
        <w:rPr/>
      </w:pPr>
      <w:r>
        <w:rPr/>
        <w:t>Illustrative Example — McDonald's</w:t>
      </w:r>
    </w:p>
    <w:p>
      <w:pPr>
        <w:pStyle w:val="BodyText"/>
        <w:numPr>
          <w:ilvl w:val="0"/>
          <w:numId w:val="27"/>
        </w:numPr>
        <w:tabs>
          <w:tab w:val="clear" w:pos="709"/>
          <w:tab w:val="left" w:pos="709" w:leader="none"/>
        </w:tabs>
        <w:bidi w:val="0"/>
        <w:ind w:hanging="283" w:start="709"/>
        <w:jc w:val="start"/>
        <w:rPr/>
      </w:pPr>
      <w:r>
        <w:rPr/>
        <w:t xml:space="preserve">McDonald's: a long-standing, well-known company. Revenue, profits, and cash increase globally over time → </w:t>
      </w:r>
      <w:r>
        <w:rPr>
          <w:b/>
        </w:rPr>
        <w:t>intrinsic value</w:t>
      </w:r>
      <w:r>
        <w:rPr/>
        <w:t xml:space="preserve"> (shown as a black dotted line in Adam's chart) rises steadily over time.</w:t>
      </w:r>
    </w:p>
    <w:p>
      <w:pPr>
        <w:pStyle w:val="BodyText"/>
        <w:numPr>
          <w:ilvl w:val="0"/>
          <w:numId w:val="27"/>
        </w:numPr>
        <w:tabs>
          <w:tab w:val="clear" w:pos="709"/>
          <w:tab w:val="left" w:pos="709" w:leader="none"/>
        </w:tabs>
        <w:bidi w:val="0"/>
        <w:ind w:hanging="283" w:start="709"/>
        <w:jc w:val="start"/>
        <w:rPr/>
      </w:pPr>
      <w:r>
        <w:rPr>
          <w:b/>
        </w:rPr>
        <w:t>Share price</w:t>
      </w:r>
      <w:r>
        <w:rPr/>
        <w:t xml:space="preserve">, however, does </w:t>
      </w:r>
      <w:r>
        <w:rPr>
          <w:b/>
        </w:rPr>
        <w:t>not</w:t>
      </w:r>
      <w:r>
        <w:rPr/>
        <w:t xml:space="preserve"> track intrinsic value smoothly day-to-day/month-to-month — it moves "like a yo-yo" due to short-term volatility, emotion, and manipulation, cycling through consolidation → uptrend → downtrend → uptrend → downtrend → consolidation → uptrend patterns, etc.</w:t>
      </w:r>
    </w:p>
    <w:p>
      <w:pPr>
        <w:pStyle w:val="BodyText"/>
        <w:numPr>
          <w:ilvl w:val="0"/>
          <w:numId w:val="27"/>
        </w:numPr>
        <w:tabs>
          <w:tab w:val="clear" w:pos="709"/>
          <w:tab w:val="left" w:pos="709" w:leader="none"/>
        </w:tabs>
        <w:bidi w:val="0"/>
        <w:ind w:hanging="283" w:start="709"/>
        <w:jc w:val="start"/>
        <w:rPr/>
      </w:pPr>
      <w:r>
        <w:rPr/>
        <w:t>Zooming into a downtrend segment: Adam narrates the emotional swings driving it ("Oh my God, we're going to die, no one's going to eat burgers anymore, I hate Ronald McDonald" during downtrends, vs. excitement during uptrends), likening the market to "a bipolar, manic, depressive person."</w:t>
      </w:r>
    </w:p>
    <w:p>
      <w:pPr>
        <w:pStyle w:val="BodyText"/>
        <w:numPr>
          <w:ilvl w:val="0"/>
          <w:numId w:val="27"/>
        </w:numPr>
        <w:tabs>
          <w:tab w:val="clear" w:pos="709"/>
          <w:tab w:val="left" w:pos="709" w:leader="none"/>
        </w:tabs>
        <w:bidi w:val="0"/>
        <w:ind w:hanging="283" w:start="709"/>
        <w:jc w:val="start"/>
        <w:rPr/>
      </w:pPr>
      <w:r>
        <w:rPr>
          <w:b/>
        </w:rPr>
        <w:t>Key conclusion:</w:t>
      </w:r>
      <w:r>
        <w:rPr/>
        <w:t xml:space="preserve"> "the majority of the time, the price movements... are caused by reasons that have nothing to do with the company's long-term business potential... fundamentals and intrinsic value."</w:t>
      </w:r>
    </w:p>
    <w:p>
      <w:pPr>
        <w:pStyle w:val="HorizontalLine"/>
        <w:bidi w:val="0"/>
        <w:jc w:val="start"/>
        <w:rPr/>
      </w:pPr>
      <w:r>
        <w:rPr/>
      </w:r>
    </w:p>
    <w:p>
      <w:pPr>
        <w:pStyle w:val="Heading3"/>
        <w:bidi w:val="0"/>
        <w:ind w:hanging="0" w:start="0"/>
        <w:jc w:val="start"/>
        <w:rPr/>
      </w:pPr>
      <w:r>
        <w:rPr/>
        <w:t>How to Make Money in Stocks</w:t>
      </w:r>
    </w:p>
    <w:p>
      <w:pPr>
        <w:pStyle w:val="Heading4"/>
        <w:bidi w:val="0"/>
        <w:ind w:hanging="0" w:start="0"/>
        <w:jc w:val="start"/>
        <w:rPr/>
      </w:pPr>
      <w:r>
        <w:rPr/>
        <w:t>Don't Ask "Why Did the Market Move?"</w:t>
      </w:r>
    </w:p>
    <w:p>
      <w:pPr>
        <w:pStyle w:val="BodyText"/>
        <w:numPr>
          <w:ilvl w:val="0"/>
          <w:numId w:val="28"/>
        </w:numPr>
        <w:tabs>
          <w:tab w:val="clear" w:pos="709"/>
          <w:tab w:val="left" w:pos="709" w:leader="none"/>
        </w:tabs>
        <w:bidi w:val="0"/>
        <w:ind w:hanging="283" w:start="709"/>
        <w:jc w:val="start"/>
        <w:rPr/>
      </w:pPr>
      <w:r>
        <w:rPr/>
        <w:t>Using the S&amp;P 500 chart as illustration: prices move in repeated wave-up/wave-down patterns driven by cycling excitement/fear.</w:t>
      </w:r>
    </w:p>
    <w:p>
      <w:pPr>
        <w:pStyle w:val="BodyText"/>
        <w:numPr>
          <w:ilvl w:val="0"/>
          <w:numId w:val="28"/>
        </w:numPr>
        <w:tabs>
          <w:tab w:val="clear" w:pos="709"/>
          <w:tab w:val="left" w:pos="709" w:leader="none"/>
        </w:tabs>
        <w:bidi w:val="0"/>
        <w:ind w:hanging="283" w:start="709"/>
        <w:jc w:val="start"/>
        <w:rPr/>
      </w:pPr>
      <w:r>
        <w:rPr>
          <w:b/>
        </w:rPr>
        <w:t>"Why did the market go up/down?" is called "the most stupid question to ask."</w:t>
      </w:r>
      <w:r>
        <w:rPr/>
        <w:t xml:space="preserve"> Reasoning: analysts always retroactively construct a plausible-sounding explanation for any price move (e.g., "market went up because GDP beat expectations," "market went down because of the war in Gaza") — there are always both positive and negative narratives available in the world to cherry-pick from; these justifications are a waste of time and not useful for investment decisions.</w:t>
      </w:r>
    </w:p>
    <w:p>
      <w:pPr>
        <w:pStyle w:val="BodyText"/>
        <w:numPr>
          <w:ilvl w:val="0"/>
          <w:numId w:val="28"/>
        </w:numPr>
        <w:tabs>
          <w:tab w:val="clear" w:pos="709"/>
          <w:tab w:val="left" w:pos="709" w:leader="none"/>
        </w:tabs>
        <w:bidi w:val="0"/>
        <w:ind w:hanging="283" w:start="709"/>
        <w:jc w:val="start"/>
        <w:rPr/>
      </w:pPr>
      <w:r>
        <w:rPr>
          <w:b/>
        </w:rPr>
        <w:t>Simple operating rule:</w:t>
      </w:r>
      <w:r>
        <w:rPr/>
        <w:t xml:space="preserve"> when the market/a favored company goes down and becomes undervalued, buy. When it goes up and becomes expensive, don't buy (and it may be a time to sell certain positions).</w:t>
      </w:r>
    </w:p>
    <w:p>
      <w:pPr>
        <w:pStyle w:val="Heading4"/>
        <w:numPr>
          <w:ilvl w:val="0"/>
          <w:numId w:val="0"/>
        </w:numPr>
        <w:bidi w:val="0"/>
        <w:ind w:hanging="0" w:start="0"/>
        <w:jc w:val="start"/>
        <w:rPr/>
      </w:pPr>
      <w:r>
        <w:rPr/>
        <w:t>Procter &amp; Gamble (P&amp;G) Example — Overvalued vs. Undervalued</w:t>
      </w:r>
    </w:p>
    <w:p>
      <w:pPr>
        <w:pStyle w:val="BodyText"/>
        <w:numPr>
          <w:ilvl w:val="0"/>
          <w:numId w:val="29"/>
        </w:numPr>
        <w:tabs>
          <w:tab w:val="clear" w:pos="709"/>
          <w:tab w:val="left" w:pos="709" w:leader="none"/>
        </w:tabs>
        <w:bidi w:val="0"/>
        <w:ind w:hanging="283" w:start="709"/>
        <w:jc w:val="start"/>
        <w:rPr/>
      </w:pPr>
      <w:r>
        <w:rPr/>
        <w:t>P&amp;G: a long-standing company (household products, e.g. shampoos) whose sales/profits/value keep rising over time → intrinsic value line (green) rises steadily.</w:t>
      </w:r>
    </w:p>
    <w:p>
      <w:pPr>
        <w:pStyle w:val="BodyText"/>
        <w:numPr>
          <w:ilvl w:val="0"/>
          <w:numId w:val="29"/>
        </w:numPr>
        <w:tabs>
          <w:tab w:val="clear" w:pos="709"/>
          <w:tab w:val="left" w:pos="709" w:leader="none"/>
        </w:tabs>
        <w:bidi w:val="0"/>
        <w:ind w:hanging="283" w:start="709"/>
        <w:jc w:val="start"/>
        <w:rPr/>
      </w:pPr>
      <w:r>
        <w:rPr/>
        <w:t>Share price oscillates above and below the intrinsic-value (green) line repeatedly, "like a pendulum."</w:t>
      </w:r>
    </w:p>
    <w:p>
      <w:pPr>
        <w:pStyle w:val="BodyText"/>
        <w:numPr>
          <w:ilvl w:val="0"/>
          <w:numId w:val="29"/>
        </w:numPr>
        <w:tabs>
          <w:tab w:val="clear" w:pos="709"/>
          <w:tab w:val="left" w:pos="709" w:leader="none"/>
        </w:tabs>
        <w:bidi w:val="0"/>
        <w:spacing w:before="0" w:after="0"/>
        <w:ind w:hanging="283" w:start="709"/>
        <w:jc w:val="start"/>
        <w:rPr/>
      </w:pPr>
      <w:r>
        <w:rPr>
          <w:b/>
        </w:rPr>
        <w:t>Definitions:</w:t>
      </w:r>
    </w:p>
    <w:p>
      <w:pPr>
        <w:pStyle w:val="BodyText"/>
        <w:numPr>
          <w:ilvl w:val="1"/>
          <w:numId w:val="29"/>
        </w:numPr>
        <w:tabs>
          <w:tab w:val="clear" w:pos="709"/>
          <w:tab w:val="left" w:pos="1418" w:leader="none"/>
        </w:tabs>
        <w:bidi w:val="0"/>
        <w:ind w:hanging="283" w:start="1418"/>
        <w:jc w:val="start"/>
        <w:rPr/>
      </w:pPr>
      <w:r>
        <w:rPr>
          <w:b/>
        </w:rPr>
        <w:t>Overpriced/overvalued</w:t>
      </w:r>
      <w:r>
        <w:rPr/>
        <w:t xml:space="preserve"> = share price above the intrinsic value line.</w:t>
      </w:r>
    </w:p>
    <w:p>
      <w:pPr>
        <w:pStyle w:val="BodyText"/>
        <w:numPr>
          <w:ilvl w:val="1"/>
          <w:numId w:val="29"/>
        </w:numPr>
        <w:tabs>
          <w:tab w:val="clear" w:pos="709"/>
          <w:tab w:val="left" w:pos="1418" w:leader="none"/>
        </w:tabs>
        <w:bidi w:val="0"/>
        <w:ind w:hanging="283" w:start="1418"/>
        <w:jc w:val="start"/>
        <w:rPr/>
      </w:pPr>
      <w:r>
        <w:rPr>
          <w:b/>
        </w:rPr>
        <w:t>Underpriced/undervalued</w:t>
      </w:r>
      <w:r>
        <w:rPr/>
        <w:t xml:space="preserve"> = share price below the intrinsic value line.</w:t>
      </w:r>
    </w:p>
    <w:p>
      <w:pPr>
        <w:pStyle w:val="BodyText"/>
        <w:numPr>
          <w:ilvl w:val="0"/>
          <w:numId w:val="29"/>
        </w:numPr>
        <w:tabs>
          <w:tab w:val="clear" w:pos="709"/>
          <w:tab w:val="left" w:pos="709" w:leader="none"/>
        </w:tabs>
        <w:bidi w:val="0"/>
        <w:ind w:hanging="283" w:start="709"/>
        <w:jc w:val="start"/>
        <w:rPr/>
      </w:pPr>
      <w:r>
        <w:rPr>
          <w:b/>
        </w:rPr>
        <w:t>The investor's job, simply stated:</w:t>
      </w:r>
      <w:r>
        <w:rPr/>
        <w:t xml:space="preserve"> add shares of great companies when they are undervalued (below the green line). "Why the price went down, why the price went up is totally irrelevant."</w:t>
      </w:r>
    </w:p>
    <w:p>
      <w:pPr>
        <w:pStyle w:val="BodyText"/>
        <w:numPr>
          <w:ilvl w:val="0"/>
          <w:numId w:val="29"/>
        </w:numPr>
        <w:tabs>
          <w:tab w:val="clear" w:pos="709"/>
          <w:tab w:val="left" w:pos="709" w:leader="none"/>
        </w:tabs>
        <w:bidi w:val="0"/>
        <w:spacing w:before="0" w:after="0"/>
        <w:ind w:hanging="283" w:start="709"/>
        <w:jc w:val="start"/>
        <w:rPr/>
      </w:pPr>
      <w:r>
        <w:rPr>
          <w:b/>
        </w:rPr>
        <w:t>You do not need to buy the exact bottom.</w:t>
      </w:r>
      <w:r>
        <w:rPr/>
        <w:t xml:space="preserve"> Nobody can predict a wave's bottom. Adam's personal tranche-buying ("nibbling") method:</w:t>
      </w:r>
    </w:p>
    <w:p>
      <w:pPr>
        <w:pStyle w:val="BodyText"/>
        <w:numPr>
          <w:ilvl w:val="1"/>
          <w:numId w:val="29"/>
        </w:numPr>
        <w:tabs>
          <w:tab w:val="clear" w:pos="709"/>
          <w:tab w:val="left" w:pos="1418" w:leader="none"/>
        </w:tabs>
        <w:bidi w:val="0"/>
        <w:ind w:hanging="283" w:start="1418"/>
        <w:jc w:val="start"/>
        <w:rPr/>
      </w:pPr>
      <w:r>
        <w:rPr/>
        <w:t xml:space="preserve">Once price drops </w:t>
      </w:r>
      <w:r>
        <w:rPr>
          <w:b/>
        </w:rPr>
        <w:t>~10% below intrinsic value</w:t>
      </w:r>
      <w:r>
        <w:rPr/>
        <w:t>, nibble (buy a small amount).</w:t>
      </w:r>
    </w:p>
    <w:p>
      <w:pPr>
        <w:pStyle w:val="BodyText"/>
        <w:numPr>
          <w:ilvl w:val="1"/>
          <w:numId w:val="29"/>
        </w:numPr>
        <w:tabs>
          <w:tab w:val="clear" w:pos="709"/>
          <w:tab w:val="left" w:pos="1418" w:leader="none"/>
        </w:tabs>
        <w:bidi w:val="0"/>
        <w:ind w:hanging="283" w:start="1418"/>
        <w:jc w:val="start"/>
        <w:rPr/>
      </w:pPr>
      <w:r>
        <w:rPr/>
        <w:t xml:space="preserve">If it drops another </w:t>
      </w:r>
      <w:r>
        <w:rPr>
          <w:b/>
        </w:rPr>
        <w:t>5–10%</w:t>
      </w:r>
      <w:r>
        <w:rPr/>
        <w:t xml:space="preserve"> further, nibble more.</w:t>
      </w:r>
    </w:p>
    <w:p>
      <w:pPr>
        <w:pStyle w:val="BodyText"/>
        <w:numPr>
          <w:ilvl w:val="1"/>
          <w:numId w:val="29"/>
        </w:numPr>
        <w:tabs>
          <w:tab w:val="clear" w:pos="709"/>
          <w:tab w:val="left" w:pos="1418" w:leader="none"/>
        </w:tabs>
        <w:bidi w:val="0"/>
        <w:ind w:hanging="283" w:start="1418"/>
        <w:jc w:val="start"/>
        <w:rPr/>
      </w:pPr>
      <w:r>
        <w:rPr/>
        <w:t xml:space="preserve">If it drops another </w:t>
      </w:r>
      <w:r>
        <w:rPr>
          <w:b/>
        </w:rPr>
        <w:t>5–10%</w:t>
      </w:r>
      <w:r>
        <w:rPr/>
        <w:t>, nibble again.</w:t>
      </w:r>
    </w:p>
    <w:p>
      <w:pPr>
        <w:pStyle w:val="BodyText"/>
        <w:numPr>
          <w:ilvl w:val="1"/>
          <w:numId w:val="29"/>
        </w:numPr>
        <w:tabs>
          <w:tab w:val="clear" w:pos="709"/>
          <w:tab w:val="left" w:pos="1418" w:leader="none"/>
        </w:tabs>
        <w:bidi w:val="0"/>
        <w:ind w:hanging="283" w:start="1418"/>
        <w:jc w:val="start"/>
        <w:rPr/>
      </w:pPr>
      <w:r>
        <w:rPr/>
        <w:t>This averages down the cost basis over time; doesn't require catching the exact bottom, since the goal is simply an average entry price below where intrinsic value (rising over time) eventually reconnects with price.</w:t>
      </w:r>
    </w:p>
    <w:p>
      <w:pPr>
        <w:pStyle w:val="BodyText"/>
        <w:numPr>
          <w:ilvl w:val="0"/>
          <w:numId w:val="29"/>
        </w:numPr>
        <w:tabs>
          <w:tab w:val="clear" w:pos="709"/>
          <w:tab w:val="left" w:pos="709" w:leader="none"/>
        </w:tabs>
        <w:bidi w:val="0"/>
        <w:ind w:hanging="283" w:start="709"/>
        <w:jc w:val="start"/>
        <w:rPr/>
      </w:pPr>
      <w:r>
        <w:rPr>
          <w:b/>
        </w:rPr>
        <w:t>Key aphorism:</w:t>
      </w:r>
      <w:r>
        <w:rPr/>
        <w:t xml:space="preserve"> </w:t>
      </w:r>
      <w:r>
        <w:rPr>
          <w:b/>
        </w:rPr>
        <w:t>"Price is not value... Price is what you pay, value is what you get."</w:t>
      </w:r>
      <w:r>
        <w:rPr/>
        <w:t xml:space="preserve"> (Price = the fluctuating line; Value = the green intrinsic-value line.)</w:t>
      </w:r>
    </w:p>
    <w:p>
      <w:pPr>
        <w:pStyle w:val="BodyText"/>
        <w:numPr>
          <w:ilvl w:val="0"/>
          <w:numId w:val="29"/>
        </w:numPr>
        <w:tabs>
          <w:tab w:val="clear" w:pos="709"/>
          <w:tab w:val="left" w:pos="709" w:leader="none"/>
        </w:tabs>
        <w:bidi w:val="0"/>
        <w:ind w:hanging="283" w:start="709"/>
        <w:jc w:val="start"/>
        <w:rPr/>
      </w:pPr>
      <w:r>
        <w:rPr/>
        <w:t xml:space="preserve">Adam states he specifically </w:t>
      </w:r>
      <w:r>
        <w:rPr>
          <w:i/>
        </w:rPr>
        <w:t>loves</w:t>
      </w:r>
      <w:r>
        <w:rPr/>
        <w:t xml:space="preserve"> when a great company he holds gets hit by bad news, because panic selling creates buying opportunities.</w:t>
      </w:r>
    </w:p>
    <w:p>
      <w:pPr>
        <w:pStyle w:val="Heading4"/>
        <w:numPr>
          <w:ilvl w:val="0"/>
          <w:numId w:val="0"/>
        </w:numPr>
        <w:bidi w:val="0"/>
        <w:ind w:hanging="0" w:start="0"/>
        <w:jc w:val="start"/>
        <w:rPr/>
      </w:pPr>
      <w:r>
        <w:rPr/>
        <w:t>Meta/Facebook — Long-Term Holding Through Repeated "Bad News" Buying Opportunities</w:t>
      </w:r>
    </w:p>
    <w:p>
      <w:pPr>
        <w:pStyle w:val="BodyText"/>
        <w:numPr>
          <w:ilvl w:val="0"/>
          <w:numId w:val="30"/>
        </w:numPr>
        <w:tabs>
          <w:tab w:val="clear" w:pos="709"/>
          <w:tab w:val="left" w:pos="709" w:leader="none"/>
        </w:tabs>
        <w:bidi w:val="0"/>
        <w:ind w:hanging="283" w:start="709"/>
        <w:jc w:val="start"/>
        <w:rPr/>
      </w:pPr>
      <w:r>
        <w:rPr/>
        <w:t xml:space="preserve">Adam has held Facebook/Meta for many years. A few years prior to recording it traded between </w:t>
      </w:r>
      <w:r>
        <w:rPr>
          <w:b/>
        </w:rPr>
        <w:t>$120 and $360 per share</w:t>
      </w:r>
      <w:r>
        <w:rPr/>
        <w:t xml:space="preserve">; by the time of recording it was near </w:t>
      </w:r>
      <w:r>
        <w:rPr>
          <w:b/>
        </w:rPr>
        <w:t>$600</w:t>
      </w:r>
      <w:r>
        <w:rPr/>
        <w:t>.</w:t>
      </w:r>
    </w:p>
    <w:p>
      <w:pPr>
        <w:pStyle w:val="BodyText"/>
        <w:numPr>
          <w:ilvl w:val="0"/>
          <w:numId w:val="30"/>
        </w:numPr>
        <w:tabs>
          <w:tab w:val="clear" w:pos="709"/>
          <w:tab w:val="left" w:pos="709" w:leader="none"/>
        </w:tabs>
        <w:bidi w:val="0"/>
        <w:spacing w:before="0" w:after="0"/>
        <w:ind w:hanging="283" w:start="709"/>
        <w:jc w:val="start"/>
        <w:rPr/>
      </w:pPr>
      <w:r>
        <w:rPr/>
        <w:t>Throughout the holding period, intrinsic value (green line) rose steadily as profits grew, while a string of negative headlines periodically crashed the price below intrinsic value — each cited by Adam as a buying opportunity:</w:t>
      </w:r>
    </w:p>
    <w:p>
      <w:pPr>
        <w:pStyle w:val="BodyText"/>
        <w:numPr>
          <w:ilvl w:val="1"/>
          <w:numId w:val="30"/>
        </w:numPr>
        <w:tabs>
          <w:tab w:val="clear" w:pos="709"/>
          <w:tab w:val="left" w:pos="1418" w:leader="none"/>
        </w:tabs>
        <w:bidi w:val="0"/>
        <w:ind w:hanging="283" w:start="1418"/>
        <w:jc w:val="start"/>
        <w:rPr/>
      </w:pPr>
      <w:r>
        <w:rPr>
          <w:b/>
        </w:rPr>
        <w:t>April 2018</w:t>
      </w:r>
      <w:r>
        <w:rPr/>
        <w:t xml:space="preserve"> — Facebook data-selling scandal (accused of selling user data to other providers) → panic, price fell below intrinsic value → buying opportunity.</w:t>
      </w:r>
    </w:p>
    <w:p>
      <w:pPr>
        <w:pStyle w:val="BodyText"/>
        <w:numPr>
          <w:ilvl w:val="1"/>
          <w:numId w:val="30"/>
        </w:numPr>
        <w:tabs>
          <w:tab w:val="clear" w:pos="709"/>
          <w:tab w:val="left" w:pos="1418" w:leader="none"/>
        </w:tabs>
        <w:bidi w:val="0"/>
        <w:ind w:hanging="283" w:start="1418"/>
        <w:jc w:val="start"/>
        <w:rPr/>
      </w:pPr>
      <w:r>
        <w:rPr/>
        <w:t xml:space="preserve">Facebook fined over the </w:t>
      </w:r>
      <w:r>
        <w:rPr>
          <w:b/>
        </w:rPr>
        <w:t>Cambridge Analytica scandal</w:t>
      </w:r>
      <w:r>
        <w:rPr/>
        <w:t xml:space="preserve"> → more panic → another buying opportunity.</w:t>
      </w:r>
    </w:p>
    <w:p>
      <w:pPr>
        <w:pStyle w:val="BodyText"/>
        <w:numPr>
          <w:ilvl w:val="1"/>
          <w:numId w:val="30"/>
        </w:numPr>
        <w:tabs>
          <w:tab w:val="clear" w:pos="709"/>
          <w:tab w:val="left" w:pos="1418" w:leader="none"/>
        </w:tabs>
        <w:bidi w:val="0"/>
        <w:ind w:hanging="283" w:start="1418"/>
        <w:jc w:val="start"/>
        <w:rPr/>
      </w:pPr>
      <w:r>
        <w:rPr/>
        <w:t xml:space="preserve">Headline: </w:t>
      </w:r>
      <w:r>
        <w:rPr>
          <w:i/>
        </w:rPr>
        <w:t>"Facebook shares extend slide as Starbucks joins major global brands in social media ads spending boycott"</w:t>
      </w:r>
      <w:r>
        <w:rPr/>
        <w:t xml:space="preserve"> → advertiser boycott news → opportunity.</w:t>
      </w:r>
    </w:p>
    <w:p>
      <w:pPr>
        <w:pStyle w:val="BodyText"/>
        <w:numPr>
          <w:ilvl w:val="1"/>
          <w:numId w:val="30"/>
        </w:numPr>
        <w:tabs>
          <w:tab w:val="clear" w:pos="709"/>
          <w:tab w:val="left" w:pos="1418" w:leader="none"/>
        </w:tabs>
        <w:bidi w:val="0"/>
        <w:ind w:hanging="283" w:start="1418"/>
        <w:jc w:val="start"/>
        <w:rPr/>
      </w:pPr>
      <w:r>
        <w:rPr/>
        <w:t xml:space="preserve">Headline: </w:t>
      </w:r>
      <w:r>
        <w:rPr>
          <w:i/>
        </w:rPr>
        <w:t>"Tech stocks closed sharply lower as bond yields jumped"</w:t>
      </w:r>
      <w:r>
        <w:rPr/>
        <w:t xml:space="preserve"> — long-term interest rates rose, causing broad panic and a share price drop → opportunity.</w:t>
      </w:r>
    </w:p>
    <w:p>
      <w:pPr>
        <w:pStyle w:val="BodyText"/>
        <w:numPr>
          <w:ilvl w:val="1"/>
          <w:numId w:val="30"/>
        </w:numPr>
        <w:tabs>
          <w:tab w:val="clear" w:pos="709"/>
          <w:tab w:val="left" w:pos="1418" w:leader="none"/>
        </w:tabs>
        <w:bidi w:val="0"/>
        <w:ind w:hanging="283" w:start="1418"/>
        <w:jc w:val="start"/>
        <w:rPr/>
      </w:pPr>
      <w:r>
        <w:rPr>
          <w:b/>
        </w:rPr>
        <w:t>Whistleblower complaint</w:t>
      </w:r>
      <w:r>
        <w:rPr/>
        <w:t xml:space="preserve"> alleging Facebook's platform was used to promote human trafficking and domestic servitude (Adam clarifies he is not condoning the underlying issue — merely noting the market reaction) → opportunity.</w:t>
      </w:r>
    </w:p>
    <w:p>
      <w:pPr>
        <w:pStyle w:val="BodyText"/>
        <w:numPr>
          <w:ilvl w:val="1"/>
          <w:numId w:val="30"/>
        </w:numPr>
        <w:tabs>
          <w:tab w:val="clear" w:pos="709"/>
          <w:tab w:val="left" w:pos="1418" w:leader="none"/>
        </w:tabs>
        <w:bidi w:val="0"/>
        <w:ind w:hanging="283" w:start="1418"/>
        <w:jc w:val="start"/>
        <w:rPr/>
      </w:pPr>
      <w:r>
        <w:rPr/>
        <w:t xml:space="preserve">Headline: </w:t>
      </w:r>
      <w:r>
        <w:rPr>
          <w:i/>
        </w:rPr>
        <w:t>"Facebook's outage frustrates advertisers heading into holiday season"</w:t>
      </w:r>
      <w:r>
        <w:rPr/>
        <w:t xml:space="preserve"> → an outage-driven scare → opportunity.</w:t>
      </w:r>
    </w:p>
    <w:p>
      <w:pPr>
        <w:pStyle w:val="BodyText"/>
        <w:numPr>
          <w:ilvl w:val="0"/>
          <w:numId w:val="30"/>
        </w:numPr>
        <w:tabs>
          <w:tab w:val="clear" w:pos="709"/>
          <w:tab w:val="left" w:pos="709" w:leader="none"/>
        </w:tabs>
        <w:bidi w:val="0"/>
        <w:ind w:hanging="283" w:start="709"/>
        <w:jc w:val="start"/>
        <w:rPr/>
      </w:pPr>
      <w:r>
        <w:rPr>
          <w:b/>
        </w:rPr>
        <w:t>General lesson:</w:t>
      </w:r>
      <w:r>
        <w:rPr/>
        <w:t xml:space="preserve"> every company (McDonald's, Visa, MasterCard, Meta, etc.) periodically faces scandals/bad news. Rational investors who evaluate fundamentals (is the company still making more money? what is intrinsic value?) and buy the dip rather than panic-sell tend to profit; those who "buy high, sell low" out of panic tend to lose money repeatedly.</w:t>
      </w:r>
    </w:p>
    <w:p>
      <w:pPr>
        <w:pStyle w:val="Heading4"/>
        <w:numPr>
          <w:ilvl w:val="0"/>
          <w:numId w:val="0"/>
        </w:numPr>
        <w:bidi w:val="0"/>
        <w:ind w:hanging="0" w:start="0"/>
        <w:jc w:val="start"/>
        <w:rPr/>
      </w:pPr>
      <w:r>
        <w:rPr/>
        <w:t>Two Ways Stocks Build Wealth</w:t>
      </w:r>
    </w:p>
    <w:p>
      <w:pPr>
        <w:pStyle w:val="BodyText"/>
        <w:numPr>
          <w:ilvl w:val="0"/>
          <w:numId w:val="31"/>
        </w:numPr>
        <w:tabs>
          <w:tab w:val="clear" w:pos="709"/>
          <w:tab w:val="left" w:pos="709" w:leader="none"/>
        </w:tabs>
        <w:bidi w:val="0"/>
        <w:spacing w:before="0" w:after="0"/>
        <w:ind w:hanging="283" w:start="709"/>
        <w:jc w:val="start"/>
        <w:rPr/>
      </w:pPr>
      <w:r>
        <w:rPr>
          <w:b/>
        </w:rPr>
        <w:t>Capital appreciation</w:t>
      </w:r>
      <w:r>
        <w:rPr/>
        <w:t xml:space="preserve"> — profit from the share price rising over time between purchase and sale.</w:t>
      </w:r>
    </w:p>
    <w:p>
      <w:pPr>
        <w:pStyle w:val="BodyText"/>
        <w:numPr>
          <w:ilvl w:val="1"/>
          <w:numId w:val="31"/>
        </w:numPr>
        <w:tabs>
          <w:tab w:val="clear" w:pos="709"/>
          <w:tab w:val="left" w:pos="1418" w:leader="none"/>
        </w:tabs>
        <w:bidi w:val="0"/>
        <w:ind w:hanging="283" w:start="1418"/>
        <w:jc w:val="start"/>
        <w:rPr/>
      </w:pPr>
      <w:r>
        <w:rPr/>
        <w:t>You should not expect gains "next day, next week, or even next month" — short-term price movement is essentially random/unpredictable.</w:t>
      </w:r>
    </w:p>
    <w:p>
      <w:pPr>
        <w:pStyle w:val="BodyText"/>
        <w:numPr>
          <w:ilvl w:val="1"/>
          <w:numId w:val="31"/>
        </w:numPr>
        <w:tabs>
          <w:tab w:val="clear" w:pos="709"/>
          <w:tab w:val="left" w:pos="1418" w:leader="none"/>
        </w:tabs>
        <w:bidi w:val="0"/>
        <w:ind w:hanging="283" w:start="1418"/>
        <w:jc w:val="start"/>
        <w:rPr/>
      </w:pPr>
      <w:r>
        <w:rPr>
          <w:b/>
        </w:rPr>
        <w:t>Worked example — Apple:</w:t>
      </w:r>
      <w:r>
        <w:rPr/>
        <w:t xml:space="preserve"> bought at </w:t>
      </w:r>
      <w:r>
        <w:rPr>
          <w:b/>
        </w:rPr>
        <w:t>$320</w:t>
      </w:r>
      <w:r>
        <w:rPr/>
        <w:t xml:space="preserve">/share (bullish thesis: great company, widely used products, undervalued); later sold at approximately </w:t>
      </w:r>
      <w:r>
        <w:rPr>
          <w:b/>
        </w:rPr>
        <w:t>$502</w:t>
      </w:r>
      <w:r>
        <w:rPr/>
        <w:t xml:space="preserve">/share (the video also momentarily states "$520" during narration, but the profit calculation that follows — $182 profit per share — is only consistent with a $502 sale price: $320 + $182 = $502). </w:t>
      </w:r>
      <w:r>
        <w:rPr>
          <w:b/>
        </w:rPr>
        <w:t>Profit = $182 per share.</w:t>
      </w:r>
    </w:p>
    <w:p>
      <w:pPr>
        <w:pStyle w:val="BodyText"/>
        <w:numPr>
          <w:ilvl w:val="1"/>
          <w:numId w:val="31"/>
        </w:numPr>
        <w:tabs>
          <w:tab w:val="clear" w:pos="709"/>
          <w:tab w:val="left" w:pos="1418" w:leader="none"/>
        </w:tabs>
        <w:bidi w:val="0"/>
        <w:ind w:hanging="283" w:start="1418"/>
        <w:jc w:val="start"/>
        <w:rPr/>
      </w:pPr>
      <w:r>
        <w:rPr/>
        <w:t xml:space="preserve">Adam's own biggest wins came from </w:t>
      </w:r>
      <w:r>
        <w:rPr>
          <w:b/>
        </w:rPr>
        <w:t>not</w:t>
      </w:r>
      <w:r>
        <w:rPr/>
        <w:t xml:space="preserve"> selling too early — holding long enough for a position to compound </w:t>
      </w:r>
      <w:r>
        <w:rPr>
          <w:b/>
        </w:rPr>
        <w:t>5×, 10×, 20×, or even 50×</w:t>
      </w:r>
      <w:r>
        <w:rPr/>
        <w:t xml:space="preserve"> the original cost. "That's how you get really rich."</w:t>
      </w:r>
    </w:p>
    <w:p>
      <w:pPr>
        <w:pStyle w:val="BodyText"/>
        <w:numPr>
          <w:ilvl w:val="1"/>
          <w:numId w:val="31"/>
        </w:numPr>
        <w:tabs>
          <w:tab w:val="clear" w:pos="709"/>
          <w:tab w:val="left" w:pos="1418" w:leader="none"/>
        </w:tabs>
        <w:bidi w:val="0"/>
        <w:ind w:hanging="283" w:start="1418"/>
        <w:jc w:val="start"/>
        <w:rPr/>
      </w:pPr>
      <w:r>
        <w:rPr>
          <w:b/>
        </w:rPr>
        <w:t>Capital gains tax:</w:t>
      </w:r>
      <w:r>
        <w:rPr/>
        <w:t xml:space="preserve"> depends on investor's home country. Adam (Singapore resident) pays </w:t>
      </w:r>
      <w:r>
        <w:rPr>
          <w:b/>
        </w:rPr>
        <w:t>zero capital gains tax</w:t>
      </w:r>
      <w:r>
        <w:rPr/>
        <w:t xml:space="preserve"> investing in either the US or Singapore markets. By contrast, US citizens investing in US shares owe capital gains tax per their income bracket. (Viewers told to check with their own tax advisor.)</w:t>
      </w:r>
    </w:p>
    <w:p>
      <w:pPr>
        <w:pStyle w:val="BodyText"/>
        <w:numPr>
          <w:ilvl w:val="0"/>
          <w:numId w:val="31"/>
        </w:numPr>
        <w:tabs>
          <w:tab w:val="clear" w:pos="709"/>
          <w:tab w:val="left" w:pos="709" w:leader="none"/>
        </w:tabs>
        <w:bidi w:val="0"/>
        <w:spacing w:before="0" w:after="0"/>
        <w:ind w:hanging="283" w:start="709"/>
        <w:jc w:val="start"/>
        <w:rPr/>
      </w:pPr>
      <w:r>
        <w:rPr>
          <w:b/>
        </w:rPr>
        <w:t>Collecting cash dividends</w:t>
      </w:r>
      <w:r>
        <w:rPr/>
        <w:t xml:space="preserve"> — a share of company profits paid out periodically (commonly quarterly, some companies pay twice yearly).</w:t>
      </w:r>
    </w:p>
    <w:p>
      <w:pPr>
        <w:pStyle w:val="BodyText"/>
        <w:numPr>
          <w:ilvl w:val="1"/>
          <w:numId w:val="31"/>
        </w:numPr>
        <w:tabs>
          <w:tab w:val="clear" w:pos="709"/>
          <w:tab w:val="left" w:pos="1418" w:leader="none"/>
        </w:tabs>
        <w:bidi w:val="0"/>
        <w:ind w:hanging="283" w:start="1418"/>
        <w:jc w:val="start"/>
        <w:rPr/>
      </w:pPr>
      <w:r>
        <w:rPr/>
        <w:t xml:space="preserve">Not all companies pay dividends. Dividend payers tend to be </w:t>
      </w:r>
      <w:r>
        <w:rPr>
          <w:b/>
        </w:rPr>
        <w:t>mature, large, established companies with excess cash</w:t>
      </w:r>
      <w:r>
        <w:rPr/>
        <w:t xml:space="preserve"> beyond what's needed for reinvestment.</w:t>
      </w:r>
    </w:p>
    <w:p>
      <w:pPr>
        <w:pStyle w:val="BodyText"/>
        <w:numPr>
          <w:ilvl w:val="1"/>
          <w:numId w:val="31"/>
        </w:numPr>
        <w:tabs>
          <w:tab w:val="clear" w:pos="709"/>
          <w:tab w:val="left" w:pos="1418" w:leader="none"/>
        </w:tabs>
        <w:bidi w:val="0"/>
        <w:ind w:hanging="283" w:start="1418"/>
        <w:jc w:val="start"/>
        <w:rPr/>
      </w:pPr>
      <w:r>
        <w:rPr>
          <w:b/>
        </w:rPr>
        <w:t>US dividend-payer examples cited:</w:t>
      </w:r>
      <w:r>
        <w:rPr/>
        <w:t xml:space="preserve"> PepsiCo, Johnson &amp; Johnson.</w:t>
      </w:r>
    </w:p>
    <w:p>
      <w:pPr>
        <w:pStyle w:val="BodyText"/>
        <w:numPr>
          <w:ilvl w:val="1"/>
          <w:numId w:val="31"/>
        </w:numPr>
        <w:tabs>
          <w:tab w:val="clear" w:pos="709"/>
          <w:tab w:val="left" w:pos="1418" w:leader="none"/>
        </w:tabs>
        <w:bidi w:val="0"/>
        <w:ind w:hanging="283" w:start="1418"/>
        <w:jc w:val="start"/>
        <w:rPr/>
      </w:pPr>
      <w:r>
        <w:rPr>
          <w:b/>
        </w:rPr>
        <w:t>Adam's personal dividend preference: Singapore-listed banks</w:t>
      </w:r>
      <w:r>
        <w:rPr/>
        <w:t xml:space="preserve"> — </w:t>
      </w:r>
      <w:r>
        <w:rPr>
          <w:b/>
        </w:rPr>
        <w:t>DBS Bank, OCBC, UOB</w:t>
      </w:r>
      <w:r>
        <w:rPr/>
        <w:t xml:space="preserve"> — for high, tax-free dividend income.</w:t>
      </w:r>
    </w:p>
    <w:p>
      <w:pPr>
        <w:pStyle w:val="BodyText"/>
        <w:numPr>
          <w:ilvl w:val="1"/>
          <w:numId w:val="31"/>
        </w:numPr>
        <w:tabs>
          <w:tab w:val="clear" w:pos="709"/>
          <w:tab w:val="left" w:pos="1418" w:leader="none"/>
        </w:tabs>
        <w:bidi w:val="0"/>
        <w:ind w:hanging="283" w:start="1418"/>
        <w:jc w:val="start"/>
        <w:rPr/>
      </w:pPr>
      <w:r>
        <w:rPr>
          <w:b/>
        </w:rPr>
        <w:t>Non-dividend / high-growth company examples:</w:t>
      </w:r>
      <w:r>
        <w:rPr/>
        <w:t xml:space="preserve"> NVIDIA, Palantir (which Adam owns) — these reinvest all profits into the business or buy back shares rather than pay dividends; investors profit via capital appreciation instead.</w:t>
      </w:r>
    </w:p>
    <w:p>
      <w:pPr>
        <w:pStyle w:val="BodyText"/>
        <w:numPr>
          <w:ilvl w:val="1"/>
          <w:numId w:val="31"/>
        </w:numPr>
        <w:tabs>
          <w:tab w:val="clear" w:pos="709"/>
          <w:tab w:val="left" w:pos="1418" w:leader="none"/>
        </w:tabs>
        <w:bidi w:val="0"/>
        <w:ind w:hanging="283" w:start="1418"/>
        <w:jc w:val="start"/>
        <w:rPr/>
      </w:pPr>
      <w:r>
        <w:rPr>
          <w:b/>
        </w:rPr>
        <w:t>Investor decision framework:</w:t>
      </w:r>
      <w:r>
        <w:rPr/>
        <w:t xml:space="preserve"> dividend-heavy stocks (Pepsi, J&amp;J, OCBC) tend to have slower-rising share prices; growth stocks (Nvidia, Meta, Apple) tend to pay little/no dividend but appreciate faster. Choose based on whether you want regular cash income or growth of wealth.</w:t>
      </w:r>
    </w:p>
    <w:p>
      <w:pPr>
        <w:pStyle w:val="BodyText"/>
        <w:numPr>
          <w:ilvl w:val="1"/>
          <w:numId w:val="31"/>
        </w:numPr>
        <w:tabs>
          <w:tab w:val="clear" w:pos="709"/>
          <w:tab w:val="left" w:pos="1418" w:leader="none"/>
        </w:tabs>
        <w:bidi w:val="0"/>
        <w:ind w:hanging="283" w:start="1418"/>
        <w:jc w:val="start"/>
        <w:rPr/>
      </w:pPr>
      <w:r>
        <w:rPr/>
        <w:t xml:space="preserve">Adam personally runs </w:t>
      </w:r>
      <w:r>
        <w:rPr>
          <w:b/>
        </w:rPr>
        <w:t>multiple portfolios</w:t>
      </w:r>
      <w:r>
        <w:rPr/>
        <w:t xml:space="preserve">: two focused on capital gains (own companies with fast-rising price, low dividends) and a separate </w:t>
      </w:r>
      <w:r>
        <w:rPr>
          <w:b/>
        </w:rPr>
        <w:t>dividend portfolio</w:t>
      </w:r>
      <w:r>
        <w:rPr/>
        <w:t xml:space="preserve"> (UOB, OCBC, DBS — slower price appreciation, high dividend income). Full detail in the later "building winning portfolios" lesson.</w:t>
      </w:r>
    </w:p>
    <w:p>
      <w:pPr>
        <w:pStyle w:val="Heading4"/>
        <w:numPr>
          <w:ilvl w:val="0"/>
          <w:numId w:val="0"/>
        </w:numPr>
        <w:bidi w:val="0"/>
        <w:ind w:hanging="0" w:start="0"/>
        <w:jc w:val="start"/>
        <w:rPr/>
      </w:pPr>
      <w:r>
        <w:rPr/>
        <w:t>Dividend Yield</w:t>
      </w:r>
    </w:p>
    <w:p>
      <w:pPr>
        <w:pStyle w:val="BodyText"/>
        <w:numPr>
          <w:ilvl w:val="0"/>
          <w:numId w:val="32"/>
        </w:numPr>
        <w:tabs>
          <w:tab w:val="clear" w:pos="709"/>
          <w:tab w:val="left" w:pos="709" w:leader="none"/>
        </w:tabs>
        <w:bidi w:val="0"/>
        <w:ind w:hanging="283" w:start="709"/>
        <w:jc w:val="start"/>
        <w:rPr/>
      </w:pPr>
      <w:r>
        <w:rPr>
          <w:b/>
        </w:rPr>
        <w:t>Formula:</w:t>
      </w:r>
      <w:r>
        <w:rPr/>
        <w:t xml:space="preserve"> Dividend yield = Dividend per share (paid over last 12 months) ÷ Current share price.</w:t>
      </w:r>
    </w:p>
    <w:p>
      <w:pPr>
        <w:pStyle w:val="BodyText"/>
        <w:numPr>
          <w:ilvl w:val="0"/>
          <w:numId w:val="32"/>
        </w:numPr>
        <w:tabs>
          <w:tab w:val="clear" w:pos="709"/>
          <w:tab w:val="left" w:pos="709" w:leader="none"/>
        </w:tabs>
        <w:bidi w:val="0"/>
        <w:ind w:hanging="283" w:start="709"/>
        <w:jc w:val="start"/>
        <w:rPr/>
      </w:pPr>
      <w:r>
        <w:rPr>
          <w:b/>
        </w:rPr>
        <w:t>Simple example:</w:t>
      </w:r>
      <w:r>
        <w:rPr/>
        <w:t xml:space="preserve"> a $20 stock paying $2/year in dividends → yield = </w:t>
      </w:r>
      <w:r>
        <w:rPr>
          <w:b/>
        </w:rPr>
        <w:t>10%</w:t>
      </w:r>
      <w:r>
        <w:rPr/>
        <w:t>. Framed as compared against bank interest or bond yields; described as "pretty good."</w:t>
      </w:r>
    </w:p>
    <w:p>
      <w:pPr>
        <w:pStyle w:val="BodyText"/>
        <w:numPr>
          <w:ilvl w:val="0"/>
          <w:numId w:val="32"/>
        </w:numPr>
        <w:tabs>
          <w:tab w:val="clear" w:pos="709"/>
          <w:tab w:val="left" w:pos="709" w:leader="none"/>
        </w:tabs>
        <w:bidi w:val="0"/>
        <w:spacing w:before="0" w:after="0"/>
        <w:ind w:hanging="283" w:start="709"/>
        <w:jc w:val="start"/>
        <w:rPr/>
      </w:pPr>
      <w:r>
        <w:rPr>
          <w:b/>
        </w:rPr>
        <w:t>"Attractive" yield benchmarks by market:</w:t>
      </w:r>
    </w:p>
    <w:p>
      <w:pPr>
        <w:pStyle w:val="BodyText"/>
        <w:numPr>
          <w:ilvl w:val="1"/>
          <w:numId w:val="32"/>
        </w:numPr>
        <w:tabs>
          <w:tab w:val="clear" w:pos="709"/>
          <w:tab w:val="left" w:pos="1418" w:leader="none"/>
        </w:tabs>
        <w:bidi w:val="0"/>
        <w:ind w:hanging="283" w:start="1418"/>
        <w:jc w:val="start"/>
        <w:rPr/>
      </w:pPr>
      <w:r>
        <w:rPr>
          <w:b/>
        </w:rPr>
        <w:t>US market:</w:t>
      </w:r>
      <w:r>
        <w:rPr/>
        <w:t xml:space="preserve"> ~</w:t>
      </w:r>
      <w:r>
        <w:rPr>
          <w:b/>
        </w:rPr>
        <w:t>3%</w:t>
      </w:r>
      <w:r>
        <w:rPr/>
        <w:t xml:space="preserve"> dividend yield considered attractive.</w:t>
      </w:r>
    </w:p>
    <w:p>
      <w:pPr>
        <w:pStyle w:val="BodyText"/>
        <w:numPr>
          <w:ilvl w:val="1"/>
          <w:numId w:val="32"/>
        </w:numPr>
        <w:tabs>
          <w:tab w:val="clear" w:pos="709"/>
          <w:tab w:val="left" w:pos="1418" w:leader="none"/>
        </w:tabs>
        <w:bidi w:val="0"/>
        <w:ind w:hanging="283" w:start="1418"/>
        <w:jc w:val="start"/>
        <w:rPr/>
      </w:pPr>
      <w:r>
        <w:rPr>
          <w:b/>
        </w:rPr>
        <w:t>Singapore market:</w:t>
      </w:r>
      <w:r>
        <w:rPr/>
        <w:t xml:space="preserve"> ~</w:t>
      </w:r>
      <w:r>
        <w:rPr>
          <w:b/>
        </w:rPr>
        <w:t>5%–6%</w:t>
      </w:r>
      <w:r>
        <w:rPr/>
        <w:t xml:space="preserve"> dividend yield considered attractive.</w:t>
      </w:r>
    </w:p>
    <w:p>
      <w:pPr>
        <w:pStyle w:val="BodyText"/>
        <w:numPr>
          <w:ilvl w:val="1"/>
          <w:numId w:val="32"/>
        </w:numPr>
        <w:tabs>
          <w:tab w:val="clear" w:pos="709"/>
          <w:tab w:val="left" w:pos="1418" w:leader="none"/>
        </w:tabs>
        <w:bidi w:val="0"/>
        <w:ind w:hanging="283" w:start="1418"/>
        <w:jc w:val="start"/>
        <w:rPr/>
      </w:pPr>
      <w:r>
        <w:rPr/>
        <w:t xml:space="preserve">Adam prefers Singapore for dividend investing specifically because yields run higher (5–6% vs. US's typical 2–3%) </w:t>
      </w:r>
      <w:r>
        <w:rPr>
          <w:b/>
        </w:rPr>
        <w:t>and</w:t>
      </w:r>
      <w:r>
        <w:rPr/>
        <w:t xml:space="preserve"> are tax-free, whereas US dividends are taxed. The US market is framed as better suited for </w:t>
      </w:r>
      <w:r>
        <w:rPr>
          <w:b/>
        </w:rPr>
        <w:t>capital gains</w:t>
      </w:r>
      <w:r>
        <w:rPr/>
        <w:t xml:space="preserve"> investing instead.</w:t>
      </w:r>
    </w:p>
    <w:p>
      <w:pPr>
        <w:pStyle w:val="BodyText"/>
        <w:numPr>
          <w:ilvl w:val="0"/>
          <w:numId w:val="32"/>
        </w:numPr>
        <w:tabs>
          <w:tab w:val="clear" w:pos="709"/>
          <w:tab w:val="left" w:pos="709" w:leader="none"/>
        </w:tabs>
        <w:bidi w:val="0"/>
        <w:ind w:hanging="283" w:start="709"/>
        <w:jc w:val="start"/>
        <w:rPr/>
      </w:pPr>
      <w:r>
        <w:rPr>
          <w:b/>
        </w:rPr>
        <w:t>PepsiCo (Yahoo Finance) example:</w:t>
      </w:r>
      <w:r>
        <w:rPr/>
        <w:t xml:space="preserve"> last closing price </w:t>
      </w:r>
      <w:r>
        <w:rPr>
          <w:b/>
        </w:rPr>
        <w:t>$152.89</w:t>
      </w:r>
      <w:r>
        <w:rPr/>
        <w:t xml:space="preserve">/share; forward dividend (expected over next 12 months) = </w:t>
      </w:r>
      <w:r>
        <w:rPr>
          <w:b/>
        </w:rPr>
        <w:t>$5.42</w:t>
      </w:r>
      <w:r>
        <w:rPr/>
        <w:t xml:space="preserve">/share → dividend yield = $5.42 ÷ $152.89 = </w:t>
      </w:r>
      <w:r>
        <w:rPr>
          <w:b/>
        </w:rPr>
        <w:t>3.55%</w:t>
      </w:r>
      <w:r>
        <w:rPr/>
        <w:t>.</w:t>
      </w:r>
    </w:p>
    <w:p>
      <w:pPr>
        <w:pStyle w:val="BodyText"/>
        <w:numPr>
          <w:ilvl w:val="0"/>
          <w:numId w:val="32"/>
        </w:numPr>
        <w:tabs>
          <w:tab w:val="clear" w:pos="709"/>
          <w:tab w:val="left" w:pos="709" w:leader="none"/>
        </w:tabs>
        <w:bidi w:val="0"/>
        <w:ind w:hanging="283" w:start="709"/>
        <w:jc w:val="start"/>
        <w:rPr/>
      </w:pPr>
      <w:r>
        <w:rPr>
          <w:b/>
        </w:rPr>
        <w:t>UOB Bank (Singapore) example:</w:t>
      </w:r>
      <w:r>
        <w:rPr/>
        <w:t xml:space="preserve"> share price </w:t>
      </w:r>
      <w:r>
        <w:rPr>
          <w:b/>
        </w:rPr>
        <w:t>$36.02</w:t>
      </w:r>
      <w:r>
        <w:rPr/>
        <w:t xml:space="preserve"> (minimum purchase 100 shares, as with most Asian markets); dividend </w:t>
      </w:r>
      <w:r>
        <w:rPr>
          <w:b/>
        </w:rPr>
        <w:t>$1.76</w:t>
      </w:r>
      <w:r>
        <w:rPr/>
        <w:t xml:space="preserve">/share → yield = $1.76 ÷ $36.02 = </w:t>
      </w:r>
      <w:r>
        <w:rPr>
          <w:b/>
        </w:rPr>
        <w:t>4.89%</w:t>
      </w:r>
      <w:r>
        <w:rPr/>
        <w:t>. Confirms Singapore stocks generally carry higher dividend yields than US stocks, and Singapore dividends are tax-free.</w:t>
      </w:r>
    </w:p>
    <w:p>
      <w:pPr>
        <w:pStyle w:val="Heading4"/>
        <w:numPr>
          <w:ilvl w:val="0"/>
          <w:numId w:val="0"/>
        </w:numPr>
        <w:bidi w:val="0"/>
        <w:ind w:hanging="0" w:start="0"/>
        <w:jc w:val="start"/>
        <w:rPr/>
      </w:pPr>
      <w:r>
        <w:rPr/>
        <w:t>Stock Oracle — Dividend Data Deep Dive (DBS Bank Example)</w:t>
      </w:r>
    </w:p>
    <w:p>
      <w:pPr>
        <w:pStyle w:val="BodyText"/>
        <w:bidi w:val="0"/>
        <w:jc w:val="start"/>
        <w:rPr/>
      </w:pPr>
      <w:r>
        <w:rPr>
          <w:i/>
        </w:rPr>
        <w:t>(Shown via DBS Bank's US OTC-market listing on Stock Oracle at time of recording; Adam notes Stock Oracle plans to add native Singapore/China/Hong Kong-listed data by end of 2026.)</w:t>
      </w:r>
    </w:p>
    <w:p>
      <w:pPr>
        <w:pStyle w:val="BodyText"/>
        <w:numPr>
          <w:ilvl w:val="0"/>
          <w:numId w:val="33"/>
        </w:numPr>
        <w:tabs>
          <w:tab w:val="clear" w:pos="709"/>
          <w:tab w:val="left" w:pos="709" w:leader="none"/>
        </w:tabs>
        <w:bidi w:val="0"/>
        <w:ind w:hanging="283" w:start="709"/>
        <w:jc w:val="start"/>
        <w:rPr/>
      </w:pPr>
      <w:r>
        <w:rPr>
          <w:b/>
        </w:rPr>
        <w:t>Current dividend yield: 3.86%.</w:t>
      </w:r>
    </w:p>
    <w:p>
      <w:pPr>
        <w:pStyle w:val="BodyText"/>
        <w:numPr>
          <w:ilvl w:val="0"/>
          <w:numId w:val="33"/>
        </w:numPr>
        <w:tabs>
          <w:tab w:val="clear" w:pos="709"/>
          <w:tab w:val="left" w:pos="709" w:leader="none"/>
        </w:tabs>
        <w:bidi w:val="0"/>
        <w:ind w:hanging="283" w:start="709"/>
        <w:jc w:val="start"/>
        <w:rPr/>
      </w:pPr>
      <w:r>
        <w:rPr>
          <w:b/>
        </w:rPr>
        <w:t>Dividend payout ratio: 63.86%</w:t>
      </w:r>
      <w:r>
        <w:rPr/>
        <w:t xml:space="preserve"> — meaning DBS pays out ~63% of its profits as dividends, retaining the other ~37% as retained earnings.</w:t>
      </w:r>
    </w:p>
    <w:p>
      <w:pPr>
        <w:pStyle w:val="BodyText"/>
        <w:numPr>
          <w:ilvl w:val="0"/>
          <w:numId w:val="33"/>
        </w:numPr>
        <w:tabs>
          <w:tab w:val="clear" w:pos="709"/>
          <w:tab w:val="left" w:pos="709" w:leader="none"/>
        </w:tabs>
        <w:bidi w:val="0"/>
        <w:ind w:hanging="283" w:start="709"/>
        <w:jc w:val="start"/>
        <w:rPr/>
      </w:pPr>
      <w:r>
        <w:rPr>
          <w:b/>
        </w:rPr>
        <w:t>Dividend growth rate:</w:t>
      </w:r>
      <w:r>
        <w:rPr/>
        <w:t xml:space="preserve"> last </w:t>
      </w:r>
      <w:r>
        <w:rPr>
          <w:b/>
        </w:rPr>
        <w:t>5 years</w:t>
      </w:r>
      <w:r>
        <w:rPr/>
        <w:t xml:space="preserve">: </w:t>
      </w:r>
      <w:r>
        <w:rPr>
          <w:b/>
        </w:rPr>
        <w:t>26% per year</w:t>
      </w:r>
      <w:r>
        <w:rPr/>
        <w:t xml:space="preserve"> average growth; last </w:t>
      </w:r>
      <w:r>
        <w:rPr>
          <w:b/>
        </w:rPr>
        <w:t>10 years</w:t>
      </w:r>
      <w:r>
        <w:rPr/>
        <w:t xml:space="preserve">: </w:t>
      </w:r>
      <w:r>
        <w:rPr>
          <w:b/>
        </w:rPr>
        <w:t>16% per year</w:t>
      </w:r>
      <w:r>
        <w:rPr/>
        <w:t xml:space="preserve">; last </w:t>
      </w:r>
      <w:r>
        <w:rPr>
          <w:b/>
        </w:rPr>
        <w:t>3 years</w:t>
      </w:r>
      <w:r>
        <w:rPr/>
        <w:t xml:space="preserve">: </w:t>
      </w:r>
      <w:r>
        <w:rPr>
          <w:b/>
        </w:rPr>
        <w:t>23% per year</w:t>
      </w:r>
      <w:r>
        <w:rPr/>
        <w:t xml:space="preserve"> — described as "amazing," consistent dividend growth.</w:t>
      </w:r>
    </w:p>
    <w:p>
      <w:pPr>
        <w:pStyle w:val="BodyText"/>
        <w:numPr>
          <w:ilvl w:val="0"/>
          <w:numId w:val="33"/>
        </w:numPr>
        <w:tabs>
          <w:tab w:val="clear" w:pos="709"/>
          <w:tab w:val="left" w:pos="709" w:leader="none"/>
        </w:tabs>
        <w:bidi w:val="0"/>
        <w:ind w:hanging="283" w:start="709"/>
        <w:jc w:val="start"/>
        <w:rPr/>
      </w:pPr>
      <w:r>
        <w:rPr/>
        <w:t>Dividends from DBS (Singapore-listed) are tax-free.</w:t>
      </w:r>
    </w:p>
    <w:p>
      <w:pPr>
        <w:pStyle w:val="BodyText"/>
        <w:numPr>
          <w:ilvl w:val="0"/>
          <w:numId w:val="33"/>
        </w:numPr>
        <w:tabs>
          <w:tab w:val="clear" w:pos="709"/>
          <w:tab w:val="left" w:pos="709" w:leader="none"/>
        </w:tabs>
        <w:bidi w:val="0"/>
        <w:ind w:hanging="283" w:start="709"/>
        <w:jc w:val="start"/>
        <w:rPr/>
      </w:pPr>
      <w:r>
        <w:rPr>
          <w:b/>
        </w:rPr>
        <w:t>Dividend yield history (10 years):</w:t>
      </w:r>
      <w:r>
        <w:rPr/>
        <w:t xml:space="preserve"> yield has cycled up and down over time; generally, when share price falls, yield rises (and vice versa). At time of recording, DBS's share price had risen a lot recently, pushing the yield </w:t>
      </w:r>
      <w:r>
        <w:rPr>
          <w:b/>
        </w:rPr>
        <w:t>down from ~5.8% to under 4%</w:t>
      </w:r>
      <w:r>
        <w:rPr/>
        <w:t xml:space="preserve"> — Adam characterizes this as </w:t>
      </w:r>
      <w:r>
        <w:rPr>
          <w:b/>
        </w:rPr>
        <w:t>DBS currently being "a bit overvalued"</w:t>
      </w:r>
      <w:r>
        <w:rPr/>
        <w:t xml:space="preserve"> for dividend-buying purposes; he'd prefer to buy back above a ~4% yield, and would find it "very attractive" if yield approached or exceeded </w:t>
      </w:r>
      <w:r>
        <w:rPr>
          <w:b/>
        </w:rPr>
        <w:t>5%</w:t>
      </w:r>
      <w:r>
        <w:rPr/>
        <w:t>.</w:t>
      </w:r>
    </w:p>
    <w:p>
      <w:pPr>
        <w:pStyle w:val="BodyText"/>
        <w:numPr>
          <w:ilvl w:val="0"/>
          <w:numId w:val="33"/>
        </w:numPr>
        <w:tabs>
          <w:tab w:val="clear" w:pos="709"/>
          <w:tab w:val="left" w:pos="709" w:leader="none"/>
        </w:tabs>
        <w:bidi w:val="0"/>
        <w:ind w:hanging="283" w:start="709"/>
        <w:jc w:val="start"/>
        <w:rPr/>
      </w:pPr>
      <w:r>
        <w:rPr>
          <w:b/>
        </w:rPr>
        <w:t>Dividend-per-share chart (10 years):</w:t>
      </w:r>
      <w:r>
        <w:rPr/>
        <w:t xml:space="preserve"> shows a steadily increasing dividend per share over time, </w:t>
      </w:r>
      <w:r>
        <w:rPr>
          <w:b/>
        </w:rPr>
        <w:t>except during COVID</w:t>
      </w:r>
      <w:r>
        <w:rPr/>
        <w:t xml:space="preserve">, when DBS was forced to cut dividends </w:t>
      </w:r>
      <w:r>
        <w:rPr>
          <w:b/>
        </w:rPr>
        <w:t>"because of MAS"</w:t>
      </w:r>
      <w:r>
        <w:rPr/>
        <w:t xml:space="preserve"> (Monetary Authority of Singapore) — dividends resumed increasing afterward.</w:t>
      </w:r>
    </w:p>
    <w:p>
      <w:pPr>
        <w:pStyle w:val="BodyText"/>
        <w:numPr>
          <w:ilvl w:val="0"/>
          <w:numId w:val="33"/>
        </w:numPr>
        <w:tabs>
          <w:tab w:val="clear" w:pos="709"/>
          <w:tab w:val="left" w:pos="709" w:leader="none"/>
        </w:tabs>
        <w:bidi w:val="0"/>
        <w:ind w:hanging="283" w:start="709"/>
        <w:jc w:val="start"/>
        <w:rPr/>
      </w:pPr>
      <w:r>
        <w:rPr>
          <w:b/>
        </w:rPr>
        <w:t>Most recent financial year (FY2025) figures:</w:t>
      </w:r>
      <w:r>
        <w:rPr/>
        <w:t xml:space="preserve"> EPS (profit per share) = </w:t>
      </w:r>
      <w:r>
        <w:rPr>
          <w:b/>
        </w:rPr>
        <w:t>$2.95</w:t>
      </w:r>
      <w:r>
        <w:rPr/>
        <w:t xml:space="preserve">; dividends paid out of that = </w:t>
      </w:r>
      <w:r>
        <w:rPr>
          <w:b/>
        </w:rPr>
        <w:t>$1.88</w:t>
      </w:r>
      <w:r>
        <w:rPr/>
        <w:t xml:space="preserve"> per share; free cash flow generated ≈ </w:t>
      </w:r>
      <w:r>
        <w:rPr>
          <w:b/>
        </w:rPr>
        <w:t>$3.7x per share</w:t>
      </w:r>
      <w:r>
        <w:rPr/>
        <w:t xml:space="preserve"> (transcript audio here is garbled — heard as "three dollars into a seven since it's free cash flow" — figure is approximate, likely intended as roughly $3.7–3.79 per share).</w:t>
      </w:r>
    </w:p>
    <w:p>
      <w:pPr>
        <w:pStyle w:val="BodyText"/>
        <w:numPr>
          <w:ilvl w:val="0"/>
          <w:numId w:val="33"/>
        </w:numPr>
        <w:tabs>
          <w:tab w:val="clear" w:pos="709"/>
          <w:tab w:val="left" w:pos="709" w:leader="none"/>
        </w:tabs>
        <w:bidi w:val="0"/>
        <w:ind w:hanging="283" w:start="709"/>
        <w:jc w:val="start"/>
        <w:rPr/>
      </w:pPr>
      <w:r>
        <w:rPr>
          <w:b/>
        </w:rPr>
        <w:t>Ex-date / pay-date mechanic:</w:t>
      </w:r>
      <w:r>
        <w:rPr/>
        <w:t xml:space="preserve"> if you own shares before the stock's "ex-date," you are entitled to receive the dividend, which is then distributed on the "pay date." DBS pays dividends </w:t>
      </w:r>
      <w:r>
        <w:rPr>
          <w:b/>
        </w:rPr>
        <w:t>quarterly (4 times per year)</w:t>
      </w:r>
      <w:r>
        <w:rPr/>
        <w:t>.</w:t>
      </w:r>
    </w:p>
    <w:p>
      <w:pPr>
        <w:pStyle w:val="HorizontalLine"/>
        <w:bidi w:val="0"/>
        <w:jc w:val="start"/>
        <w:rPr/>
      </w:pPr>
      <w:r>
        <w:rPr/>
      </w:r>
    </w:p>
    <w:p>
      <w:pPr>
        <w:pStyle w:val="Heading3"/>
        <w:bidi w:val="0"/>
        <w:ind w:hanging="0" w:start="0"/>
        <w:jc w:val="start"/>
        <w:rPr/>
      </w:pPr>
      <w:r>
        <w:rPr/>
        <w:t>Stock Exchanges</w:t>
      </w:r>
    </w:p>
    <w:p>
      <w:pPr>
        <w:pStyle w:val="BodyText"/>
        <w:numPr>
          <w:ilvl w:val="0"/>
          <w:numId w:val="34"/>
        </w:numPr>
        <w:tabs>
          <w:tab w:val="clear" w:pos="709"/>
          <w:tab w:val="left" w:pos="709" w:leader="none"/>
        </w:tabs>
        <w:bidi w:val="0"/>
        <w:spacing w:before="0" w:after="0"/>
        <w:ind w:hanging="283" w:start="709"/>
        <w:jc w:val="start"/>
        <w:rPr/>
      </w:pPr>
      <w:r>
        <w:rPr/>
        <w:t xml:space="preserve">The </w:t>
      </w:r>
      <w:r>
        <w:rPr>
          <w:b/>
        </w:rPr>
        <w:t>US market</w:t>
      </w:r>
      <w:r>
        <w:rPr/>
        <w:t xml:space="preserve"> is Adam's primary focus — "world's biggest market," home to "the best companies in the world." Comprises about </w:t>
      </w:r>
      <w:r>
        <w:rPr>
          <w:b/>
        </w:rPr>
        <w:t>24 stock exchanges</w:t>
      </w:r>
      <w:r>
        <w:rPr/>
        <w:t xml:space="preserve">, of which the </w:t>
      </w:r>
      <w:r>
        <w:rPr>
          <w:b/>
        </w:rPr>
        <w:t>three biggest</w:t>
      </w:r>
      <w:r>
        <w:rPr/>
        <w:t xml:space="preserve"> are:</w:t>
      </w:r>
    </w:p>
    <w:p>
      <w:pPr>
        <w:pStyle w:val="BodyText"/>
        <w:numPr>
          <w:ilvl w:val="1"/>
          <w:numId w:val="34"/>
        </w:numPr>
        <w:tabs>
          <w:tab w:val="clear" w:pos="709"/>
          <w:tab w:val="left" w:pos="1418" w:leader="none"/>
        </w:tabs>
        <w:bidi w:val="0"/>
        <w:ind w:hanging="283" w:start="1418"/>
        <w:jc w:val="start"/>
        <w:rPr/>
      </w:pPr>
      <w:r>
        <w:rPr>
          <w:b/>
        </w:rPr>
        <w:t>New York Stock Exchange (NYSE)</w:t>
      </w:r>
    </w:p>
    <w:p>
      <w:pPr>
        <w:pStyle w:val="BodyText"/>
        <w:numPr>
          <w:ilvl w:val="1"/>
          <w:numId w:val="34"/>
        </w:numPr>
        <w:tabs>
          <w:tab w:val="clear" w:pos="709"/>
          <w:tab w:val="left" w:pos="1418" w:leader="none"/>
        </w:tabs>
        <w:bidi w:val="0"/>
        <w:ind w:hanging="283" w:start="1418"/>
        <w:jc w:val="start"/>
        <w:rPr/>
      </w:pPr>
      <w:r>
        <w:rPr>
          <w:b/>
        </w:rPr>
        <w:t>American Stock Exchange (AMEX)</w:t>
      </w:r>
    </w:p>
    <w:p>
      <w:pPr>
        <w:pStyle w:val="BodyText"/>
        <w:numPr>
          <w:ilvl w:val="1"/>
          <w:numId w:val="34"/>
        </w:numPr>
        <w:tabs>
          <w:tab w:val="clear" w:pos="709"/>
          <w:tab w:val="left" w:pos="1418" w:leader="none"/>
        </w:tabs>
        <w:bidi w:val="0"/>
        <w:ind w:hanging="283" w:start="1418"/>
        <w:jc w:val="start"/>
        <w:rPr/>
      </w:pPr>
      <w:r>
        <w:rPr>
          <w:b/>
        </w:rPr>
        <w:t>NASDAQ Stock Exchange</w:t>
      </w:r>
    </w:p>
    <w:p>
      <w:pPr>
        <w:pStyle w:val="BodyText"/>
        <w:numPr>
          <w:ilvl w:val="1"/>
          <w:numId w:val="34"/>
        </w:numPr>
        <w:tabs>
          <w:tab w:val="clear" w:pos="709"/>
          <w:tab w:val="left" w:pos="1418" w:leader="none"/>
        </w:tabs>
        <w:bidi w:val="0"/>
        <w:ind w:hanging="283" w:start="1418"/>
        <w:jc w:val="start"/>
        <w:rPr/>
      </w:pPr>
      <w:r>
        <w:rPr/>
        <w:t xml:space="preserve">Example: Coca-Cola is listed on the NYSE; Apple is listed on NASDAQ. Knowing which exchange a stock trades on is </w:t>
      </w:r>
      <w:r>
        <w:rPr>
          <w:b/>
        </w:rPr>
        <w:t>not important</w:t>
      </w:r>
      <w:r>
        <w:rPr/>
        <w:t xml:space="preserve"> for investors — your broker automatically routes the order to the correct exchange.</w:t>
      </w:r>
    </w:p>
    <w:p>
      <w:pPr>
        <w:pStyle w:val="BodyText"/>
        <w:numPr>
          <w:ilvl w:val="0"/>
          <w:numId w:val="34"/>
        </w:numPr>
        <w:tabs>
          <w:tab w:val="clear" w:pos="709"/>
          <w:tab w:val="left" w:pos="709" w:leader="none"/>
        </w:tabs>
        <w:bidi w:val="0"/>
        <w:ind w:hanging="283" w:start="709"/>
        <w:jc w:val="start"/>
        <w:rPr/>
      </w:pPr>
      <w:r>
        <w:rPr>
          <w:b/>
        </w:rPr>
        <w:t>China:</w:t>
      </w:r>
      <w:r>
        <w:rPr/>
        <w:t xml:space="preserve"> three main exchanges — </w:t>
      </w:r>
      <w:r>
        <w:rPr>
          <w:b/>
        </w:rPr>
        <w:t>Shanghai Stock Exchange</w:t>
      </w:r>
      <w:r>
        <w:rPr/>
        <w:t xml:space="preserve">, </w:t>
      </w:r>
      <w:r>
        <w:rPr>
          <w:b/>
        </w:rPr>
        <w:t>Shenzhen Stock Exchange</w:t>
      </w:r>
      <w:r>
        <w:rPr/>
        <w:t xml:space="preserve"> (both mainland China), and the </w:t>
      </w:r>
      <w:r>
        <w:rPr>
          <w:b/>
        </w:rPr>
        <w:t>Hong Kong Stock Exchange</w:t>
      </w:r>
      <w:r>
        <w:rPr/>
        <w:t>.</w:t>
      </w:r>
    </w:p>
    <w:p>
      <w:pPr>
        <w:pStyle w:val="BodyText"/>
        <w:numPr>
          <w:ilvl w:val="0"/>
          <w:numId w:val="34"/>
        </w:numPr>
        <w:tabs>
          <w:tab w:val="clear" w:pos="709"/>
          <w:tab w:val="left" w:pos="709" w:leader="none"/>
        </w:tabs>
        <w:bidi w:val="0"/>
        <w:ind w:hanging="283" w:start="709"/>
        <w:jc w:val="start"/>
        <w:rPr/>
      </w:pPr>
      <w:r>
        <w:rPr>
          <w:b/>
        </w:rPr>
        <w:t>UK:</w:t>
      </w:r>
      <w:r>
        <w:rPr/>
        <w:t xml:space="preserve"> the </w:t>
      </w:r>
      <w:r>
        <w:rPr>
          <w:b/>
        </w:rPr>
        <w:t>London Stock Exchange</w:t>
      </w:r>
      <w:r>
        <w:rPr/>
        <w:t>.</w:t>
      </w:r>
    </w:p>
    <w:p>
      <w:pPr>
        <w:pStyle w:val="BodyText"/>
        <w:numPr>
          <w:ilvl w:val="0"/>
          <w:numId w:val="34"/>
        </w:numPr>
        <w:tabs>
          <w:tab w:val="clear" w:pos="709"/>
          <w:tab w:val="left" w:pos="709" w:leader="none"/>
        </w:tabs>
        <w:bidi w:val="0"/>
        <w:ind w:hanging="283" w:start="709"/>
        <w:jc w:val="start"/>
        <w:rPr/>
      </w:pPr>
      <w:r>
        <w:rPr>
          <w:b/>
        </w:rPr>
        <w:t>Europe:</w:t>
      </w:r>
      <w:r>
        <w:rPr/>
        <w:t xml:space="preserve"> several exchanges, biggest include </w:t>
      </w:r>
      <w:r>
        <w:rPr>
          <w:b/>
        </w:rPr>
        <w:t>Euronext</w:t>
      </w:r>
      <w:r>
        <w:rPr/>
        <w:t xml:space="preserve"> (based in Amsterdam) and the </w:t>
      </w:r>
      <w:r>
        <w:rPr>
          <w:b/>
        </w:rPr>
        <w:t>Frankfurt Stock Exchange</w:t>
      </w:r>
      <w:r>
        <w:rPr/>
        <w:t>.</w:t>
      </w:r>
    </w:p>
    <w:p>
      <w:pPr>
        <w:pStyle w:val="BodyText"/>
        <w:numPr>
          <w:ilvl w:val="0"/>
          <w:numId w:val="34"/>
        </w:numPr>
        <w:tabs>
          <w:tab w:val="clear" w:pos="709"/>
          <w:tab w:val="left" w:pos="709" w:leader="none"/>
        </w:tabs>
        <w:bidi w:val="0"/>
        <w:ind w:hanging="283" w:start="709"/>
        <w:jc w:val="start"/>
        <w:rPr/>
      </w:pPr>
      <w:r>
        <w:rPr>
          <w:b/>
        </w:rPr>
        <w:t>Asia (other):</w:t>
      </w:r>
      <w:r>
        <w:rPr/>
        <w:t xml:space="preserve"> </w:t>
      </w:r>
      <w:r>
        <w:rPr>
          <w:b/>
        </w:rPr>
        <w:t>Singapore Exchange</w:t>
      </w:r>
      <w:r>
        <w:rPr/>
        <w:t xml:space="preserve">, </w:t>
      </w:r>
      <w:r>
        <w:rPr>
          <w:b/>
        </w:rPr>
        <w:t>Tokyo Stock Exchange</w:t>
      </w:r>
      <w:r>
        <w:rPr/>
        <w:t xml:space="preserve">, </w:t>
      </w:r>
      <w:r>
        <w:rPr>
          <w:b/>
        </w:rPr>
        <w:t>Bombay Stock Exchange</w:t>
      </w:r>
      <w:r>
        <w:rPr/>
        <w:t xml:space="preserve">, </w:t>
      </w:r>
      <w:r>
        <w:rPr>
          <w:b/>
        </w:rPr>
        <w:t>Jakarta Stock Exchange</w:t>
      </w:r>
      <w:r>
        <w:rPr/>
        <w:t>, and others.</w:t>
      </w:r>
    </w:p>
    <w:p>
      <w:pPr>
        <w:pStyle w:val="HorizontalLine"/>
        <w:bidi w:val="0"/>
        <w:jc w:val="start"/>
        <w:rPr/>
      </w:pPr>
      <w:r>
        <w:rPr/>
      </w:r>
    </w:p>
    <w:p>
      <w:pPr>
        <w:pStyle w:val="Heading3"/>
        <w:bidi w:val="0"/>
        <w:ind w:hanging="0" w:start="0"/>
        <w:jc w:val="start"/>
        <w:rPr/>
      </w:pPr>
      <w:r>
        <w:rPr/>
        <w:t>Stock Index Performance</w:t>
      </w:r>
    </w:p>
    <w:p>
      <w:pPr>
        <w:pStyle w:val="Heading4"/>
        <w:bidi w:val="0"/>
        <w:ind w:hanging="0" w:start="0"/>
        <w:jc w:val="start"/>
        <w:rPr/>
      </w:pPr>
      <w:r>
        <w:rPr/>
        <w:t>What Is a Stock Index and Why It Matters</w:t>
      </w:r>
    </w:p>
    <w:p>
      <w:pPr>
        <w:pStyle w:val="BodyText"/>
        <w:numPr>
          <w:ilvl w:val="0"/>
          <w:numId w:val="35"/>
        </w:numPr>
        <w:tabs>
          <w:tab w:val="clear" w:pos="709"/>
          <w:tab w:val="left" w:pos="709" w:leader="none"/>
        </w:tabs>
        <w:bidi w:val="0"/>
        <w:ind w:hanging="283" w:start="709"/>
        <w:jc w:val="start"/>
        <w:rPr/>
      </w:pPr>
      <w:r>
        <w:rPr/>
        <w:t xml:space="preserve">Every stock market has at least one index measuring its overall performance — used by investors as a </w:t>
      </w:r>
      <w:r>
        <w:rPr>
          <w:b/>
        </w:rPr>
        <w:t>benchmark to beat</w:t>
      </w:r>
      <w:r>
        <w:rPr/>
        <w:t>.</w:t>
      </w:r>
    </w:p>
    <w:p>
      <w:pPr>
        <w:pStyle w:val="BodyText"/>
        <w:numPr>
          <w:ilvl w:val="0"/>
          <w:numId w:val="35"/>
        </w:numPr>
        <w:tabs>
          <w:tab w:val="clear" w:pos="709"/>
          <w:tab w:val="left" w:pos="709" w:leader="none"/>
        </w:tabs>
        <w:bidi w:val="0"/>
        <w:ind w:hanging="283" w:start="709"/>
        <w:jc w:val="start"/>
        <w:rPr/>
      </w:pPr>
      <w:r>
        <w:rPr>
          <w:b/>
        </w:rPr>
        <w:t>How an index is built:</w:t>
      </w:r>
      <w:r>
        <w:rPr/>
        <w:t xml:space="preserve"> a curated "basket" of the biggest/most representative companies stands in for the entire market — compared to elected representatives (members of parliament/congress) representing a whole population.</w:t>
      </w:r>
    </w:p>
    <w:p>
      <w:pPr>
        <w:pStyle w:val="Heading4"/>
        <w:numPr>
          <w:ilvl w:val="0"/>
          <w:numId w:val="0"/>
        </w:numPr>
        <w:bidi w:val="0"/>
        <w:ind w:hanging="0" w:start="0"/>
        <w:jc w:val="start"/>
        <w:rPr/>
      </w:pPr>
      <w:r>
        <w:rPr/>
        <w:t>Major US Indexes</w:t>
      </w:r>
    </w:p>
    <w:p>
      <w:pPr>
        <w:pStyle w:val="BodyText"/>
        <w:numPr>
          <w:ilvl w:val="0"/>
          <w:numId w:val="36"/>
        </w:numPr>
        <w:tabs>
          <w:tab w:val="clear" w:pos="709"/>
          <w:tab w:val="left" w:pos="709" w:leader="none"/>
        </w:tabs>
        <w:bidi w:val="0"/>
        <w:ind w:hanging="283" w:start="709"/>
        <w:jc w:val="start"/>
        <w:rPr/>
      </w:pPr>
      <w:r>
        <w:rPr/>
        <w:t xml:space="preserve">The US market has roughly </w:t>
      </w:r>
      <w:r>
        <w:rPr>
          <w:b/>
        </w:rPr>
        <w:t>10,000 total listed stocks</w:t>
      </w:r>
      <w:r>
        <w:rPr/>
        <w:t>.</w:t>
      </w:r>
    </w:p>
    <w:p>
      <w:pPr>
        <w:pStyle w:val="BodyText"/>
        <w:numPr>
          <w:ilvl w:val="0"/>
          <w:numId w:val="36"/>
        </w:numPr>
        <w:tabs>
          <w:tab w:val="clear" w:pos="709"/>
          <w:tab w:val="left" w:pos="709" w:leader="none"/>
        </w:tabs>
        <w:bidi w:val="0"/>
        <w:ind w:hanging="283" w:start="709"/>
        <w:jc w:val="start"/>
        <w:rPr/>
      </w:pPr>
      <w:r>
        <w:rPr>
          <w:b/>
        </w:rPr>
        <w:t>S&amp;P 500</w:t>
      </w:r>
      <w:r>
        <w:rPr/>
        <w:t xml:space="preserve"> = the </w:t>
      </w:r>
      <w:r>
        <w:rPr>
          <w:b/>
        </w:rPr>
        <w:t>500 biggest</w:t>
      </w:r>
      <w:r>
        <w:rPr/>
        <w:t xml:space="preserve"> US companies, averaged together — the index most commonly used to represent the overall US market, and the one </w:t>
      </w:r>
      <w:r>
        <w:rPr>
          <w:b/>
        </w:rPr>
        <w:t>most followed by retail investors</w:t>
      </w:r>
      <w:r>
        <w:rPr/>
        <w:t xml:space="preserve"> (because it captures far more companies than the Dow).</w:t>
      </w:r>
    </w:p>
    <w:p>
      <w:pPr>
        <w:pStyle w:val="BodyText"/>
        <w:numPr>
          <w:ilvl w:val="0"/>
          <w:numId w:val="36"/>
        </w:numPr>
        <w:tabs>
          <w:tab w:val="clear" w:pos="709"/>
          <w:tab w:val="left" w:pos="709" w:leader="none"/>
        </w:tabs>
        <w:bidi w:val="0"/>
        <w:ind w:hanging="283" w:start="709"/>
        <w:jc w:val="start"/>
        <w:rPr/>
      </w:pPr>
      <w:r>
        <w:rPr>
          <w:b/>
        </w:rPr>
        <w:t>Dow Jones Industrial Average (DJIA)</w:t>
      </w:r>
      <w:r>
        <w:rPr/>
        <w:t xml:space="preserve"> = the </w:t>
      </w:r>
      <w:r>
        <w:rPr>
          <w:b/>
        </w:rPr>
        <w:t>30 biggest</w:t>
      </w:r>
      <w:r>
        <w:rPr/>
        <w:t xml:space="preserve"> US companies (a subset that is also within the S&amp;P 500).</w:t>
      </w:r>
    </w:p>
    <w:p>
      <w:pPr>
        <w:pStyle w:val="BodyText"/>
        <w:numPr>
          <w:ilvl w:val="0"/>
          <w:numId w:val="36"/>
        </w:numPr>
        <w:tabs>
          <w:tab w:val="clear" w:pos="709"/>
          <w:tab w:val="left" w:pos="709" w:leader="none"/>
        </w:tabs>
        <w:bidi w:val="0"/>
        <w:ind w:hanging="283" w:start="709"/>
        <w:jc w:val="start"/>
        <w:rPr/>
      </w:pPr>
      <w:r>
        <w:rPr>
          <w:b/>
        </w:rPr>
        <w:t>NASDAQ 100</w:t>
      </w:r>
      <w:r>
        <w:rPr/>
        <w:t xml:space="preserve"> = the </w:t>
      </w:r>
      <w:r>
        <w:rPr>
          <w:b/>
        </w:rPr>
        <w:t>100 biggest</w:t>
      </w:r>
      <w:r>
        <w:rPr/>
        <w:t xml:space="preserve"> companies listed specifically on the NASDAQ exchange, many of them technology companies.</w:t>
      </w:r>
    </w:p>
    <w:p>
      <w:pPr>
        <w:pStyle w:val="BodyText"/>
        <w:numPr>
          <w:ilvl w:val="0"/>
          <w:numId w:val="36"/>
        </w:numPr>
        <w:tabs>
          <w:tab w:val="clear" w:pos="709"/>
          <w:tab w:val="left" w:pos="709" w:leader="none"/>
        </w:tabs>
        <w:bidi w:val="0"/>
        <w:ind w:hanging="283" w:start="709"/>
        <w:jc w:val="start"/>
        <w:rPr/>
      </w:pPr>
      <w:r>
        <w:rPr/>
        <w:t xml:space="preserve">These three indexes only include </w:t>
      </w:r>
      <w:r>
        <w:rPr>
          <w:b/>
        </w:rPr>
        <w:t>large-cap</w:t>
      </w:r>
      <w:r>
        <w:rPr/>
        <w:t xml:space="preserve"> companies (market cap ≥ </w:t>
      </w:r>
      <w:r>
        <w:rPr>
          <w:b/>
        </w:rPr>
        <w:t>$10 billion</w:t>
      </w:r>
      <w:r>
        <w:rPr/>
        <w:t>).</w:t>
      </w:r>
    </w:p>
    <w:p>
      <w:pPr>
        <w:pStyle w:val="BodyText"/>
        <w:numPr>
          <w:ilvl w:val="0"/>
          <w:numId w:val="36"/>
        </w:numPr>
        <w:tabs>
          <w:tab w:val="clear" w:pos="709"/>
          <w:tab w:val="left" w:pos="709" w:leader="none"/>
        </w:tabs>
        <w:bidi w:val="0"/>
        <w:ind w:hanging="283" w:start="709"/>
        <w:jc w:val="start"/>
        <w:rPr/>
      </w:pPr>
      <w:r>
        <w:rPr>
          <w:b/>
        </w:rPr>
        <w:t>Russell 2000</w:t>
      </w:r>
      <w:r>
        <w:rPr/>
        <w:t xml:space="preserve"> = a basket of </w:t>
      </w:r>
      <w:r>
        <w:rPr>
          <w:b/>
        </w:rPr>
        <w:t>2,000 small- and mid-size companies</w:t>
      </w:r>
      <w:r>
        <w:rPr/>
        <w:t xml:space="preserve"> (fills the gap for smaller companies not captured by the above three).</w:t>
      </w:r>
    </w:p>
    <w:p>
      <w:pPr>
        <w:pStyle w:val="BodyText"/>
        <w:numPr>
          <w:ilvl w:val="0"/>
          <w:numId w:val="36"/>
        </w:numPr>
        <w:tabs>
          <w:tab w:val="clear" w:pos="709"/>
          <w:tab w:val="left" w:pos="709" w:leader="none"/>
        </w:tabs>
        <w:bidi w:val="0"/>
        <w:ind w:hanging="283" w:start="709"/>
        <w:jc w:val="start"/>
        <w:rPr/>
      </w:pPr>
      <w:r>
        <w:rPr/>
        <w:t xml:space="preserve">Important: when headlines say "the market went up 20% this year," this typically refers to the </w:t>
      </w:r>
      <w:r>
        <w:rPr>
          <w:b/>
        </w:rPr>
        <w:t>S&amp;P 500</w:t>
      </w:r>
      <w:r>
        <w:rPr/>
        <w:t xml:space="preserve"> specifically, </w:t>
      </w:r>
      <w:r>
        <w:rPr>
          <w:b/>
        </w:rPr>
        <w:t>not</w:t>
      </w:r>
      <w:r>
        <w:rPr/>
        <w:t xml:space="preserve"> all ~10,000 US-listed stocks.</w:t>
      </w:r>
    </w:p>
    <w:p>
      <w:pPr>
        <w:pStyle w:val="Heading4"/>
        <w:numPr>
          <w:ilvl w:val="0"/>
          <w:numId w:val="0"/>
        </w:numPr>
        <w:bidi w:val="0"/>
        <w:ind w:hanging="0" w:start="0"/>
        <w:jc w:val="start"/>
        <w:rPr/>
      </w:pPr>
      <w:r>
        <w:rPr/>
        <w:t>Singapore &amp; Other Global Indexes</w:t>
      </w:r>
    </w:p>
    <w:p>
      <w:pPr>
        <w:pStyle w:val="BodyText"/>
        <w:numPr>
          <w:ilvl w:val="0"/>
          <w:numId w:val="37"/>
        </w:numPr>
        <w:tabs>
          <w:tab w:val="clear" w:pos="709"/>
          <w:tab w:val="left" w:pos="709" w:leader="none"/>
        </w:tabs>
        <w:bidi w:val="0"/>
        <w:ind w:hanging="283" w:start="709"/>
        <w:jc w:val="start"/>
        <w:rPr/>
      </w:pPr>
      <w:r>
        <w:rPr>
          <w:b/>
        </w:rPr>
        <w:t>Singapore market:</w:t>
      </w:r>
      <w:r>
        <w:rPr/>
        <w:t xml:space="preserve"> only </w:t>
      </w:r>
      <w:r>
        <w:rPr>
          <w:b/>
        </w:rPr>
        <w:t>~600 total stocks</w:t>
      </w:r>
      <w:r>
        <w:rPr/>
        <w:t xml:space="preserve"> (a "very small market"). The top </w:t>
      </w:r>
      <w:r>
        <w:rPr>
          <w:b/>
        </w:rPr>
        <w:t>30 biggest</w:t>
      </w:r>
      <w:r>
        <w:rPr/>
        <w:t xml:space="preserve"> are combined into the </w:t>
      </w:r>
      <w:r>
        <w:rPr>
          <w:b/>
        </w:rPr>
        <w:t>Straits Times Index (STI)</w:t>
      </w:r>
      <w:r>
        <w:rPr/>
        <w:t>.</w:t>
      </w:r>
    </w:p>
    <w:p>
      <w:pPr>
        <w:pStyle w:val="BodyText"/>
        <w:numPr>
          <w:ilvl w:val="0"/>
          <w:numId w:val="37"/>
        </w:numPr>
        <w:tabs>
          <w:tab w:val="clear" w:pos="709"/>
          <w:tab w:val="left" w:pos="709" w:leader="none"/>
        </w:tabs>
        <w:bidi w:val="0"/>
        <w:spacing w:before="0" w:after="0"/>
        <w:ind w:hanging="283" w:start="709"/>
        <w:jc w:val="start"/>
        <w:rPr/>
      </w:pPr>
      <w:r>
        <w:rPr>
          <w:b/>
        </w:rPr>
        <w:t>Global index reference list provided:</w:t>
      </w:r>
    </w:p>
    <w:p>
      <w:pPr>
        <w:pStyle w:val="BodyText"/>
        <w:numPr>
          <w:ilvl w:val="1"/>
          <w:numId w:val="37"/>
        </w:numPr>
        <w:tabs>
          <w:tab w:val="clear" w:pos="709"/>
          <w:tab w:val="left" w:pos="1418" w:leader="none"/>
        </w:tabs>
        <w:bidi w:val="0"/>
        <w:ind w:hanging="283" w:start="1418"/>
        <w:jc w:val="start"/>
        <w:rPr/>
      </w:pPr>
      <w:r>
        <w:rPr/>
        <w:t>US: Dow Jones (30), S&amp;P 500 (500), NASDAQ 100 (100), Russell 2000 (2,000 small/mid).</w:t>
      </w:r>
    </w:p>
    <w:p>
      <w:pPr>
        <w:pStyle w:val="BodyText"/>
        <w:numPr>
          <w:ilvl w:val="1"/>
          <w:numId w:val="37"/>
        </w:numPr>
        <w:tabs>
          <w:tab w:val="clear" w:pos="709"/>
          <w:tab w:val="left" w:pos="1418" w:leader="none"/>
        </w:tabs>
        <w:bidi w:val="0"/>
        <w:ind w:hanging="283" w:start="1418"/>
        <w:jc w:val="start"/>
        <w:rPr/>
      </w:pPr>
      <w:r>
        <w:rPr/>
        <w:t>Singapore: Straits Times Index (STI) — weighted average of 30 biggest companies.</w:t>
      </w:r>
    </w:p>
    <w:p>
      <w:pPr>
        <w:pStyle w:val="BodyText"/>
        <w:numPr>
          <w:ilvl w:val="1"/>
          <w:numId w:val="37"/>
        </w:numPr>
        <w:tabs>
          <w:tab w:val="clear" w:pos="709"/>
          <w:tab w:val="left" w:pos="1418" w:leader="none"/>
        </w:tabs>
        <w:bidi w:val="0"/>
        <w:ind w:hanging="283" w:start="1418"/>
        <w:jc w:val="start"/>
        <w:rPr/>
      </w:pPr>
      <w:r>
        <w:rPr/>
        <w:t xml:space="preserve">UK: </w:t>
      </w:r>
      <w:r>
        <w:rPr>
          <w:b/>
        </w:rPr>
        <w:t>FTSE 100</w:t>
      </w:r>
      <w:r>
        <w:rPr/>
        <w:t xml:space="preserve"> — 100 biggest companies on the London Stock Exchange.</w:t>
      </w:r>
    </w:p>
    <w:p>
      <w:pPr>
        <w:pStyle w:val="BodyText"/>
        <w:numPr>
          <w:ilvl w:val="1"/>
          <w:numId w:val="37"/>
        </w:numPr>
        <w:tabs>
          <w:tab w:val="clear" w:pos="709"/>
          <w:tab w:val="left" w:pos="1418" w:leader="none"/>
        </w:tabs>
        <w:bidi w:val="0"/>
        <w:ind w:hanging="283" w:start="1418"/>
        <w:jc w:val="start"/>
        <w:rPr/>
      </w:pPr>
      <w:r>
        <w:rPr/>
        <w:t xml:space="preserve">Europe: </w:t>
      </w:r>
      <w:r>
        <w:rPr>
          <w:b/>
        </w:rPr>
        <w:t>Euro Stoxx 50</w:t>
      </w:r>
      <w:r>
        <w:rPr/>
        <w:t xml:space="preserve"> — 50 biggest companies across 11 European countries; </w:t>
      </w:r>
      <w:r>
        <w:rPr>
          <w:b/>
        </w:rPr>
        <w:t>DAX</w:t>
      </w:r>
      <w:r>
        <w:rPr/>
        <w:t xml:space="preserve"> — weighted average of the 40 biggest companies on the Frankfurt Stock Exchange; </w:t>
      </w:r>
      <w:r>
        <w:rPr>
          <w:b/>
        </w:rPr>
        <w:t>CAC 40</w:t>
      </w:r>
      <w:r>
        <w:rPr/>
        <w:t xml:space="preserve"> — 40 stocks on the Paris Stock Exchange.</w:t>
      </w:r>
    </w:p>
    <w:p>
      <w:pPr>
        <w:pStyle w:val="BodyText"/>
        <w:numPr>
          <w:ilvl w:val="1"/>
          <w:numId w:val="37"/>
        </w:numPr>
        <w:tabs>
          <w:tab w:val="clear" w:pos="709"/>
          <w:tab w:val="left" w:pos="1418" w:leader="none"/>
        </w:tabs>
        <w:bidi w:val="0"/>
        <w:ind w:hanging="283" w:start="1418"/>
        <w:jc w:val="start"/>
        <w:rPr/>
      </w:pPr>
      <w:r>
        <w:rPr/>
        <w:t xml:space="preserve">China: </w:t>
      </w:r>
      <w:r>
        <w:rPr>
          <w:b/>
        </w:rPr>
        <w:t>Shanghai Composite Index</w:t>
      </w:r>
      <w:r>
        <w:rPr/>
        <w:t xml:space="preserve">, </w:t>
      </w:r>
      <w:r>
        <w:rPr>
          <w:b/>
        </w:rPr>
        <w:t>Shenzhen Composite Index</w:t>
      </w:r>
      <w:r>
        <w:rPr/>
        <w:t xml:space="preserve">, </w:t>
      </w:r>
      <w:r>
        <w:rPr>
          <w:b/>
        </w:rPr>
        <w:t>Hang Seng Index</w:t>
      </w:r>
      <w:r>
        <w:rPr/>
        <w:t xml:space="preserve"> (represents Hong Kong), </w:t>
      </w:r>
      <w:r>
        <w:rPr>
          <w:b/>
        </w:rPr>
        <w:t>CSI 300</w:t>
      </w:r>
      <w:r>
        <w:rPr/>
        <w:t xml:space="preserve"> (the 300 biggest mainland Chinese companies — generally used to represent mainland China).</w:t>
      </w:r>
    </w:p>
    <w:p>
      <w:pPr>
        <w:pStyle w:val="BodyText"/>
        <w:numPr>
          <w:ilvl w:val="1"/>
          <w:numId w:val="37"/>
        </w:numPr>
        <w:tabs>
          <w:tab w:val="clear" w:pos="709"/>
          <w:tab w:val="left" w:pos="1418" w:leader="none"/>
        </w:tabs>
        <w:bidi w:val="0"/>
        <w:ind w:hanging="283" w:start="1418"/>
        <w:jc w:val="start"/>
        <w:rPr/>
      </w:pPr>
      <w:r>
        <w:rPr/>
        <w:t xml:space="preserve">Japan: </w:t>
      </w:r>
      <w:r>
        <w:rPr>
          <w:b/>
        </w:rPr>
        <w:t>Nikkei 225</w:t>
      </w:r>
      <w:r>
        <w:rPr/>
        <w:t xml:space="preserve"> — the 225 biggest Japanese companies on the Tokyo Stock Exchange.</w:t>
      </w:r>
    </w:p>
    <w:p>
      <w:pPr>
        <w:pStyle w:val="BodyText"/>
        <w:numPr>
          <w:ilvl w:val="1"/>
          <w:numId w:val="37"/>
        </w:numPr>
        <w:tabs>
          <w:tab w:val="clear" w:pos="709"/>
          <w:tab w:val="left" w:pos="1418" w:leader="none"/>
        </w:tabs>
        <w:bidi w:val="0"/>
        <w:ind w:hanging="283" w:start="1418"/>
        <w:jc w:val="start"/>
        <w:rPr/>
      </w:pPr>
      <w:r>
        <w:rPr/>
        <w:t xml:space="preserve">Australia: </w:t>
      </w:r>
      <w:r>
        <w:rPr>
          <w:b/>
        </w:rPr>
        <w:t>ASX 200</w:t>
      </w:r>
      <w:r>
        <w:rPr/>
        <w:t>.</w:t>
      </w:r>
    </w:p>
    <w:p>
      <w:pPr>
        <w:pStyle w:val="BodyText"/>
        <w:numPr>
          <w:ilvl w:val="1"/>
          <w:numId w:val="37"/>
        </w:numPr>
        <w:tabs>
          <w:tab w:val="clear" w:pos="709"/>
          <w:tab w:val="left" w:pos="1418" w:leader="none"/>
        </w:tabs>
        <w:bidi w:val="0"/>
        <w:ind w:hanging="283" w:start="1418"/>
        <w:jc w:val="start"/>
        <w:rPr/>
      </w:pPr>
      <w:r>
        <w:rPr/>
        <w:t xml:space="preserve">Malaysia: </w:t>
      </w:r>
      <w:r>
        <w:rPr>
          <w:b/>
        </w:rPr>
        <w:t>KLCI (Kuala Lumpur Composite Index)</w:t>
      </w:r>
      <w:r>
        <w:rPr/>
        <w:t xml:space="preserve"> — the 30 largest companies listed in Malaysia.</w:t>
      </w:r>
    </w:p>
    <w:p>
      <w:pPr>
        <w:pStyle w:val="Heading4"/>
        <w:numPr>
          <w:ilvl w:val="0"/>
          <w:numId w:val="0"/>
        </w:numPr>
        <w:bidi w:val="0"/>
        <w:ind w:hanging="0" w:start="0"/>
        <w:jc w:val="start"/>
        <w:rPr/>
      </w:pPr>
      <w:r>
        <w:rPr/>
        <w:t>Index Membership Examples &amp; Overlap</w:t>
      </w:r>
    </w:p>
    <w:p>
      <w:pPr>
        <w:pStyle w:val="BodyText"/>
        <w:numPr>
          <w:ilvl w:val="0"/>
          <w:numId w:val="38"/>
        </w:numPr>
        <w:tabs>
          <w:tab w:val="clear" w:pos="709"/>
          <w:tab w:val="left" w:pos="709" w:leader="none"/>
        </w:tabs>
        <w:bidi w:val="0"/>
        <w:ind w:hanging="283" w:start="709"/>
        <w:jc w:val="start"/>
        <w:rPr/>
      </w:pPr>
      <w:r>
        <w:rPr>
          <w:b/>
        </w:rPr>
        <w:t>Apple:</w:t>
      </w:r>
      <w:r>
        <w:rPr/>
        <w:t xml:space="preserve"> IS in the S&amp;P 500, IS in the Dow Jones, IS in the NASDAQ 100, is </w:t>
      </w:r>
      <w:r>
        <w:rPr>
          <w:b/>
        </w:rPr>
        <w:t>NOT</w:t>
      </w:r>
      <w:r>
        <w:rPr/>
        <w:t xml:space="preserve"> in the Russell 2000 (too large for that index).</w:t>
      </w:r>
    </w:p>
    <w:p>
      <w:pPr>
        <w:pStyle w:val="BodyText"/>
        <w:numPr>
          <w:ilvl w:val="0"/>
          <w:numId w:val="38"/>
        </w:numPr>
        <w:tabs>
          <w:tab w:val="clear" w:pos="709"/>
          <w:tab w:val="left" w:pos="709" w:leader="none"/>
        </w:tabs>
        <w:bidi w:val="0"/>
        <w:ind w:hanging="283" w:start="709"/>
        <w:jc w:val="start"/>
        <w:rPr/>
      </w:pPr>
      <w:r>
        <w:rPr>
          <w:b/>
        </w:rPr>
        <w:t>Coca-Cola:</w:t>
      </w:r>
      <w:r>
        <w:rPr/>
        <w:t xml:space="preserve"> IS in the S&amp;P 500, IS in the Dow Jones, is </w:t>
      </w:r>
      <w:r>
        <w:rPr>
          <w:b/>
        </w:rPr>
        <w:t>NOT</w:t>
      </w:r>
      <w:r>
        <w:rPr/>
        <w:t xml:space="preserve"> in the NASDAQ 100.</w:t>
      </w:r>
    </w:p>
    <w:p>
      <w:pPr>
        <w:pStyle w:val="BodyText"/>
        <w:numPr>
          <w:ilvl w:val="0"/>
          <w:numId w:val="38"/>
        </w:numPr>
        <w:tabs>
          <w:tab w:val="clear" w:pos="709"/>
          <w:tab w:val="left" w:pos="709" w:leader="none"/>
        </w:tabs>
        <w:bidi w:val="0"/>
        <w:ind w:hanging="283" w:start="709"/>
        <w:jc w:val="start"/>
        <w:rPr/>
      </w:pPr>
      <w:r>
        <w:rPr/>
        <w:t>Some stocks appear across multiple indexes; others appear in just one.</w:t>
      </w:r>
    </w:p>
    <w:p>
      <w:pPr>
        <w:pStyle w:val="Heading4"/>
        <w:numPr>
          <w:ilvl w:val="0"/>
          <w:numId w:val="0"/>
        </w:numPr>
        <w:bidi w:val="0"/>
        <w:ind w:hanging="0" w:start="0"/>
        <w:jc w:val="start"/>
        <w:rPr/>
      </w:pPr>
      <w:r>
        <w:rPr/>
        <w:t>Index Composition Changes Over Time</w:t>
      </w:r>
    </w:p>
    <w:p>
      <w:pPr>
        <w:pStyle w:val="BodyText"/>
        <w:numPr>
          <w:ilvl w:val="0"/>
          <w:numId w:val="39"/>
        </w:numPr>
        <w:tabs>
          <w:tab w:val="clear" w:pos="709"/>
          <w:tab w:val="left" w:pos="709" w:leader="none"/>
        </w:tabs>
        <w:bidi w:val="0"/>
        <w:ind w:hanging="283" w:start="709"/>
        <w:jc w:val="start"/>
        <w:rPr/>
      </w:pPr>
      <w:r>
        <w:rPr/>
        <w:t xml:space="preserve">Index members are </w:t>
      </w:r>
      <w:r>
        <w:rPr>
          <w:b/>
        </w:rPr>
        <w:t>not fixed</w:t>
      </w:r>
      <w:r>
        <w:rPr/>
        <w:t xml:space="preserve"> — a company losing profitability/relevance gets removed and replaced with a stronger/more representative company.</w:t>
      </w:r>
    </w:p>
    <w:p>
      <w:pPr>
        <w:pStyle w:val="BodyText"/>
        <w:numPr>
          <w:ilvl w:val="0"/>
          <w:numId w:val="39"/>
        </w:numPr>
        <w:tabs>
          <w:tab w:val="clear" w:pos="709"/>
          <w:tab w:val="left" w:pos="709" w:leader="none"/>
        </w:tabs>
        <w:bidi w:val="0"/>
        <w:ind w:hanging="283" w:start="709"/>
        <w:jc w:val="start"/>
        <w:rPr/>
      </w:pPr>
      <w:r>
        <w:rPr>
          <w:b/>
        </w:rPr>
        <w:t>DJIA historical replacements cited:</w:t>
      </w:r>
      <w:r>
        <w:rPr/>
        <w:t xml:space="preserve"> </w:t>
      </w:r>
      <w:r>
        <w:rPr>
          <w:b/>
        </w:rPr>
        <w:t>Citigroup, AIG, and General Electric</w:t>
      </w:r>
      <w:r>
        <w:rPr/>
        <w:t xml:space="preserve"> were previously in the Dow Jones but have all been removed, replaced over time by companies including </w:t>
      </w:r>
      <w:r>
        <w:rPr>
          <w:b/>
        </w:rPr>
        <w:t>Nike, Salesforce, and Amazon</w:t>
      </w:r>
      <w:r>
        <w:rPr/>
        <w:t xml:space="preserve">. More recently, </w:t>
      </w:r>
      <w:r>
        <w:rPr>
          <w:b/>
        </w:rPr>
        <w:t>Intel</w:t>
      </w:r>
      <w:r>
        <w:rPr/>
        <w:t xml:space="preserve"> was removed from the Dow Jones and replaced by </w:t>
      </w:r>
      <w:r>
        <w:rPr>
          <w:b/>
        </w:rPr>
        <w:t>Nvidia</w:t>
      </w:r>
      <w:r>
        <w:rPr/>
        <w:t xml:space="preserve"> "just a few months ago" (relative to recording).</w:t>
      </w:r>
    </w:p>
    <w:p>
      <w:pPr>
        <w:pStyle w:val="BodyText"/>
        <w:numPr>
          <w:ilvl w:val="0"/>
          <w:numId w:val="39"/>
        </w:numPr>
        <w:tabs>
          <w:tab w:val="clear" w:pos="709"/>
          <w:tab w:val="left" w:pos="709" w:leader="none"/>
        </w:tabs>
        <w:bidi w:val="0"/>
        <w:ind w:hanging="283" w:start="709"/>
        <w:jc w:val="start"/>
        <w:rPr/>
      </w:pPr>
      <w:r>
        <w:rPr>
          <w:b/>
        </w:rPr>
        <w:t>Current DJIA member examples cited (partial list):</w:t>
      </w:r>
      <w:r>
        <w:rPr/>
        <w:t xml:space="preserve"> Amazon, American Express, Apple, Boeing, Cisco, Nvidia, Visa, Disney, Walmart, 3M, Nike, and others.</w:t>
      </w:r>
    </w:p>
    <w:p>
      <w:pPr>
        <w:pStyle w:val="BodyText"/>
        <w:numPr>
          <w:ilvl w:val="0"/>
          <w:numId w:val="39"/>
        </w:numPr>
        <w:tabs>
          <w:tab w:val="clear" w:pos="709"/>
          <w:tab w:val="left" w:pos="709" w:leader="none"/>
        </w:tabs>
        <w:bidi w:val="0"/>
        <w:ind w:hanging="283" w:start="709"/>
        <w:jc w:val="start"/>
        <w:rPr/>
      </w:pPr>
      <w:r>
        <w:rPr/>
        <w:t xml:space="preserve">Observation: DJIA's 30 companies sell not just to US consumers but </w:t>
      </w:r>
      <w:r>
        <w:rPr>
          <w:b/>
        </w:rPr>
        <w:t>globally</w:t>
      </w:r>
      <w:r>
        <w:rPr/>
        <w:t xml:space="preserve"> — hence Adam calls them "global companies" and states the </w:t>
      </w:r>
      <w:r>
        <w:rPr>
          <w:b/>
        </w:rPr>
        <w:t>Dow Jones "in a way represents the global economy."</w:t>
      </w:r>
      <w:r>
        <w:rPr/>
        <w:t xml:space="preserve"> When asked "what is the safest thing I can invest in," Adam's answer is </w:t>
      </w:r>
      <w:r>
        <w:rPr>
          <w:b/>
        </w:rPr>
        <w:t>the Dow Jones</w:t>
      </w:r>
      <w:r>
        <w:rPr/>
        <w:t>, reasoning that people worldwide consistently consume McDonald's, Apple products, etc.</w:t>
      </w:r>
    </w:p>
    <w:p>
      <w:pPr>
        <w:pStyle w:val="Heading4"/>
        <w:numPr>
          <w:ilvl w:val="0"/>
          <w:numId w:val="0"/>
        </w:numPr>
        <w:bidi w:val="0"/>
        <w:ind w:hanging="0" w:start="0"/>
        <w:jc w:val="start"/>
        <w:rPr/>
      </w:pPr>
      <w:r>
        <w:rPr/>
        <w:t>Index Weighting</w:t>
      </w:r>
    </w:p>
    <w:p>
      <w:pPr>
        <w:pStyle w:val="BodyText"/>
        <w:numPr>
          <w:ilvl w:val="0"/>
          <w:numId w:val="40"/>
        </w:numPr>
        <w:tabs>
          <w:tab w:val="clear" w:pos="709"/>
          <w:tab w:val="left" w:pos="709" w:leader="none"/>
        </w:tabs>
        <w:bidi w:val="0"/>
        <w:ind w:hanging="283" w:start="709"/>
        <w:jc w:val="start"/>
        <w:rPr/>
      </w:pPr>
      <w:r>
        <w:rPr/>
        <w:t xml:space="preserve">The 500 companies in the S&amp;P 500 do </w:t>
      </w:r>
      <w:r>
        <w:rPr>
          <w:b/>
        </w:rPr>
        <w:t>not</w:t>
      </w:r>
      <w:r>
        <w:rPr/>
        <w:t xml:space="preserve"> carry equal weight — bigger </w:t>
      </w:r>
      <w:r>
        <w:rPr>
          <w:b/>
        </w:rPr>
        <w:t>market cap</w:t>
      </w:r>
      <w:r>
        <w:rPr/>
        <w:t xml:space="preserve"> = bigger weighting/influence on the index's overall movement.</w:t>
      </w:r>
    </w:p>
    <w:p>
      <w:pPr>
        <w:pStyle w:val="BodyText"/>
        <w:numPr>
          <w:ilvl w:val="0"/>
          <w:numId w:val="40"/>
        </w:numPr>
        <w:tabs>
          <w:tab w:val="clear" w:pos="709"/>
          <w:tab w:val="left" w:pos="709" w:leader="none"/>
        </w:tabs>
        <w:bidi w:val="0"/>
        <w:ind w:hanging="283" w:start="709"/>
        <w:jc w:val="start"/>
        <w:rPr/>
      </w:pPr>
      <w:r>
        <w:rPr/>
        <w:t xml:space="preserve">Example: </w:t>
      </w:r>
      <w:r>
        <w:rPr>
          <w:b/>
        </w:rPr>
        <w:t>NVIDIA has a much bigger weighting than Texas Instruments</w:t>
      </w:r>
      <w:r>
        <w:rPr/>
        <w:t xml:space="preserve"> because Nvidia's market cap is larger — a 1% move in NVIDIA affects the index more than a 1% move in Texas Instruments.</w:t>
      </w:r>
    </w:p>
    <w:p>
      <w:pPr>
        <w:pStyle w:val="BodyText"/>
        <w:numPr>
          <w:ilvl w:val="0"/>
          <w:numId w:val="40"/>
        </w:numPr>
        <w:tabs>
          <w:tab w:val="clear" w:pos="709"/>
          <w:tab w:val="left" w:pos="709" w:leader="none"/>
        </w:tabs>
        <w:bidi w:val="0"/>
        <w:ind w:hanging="283" w:start="709"/>
        <w:jc w:val="start"/>
        <w:rPr/>
      </w:pPr>
      <w:r>
        <w:rPr/>
        <w:t>Reminder: market cap = share price × total shares outstanding.</w:t>
      </w:r>
    </w:p>
    <w:p>
      <w:pPr>
        <w:pStyle w:val="Heading4"/>
        <w:numPr>
          <w:ilvl w:val="0"/>
          <w:numId w:val="0"/>
        </w:numPr>
        <w:bidi w:val="0"/>
        <w:ind w:hanging="0" w:start="0"/>
        <w:jc w:val="start"/>
        <w:rPr/>
      </w:pPr>
      <w:r>
        <w:rPr/>
        <w:t>FinViz "Maps" Feature — Visualizing the S&amp;P 500 by Sector</w:t>
      </w:r>
    </w:p>
    <w:p>
      <w:pPr>
        <w:pStyle w:val="BodyText"/>
        <w:numPr>
          <w:ilvl w:val="0"/>
          <w:numId w:val="41"/>
        </w:numPr>
        <w:tabs>
          <w:tab w:val="clear" w:pos="709"/>
          <w:tab w:val="left" w:pos="709" w:leader="none"/>
        </w:tabs>
        <w:bidi w:val="0"/>
        <w:ind w:hanging="283" w:start="709"/>
        <w:jc w:val="start"/>
        <w:rPr/>
      </w:pPr>
      <w:r>
        <w:rPr/>
        <w:t xml:space="preserve">On </w:t>
      </w:r>
      <w:r>
        <w:rPr>
          <w:b/>
        </w:rPr>
        <w:t>finviz.com</w:t>
      </w:r>
      <w:r>
        <w:rPr/>
        <w:t>, the "Maps" (referenced initially as "groups") feature visually displays all 500 S&amp;P components, colored by year-to-date performance (green = price increased YTD, red = price decreased YTD; example date context: YTD from January to December 2024).</w:t>
      </w:r>
    </w:p>
    <w:p>
      <w:pPr>
        <w:pStyle w:val="BodyText"/>
        <w:numPr>
          <w:ilvl w:val="0"/>
          <w:numId w:val="41"/>
        </w:numPr>
        <w:tabs>
          <w:tab w:val="clear" w:pos="709"/>
          <w:tab w:val="left" w:pos="709" w:leader="none"/>
        </w:tabs>
        <w:bidi w:val="0"/>
        <w:spacing w:before="0" w:after="0"/>
        <w:ind w:hanging="283" w:start="709"/>
        <w:jc w:val="start"/>
        <w:rPr/>
      </w:pPr>
      <w:r>
        <w:rPr/>
        <w:t>Components are grouped into sectors, e.g.:</w:t>
      </w:r>
    </w:p>
    <w:p>
      <w:pPr>
        <w:pStyle w:val="BodyText"/>
        <w:numPr>
          <w:ilvl w:val="1"/>
          <w:numId w:val="41"/>
        </w:numPr>
        <w:tabs>
          <w:tab w:val="clear" w:pos="709"/>
          <w:tab w:val="left" w:pos="1418" w:leader="none"/>
        </w:tabs>
        <w:bidi w:val="0"/>
        <w:ind w:hanging="283" w:start="1418"/>
        <w:jc w:val="start"/>
        <w:rPr/>
      </w:pPr>
      <w:r>
        <w:rPr>
          <w:b/>
        </w:rPr>
        <w:t>Technology:</w:t>
      </w:r>
      <w:r>
        <w:rPr/>
        <w:t xml:space="preserve"> Microsoft, Apple, Oracle, Nvidia, Broadcom, Salesforce, ServiceNow.</w:t>
      </w:r>
    </w:p>
    <w:p>
      <w:pPr>
        <w:pStyle w:val="BodyText"/>
        <w:numPr>
          <w:ilvl w:val="1"/>
          <w:numId w:val="41"/>
        </w:numPr>
        <w:tabs>
          <w:tab w:val="clear" w:pos="709"/>
          <w:tab w:val="left" w:pos="1418" w:leader="none"/>
        </w:tabs>
        <w:bidi w:val="0"/>
        <w:ind w:hanging="283" w:start="1418"/>
        <w:jc w:val="start"/>
        <w:rPr/>
      </w:pPr>
      <w:r>
        <w:rPr>
          <w:b/>
        </w:rPr>
        <w:t>Consumer Cyclical / Consumer Discretionary:</w:t>
      </w:r>
      <w:r>
        <w:rPr/>
        <w:t xml:space="preserve"> Amazon, Tesla, Home Depot.</w:t>
      </w:r>
    </w:p>
    <w:p>
      <w:pPr>
        <w:pStyle w:val="BodyText"/>
        <w:numPr>
          <w:ilvl w:val="1"/>
          <w:numId w:val="41"/>
        </w:numPr>
        <w:tabs>
          <w:tab w:val="clear" w:pos="709"/>
          <w:tab w:val="left" w:pos="1418" w:leader="none"/>
        </w:tabs>
        <w:bidi w:val="0"/>
        <w:ind w:hanging="283" w:start="1418"/>
        <w:jc w:val="start"/>
        <w:rPr/>
      </w:pPr>
      <w:r>
        <w:rPr>
          <w:b/>
        </w:rPr>
        <w:t>Financials:</w:t>
      </w:r>
      <w:r>
        <w:rPr/>
        <w:t xml:space="preserve"> Visa, JPMorgan, American Express, MasterCard.</w:t>
      </w:r>
    </w:p>
    <w:p>
      <w:pPr>
        <w:pStyle w:val="BodyText"/>
        <w:numPr>
          <w:ilvl w:val="1"/>
          <w:numId w:val="41"/>
        </w:numPr>
        <w:tabs>
          <w:tab w:val="clear" w:pos="709"/>
          <w:tab w:val="left" w:pos="1418" w:leader="none"/>
        </w:tabs>
        <w:bidi w:val="0"/>
        <w:ind w:hanging="283" w:start="1418"/>
        <w:jc w:val="start"/>
        <w:rPr/>
      </w:pPr>
      <w:r>
        <w:rPr>
          <w:b/>
        </w:rPr>
        <w:t>Healthcare:</w:t>
      </w:r>
      <w:r>
        <w:rPr/>
        <w:t xml:space="preserve"> Eli Lilly, Johnson &amp; Johnson, Merck, UnitedHealth.</w:t>
      </w:r>
    </w:p>
    <w:p>
      <w:pPr>
        <w:pStyle w:val="BodyText"/>
        <w:numPr>
          <w:ilvl w:val="1"/>
          <w:numId w:val="41"/>
        </w:numPr>
        <w:tabs>
          <w:tab w:val="clear" w:pos="709"/>
          <w:tab w:val="left" w:pos="1418" w:leader="none"/>
        </w:tabs>
        <w:bidi w:val="0"/>
        <w:ind w:hanging="283" w:start="1418"/>
        <w:jc w:val="start"/>
        <w:rPr/>
      </w:pPr>
      <w:r>
        <w:rPr>
          <w:b/>
        </w:rPr>
        <w:t>Consumer Defensive:</w:t>
      </w:r>
      <w:r>
        <w:rPr/>
        <w:t xml:space="preserve"> Pepsi, Walmart.</w:t>
      </w:r>
    </w:p>
    <w:p>
      <w:pPr>
        <w:pStyle w:val="BodyText"/>
        <w:numPr>
          <w:ilvl w:val="1"/>
          <w:numId w:val="41"/>
        </w:numPr>
        <w:tabs>
          <w:tab w:val="clear" w:pos="709"/>
          <w:tab w:val="left" w:pos="1418" w:leader="none"/>
        </w:tabs>
        <w:bidi w:val="0"/>
        <w:ind w:hanging="283" w:start="1418"/>
        <w:jc w:val="start"/>
        <w:rPr/>
      </w:pPr>
      <w:r>
        <w:rPr/>
        <w:t>(Sectors covered in more depth in the next lesson.)</w:t>
      </w:r>
    </w:p>
    <w:p>
      <w:pPr>
        <w:pStyle w:val="Heading4"/>
        <w:numPr>
          <w:ilvl w:val="0"/>
          <w:numId w:val="0"/>
        </w:numPr>
        <w:bidi w:val="0"/>
        <w:ind w:hanging="0" w:start="0"/>
        <w:jc w:val="start"/>
        <w:rPr/>
      </w:pPr>
      <w:r>
        <w:rPr/>
        <w:t>Historical S&amp;P 500 Performance (data through end of 2024, as presented in Adam's chart tool)</w:t>
      </w:r>
    </w:p>
    <w:p>
      <w:pPr>
        <w:pStyle w:val="BodyText"/>
        <w:numPr>
          <w:ilvl w:val="0"/>
          <w:numId w:val="42"/>
        </w:numPr>
        <w:tabs>
          <w:tab w:val="clear" w:pos="709"/>
          <w:tab w:val="left" w:pos="709" w:leader="none"/>
        </w:tabs>
        <w:bidi w:val="0"/>
        <w:ind w:hanging="283" w:start="709"/>
        <w:jc w:val="start"/>
        <w:rPr/>
      </w:pPr>
      <w:r>
        <w:rPr>
          <w:b/>
        </w:rPr>
        <w:t>20-year period (Jan 2005 – end 2024):</w:t>
      </w:r>
      <w:r>
        <w:rPr/>
        <w:t xml:space="preserve"> index moved from ~</w:t>
      </w:r>
      <w:r>
        <w:rPr>
          <w:b/>
        </w:rPr>
        <w:t>80 points</w:t>
      </w:r>
      <w:r>
        <w:rPr/>
        <w:t xml:space="preserve"> to </w:t>
      </w:r>
      <w:r>
        <w:rPr>
          <w:b/>
        </w:rPr>
        <w:t>595 points</w:t>
      </w:r>
      <w:r>
        <w:rPr/>
        <w:t xml:space="preserve"> → total gain </w:t>
      </w:r>
      <w:r>
        <w:rPr>
          <w:b/>
        </w:rPr>
        <w:t>613%</w:t>
      </w:r>
      <w:r>
        <w:rPr/>
        <w:t xml:space="preserve">; equivalent to a </w:t>
      </w:r>
      <w:r>
        <w:rPr>
          <w:b/>
        </w:rPr>
        <w:t>compounded annual growth rate (CAGR) of 10.32%</w:t>
      </w:r>
      <w:r>
        <w:rPr/>
        <w:t>.</w:t>
      </w:r>
    </w:p>
    <w:p>
      <w:pPr>
        <w:pStyle w:val="BodyText"/>
        <w:numPr>
          <w:ilvl w:val="0"/>
          <w:numId w:val="42"/>
        </w:numPr>
        <w:tabs>
          <w:tab w:val="clear" w:pos="709"/>
          <w:tab w:val="left" w:pos="709" w:leader="none"/>
        </w:tabs>
        <w:bidi w:val="0"/>
        <w:ind w:hanging="283" w:start="709"/>
        <w:jc w:val="start"/>
        <w:rPr/>
      </w:pPr>
      <w:r>
        <w:rPr>
          <w:b/>
        </w:rPr>
        <w:t>10-year period (Jan 2015 – end 2024):</w:t>
      </w:r>
      <w:r>
        <w:rPr/>
        <w:t xml:space="preserve"> index moved from ~</w:t>
      </w:r>
      <w:r>
        <w:rPr>
          <w:b/>
        </w:rPr>
        <w:t>170 points</w:t>
      </w:r>
      <w:r>
        <w:rPr/>
        <w:t xml:space="preserve"> to </w:t>
      </w:r>
      <w:r>
        <w:rPr>
          <w:b/>
        </w:rPr>
        <w:t>595 points</w:t>
      </w:r>
      <w:r>
        <w:rPr/>
        <w:t xml:space="preserve"> → total gain </w:t>
      </w:r>
      <w:r>
        <w:rPr>
          <w:b/>
        </w:rPr>
        <w:t>246%</w:t>
      </w:r>
      <w:r>
        <w:rPr/>
        <w:t xml:space="preserve">; CAGR </w:t>
      </w:r>
      <w:r>
        <w:rPr>
          <w:b/>
        </w:rPr>
        <w:t>~13%</w:t>
      </w:r>
      <w:r>
        <w:rPr/>
        <w:t>.</w:t>
      </w:r>
    </w:p>
    <w:p>
      <w:pPr>
        <w:pStyle w:val="BodyText"/>
        <w:numPr>
          <w:ilvl w:val="0"/>
          <w:numId w:val="42"/>
        </w:numPr>
        <w:tabs>
          <w:tab w:val="clear" w:pos="709"/>
          <w:tab w:val="left" w:pos="709" w:leader="none"/>
        </w:tabs>
        <w:bidi w:val="0"/>
        <w:ind w:hanging="283" w:start="709"/>
        <w:jc w:val="start"/>
        <w:rPr/>
      </w:pPr>
      <w:r>
        <w:rPr>
          <w:b/>
        </w:rPr>
        <w:t>5-year period:</w:t>
      </w:r>
      <w:r>
        <w:rPr/>
        <w:t xml:space="preserve"> index started at </w:t>
      </w:r>
      <w:r>
        <w:rPr>
          <w:b/>
        </w:rPr>
        <w:t>300 points</w:t>
      </w:r>
      <w:r>
        <w:rPr/>
        <w:t xml:space="preserve"> → total gain </w:t>
      </w:r>
      <w:r>
        <w:rPr>
          <w:b/>
        </w:rPr>
        <w:t>100%</w:t>
      </w:r>
      <w:r>
        <w:rPr/>
        <w:t xml:space="preserve">; CAGR </w:t>
      </w:r>
      <w:r>
        <w:rPr>
          <w:b/>
        </w:rPr>
        <w:t>14.9%</w:t>
      </w:r>
      <w:r>
        <w:rPr/>
        <w:t>.</w:t>
      </w:r>
    </w:p>
    <w:p>
      <w:pPr>
        <w:pStyle w:val="BodyText"/>
        <w:numPr>
          <w:ilvl w:val="0"/>
          <w:numId w:val="42"/>
        </w:numPr>
        <w:tabs>
          <w:tab w:val="clear" w:pos="709"/>
          <w:tab w:val="left" w:pos="709" w:leader="none"/>
        </w:tabs>
        <w:bidi w:val="0"/>
        <w:ind w:hanging="283" w:start="709"/>
        <w:jc w:val="start"/>
        <w:rPr/>
      </w:pPr>
      <w:r>
        <w:rPr/>
        <w:t xml:space="preserve">All figures noted to include </w:t>
      </w:r>
      <w:r>
        <w:rPr>
          <w:b/>
        </w:rPr>
        <w:t>dividends reinvested</w:t>
      </w:r>
      <w:r>
        <w:rPr/>
        <w:t xml:space="preserve"> into the index.</w:t>
      </w:r>
    </w:p>
    <w:p>
      <w:pPr>
        <w:pStyle w:val="BodyText"/>
        <w:numPr>
          <w:ilvl w:val="0"/>
          <w:numId w:val="42"/>
        </w:numPr>
        <w:tabs>
          <w:tab w:val="clear" w:pos="709"/>
          <w:tab w:val="left" w:pos="709" w:leader="none"/>
        </w:tabs>
        <w:bidi w:val="0"/>
        <w:ind w:hanging="283" w:start="709"/>
        <w:jc w:val="start"/>
        <w:rPr/>
      </w:pPr>
      <w:r>
        <w:rPr/>
        <w:t xml:space="preserve">Major crashes/corrections referenced along the 20-year timeline: </w:t>
      </w:r>
      <w:r>
        <w:rPr>
          <w:b/>
        </w:rPr>
        <w:t>2008–2009 Great Financial Crisis</w:t>
      </w:r>
      <w:r>
        <w:rPr/>
        <w:t xml:space="preserve">, </w:t>
      </w:r>
      <w:r>
        <w:rPr>
          <w:b/>
        </w:rPr>
        <w:t>2018 trade-war crash</w:t>
      </w:r>
      <w:r>
        <w:rPr/>
        <w:t xml:space="preserve">, </w:t>
      </w:r>
      <w:r>
        <w:rPr>
          <w:b/>
        </w:rPr>
        <w:t>2020 COVID-19 pandemic crash</w:t>
      </w:r>
      <w:r>
        <w:rPr/>
        <w:t xml:space="preserve">, </w:t>
      </w:r>
      <w:r>
        <w:rPr>
          <w:b/>
        </w:rPr>
        <w:t>2022 bear market</w:t>
      </w:r>
      <w:r>
        <w:rPr/>
        <w:t xml:space="preserve"> (driven by high inflation and high interest rates).</w:t>
      </w:r>
    </w:p>
    <w:p>
      <w:pPr>
        <w:pStyle w:val="BodyText"/>
        <w:numPr>
          <w:ilvl w:val="0"/>
          <w:numId w:val="42"/>
        </w:numPr>
        <w:tabs>
          <w:tab w:val="clear" w:pos="709"/>
          <w:tab w:val="left" w:pos="709" w:leader="none"/>
        </w:tabs>
        <w:bidi w:val="0"/>
        <w:ind w:hanging="283" w:start="709"/>
        <w:jc w:val="start"/>
        <w:rPr/>
      </w:pPr>
      <w:r>
        <w:rPr/>
        <w:t>Lesson: despite multiple crashes, the long-term trajectory is upward because companies make more money over time and the index composition upgrades itself (weak companies replaced by strong ones).</w:t>
      </w:r>
    </w:p>
    <w:p>
      <w:pPr>
        <w:pStyle w:val="Heading4"/>
        <w:numPr>
          <w:ilvl w:val="0"/>
          <w:numId w:val="0"/>
        </w:numPr>
        <w:bidi w:val="0"/>
        <w:ind w:hanging="0" w:start="0"/>
        <w:jc w:val="start"/>
        <w:rPr/>
      </w:pPr>
      <w:r>
        <w:rPr/>
        <w:t>Global Market Comparison (via TradingView, 10-year lookback, priced in local currency first, then currency-adjusted)</w:t>
      </w:r>
    </w:p>
    <w:p>
      <w:pPr>
        <w:pStyle w:val="BodyText"/>
        <w:numPr>
          <w:ilvl w:val="0"/>
          <w:numId w:val="43"/>
        </w:numPr>
        <w:tabs>
          <w:tab w:val="clear" w:pos="709"/>
          <w:tab w:val="left" w:pos="709" w:leader="none"/>
        </w:tabs>
        <w:bidi w:val="0"/>
        <w:ind w:hanging="283" w:start="709"/>
        <w:jc w:val="start"/>
        <w:rPr/>
      </w:pPr>
      <w:r>
        <w:rPr/>
        <w:t xml:space="preserve">Tool: </w:t>
      </w:r>
      <w:r>
        <w:rPr>
          <w:b/>
        </w:rPr>
        <w:t>TradingView.com</w:t>
      </w:r>
      <w:r>
        <w:rPr/>
        <w:t xml:space="preserve"> (free version usable; paid not required); comparison built by charting the </w:t>
      </w:r>
      <w:r>
        <w:rPr>
          <w:b/>
        </w:rPr>
        <w:t>S&amp;P 500 (symbol SPX)</w:t>
      </w:r>
      <w:r>
        <w:rPr/>
        <w:t xml:space="preserve"> against other indexes added via the "+" button.</w:t>
      </w:r>
    </w:p>
    <w:p>
      <w:pPr>
        <w:pStyle w:val="BodyText"/>
        <w:numPr>
          <w:ilvl w:val="0"/>
          <w:numId w:val="43"/>
        </w:numPr>
        <w:tabs>
          <w:tab w:val="clear" w:pos="709"/>
          <w:tab w:val="left" w:pos="709" w:leader="none"/>
        </w:tabs>
        <w:bidi w:val="0"/>
        <w:spacing w:before="0" w:after="0"/>
        <w:ind w:hanging="283" w:start="709"/>
        <w:jc w:val="start"/>
        <w:rPr/>
      </w:pPr>
      <w:r>
        <w:rPr>
          <w:b/>
        </w:rPr>
        <w:t>10-year returns (local currency, unadjusted), ranked:</w:t>
      </w:r>
    </w:p>
    <w:p>
      <w:pPr>
        <w:pStyle w:val="BodyText"/>
        <w:numPr>
          <w:ilvl w:val="1"/>
          <w:numId w:val="43"/>
        </w:numPr>
        <w:tabs>
          <w:tab w:val="clear" w:pos="709"/>
          <w:tab w:val="left" w:pos="1418" w:leader="none"/>
        </w:tabs>
        <w:bidi w:val="0"/>
        <w:ind w:hanging="283" w:start="1418"/>
        <w:jc w:val="start"/>
        <w:rPr/>
      </w:pPr>
      <w:r>
        <w:rPr>
          <w:b/>
        </w:rPr>
        <w:t>US (S&amp;P 500): 191%</w:t>
      </w:r>
    </w:p>
    <w:p>
      <w:pPr>
        <w:pStyle w:val="BodyText"/>
        <w:numPr>
          <w:ilvl w:val="1"/>
          <w:numId w:val="43"/>
        </w:numPr>
        <w:tabs>
          <w:tab w:val="clear" w:pos="709"/>
          <w:tab w:val="left" w:pos="1418" w:leader="none"/>
        </w:tabs>
        <w:bidi w:val="0"/>
        <w:ind w:hanging="283" w:start="1418"/>
        <w:jc w:val="start"/>
        <w:rPr/>
      </w:pPr>
      <w:r>
        <w:rPr>
          <w:b/>
        </w:rPr>
        <w:t>India (Nifty): 179%</w:t>
      </w:r>
    </w:p>
    <w:p>
      <w:pPr>
        <w:pStyle w:val="BodyText"/>
        <w:numPr>
          <w:ilvl w:val="1"/>
          <w:numId w:val="43"/>
        </w:numPr>
        <w:tabs>
          <w:tab w:val="clear" w:pos="709"/>
          <w:tab w:val="left" w:pos="1418" w:leader="none"/>
        </w:tabs>
        <w:bidi w:val="0"/>
        <w:ind w:hanging="283" w:start="1418"/>
        <w:jc w:val="start"/>
        <w:rPr/>
      </w:pPr>
      <w:r>
        <w:rPr>
          <w:b/>
        </w:rPr>
        <w:t>Europe (Euro Stoxx 50): 60%</w:t>
      </w:r>
    </w:p>
    <w:p>
      <w:pPr>
        <w:pStyle w:val="BodyText"/>
        <w:numPr>
          <w:ilvl w:val="1"/>
          <w:numId w:val="43"/>
        </w:numPr>
        <w:tabs>
          <w:tab w:val="clear" w:pos="709"/>
          <w:tab w:val="left" w:pos="1418" w:leader="none"/>
        </w:tabs>
        <w:bidi w:val="0"/>
        <w:ind w:hanging="283" w:start="1418"/>
        <w:jc w:val="start"/>
        <w:rPr/>
      </w:pPr>
      <w:r>
        <w:rPr>
          <w:b/>
        </w:rPr>
        <w:t>Australia (ASX): 53%</w:t>
      </w:r>
    </w:p>
    <w:p>
      <w:pPr>
        <w:pStyle w:val="BodyText"/>
        <w:numPr>
          <w:ilvl w:val="1"/>
          <w:numId w:val="43"/>
        </w:numPr>
        <w:tabs>
          <w:tab w:val="clear" w:pos="709"/>
          <w:tab w:val="left" w:pos="1418" w:leader="none"/>
        </w:tabs>
        <w:bidi w:val="0"/>
        <w:ind w:hanging="283" w:start="1418"/>
        <w:jc w:val="start"/>
        <w:rPr/>
      </w:pPr>
      <w:r>
        <w:rPr>
          <w:b/>
        </w:rPr>
        <w:t>UK (FTSE 100): 24%</w:t>
      </w:r>
    </w:p>
    <w:p>
      <w:pPr>
        <w:pStyle w:val="BodyText"/>
        <w:numPr>
          <w:ilvl w:val="1"/>
          <w:numId w:val="43"/>
        </w:numPr>
        <w:tabs>
          <w:tab w:val="clear" w:pos="709"/>
          <w:tab w:val="left" w:pos="1418" w:leader="none"/>
        </w:tabs>
        <w:bidi w:val="0"/>
        <w:ind w:hanging="283" w:start="1418"/>
        <w:jc w:val="start"/>
        <w:rPr/>
      </w:pPr>
      <w:r>
        <w:rPr>
          <w:b/>
        </w:rPr>
        <w:t>Singapore (Straits Times Index): 14%</w:t>
      </w:r>
    </w:p>
    <w:p>
      <w:pPr>
        <w:pStyle w:val="BodyText"/>
        <w:numPr>
          <w:ilvl w:val="1"/>
          <w:numId w:val="43"/>
        </w:numPr>
        <w:tabs>
          <w:tab w:val="clear" w:pos="709"/>
          <w:tab w:val="left" w:pos="1418" w:leader="none"/>
        </w:tabs>
        <w:bidi w:val="0"/>
        <w:ind w:hanging="283" w:start="1418"/>
        <w:jc w:val="start"/>
        <w:rPr/>
      </w:pPr>
      <w:r>
        <w:rPr>
          <w:b/>
        </w:rPr>
        <w:t>Hong Kong (Hang Seng): –16%</w:t>
      </w:r>
      <w:r>
        <w:rPr/>
        <w:t xml:space="preserve"> (a loss; described as "very sad")</w:t>
      </w:r>
    </w:p>
    <w:p>
      <w:pPr>
        <w:pStyle w:val="BodyText"/>
        <w:numPr>
          <w:ilvl w:val="1"/>
          <w:numId w:val="43"/>
        </w:numPr>
        <w:tabs>
          <w:tab w:val="clear" w:pos="709"/>
          <w:tab w:val="left" w:pos="1418" w:leader="none"/>
        </w:tabs>
        <w:bidi w:val="0"/>
        <w:ind w:hanging="283" w:start="1418"/>
        <w:jc w:val="start"/>
        <w:rPr/>
      </w:pPr>
      <w:r>
        <w:rPr/>
        <w:t>(Also referenced: China market generally lands in last place.)</w:t>
      </w:r>
    </w:p>
    <w:p>
      <w:pPr>
        <w:pStyle w:val="BodyText"/>
        <w:numPr>
          <w:ilvl w:val="0"/>
          <w:numId w:val="43"/>
        </w:numPr>
        <w:tabs>
          <w:tab w:val="clear" w:pos="709"/>
          <w:tab w:val="left" w:pos="709" w:leader="none"/>
        </w:tabs>
        <w:bidi w:val="0"/>
        <w:ind w:hanging="283" w:start="709"/>
        <w:jc w:val="start"/>
        <w:rPr/>
      </w:pPr>
      <w:r>
        <w:rPr>
          <w:b/>
        </w:rPr>
        <w:t>Currency-adjustment point:</w:t>
      </w:r>
      <w:r>
        <w:rPr/>
        <w:t xml:space="preserve"> indexes are quoted in different currencies (e.g., Nifty in Indian rupees). When converted/normalized to a single currency (e.g., USD), the US market's outperformance over India </w:t>
      </w:r>
      <w:r>
        <w:rPr>
          <w:b/>
        </w:rPr>
        <w:t>widens further</w:t>
      </w:r>
      <w:r>
        <w:rPr/>
        <w:t>, because the Indian rupee has been depreciating against other currencies — so India's 179% local-currency gain looks smaller once currency loss is factored in.</w:t>
      </w:r>
    </w:p>
    <w:p>
      <w:pPr>
        <w:pStyle w:val="BodyText"/>
        <w:numPr>
          <w:ilvl w:val="0"/>
          <w:numId w:val="43"/>
        </w:numPr>
        <w:tabs>
          <w:tab w:val="clear" w:pos="709"/>
          <w:tab w:val="left" w:pos="709" w:leader="none"/>
        </w:tabs>
        <w:bidi w:val="0"/>
        <w:ind w:hanging="283" w:start="709"/>
        <w:jc w:val="start"/>
        <w:rPr/>
      </w:pPr>
      <w:r>
        <w:rPr>
          <w:b/>
        </w:rPr>
        <w:t>Japan (Nikkei 225), once added to the comparison:</w:t>
      </w:r>
      <w:r>
        <w:rPr/>
        <w:t xml:space="preserve"> performed </w:t>
      </w:r>
      <w:r>
        <w:rPr>
          <w:b/>
        </w:rPr>
        <w:t>better than India</w:t>
      </w:r>
      <w:r>
        <w:rPr/>
        <w:t xml:space="preserve"> over the 10-year currency-adjusted view — landing in </w:t>
      </w:r>
      <w:r>
        <w:rPr>
          <w:b/>
        </w:rPr>
        <w:t>second place behind the US</w:t>
      </w:r>
      <w:r>
        <w:rPr/>
        <w:t>.</w:t>
      </w:r>
    </w:p>
    <w:p>
      <w:pPr>
        <w:pStyle w:val="BodyText"/>
        <w:numPr>
          <w:ilvl w:val="0"/>
          <w:numId w:val="43"/>
        </w:numPr>
        <w:tabs>
          <w:tab w:val="clear" w:pos="709"/>
          <w:tab w:val="left" w:pos="709" w:leader="none"/>
        </w:tabs>
        <w:bidi w:val="0"/>
        <w:ind w:hanging="283" w:start="709"/>
        <w:jc w:val="start"/>
        <w:rPr/>
      </w:pPr>
      <w:r>
        <w:rPr>
          <w:b/>
        </w:rPr>
        <w:t>5-year ranking (currency-adjusted):</w:t>
      </w:r>
      <w:r>
        <w:rPr/>
        <w:t xml:space="preserve"> US (best) → Japan → India → Europe → Singapore → Australia → UK → China (worst).</w:t>
      </w:r>
    </w:p>
    <w:p>
      <w:pPr>
        <w:pStyle w:val="BodyText"/>
        <w:numPr>
          <w:ilvl w:val="0"/>
          <w:numId w:val="43"/>
        </w:numPr>
        <w:tabs>
          <w:tab w:val="clear" w:pos="709"/>
          <w:tab w:val="left" w:pos="709" w:leader="none"/>
        </w:tabs>
        <w:bidi w:val="0"/>
        <w:ind w:hanging="283" w:start="709"/>
        <w:jc w:val="start"/>
        <w:rPr/>
      </w:pPr>
      <w:r>
        <w:rPr>
          <w:b/>
        </w:rPr>
        <w:t>Takeaway:</w:t>
      </w:r>
      <w:r>
        <w:rPr/>
        <w:t xml:space="preserve"> if the objective is maximizing capital gains, the data supports focusing on the </w:t>
      </w:r>
      <w:r>
        <w:rPr>
          <w:b/>
        </w:rPr>
        <w:t>US market</w:t>
      </w:r>
      <w:r>
        <w:rPr/>
        <w:t>, which delivered the best returns of all markets compared.</w:t>
      </w:r>
    </w:p>
    <w:p>
      <w:pPr>
        <w:pStyle w:val="HorizontalLine"/>
        <w:bidi w:val="0"/>
        <w:jc w:val="start"/>
        <w:rPr/>
      </w:pPr>
      <w:r>
        <w:rPr/>
      </w:r>
    </w:p>
    <w:p>
      <w:pPr>
        <w:pStyle w:val="Heading3"/>
        <w:bidi w:val="0"/>
        <w:ind w:hanging="0" w:start="0"/>
        <w:jc w:val="start"/>
        <w:rPr/>
      </w:pPr>
      <w:r>
        <w:rPr/>
        <w:t>Lesson 1 Quiz — Questions &amp; Adam's Answers (9 Questions)</w:t>
      </w:r>
    </w:p>
    <w:p>
      <w:pPr>
        <w:pStyle w:val="BodyText"/>
        <w:numPr>
          <w:ilvl w:val="0"/>
          <w:numId w:val="44"/>
        </w:numPr>
        <w:tabs>
          <w:tab w:val="clear" w:pos="709"/>
          <w:tab w:val="left" w:pos="709" w:leader="none"/>
        </w:tabs>
        <w:bidi w:val="0"/>
        <w:spacing w:before="0" w:after="0"/>
        <w:ind w:hanging="283" w:start="709"/>
        <w:jc w:val="start"/>
        <w:rPr/>
      </w:pPr>
      <w:r>
        <w:rPr>
          <w:b/>
        </w:rPr>
        <w:t>Which statement is FALSE?</w:t>
      </w:r>
    </w:p>
    <w:p>
      <w:pPr>
        <w:pStyle w:val="BodyText"/>
        <w:numPr>
          <w:ilvl w:val="1"/>
          <w:numId w:val="44"/>
        </w:numPr>
        <w:tabs>
          <w:tab w:val="clear" w:pos="709"/>
          <w:tab w:val="left" w:pos="1418" w:leader="none"/>
        </w:tabs>
        <w:bidi w:val="0"/>
        <w:ind w:hanging="283" w:start="1418"/>
        <w:jc w:val="start"/>
        <w:rPr/>
      </w:pPr>
      <w:r>
        <w:rPr/>
        <w:t xml:space="preserve">(A) In the US market you can buy fractional shares (less than 1 share) — </w:t>
      </w:r>
      <w:r>
        <w:rPr>
          <w:b/>
        </w:rPr>
        <w:t>TRUE</w:t>
      </w:r>
      <w:r>
        <w:rPr/>
        <w:t xml:space="preserve"> (via brokers like Interactive Brokers).</w:t>
      </w:r>
    </w:p>
    <w:p>
      <w:pPr>
        <w:pStyle w:val="BodyText"/>
        <w:numPr>
          <w:ilvl w:val="1"/>
          <w:numId w:val="44"/>
        </w:numPr>
        <w:tabs>
          <w:tab w:val="clear" w:pos="709"/>
          <w:tab w:val="left" w:pos="1418" w:leader="none"/>
        </w:tabs>
        <w:bidi w:val="0"/>
        <w:ind w:hanging="283" w:start="1418"/>
        <w:jc w:val="start"/>
        <w:rPr/>
      </w:pPr>
      <w:r>
        <w:rPr/>
        <w:t xml:space="preserve">(B) In the Hong Kong market you must always buy a minimum of 100 shares — </w:t>
      </w:r>
      <w:r>
        <w:rPr>
          <w:b/>
        </w:rPr>
        <w:t>FALSE</w:t>
      </w:r>
      <w:r>
        <w:rPr/>
        <w:t xml:space="preserve"> (flagged as the "tricky" answer: it actually depends on the specific stock/counter — some require 100-share minimums, others require 500-share minimums).</w:t>
      </w:r>
    </w:p>
    <w:p>
      <w:pPr>
        <w:pStyle w:val="BodyText"/>
        <w:numPr>
          <w:ilvl w:val="1"/>
          <w:numId w:val="44"/>
        </w:numPr>
        <w:tabs>
          <w:tab w:val="clear" w:pos="709"/>
          <w:tab w:val="left" w:pos="1418" w:leader="none"/>
        </w:tabs>
        <w:bidi w:val="0"/>
        <w:ind w:hanging="283" w:start="1418"/>
        <w:jc w:val="start"/>
        <w:rPr/>
      </w:pPr>
      <w:r>
        <w:rPr/>
        <w:t xml:space="preserve">(C) In Singapore and Malaysia markets, minimum purchase is 100 shares — </w:t>
      </w:r>
      <w:r>
        <w:rPr>
          <w:b/>
        </w:rPr>
        <w:t>TRUE.</w:t>
      </w:r>
    </w:p>
    <w:p>
      <w:pPr>
        <w:pStyle w:val="BodyText"/>
        <w:numPr>
          <w:ilvl w:val="1"/>
          <w:numId w:val="44"/>
        </w:numPr>
        <w:tabs>
          <w:tab w:val="clear" w:pos="709"/>
          <w:tab w:val="left" w:pos="1418" w:leader="none"/>
        </w:tabs>
        <w:bidi w:val="0"/>
        <w:ind w:hanging="283" w:start="1418"/>
        <w:jc w:val="start"/>
        <w:rPr/>
      </w:pPr>
      <w:r>
        <w:rPr/>
        <w:t xml:space="preserve">(D) In the US market, there is no maximum number of shares you need to buy — </w:t>
      </w:r>
      <w:r>
        <w:rPr>
          <w:b/>
        </w:rPr>
        <w:t>TRUE.</w:t>
      </w:r>
    </w:p>
    <w:p>
      <w:pPr>
        <w:pStyle w:val="BodyText"/>
        <w:numPr>
          <w:ilvl w:val="1"/>
          <w:numId w:val="44"/>
        </w:numPr>
        <w:tabs>
          <w:tab w:val="clear" w:pos="709"/>
          <w:tab w:val="left" w:pos="1418" w:leader="none"/>
        </w:tabs>
        <w:bidi w:val="0"/>
        <w:ind w:hanging="283" w:start="1418"/>
        <w:jc w:val="start"/>
        <w:rPr/>
      </w:pPr>
      <w:r>
        <w:rPr>
          <w:b/>
        </w:rPr>
        <w:t>Answer: B.</w:t>
      </w:r>
    </w:p>
    <w:p>
      <w:pPr>
        <w:pStyle w:val="BodyText"/>
        <w:numPr>
          <w:ilvl w:val="0"/>
          <w:numId w:val="44"/>
        </w:numPr>
        <w:tabs>
          <w:tab w:val="clear" w:pos="709"/>
          <w:tab w:val="left" w:pos="709" w:leader="none"/>
        </w:tabs>
        <w:bidi w:val="0"/>
        <w:spacing w:before="0" w:after="0"/>
        <w:ind w:hanging="283" w:start="709"/>
        <w:jc w:val="start"/>
        <w:rPr/>
      </w:pPr>
      <w:r>
        <w:rPr>
          <w:b/>
        </w:rPr>
        <w:t>Success Company</w:t>
      </w:r>
      <w:r>
        <w:rPr/>
        <w:t xml:space="preserve"> earned </w:t>
      </w:r>
      <w:r>
        <w:rPr>
          <w:b/>
        </w:rPr>
        <w:t>$350 million</w:t>
      </w:r>
      <w:r>
        <w:rPr/>
        <w:t xml:space="preserve"> net income (last 12 months) with </w:t>
      </w:r>
      <w:r>
        <w:rPr>
          <w:b/>
        </w:rPr>
        <w:t>100 million shares outstanding</w:t>
      </w:r>
      <w:r>
        <w:rPr/>
        <w:t>. EPS?</w:t>
      </w:r>
    </w:p>
    <w:p>
      <w:pPr>
        <w:pStyle w:val="BodyText"/>
        <w:numPr>
          <w:ilvl w:val="1"/>
          <w:numId w:val="44"/>
        </w:numPr>
        <w:tabs>
          <w:tab w:val="clear" w:pos="709"/>
          <w:tab w:val="left" w:pos="1418" w:leader="none"/>
        </w:tabs>
        <w:bidi w:val="0"/>
        <w:ind w:hanging="283" w:start="1418"/>
        <w:jc w:val="start"/>
        <w:rPr/>
      </w:pPr>
      <w:r>
        <w:rPr/>
        <w:t xml:space="preserve">EPS = $350M ÷ 100M = </w:t>
      </w:r>
      <w:r>
        <w:rPr>
          <w:b/>
        </w:rPr>
        <w:t>$3.50</w:t>
      </w:r>
      <w:r>
        <w:rPr/>
        <w:t xml:space="preserve">. </w:t>
      </w:r>
      <w:r>
        <w:rPr>
          <w:b/>
        </w:rPr>
        <w:t>Answer: B.</w:t>
      </w:r>
    </w:p>
    <w:p>
      <w:pPr>
        <w:pStyle w:val="BodyText"/>
        <w:numPr>
          <w:ilvl w:val="0"/>
          <w:numId w:val="44"/>
        </w:numPr>
        <w:tabs>
          <w:tab w:val="clear" w:pos="709"/>
          <w:tab w:val="left" w:pos="709" w:leader="none"/>
        </w:tabs>
        <w:bidi w:val="0"/>
        <w:spacing w:before="0" w:after="0"/>
        <w:ind w:hanging="283" w:start="709"/>
        <w:jc w:val="start"/>
        <w:rPr/>
      </w:pPr>
      <w:r>
        <w:rPr/>
        <w:t xml:space="preserve">Success Company's share price is </w:t>
      </w:r>
      <w:r>
        <w:rPr>
          <w:b/>
        </w:rPr>
        <w:t>$50</w:t>
      </w:r>
      <w:r>
        <w:rPr/>
        <w:t>. P/E ratio?</w:t>
      </w:r>
    </w:p>
    <w:p>
      <w:pPr>
        <w:pStyle w:val="BodyText"/>
        <w:numPr>
          <w:ilvl w:val="1"/>
          <w:numId w:val="44"/>
        </w:numPr>
        <w:tabs>
          <w:tab w:val="clear" w:pos="709"/>
          <w:tab w:val="left" w:pos="1418" w:leader="none"/>
        </w:tabs>
        <w:bidi w:val="0"/>
        <w:ind w:hanging="283" w:start="1418"/>
        <w:jc w:val="start"/>
        <w:rPr/>
      </w:pPr>
      <w:r>
        <w:rPr/>
        <w:t xml:space="preserve">P/E = $50 ÷ $3.50 = </w:t>
      </w:r>
      <w:r>
        <w:rPr>
          <w:b/>
        </w:rPr>
        <w:t>14.3×</w:t>
      </w:r>
      <w:r>
        <w:rPr/>
        <w:t xml:space="preserve">. </w:t>
      </w:r>
      <w:r>
        <w:rPr>
          <w:b/>
        </w:rPr>
        <w:t>Answer: B.</w:t>
      </w:r>
    </w:p>
    <w:p>
      <w:pPr>
        <w:pStyle w:val="BodyText"/>
        <w:numPr>
          <w:ilvl w:val="0"/>
          <w:numId w:val="44"/>
        </w:numPr>
        <w:tabs>
          <w:tab w:val="clear" w:pos="709"/>
          <w:tab w:val="left" w:pos="709" w:leader="none"/>
        </w:tabs>
        <w:bidi w:val="0"/>
        <w:spacing w:before="0" w:after="0"/>
        <w:ind w:hanging="283" w:start="709"/>
        <w:jc w:val="start"/>
        <w:rPr/>
      </w:pPr>
      <w:r>
        <w:rPr/>
        <w:t xml:space="preserve">Success Company's share price is </w:t>
      </w:r>
      <w:r>
        <w:rPr>
          <w:b/>
        </w:rPr>
        <w:t>$50</w:t>
      </w:r>
      <w:r>
        <w:rPr/>
        <w:t xml:space="preserve">, with </w:t>
      </w:r>
      <w:r>
        <w:rPr>
          <w:b/>
        </w:rPr>
        <w:t>100 million shares outstanding</w:t>
      </w:r>
      <w:r>
        <w:rPr/>
        <w:t>. Market capitalization?</w:t>
      </w:r>
    </w:p>
    <w:p>
      <w:pPr>
        <w:pStyle w:val="BodyText"/>
        <w:numPr>
          <w:ilvl w:val="1"/>
          <w:numId w:val="44"/>
        </w:numPr>
        <w:tabs>
          <w:tab w:val="clear" w:pos="709"/>
          <w:tab w:val="left" w:pos="1418" w:leader="none"/>
        </w:tabs>
        <w:bidi w:val="0"/>
        <w:ind w:hanging="283" w:start="1418"/>
        <w:jc w:val="start"/>
        <w:rPr/>
      </w:pPr>
      <w:r>
        <w:rPr/>
        <w:t xml:space="preserve">Market cap = $50 × 100M = </w:t>
      </w:r>
      <w:r>
        <w:rPr>
          <w:b/>
        </w:rPr>
        <w:t>5,000 million = $5 billion</w:t>
      </w:r>
      <w:r>
        <w:rPr/>
        <w:t xml:space="preserve">. </w:t>
      </w:r>
      <w:r>
        <w:rPr>
          <w:i/>
        </w:rPr>
        <w:t>(The transcript's stated answer letter here is garbled/unclear — likely a transcription artifact.)</w:t>
      </w:r>
    </w:p>
    <w:p>
      <w:pPr>
        <w:pStyle w:val="BodyText"/>
        <w:numPr>
          <w:ilvl w:val="0"/>
          <w:numId w:val="44"/>
        </w:numPr>
        <w:tabs>
          <w:tab w:val="clear" w:pos="709"/>
          <w:tab w:val="left" w:pos="709" w:leader="none"/>
        </w:tabs>
        <w:bidi w:val="0"/>
        <w:spacing w:before="0" w:after="0"/>
        <w:ind w:hanging="283" w:start="709"/>
        <w:jc w:val="start"/>
        <w:rPr/>
      </w:pPr>
      <w:r>
        <w:rPr/>
        <w:t>What is the PEG ratio formula — P/E ratio multiplied by growth rate, or P/E ratio divided by growth rate?</w:t>
      </w:r>
    </w:p>
    <w:p>
      <w:pPr>
        <w:pStyle w:val="BodyText"/>
        <w:numPr>
          <w:ilvl w:val="1"/>
          <w:numId w:val="44"/>
        </w:numPr>
        <w:tabs>
          <w:tab w:val="clear" w:pos="709"/>
          <w:tab w:val="left" w:pos="1418" w:leader="none"/>
        </w:tabs>
        <w:bidi w:val="0"/>
        <w:ind w:hanging="283" w:start="1418"/>
        <w:jc w:val="start"/>
        <w:rPr/>
      </w:pPr>
      <w:r>
        <w:rPr>
          <w:b/>
        </w:rPr>
        <w:t>Answer: divided by (B).</w:t>
      </w:r>
      <w:r>
        <w:rPr/>
        <w:t xml:space="preserve"> Reminder: PEG of </w:t>
      </w:r>
      <w:r>
        <w:rPr>
          <w:b/>
        </w:rPr>
        <w:t>1.5 or less</w:t>
      </w:r>
      <w:r>
        <w:rPr/>
        <w:t xml:space="preserve"> is considered reasonable; below 1 is considered cheap.</w:t>
      </w:r>
    </w:p>
    <w:p>
      <w:pPr>
        <w:pStyle w:val="BodyText"/>
        <w:numPr>
          <w:ilvl w:val="0"/>
          <w:numId w:val="44"/>
        </w:numPr>
        <w:tabs>
          <w:tab w:val="clear" w:pos="709"/>
          <w:tab w:val="left" w:pos="709" w:leader="none"/>
        </w:tabs>
        <w:bidi w:val="0"/>
        <w:spacing w:before="0" w:after="0"/>
        <w:ind w:hanging="283" w:start="709"/>
        <w:jc w:val="start"/>
        <w:rPr/>
      </w:pPr>
      <w:r>
        <w:rPr/>
        <w:t xml:space="preserve">Success Company's share price is </w:t>
      </w:r>
      <w:r>
        <w:rPr>
          <w:b/>
        </w:rPr>
        <w:t>$50</w:t>
      </w:r>
      <w:r>
        <w:rPr/>
        <w:t xml:space="preserve"> and it paid </w:t>
      </w:r>
      <w:r>
        <w:rPr>
          <w:b/>
        </w:rPr>
        <w:t>$5</w:t>
      </w:r>
      <w:r>
        <w:rPr/>
        <w:t xml:space="preserve"> in dividends (last 12 months). Dividend yield?</w:t>
      </w:r>
    </w:p>
    <w:p>
      <w:pPr>
        <w:pStyle w:val="BodyText"/>
        <w:numPr>
          <w:ilvl w:val="1"/>
          <w:numId w:val="44"/>
        </w:numPr>
        <w:tabs>
          <w:tab w:val="clear" w:pos="709"/>
          <w:tab w:val="left" w:pos="1418" w:leader="none"/>
        </w:tabs>
        <w:bidi w:val="0"/>
        <w:ind w:hanging="283" w:start="1418"/>
        <w:jc w:val="start"/>
        <w:rPr/>
      </w:pPr>
      <w:r>
        <w:rPr/>
        <w:t xml:space="preserve">Yield = $5 ÷ $50 = </w:t>
      </w:r>
      <w:r>
        <w:rPr>
          <w:b/>
        </w:rPr>
        <w:t>10%</w:t>
      </w:r>
      <w:r>
        <w:rPr/>
        <w:t xml:space="preserve">. </w:t>
      </w:r>
      <w:r>
        <w:rPr>
          <w:b/>
        </w:rPr>
        <w:t>Answer: A.</w:t>
      </w:r>
    </w:p>
    <w:p>
      <w:pPr>
        <w:pStyle w:val="BodyText"/>
        <w:numPr>
          <w:ilvl w:val="0"/>
          <w:numId w:val="44"/>
        </w:numPr>
        <w:tabs>
          <w:tab w:val="clear" w:pos="709"/>
          <w:tab w:val="left" w:pos="709" w:leader="none"/>
        </w:tabs>
        <w:bidi w:val="0"/>
        <w:spacing w:before="0" w:after="0"/>
        <w:ind w:hanging="283" w:start="709"/>
        <w:jc w:val="start"/>
        <w:rPr/>
      </w:pPr>
      <w:r>
        <w:rPr/>
        <w:t xml:space="preserve">If a stock generates EPS of </w:t>
      </w:r>
      <w:r>
        <w:rPr>
          <w:b/>
        </w:rPr>
        <w:t>$5</w:t>
      </w:r>
      <w:r>
        <w:rPr/>
        <w:t>, how can the company return this capital to shareholders? (Multi-part answer — all four mechanisms restated:)</w:t>
      </w:r>
    </w:p>
    <w:p>
      <w:pPr>
        <w:pStyle w:val="BodyText"/>
        <w:numPr>
          <w:ilvl w:val="1"/>
          <w:numId w:val="44"/>
        </w:numPr>
        <w:tabs>
          <w:tab w:val="clear" w:pos="709"/>
          <w:tab w:val="left" w:pos="1418" w:leader="none"/>
        </w:tabs>
        <w:bidi w:val="0"/>
        <w:ind w:hanging="283" w:start="1418"/>
        <w:jc w:val="start"/>
        <w:rPr/>
      </w:pPr>
      <w:r>
        <w:rPr>
          <w:b/>
        </w:rPr>
        <w:t>Dividends</w:t>
      </w:r>
      <w:r>
        <w:rPr/>
        <w:t xml:space="preserve"> (taxable in US markets, not taxable in markets like Singapore).</w:t>
      </w:r>
    </w:p>
    <w:p>
      <w:pPr>
        <w:pStyle w:val="BodyText"/>
        <w:numPr>
          <w:ilvl w:val="1"/>
          <w:numId w:val="44"/>
        </w:numPr>
        <w:tabs>
          <w:tab w:val="clear" w:pos="709"/>
          <w:tab w:val="left" w:pos="1418" w:leader="none"/>
        </w:tabs>
        <w:bidi w:val="0"/>
        <w:ind w:hanging="283" w:start="1418"/>
        <w:jc w:val="start"/>
        <w:rPr/>
      </w:pPr>
      <w:r>
        <w:rPr>
          <w:b/>
        </w:rPr>
        <w:t>Share buybacks</w:t>
      </w:r>
      <w:r>
        <w:rPr/>
        <w:t xml:space="preserve"> (indirectly returns capital — with fewer shares outstanding, you own a bigger percentage of the business).</w:t>
      </w:r>
    </w:p>
    <w:p>
      <w:pPr>
        <w:pStyle w:val="BodyText"/>
        <w:numPr>
          <w:ilvl w:val="1"/>
          <w:numId w:val="44"/>
        </w:numPr>
        <w:tabs>
          <w:tab w:val="clear" w:pos="709"/>
          <w:tab w:val="left" w:pos="1418" w:leader="none"/>
        </w:tabs>
        <w:bidi w:val="0"/>
        <w:ind w:hanging="283" w:start="1418"/>
        <w:jc w:val="start"/>
        <w:rPr/>
      </w:pPr>
      <w:r>
        <w:rPr>
          <w:b/>
        </w:rPr>
        <w:t>Retain the earnings</w:t>
      </w:r>
      <w:r>
        <w:rPr/>
        <w:t xml:space="preserve"> (like a savings account).</w:t>
      </w:r>
    </w:p>
    <w:p>
      <w:pPr>
        <w:pStyle w:val="BodyText"/>
        <w:numPr>
          <w:ilvl w:val="1"/>
          <w:numId w:val="44"/>
        </w:numPr>
        <w:tabs>
          <w:tab w:val="clear" w:pos="709"/>
          <w:tab w:val="left" w:pos="1418" w:leader="none"/>
        </w:tabs>
        <w:bidi w:val="0"/>
        <w:ind w:hanging="283" w:start="1418"/>
        <w:jc w:val="start"/>
        <w:rPr/>
      </w:pPr>
      <w:r>
        <w:rPr>
          <w:b/>
        </w:rPr>
        <w:t>Reinvest the capital back into the business.</w:t>
      </w:r>
    </w:p>
    <w:p>
      <w:pPr>
        <w:pStyle w:val="BodyText"/>
        <w:numPr>
          <w:ilvl w:val="0"/>
          <w:numId w:val="44"/>
        </w:numPr>
        <w:tabs>
          <w:tab w:val="clear" w:pos="709"/>
          <w:tab w:val="left" w:pos="709" w:leader="none"/>
        </w:tabs>
        <w:bidi w:val="0"/>
        <w:spacing w:before="0" w:after="0"/>
        <w:ind w:hanging="283" w:start="709"/>
        <w:jc w:val="start"/>
        <w:rPr/>
      </w:pPr>
      <w:r>
        <w:rPr>
          <w:b/>
        </w:rPr>
        <w:t>Company A:</w:t>
      </w:r>
      <w:r>
        <w:rPr/>
        <w:t xml:space="preserve"> P/E = 10, projected earnings growth = 5%. </w:t>
      </w:r>
      <w:r>
        <w:rPr>
          <w:b/>
        </w:rPr>
        <w:t>Company B:</w:t>
      </w:r>
      <w:r>
        <w:rPr/>
        <w:t xml:space="preserve"> P/E = 40, projected earnings growth = 100%. Which is cheaper?</w:t>
      </w:r>
    </w:p>
    <w:p>
      <w:pPr>
        <w:pStyle w:val="BodyText"/>
        <w:numPr>
          <w:ilvl w:val="1"/>
          <w:numId w:val="44"/>
        </w:numPr>
        <w:tabs>
          <w:tab w:val="clear" w:pos="709"/>
          <w:tab w:val="left" w:pos="1418" w:leader="none"/>
        </w:tabs>
        <w:bidi w:val="0"/>
        <w:ind w:hanging="283" w:start="1418"/>
        <w:jc w:val="start"/>
        <w:rPr/>
      </w:pPr>
      <w:r>
        <w:rPr/>
        <w:t xml:space="preserve">Company A PEG = 10 ÷ 5 = </w:t>
      </w:r>
      <w:r>
        <w:rPr>
          <w:b/>
        </w:rPr>
        <w:t>2</w:t>
      </w:r>
      <w:r>
        <w:rPr/>
        <w:t xml:space="preserve">. Company B PEG = 40 ÷ 100 = </w:t>
      </w:r>
      <w:r>
        <w:rPr>
          <w:b/>
        </w:rPr>
        <w:t>0.4</w:t>
      </w:r>
      <w:r>
        <w:rPr/>
        <w:t>.</w:t>
      </w:r>
    </w:p>
    <w:p>
      <w:pPr>
        <w:pStyle w:val="BodyText"/>
        <w:numPr>
          <w:ilvl w:val="1"/>
          <w:numId w:val="44"/>
        </w:numPr>
        <w:tabs>
          <w:tab w:val="clear" w:pos="709"/>
          <w:tab w:val="left" w:pos="1418" w:leader="none"/>
        </w:tabs>
        <w:bidi w:val="0"/>
        <w:ind w:hanging="283" w:start="1418"/>
        <w:jc w:val="start"/>
        <w:rPr/>
      </w:pPr>
      <w:r>
        <w:rPr/>
        <w:t xml:space="preserve">Lower PEG = cheaper → </w:t>
      </w:r>
      <w:r>
        <w:rPr>
          <w:b/>
        </w:rPr>
        <w:t>Answer: B (Company B is cheaper).</w:t>
      </w:r>
    </w:p>
    <w:p>
      <w:pPr>
        <w:pStyle w:val="BodyText"/>
        <w:numPr>
          <w:ilvl w:val="0"/>
          <w:numId w:val="44"/>
        </w:numPr>
        <w:tabs>
          <w:tab w:val="clear" w:pos="709"/>
          <w:tab w:val="left" w:pos="709" w:leader="none"/>
        </w:tabs>
        <w:bidi w:val="0"/>
        <w:spacing w:before="0" w:after="0"/>
        <w:ind w:hanging="283" w:start="709"/>
        <w:jc w:val="start"/>
        <w:rPr/>
      </w:pPr>
      <w:r>
        <w:rPr>
          <w:b/>
        </w:rPr>
        <w:t>True/False set:</w:t>
      </w:r>
    </w:p>
    <w:p>
      <w:pPr>
        <w:pStyle w:val="BodyText"/>
        <w:numPr>
          <w:ilvl w:val="1"/>
          <w:numId w:val="44"/>
        </w:numPr>
        <w:tabs>
          <w:tab w:val="clear" w:pos="709"/>
          <w:tab w:val="left" w:pos="1418" w:leader="none"/>
        </w:tabs>
        <w:bidi w:val="0"/>
        <w:ind w:hanging="283" w:start="1418"/>
        <w:jc w:val="start"/>
        <w:rPr/>
      </w:pPr>
      <w:r>
        <w:rPr/>
        <w:t xml:space="preserve">"Great investors can predict where the share price will go in the short term." → </w:t>
      </w:r>
      <w:r>
        <w:rPr>
          <w:b/>
        </w:rPr>
        <w:t>FALSE</w:t>
      </w:r>
      <w:r>
        <w:rPr/>
        <w:t xml:space="preserve"> — "no one can predict where prices go in the short term... too many moving parts," only probability-based guessing is possible.</w:t>
      </w:r>
    </w:p>
    <w:p>
      <w:pPr>
        <w:pStyle w:val="BodyText"/>
        <w:numPr>
          <w:ilvl w:val="1"/>
          <w:numId w:val="44"/>
        </w:numPr>
        <w:tabs>
          <w:tab w:val="clear" w:pos="709"/>
          <w:tab w:val="left" w:pos="1418" w:leader="none"/>
        </w:tabs>
        <w:bidi w:val="0"/>
        <w:ind w:hanging="283" w:start="1418"/>
        <w:jc w:val="start"/>
        <w:rPr/>
      </w:pPr>
      <w:r>
        <w:rPr/>
        <w:t xml:space="preserve">"In the short term, share prices are driven by emotions, manipulation, and forced selling." → </w:t>
      </w:r>
      <w:r>
        <w:rPr>
          <w:b/>
        </w:rPr>
        <w:t>TRUE.</w:t>
      </w:r>
    </w:p>
    <w:p>
      <w:pPr>
        <w:pStyle w:val="BodyText"/>
        <w:numPr>
          <w:ilvl w:val="1"/>
          <w:numId w:val="44"/>
        </w:numPr>
        <w:tabs>
          <w:tab w:val="clear" w:pos="709"/>
          <w:tab w:val="left" w:pos="1418" w:leader="none"/>
        </w:tabs>
        <w:bidi w:val="0"/>
        <w:ind w:hanging="283" w:start="1418"/>
        <w:jc w:val="start"/>
        <w:rPr/>
      </w:pPr>
      <w:r>
        <w:rPr/>
        <w:t xml:space="preserve">"In the long run, share prices are driven by the fundamental value of the business." → </w:t>
      </w:r>
      <w:r>
        <w:rPr>
          <w:b/>
        </w:rPr>
        <w:t>TRUE.</w:t>
      </w:r>
    </w:p>
    <w:p>
      <w:pPr>
        <w:pStyle w:val="BodyText"/>
        <w:numPr>
          <w:ilvl w:val="1"/>
          <w:numId w:val="44"/>
        </w:numPr>
        <w:tabs>
          <w:tab w:val="clear" w:pos="709"/>
          <w:tab w:val="left" w:pos="1418" w:leader="none"/>
        </w:tabs>
        <w:bidi w:val="0"/>
        <w:ind w:hanging="283" w:start="1418"/>
        <w:jc w:val="start"/>
        <w:rPr/>
      </w:pPr>
      <w:r>
        <w:rPr/>
        <w:t xml:space="preserve">"Short-term trading/speculation has a much higher win rate than long-term investing." → </w:t>
      </w:r>
      <w:r>
        <w:rPr>
          <w:b/>
        </w:rPr>
        <w:t>FALSE.</w:t>
      </w:r>
      <w:r>
        <w:rPr/>
        <w:t xml:space="preserve"> Best win rates in short-term trading run </w:t>
      </w:r>
      <w:r>
        <w:rPr>
          <w:b/>
        </w:rPr>
        <w:t>50–60%</w:t>
      </w:r>
      <w:r>
        <w:rPr/>
        <w:t xml:space="preserve">, whereas long-term investing in great companies wins </w:t>
      </w:r>
      <w:r>
        <w:rPr>
          <w:b/>
        </w:rPr>
        <w:t>90%+</w:t>
      </w:r>
      <w:r>
        <w:rPr/>
        <w:t xml:space="preserve"> of the time (companies make money over time).</w:t>
      </w:r>
    </w:p>
    <w:p>
      <w:pPr>
        <w:pStyle w:val="HorizontalLine"/>
        <w:bidi w:val="0"/>
        <w:jc w:val="start"/>
        <w:rPr/>
      </w:pPr>
      <w:r>
        <w:rPr/>
      </w:r>
    </w:p>
    <w:p>
      <w:pPr>
        <w:pStyle w:val="Heading3"/>
        <w:bidi w:val="0"/>
        <w:ind w:hanging="0" w:start="0"/>
        <w:jc w:val="start"/>
        <w:rPr/>
      </w:pPr>
      <w:r>
        <w:rPr/>
        <w:t>Shocking Market Facts</w:t>
      </w:r>
    </w:p>
    <w:p>
      <w:pPr>
        <w:pStyle w:val="BodyText"/>
        <w:bidi w:val="0"/>
        <w:jc w:val="start"/>
        <w:rPr/>
      </w:pPr>
      <w:r>
        <w:rPr>
          <w:i/>
        </w:rPr>
        <w:t>(Note: this video's opening lines introduce Lesson 2 on ETFs, but the bulk of the content — as transcribed — covers statistical "facts" about long-run market behavior, cycles, and probabilities; captured here as delivered.)</w:t>
      </w:r>
    </w:p>
    <w:p>
      <w:pPr>
        <w:pStyle w:val="Heading4"/>
        <w:bidi w:val="0"/>
        <w:ind w:hanging="0" w:start="0"/>
        <w:jc w:val="start"/>
        <w:rPr/>
      </w:pPr>
      <w:r>
        <w:rPr/>
        <w:t>Fact 1: The US Index Always Goes Up Over the Long Run</w:t>
      </w:r>
    </w:p>
    <w:p>
      <w:pPr>
        <w:pStyle w:val="BodyText"/>
        <w:numPr>
          <w:ilvl w:val="0"/>
          <w:numId w:val="45"/>
        </w:numPr>
        <w:tabs>
          <w:tab w:val="clear" w:pos="709"/>
          <w:tab w:val="left" w:pos="709" w:leader="none"/>
        </w:tabs>
        <w:bidi w:val="0"/>
        <w:ind w:hanging="283" w:start="709"/>
        <w:jc w:val="start"/>
        <w:rPr/>
      </w:pPr>
      <w:r>
        <w:rPr/>
        <w:t xml:space="preserve">Illustrated via a </w:t>
      </w:r>
      <w:r>
        <w:rPr>
          <w:b/>
        </w:rPr>
        <w:t>Dow Jones Industrial Average, 121-year chart</w:t>
      </w:r>
      <w:r>
        <w:rPr/>
        <w:t xml:space="preserve"> (January </w:t>
      </w:r>
      <w:r>
        <w:rPr>
          <w:b/>
        </w:rPr>
        <w:t>1904</w:t>
      </w:r>
      <w:r>
        <w:rPr/>
        <w:t xml:space="preserve"> to December </w:t>
      </w:r>
      <w:r>
        <w:rPr>
          <w:b/>
        </w:rPr>
        <w:t>2024</w:t>
      </w:r>
      <w:r>
        <w:rPr/>
        <w:t>) — chosen over the S&amp;P 500 because the S&amp;P 500's history only goes back about 60 years, while the Dow Jones is the oldest/longest-history US index.</w:t>
      </w:r>
    </w:p>
    <w:p>
      <w:pPr>
        <w:pStyle w:val="BodyText"/>
        <w:numPr>
          <w:ilvl w:val="0"/>
          <w:numId w:val="45"/>
        </w:numPr>
        <w:tabs>
          <w:tab w:val="clear" w:pos="709"/>
          <w:tab w:val="left" w:pos="709" w:leader="none"/>
        </w:tabs>
        <w:bidi w:val="0"/>
        <w:ind w:hanging="283" w:start="709"/>
        <w:jc w:val="start"/>
        <w:rPr/>
      </w:pPr>
      <w:r>
        <w:rPr/>
        <w:t xml:space="preserve">Despite an extensive list of historical crises across the 121 years — </w:t>
      </w:r>
      <w:r>
        <w:rPr>
          <w:b/>
        </w:rPr>
        <w:t>World War I, World War II, the Great Depression, the Vietnam War, the assassination of President JFK, the Cuban Missile Crisis, the Black Monday stock crash, the Gulf War, a 21-day US government shutdown, the Asian Financial Crisis, the dot-com crash, the 2008–09 Great Financial Crisis, the European sovereign debt crisis, the US credit-rating downgrade (from excessive debt), the 2018 US–China trade war, the 2020 COVID-19 pandemic, and the 2022 "Fed hyperinflation war"</w:t>
      </w:r>
      <w:r>
        <w:rPr/>
        <w:t xml:space="preserve"> — the market kept climbing.</w:t>
      </w:r>
    </w:p>
    <w:p>
      <w:pPr>
        <w:pStyle w:val="BodyText"/>
        <w:numPr>
          <w:ilvl w:val="0"/>
          <w:numId w:val="45"/>
        </w:numPr>
        <w:tabs>
          <w:tab w:val="clear" w:pos="709"/>
          <w:tab w:val="left" w:pos="709" w:leader="none"/>
        </w:tabs>
        <w:bidi w:val="0"/>
        <w:ind w:hanging="283" w:start="709"/>
        <w:jc w:val="start"/>
        <w:rPr/>
      </w:pPr>
      <w:r>
        <w:rPr>
          <w:b/>
        </w:rPr>
        <w:t>Total gain over 121 years: 11,188,000%.</w:t>
      </w:r>
      <w:r>
        <w:rPr/>
        <w:t xml:space="preserve"> Equivalent </w:t>
      </w:r>
      <w:r>
        <w:rPr>
          <w:b/>
        </w:rPr>
        <w:t>CAGR: 10.04%.</w:t>
      </w:r>
    </w:p>
    <w:p>
      <w:pPr>
        <w:pStyle w:val="BodyText"/>
        <w:numPr>
          <w:ilvl w:val="0"/>
          <w:numId w:val="45"/>
        </w:numPr>
        <w:tabs>
          <w:tab w:val="clear" w:pos="709"/>
          <w:tab w:val="left" w:pos="709" w:leader="none"/>
        </w:tabs>
        <w:bidi w:val="0"/>
        <w:spacing w:before="0" w:after="0"/>
        <w:ind w:hanging="283" w:start="709"/>
        <w:jc w:val="start"/>
        <w:rPr/>
      </w:pPr>
      <w:r>
        <w:rPr>
          <w:b/>
        </w:rPr>
        <w:t>Why the index always goes up long-run (two reasons given):</w:t>
      </w:r>
    </w:p>
    <w:p>
      <w:pPr>
        <w:pStyle w:val="BodyText"/>
        <w:numPr>
          <w:ilvl w:val="1"/>
          <w:numId w:val="45"/>
        </w:numPr>
        <w:tabs>
          <w:tab w:val="clear" w:pos="709"/>
          <w:tab w:val="left" w:pos="1418" w:leader="none"/>
        </w:tabs>
        <w:bidi w:val="0"/>
        <w:ind w:hanging="283" w:start="1418"/>
        <w:jc w:val="start"/>
        <w:rPr/>
      </w:pPr>
      <w:r>
        <w:rPr/>
        <w:t xml:space="preserve">Underlying driver = </w:t>
      </w:r>
      <w:r>
        <w:rPr>
          <w:b/>
        </w:rPr>
        <w:t>earnings/profits</w:t>
      </w:r>
      <w:r>
        <w:rPr/>
        <w:t xml:space="preserve">. Example: McDonald's — a Big Mac costs more today than 20 years ago (price increases) </w:t>
      </w:r>
      <w:r>
        <w:rPr>
          <w:i/>
        </w:rPr>
        <w:t>and</w:t>
      </w:r>
      <w:r>
        <w:rPr/>
        <w:t xml:space="preserve"> more burgers are sold globally today than 20–30 years ago (volume increases) → rising prices × rising volume → rising profits → rising share value.</w:t>
      </w:r>
    </w:p>
    <w:p>
      <w:pPr>
        <w:pStyle w:val="BodyText"/>
        <w:numPr>
          <w:ilvl w:val="1"/>
          <w:numId w:val="45"/>
        </w:numPr>
        <w:tabs>
          <w:tab w:val="clear" w:pos="709"/>
          <w:tab w:val="left" w:pos="1418" w:leader="none"/>
        </w:tabs>
        <w:bidi w:val="0"/>
        <w:ind w:hanging="283" w:start="1418"/>
        <w:jc w:val="start"/>
        <w:rPr/>
      </w:pPr>
      <w:r>
        <w:rPr>
          <w:b/>
        </w:rPr>
        <w:t>Index composition self-upgrades.</w:t>
      </w:r>
      <w:r>
        <w:rPr/>
        <w:t xml:space="preserve"> Weak/unprofitable companies get removed and replaced by stronger ones (again citing </w:t>
      </w:r>
      <w:r>
        <w:rPr>
          <w:b/>
        </w:rPr>
        <w:t>AIG, Citigroup, General Electric</w:t>
      </w:r>
      <w:r>
        <w:rPr/>
        <w:t xml:space="preserve"> removed from the Dow Jones, replaced by better companies like </w:t>
      </w:r>
      <w:r>
        <w:rPr>
          <w:b/>
        </w:rPr>
        <w:t>Apple, Salesforce, Goldman Sachs</w:t>
      </w:r>
      <w:r>
        <w:rPr/>
        <w:t>) — the index is effectively "engineered to always go up."</w:t>
      </w:r>
    </w:p>
    <w:p>
      <w:pPr>
        <w:pStyle w:val="Heading4"/>
        <w:numPr>
          <w:ilvl w:val="0"/>
          <w:numId w:val="0"/>
        </w:numPr>
        <w:bidi w:val="0"/>
        <w:ind w:hanging="0" w:start="0"/>
        <w:jc w:val="start"/>
        <w:rPr/>
      </w:pPr>
      <w:r>
        <w:rPr/>
        <w:t>Fact 2: The Market Doesn't Go Up Every Year, But Goes Up Most Years</w:t>
      </w:r>
    </w:p>
    <w:p>
      <w:pPr>
        <w:pStyle w:val="BodyText"/>
        <w:numPr>
          <w:ilvl w:val="0"/>
          <w:numId w:val="46"/>
        </w:numPr>
        <w:tabs>
          <w:tab w:val="clear" w:pos="709"/>
          <w:tab w:val="left" w:pos="709" w:leader="none"/>
        </w:tabs>
        <w:bidi w:val="0"/>
        <w:spacing w:before="0" w:after="0"/>
        <w:ind w:hanging="283" w:start="709"/>
        <w:jc w:val="start"/>
        <w:rPr/>
      </w:pPr>
      <w:r>
        <w:rPr/>
        <w:t xml:space="preserve">Looking at the </w:t>
      </w:r>
      <w:r>
        <w:rPr>
          <w:b/>
        </w:rPr>
        <w:t>last 74 years (1951–2024):</w:t>
      </w:r>
    </w:p>
    <w:p>
      <w:pPr>
        <w:pStyle w:val="BodyText"/>
        <w:numPr>
          <w:ilvl w:val="1"/>
          <w:numId w:val="46"/>
        </w:numPr>
        <w:tabs>
          <w:tab w:val="clear" w:pos="709"/>
          <w:tab w:val="left" w:pos="1418" w:leader="none"/>
        </w:tabs>
        <w:bidi w:val="0"/>
        <w:ind w:hanging="283" w:start="1418"/>
        <w:jc w:val="start"/>
        <w:rPr/>
      </w:pPr>
      <w:r>
        <w:rPr/>
        <w:t>Sample year-by-year figures cited: 1951 +23%, 1952 +18%, 1953 –1%, etc.</w:t>
      </w:r>
    </w:p>
    <w:p>
      <w:pPr>
        <w:pStyle w:val="BodyText"/>
        <w:numPr>
          <w:ilvl w:val="1"/>
          <w:numId w:val="46"/>
        </w:numPr>
        <w:tabs>
          <w:tab w:val="clear" w:pos="709"/>
          <w:tab w:val="left" w:pos="1418" w:leader="none"/>
        </w:tabs>
        <w:bidi w:val="0"/>
        <w:ind w:hanging="283" w:start="1418"/>
        <w:jc w:val="start"/>
        <w:rPr/>
      </w:pPr>
      <w:r>
        <w:rPr>
          <w:b/>
        </w:rPr>
        <w:t>16 of 74 years ended down (21.6% of the time).</w:t>
      </w:r>
    </w:p>
    <w:p>
      <w:pPr>
        <w:pStyle w:val="BodyText"/>
        <w:numPr>
          <w:ilvl w:val="1"/>
          <w:numId w:val="46"/>
        </w:numPr>
        <w:tabs>
          <w:tab w:val="clear" w:pos="709"/>
          <w:tab w:val="left" w:pos="1418" w:leader="none"/>
        </w:tabs>
        <w:bidi w:val="0"/>
        <w:ind w:hanging="283" w:start="1418"/>
        <w:jc w:val="start"/>
        <w:rPr/>
      </w:pPr>
      <w:r>
        <w:rPr>
          <w:b/>
        </w:rPr>
        <w:t>58 of 74 years ended up (78.4% of the time).</w:t>
      </w:r>
    </w:p>
    <w:p>
      <w:pPr>
        <w:pStyle w:val="BodyText"/>
        <w:numPr>
          <w:ilvl w:val="1"/>
          <w:numId w:val="46"/>
        </w:numPr>
        <w:tabs>
          <w:tab w:val="clear" w:pos="709"/>
          <w:tab w:val="left" w:pos="1418" w:leader="none"/>
        </w:tabs>
        <w:bidi w:val="0"/>
        <w:ind w:hanging="283" w:start="1418"/>
        <w:jc w:val="start"/>
        <w:rPr/>
      </w:pPr>
      <w:r>
        <w:rPr/>
        <w:t xml:space="preserve">Conclusion: buying US stocks in January and holding to December gives roughly a </w:t>
      </w:r>
      <w:r>
        <w:rPr>
          <w:b/>
        </w:rPr>
        <w:t>78% probability of making money</w:t>
      </w:r>
      <w:r>
        <w:rPr/>
        <w:t xml:space="preserve"> in any given year — "better than the casino" (casino games generally offer worse-than-50/50 odds; investing in the US market offers better-than-70% odds).</w:t>
      </w:r>
    </w:p>
    <w:p>
      <w:pPr>
        <w:pStyle w:val="BodyText"/>
        <w:numPr>
          <w:ilvl w:val="0"/>
          <w:numId w:val="46"/>
        </w:numPr>
        <w:tabs>
          <w:tab w:val="clear" w:pos="709"/>
          <w:tab w:val="left" w:pos="709" w:leader="none"/>
        </w:tabs>
        <w:bidi w:val="0"/>
        <w:ind w:hanging="283" w:start="709"/>
        <w:jc w:val="start"/>
        <w:rPr/>
      </w:pPr>
      <w:r>
        <w:rPr>
          <w:b/>
        </w:rPr>
        <w:t>Holding for 5-year periods:</w:t>
      </w:r>
      <w:r>
        <w:rPr/>
        <w:t xml:space="preserve"> out of </w:t>
      </w:r>
      <w:r>
        <w:rPr>
          <w:b/>
        </w:rPr>
        <w:t>70 total 5-year periods</w:t>
      </w:r>
      <w:r>
        <w:rPr/>
        <w:t xml:space="preserve"> (every overlapping 5-year combination across the 74-year span), </w:t>
      </w:r>
      <w:r>
        <w:rPr>
          <w:b/>
        </w:rPr>
        <w:t>6 periods ended in a loss (8.6%)</w:t>
      </w:r>
      <w:r>
        <w:rPr/>
        <w:t xml:space="preserve">, </w:t>
      </w:r>
      <w:r>
        <w:rPr>
          <w:b/>
        </w:rPr>
        <w:t>64 periods ended in a gain (91.4%)</w:t>
      </w:r>
      <w:r>
        <w:rPr/>
        <w:t>.</w:t>
      </w:r>
    </w:p>
    <w:p>
      <w:pPr>
        <w:pStyle w:val="BodyText"/>
        <w:numPr>
          <w:ilvl w:val="0"/>
          <w:numId w:val="46"/>
        </w:numPr>
        <w:tabs>
          <w:tab w:val="clear" w:pos="709"/>
          <w:tab w:val="left" w:pos="709" w:leader="none"/>
        </w:tabs>
        <w:bidi w:val="0"/>
        <w:ind w:hanging="283" w:start="709"/>
        <w:jc w:val="start"/>
        <w:rPr/>
      </w:pPr>
      <w:r>
        <w:rPr>
          <w:b/>
        </w:rPr>
        <w:t>Holding for 10-year periods:</w:t>
      </w:r>
      <w:r>
        <w:rPr/>
        <w:t xml:space="preserve"> out of </w:t>
      </w:r>
      <w:r>
        <w:rPr>
          <w:b/>
        </w:rPr>
        <w:t>65 total 10-year periods</w:t>
      </w:r>
      <w:r>
        <w:rPr/>
        <w:t xml:space="preserve">, only </w:t>
      </w:r>
      <w:r>
        <w:rPr>
          <w:b/>
        </w:rPr>
        <w:t>2</w:t>
      </w:r>
      <w:r>
        <w:rPr/>
        <w:t xml:space="preserve"> ended in a loss (both spanning the </w:t>
      </w:r>
      <w:r>
        <w:rPr>
          <w:b/>
        </w:rPr>
        <w:t>dot-com crash</w:t>
      </w:r>
      <w:r>
        <w:rPr/>
        <w:t xml:space="preserve">) → </w:t>
      </w:r>
      <w:r>
        <w:rPr>
          <w:b/>
        </w:rPr>
        <w:t>loss probability 3.1%</w:t>
      </w:r>
      <w:r>
        <w:rPr/>
        <w:t xml:space="preserve">, </w:t>
      </w:r>
      <w:r>
        <w:rPr>
          <w:b/>
        </w:rPr>
        <w:t>gain probability 96.9%</w:t>
      </w:r>
      <w:r>
        <w:rPr/>
        <w:t>.</w:t>
      </w:r>
    </w:p>
    <w:p>
      <w:pPr>
        <w:pStyle w:val="BodyText"/>
        <w:numPr>
          <w:ilvl w:val="0"/>
          <w:numId w:val="46"/>
        </w:numPr>
        <w:tabs>
          <w:tab w:val="clear" w:pos="709"/>
          <w:tab w:val="left" w:pos="709" w:leader="none"/>
        </w:tabs>
        <w:bidi w:val="0"/>
        <w:ind w:hanging="283" w:start="709"/>
        <w:jc w:val="start"/>
        <w:rPr/>
      </w:pPr>
      <w:r>
        <w:rPr>
          <w:b/>
        </w:rPr>
        <w:t>How long to hold for a historically "100% guaranteed" gain?</w:t>
      </w:r>
      <w:r>
        <w:rPr/>
        <w:t xml:space="preserve"> According to the historical data shown, </w:t>
      </w:r>
      <w:r>
        <w:rPr>
          <w:b/>
        </w:rPr>
        <w:t>about 15 years</w:t>
      </w:r>
      <w:r>
        <w:rPr/>
        <w:t xml:space="preserve"> — even if you had bought at the exact top of the dot-com bubble or the Great Financial Crisis, holding 15 years historically always produced a gain. (Adam notes the course will still teach how to avoid blindly buying at market tops, aiming instead to buy when undervalued or near fair value.)</w:t>
      </w:r>
    </w:p>
    <w:p>
      <w:pPr>
        <w:pStyle w:val="BodyText"/>
        <w:numPr>
          <w:ilvl w:val="0"/>
          <w:numId w:val="46"/>
        </w:numPr>
        <w:tabs>
          <w:tab w:val="clear" w:pos="709"/>
          <w:tab w:val="left" w:pos="709" w:leader="none"/>
        </w:tabs>
        <w:bidi w:val="0"/>
        <w:spacing w:before="0" w:after="0"/>
        <w:ind w:hanging="283" w:start="709"/>
        <w:jc w:val="start"/>
        <w:rPr/>
      </w:pPr>
      <w:r>
        <w:rPr>
          <w:b/>
        </w:rPr>
        <w:t>Distribution of annual return outcomes (over the 74 years):</w:t>
      </w:r>
    </w:p>
    <w:p>
      <w:pPr>
        <w:pStyle w:val="BodyText"/>
        <w:numPr>
          <w:ilvl w:val="1"/>
          <w:numId w:val="46"/>
        </w:numPr>
        <w:tabs>
          <w:tab w:val="clear" w:pos="709"/>
          <w:tab w:val="left" w:pos="1418" w:leader="none"/>
        </w:tabs>
        <w:bidi w:val="0"/>
        <w:ind w:hanging="283" w:start="1418"/>
        <w:jc w:val="start"/>
        <w:rPr/>
      </w:pPr>
      <w:r>
        <w:rPr/>
        <w:t xml:space="preserve">+10% to +20% in a year: happened </w:t>
      </w:r>
      <w:r>
        <w:rPr>
          <w:b/>
        </w:rPr>
        <w:t>23%</w:t>
      </w:r>
      <w:r>
        <w:rPr/>
        <w:t xml:space="preserve"> of the time.</w:t>
      </w:r>
    </w:p>
    <w:p>
      <w:pPr>
        <w:pStyle w:val="BodyText"/>
        <w:numPr>
          <w:ilvl w:val="1"/>
          <w:numId w:val="46"/>
        </w:numPr>
        <w:tabs>
          <w:tab w:val="clear" w:pos="709"/>
          <w:tab w:val="left" w:pos="1418" w:leader="none"/>
        </w:tabs>
        <w:bidi w:val="0"/>
        <w:ind w:hanging="283" w:start="1418"/>
        <w:jc w:val="start"/>
        <w:rPr/>
      </w:pPr>
      <w:r>
        <w:rPr/>
        <w:t xml:space="preserve">+20% to +30%: happened </w:t>
      </w:r>
      <w:r>
        <w:rPr>
          <w:b/>
        </w:rPr>
        <w:t>21.6%</w:t>
      </w:r>
      <w:r>
        <w:rPr/>
        <w:t xml:space="preserve"> of the time.</w:t>
      </w:r>
    </w:p>
    <w:p>
      <w:pPr>
        <w:pStyle w:val="BodyText"/>
        <w:numPr>
          <w:ilvl w:val="1"/>
          <w:numId w:val="46"/>
        </w:numPr>
        <w:tabs>
          <w:tab w:val="clear" w:pos="709"/>
          <w:tab w:val="left" w:pos="1418" w:leader="none"/>
        </w:tabs>
        <w:bidi w:val="0"/>
        <w:ind w:hanging="283" w:start="1418"/>
        <w:jc w:val="start"/>
        <w:rPr/>
      </w:pPr>
      <w:r>
        <w:rPr/>
        <w:t xml:space="preserve">+30% to +40%: happened </w:t>
      </w:r>
      <w:r>
        <w:rPr>
          <w:b/>
        </w:rPr>
        <w:t>13.5%</w:t>
      </w:r>
      <w:r>
        <w:rPr/>
        <w:t xml:space="preserve"> of the time.</w:t>
      </w:r>
    </w:p>
    <w:p>
      <w:pPr>
        <w:pStyle w:val="BodyText"/>
        <w:numPr>
          <w:ilvl w:val="1"/>
          <w:numId w:val="46"/>
        </w:numPr>
        <w:tabs>
          <w:tab w:val="clear" w:pos="709"/>
          <w:tab w:val="left" w:pos="1418" w:leader="none"/>
        </w:tabs>
        <w:bidi w:val="0"/>
        <w:ind w:hanging="283" w:start="1418"/>
        <w:jc w:val="start"/>
        <w:rPr/>
      </w:pPr>
      <w:r>
        <w:rPr/>
        <w:t xml:space="preserve">+40% to +50%: happened </w:t>
      </w:r>
      <w:r>
        <w:rPr>
          <w:b/>
        </w:rPr>
        <w:t>once</w:t>
      </w:r>
      <w:r>
        <w:rPr/>
        <w:t xml:space="preserve"> (in </w:t>
      </w:r>
      <w:r>
        <w:rPr>
          <w:b/>
        </w:rPr>
        <w:t>1958</w:t>
      </w:r>
      <w:r>
        <w:rPr/>
        <w:t xml:space="preserve">) = </w:t>
      </w:r>
      <w:r>
        <w:rPr>
          <w:b/>
        </w:rPr>
        <w:t>1.4%</w:t>
      </w:r>
      <w:r>
        <w:rPr/>
        <w:t xml:space="preserve"> of the time.</w:t>
      </w:r>
    </w:p>
    <w:p>
      <w:pPr>
        <w:pStyle w:val="BodyText"/>
        <w:numPr>
          <w:ilvl w:val="1"/>
          <w:numId w:val="46"/>
        </w:numPr>
        <w:tabs>
          <w:tab w:val="clear" w:pos="709"/>
          <w:tab w:val="left" w:pos="1418" w:leader="none"/>
        </w:tabs>
        <w:bidi w:val="0"/>
        <w:ind w:hanging="283" w:start="1418"/>
        <w:jc w:val="start"/>
        <w:rPr/>
      </w:pPr>
      <w:r>
        <w:rPr/>
        <w:t xml:space="preserve">+50% to +60%: happened </w:t>
      </w:r>
      <w:r>
        <w:rPr>
          <w:b/>
        </w:rPr>
        <w:t>once</w:t>
      </w:r>
      <w:r>
        <w:rPr/>
        <w:t xml:space="preserve"> (in </w:t>
      </w:r>
      <w:r>
        <w:rPr>
          <w:b/>
        </w:rPr>
        <w:t>1954</w:t>
      </w:r>
      <w:r>
        <w:rPr/>
        <w:t>).</w:t>
      </w:r>
    </w:p>
    <w:p>
      <w:pPr>
        <w:pStyle w:val="BodyText"/>
        <w:numPr>
          <w:ilvl w:val="1"/>
          <w:numId w:val="46"/>
        </w:numPr>
        <w:tabs>
          <w:tab w:val="clear" w:pos="709"/>
          <w:tab w:val="left" w:pos="1418" w:leader="none"/>
        </w:tabs>
        <w:bidi w:val="0"/>
        <w:ind w:hanging="283" w:start="1418"/>
        <w:jc w:val="start"/>
        <w:rPr/>
      </w:pPr>
      <w:r>
        <w:rPr/>
        <w:t xml:space="preserve">0% to –10% (down): happened </w:t>
      </w:r>
      <w:r>
        <w:rPr>
          <w:b/>
        </w:rPr>
        <w:t>12.2%</w:t>
      </w:r>
      <w:r>
        <w:rPr/>
        <w:t xml:space="preserve"> of the time.</w:t>
      </w:r>
    </w:p>
    <w:p>
      <w:pPr>
        <w:pStyle w:val="BodyText"/>
        <w:numPr>
          <w:ilvl w:val="1"/>
          <w:numId w:val="46"/>
        </w:numPr>
        <w:tabs>
          <w:tab w:val="clear" w:pos="709"/>
          <w:tab w:val="left" w:pos="1418" w:leader="none"/>
        </w:tabs>
        <w:bidi w:val="0"/>
        <w:ind w:hanging="283" w:start="1418"/>
        <w:jc w:val="start"/>
        <w:rPr/>
      </w:pPr>
      <w:r>
        <w:rPr/>
        <w:t>–</w:t>
      </w:r>
      <w:r>
        <w:rPr/>
        <w:t xml:space="preserve">10% to –20%: happened </w:t>
      </w:r>
      <w:r>
        <w:rPr>
          <w:b/>
        </w:rPr>
        <w:t>5.4%</w:t>
      </w:r>
      <w:r>
        <w:rPr/>
        <w:t xml:space="preserve"> of the time.</w:t>
      </w:r>
    </w:p>
    <w:p>
      <w:pPr>
        <w:pStyle w:val="BodyText"/>
        <w:numPr>
          <w:ilvl w:val="1"/>
          <w:numId w:val="46"/>
        </w:numPr>
        <w:tabs>
          <w:tab w:val="clear" w:pos="709"/>
          <w:tab w:val="left" w:pos="1418" w:leader="none"/>
        </w:tabs>
        <w:bidi w:val="0"/>
        <w:ind w:hanging="283" w:start="1418"/>
        <w:jc w:val="start"/>
        <w:rPr/>
      </w:pPr>
      <w:r>
        <w:rPr/>
        <w:t>–</w:t>
      </w:r>
      <w:r>
        <w:rPr/>
        <w:t xml:space="preserve">20% to –30%: happened </w:t>
      </w:r>
      <w:r>
        <w:rPr>
          <w:b/>
        </w:rPr>
        <w:t>2.7%</w:t>
      </w:r>
      <w:r>
        <w:rPr/>
        <w:t xml:space="preserve"> of the time (twice in 74 years).</w:t>
      </w:r>
    </w:p>
    <w:p>
      <w:pPr>
        <w:pStyle w:val="BodyText"/>
        <w:numPr>
          <w:ilvl w:val="1"/>
          <w:numId w:val="46"/>
        </w:numPr>
        <w:tabs>
          <w:tab w:val="clear" w:pos="709"/>
          <w:tab w:val="left" w:pos="1418" w:leader="none"/>
        </w:tabs>
        <w:bidi w:val="0"/>
        <w:ind w:hanging="283" w:start="1418"/>
        <w:jc w:val="start"/>
        <w:rPr/>
      </w:pPr>
      <w:r>
        <w:rPr/>
        <w:t>–</w:t>
      </w:r>
      <w:r>
        <w:rPr/>
        <w:t xml:space="preserve">30% to –40%: happened </w:t>
      </w:r>
      <w:r>
        <w:rPr>
          <w:b/>
        </w:rPr>
        <w:t>once</w:t>
      </w:r>
      <w:r>
        <w:rPr/>
        <w:t xml:space="preserve"> (in </w:t>
      </w:r>
      <w:r>
        <w:rPr>
          <w:b/>
        </w:rPr>
        <w:t>2008</w:t>
      </w:r>
      <w:r>
        <w:rPr/>
        <w:t xml:space="preserve">, the Great Financial Crisis) = </w:t>
      </w:r>
      <w:r>
        <w:rPr>
          <w:b/>
        </w:rPr>
        <w:t>1.4%</w:t>
      </w:r>
      <w:r>
        <w:rPr/>
        <w:t xml:space="preserve"> of the time.</w:t>
      </w:r>
    </w:p>
    <w:p>
      <w:pPr>
        <w:pStyle w:val="BodyText"/>
        <w:numPr>
          <w:ilvl w:val="1"/>
          <w:numId w:val="46"/>
        </w:numPr>
        <w:tabs>
          <w:tab w:val="clear" w:pos="709"/>
          <w:tab w:val="left" w:pos="1418" w:leader="none"/>
        </w:tabs>
        <w:bidi w:val="0"/>
        <w:ind w:hanging="283" w:start="1418"/>
        <w:jc w:val="start"/>
        <w:rPr/>
      </w:pPr>
      <w:r>
        <w:rPr/>
        <w:t xml:space="preserve">Comparative takeaway: a +20–30% year (21.6% probability) is roughly </w:t>
      </w:r>
      <w:r>
        <w:rPr>
          <w:b/>
        </w:rPr>
        <w:t>~10× more likely</w:t>
      </w:r>
      <w:r>
        <w:rPr/>
        <w:t xml:space="preserve"> than a –20–30% year (2.7% probability) — pushing back against financial-media pessimism about crash predictions.</w:t>
      </w:r>
    </w:p>
    <w:p>
      <w:pPr>
        <w:pStyle w:val="BodyText"/>
        <w:numPr>
          <w:ilvl w:val="1"/>
          <w:numId w:val="46"/>
        </w:numPr>
        <w:tabs>
          <w:tab w:val="clear" w:pos="709"/>
          <w:tab w:val="left" w:pos="1418" w:leader="none"/>
        </w:tabs>
        <w:bidi w:val="0"/>
        <w:ind w:hanging="283" w:start="1418"/>
        <w:jc w:val="start"/>
        <w:rPr/>
      </w:pPr>
      <w:r>
        <w:rPr/>
        <w:t xml:space="preserve">Overall: of 74 years, </w:t>
      </w:r>
      <w:r>
        <w:rPr>
          <w:b/>
        </w:rPr>
        <w:t>58 were bullish, 16 were bearish</w:t>
      </w:r>
      <w:r>
        <w:rPr/>
        <w:t xml:space="preserve"> — "it pays to stay invested... it pays to stay bullish."</w:t>
      </w:r>
    </w:p>
    <w:p>
      <w:pPr>
        <w:pStyle w:val="Heading4"/>
        <w:numPr>
          <w:ilvl w:val="0"/>
          <w:numId w:val="0"/>
        </w:numPr>
        <w:bidi w:val="0"/>
        <w:ind w:hanging="0" w:start="0"/>
        <w:jc w:val="start"/>
        <w:rPr/>
      </w:pPr>
      <w:r>
        <w:rPr/>
        <w:t>Singapore Market Comparison (Straits Times Index, via STI ETF, ticker ES3)</w:t>
      </w:r>
    </w:p>
    <w:p>
      <w:pPr>
        <w:pStyle w:val="BodyText"/>
        <w:numPr>
          <w:ilvl w:val="0"/>
          <w:numId w:val="47"/>
        </w:numPr>
        <w:tabs>
          <w:tab w:val="clear" w:pos="709"/>
          <w:tab w:val="left" w:pos="709" w:leader="none"/>
        </w:tabs>
        <w:bidi w:val="0"/>
        <w:ind w:hanging="283" w:start="709"/>
        <w:jc w:val="start"/>
        <w:rPr/>
      </w:pPr>
      <w:r>
        <w:rPr/>
        <w:t xml:space="preserve">Because most Singapore market gains historically come from </w:t>
      </w:r>
      <w:r>
        <w:rPr>
          <w:b/>
        </w:rPr>
        <w:t>dividends</w:t>
      </w:r>
      <w:r>
        <w:rPr/>
        <w:t xml:space="preserve"> (unlike the US, where gains come mostly from price appreciation), Adam uses the </w:t>
      </w:r>
      <w:r>
        <w:rPr>
          <w:b/>
        </w:rPr>
        <w:t>STI ETF (ticker: ES3)</w:t>
      </w:r>
      <w:r>
        <w:rPr/>
        <w:t xml:space="preserve">, which only has data back to </w:t>
      </w:r>
      <w:r>
        <w:rPr>
          <w:b/>
        </w:rPr>
        <w:t>2003</w:t>
      </w:r>
      <w:r>
        <w:rPr/>
        <w:t xml:space="preserve"> (started in 2003), giving </w:t>
      </w:r>
      <w:r>
        <w:rPr>
          <w:b/>
        </w:rPr>
        <w:t>22 years of data</w:t>
      </w:r>
      <w:r>
        <w:rPr/>
        <w:t xml:space="preserve"> (vs. 74 for the US) — "better than nothing."</w:t>
      </w:r>
    </w:p>
    <w:p>
      <w:pPr>
        <w:pStyle w:val="BodyText"/>
        <w:numPr>
          <w:ilvl w:val="0"/>
          <w:numId w:val="47"/>
        </w:numPr>
        <w:tabs>
          <w:tab w:val="clear" w:pos="709"/>
          <w:tab w:val="left" w:pos="709" w:leader="none"/>
        </w:tabs>
        <w:bidi w:val="0"/>
        <w:spacing w:before="0" w:after="0"/>
        <w:ind w:hanging="283" w:start="709"/>
        <w:jc w:val="start"/>
        <w:rPr/>
      </w:pPr>
      <w:r>
        <w:rPr>
          <w:b/>
        </w:rPr>
        <w:t>Annual performance (22 years, dividends included):</w:t>
      </w:r>
      <w:r>
        <w:rPr/>
        <w:t xml:space="preserve"> e.g., 2003 +36% (incl. dividends), 2004 +18.96%, etc.</w:t>
      </w:r>
    </w:p>
    <w:p>
      <w:pPr>
        <w:pStyle w:val="BodyText"/>
        <w:numPr>
          <w:ilvl w:val="1"/>
          <w:numId w:val="47"/>
        </w:numPr>
        <w:tabs>
          <w:tab w:val="clear" w:pos="709"/>
          <w:tab w:val="left" w:pos="1418" w:leader="none"/>
        </w:tabs>
        <w:bidi w:val="0"/>
        <w:ind w:hanging="283" w:start="1418"/>
        <w:jc w:val="start"/>
        <w:rPr/>
      </w:pPr>
      <w:r>
        <w:rPr>
          <w:b/>
        </w:rPr>
        <w:t>5 of 22 years ended in a loss (22.73% probability).</w:t>
      </w:r>
    </w:p>
    <w:p>
      <w:pPr>
        <w:pStyle w:val="BodyText"/>
        <w:numPr>
          <w:ilvl w:val="1"/>
          <w:numId w:val="47"/>
        </w:numPr>
        <w:tabs>
          <w:tab w:val="clear" w:pos="709"/>
          <w:tab w:val="left" w:pos="1418" w:leader="none"/>
        </w:tabs>
        <w:bidi w:val="0"/>
        <w:ind w:hanging="283" w:start="1418"/>
        <w:jc w:val="start"/>
        <w:rPr/>
      </w:pPr>
      <w:r>
        <w:rPr>
          <w:b/>
        </w:rPr>
        <w:t>17 of 22 years ended in a gain (77.27% probability).</w:t>
      </w:r>
    </w:p>
    <w:p>
      <w:pPr>
        <w:pStyle w:val="BodyText"/>
        <w:numPr>
          <w:ilvl w:val="1"/>
          <w:numId w:val="47"/>
        </w:numPr>
        <w:tabs>
          <w:tab w:val="clear" w:pos="709"/>
          <w:tab w:val="left" w:pos="1418" w:leader="none"/>
        </w:tabs>
        <w:bidi w:val="0"/>
        <w:ind w:hanging="283" w:start="1418"/>
        <w:jc w:val="start"/>
        <w:rPr/>
      </w:pPr>
      <w:r>
        <w:rPr/>
        <w:t xml:space="preserve">Note: </w:t>
      </w:r>
      <w:r>
        <w:rPr>
          <w:b/>
        </w:rPr>
        <w:t>without</w:t>
      </w:r>
      <w:r>
        <w:rPr/>
        <w:t xml:space="preserve"> counting dividends, the annual gain-probability drops to roughly </w:t>
      </w:r>
      <w:r>
        <w:rPr>
          <w:b/>
        </w:rPr>
        <w:t>56%</w:t>
      </w:r>
      <w:r>
        <w:rPr/>
        <w:t xml:space="preserve"> — dividends are a major driver of Singapore market total returns.</w:t>
      </w:r>
    </w:p>
    <w:p>
      <w:pPr>
        <w:pStyle w:val="BodyText"/>
        <w:numPr>
          <w:ilvl w:val="0"/>
          <w:numId w:val="47"/>
        </w:numPr>
        <w:tabs>
          <w:tab w:val="clear" w:pos="709"/>
          <w:tab w:val="left" w:pos="709" w:leader="none"/>
        </w:tabs>
        <w:bidi w:val="0"/>
        <w:ind w:hanging="283" w:start="709"/>
        <w:jc w:val="start"/>
        <w:rPr/>
      </w:pPr>
      <w:r>
        <w:rPr>
          <w:b/>
        </w:rPr>
        <w:t>5-year holding periods:</w:t>
      </w:r>
      <w:r>
        <w:rPr/>
        <w:t xml:space="preserve"> </w:t>
      </w:r>
      <w:r>
        <w:rPr>
          <w:b/>
        </w:rPr>
        <w:t>18 total 5-year periods</w:t>
      </w:r>
      <w:r>
        <w:rPr/>
        <w:t xml:space="preserve">; only </w:t>
      </w:r>
      <w:r>
        <w:rPr>
          <w:b/>
        </w:rPr>
        <w:t>1</w:t>
      </w:r>
      <w:r>
        <w:rPr/>
        <w:t xml:space="preserve"> period (</w:t>
      </w:r>
      <w:r>
        <w:rPr>
          <w:b/>
        </w:rPr>
        <w:t>2011–2015</w:t>
      </w:r>
      <w:r>
        <w:rPr/>
        <w:t xml:space="preserve">) ended in a loss even after dividends → </w:t>
      </w:r>
      <w:r>
        <w:rPr>
          <w:b/>
        </w:rPr>
        <w:t>gain probability 94.44%</w:t>
      </w:r>
      <w:r>
        <w:rPr/>
        <w:t xml:space="preserve">, </w:t>
      </w:r>
      <w:r>
        <w:rPr>
          <w:b/>
        </w:rPr>
        <w:t>loss probability 5.56%</w:t>
      </w:r>
      <w:r>
        <w:rPr/>
        <w:t>.</w:t>
      </w:r>
    </w:p>
    <w:p>
      <w:pPr>
        <w:pStyle w:val="BodyText"/>
        <w:numPr>
          <w:ilvl w:val="0"/>
          <w:numId w:val="47"/>
        </w:numPr>
        <w:tabs>
          <w:tab w:val="clear" w:pos="709"/>
          <w:tab w:val="left" w:pos="709" w:leader="none"/>
        </w:tabs>
        <w:bidi w:val="0"/>
        <w:ind w:hanging="283" w:start="709"/>
        <w:jc w:val="start"/>
        <w:rPr/>
      </w:pPr>
      <w:r>
        <w:rPr>
          <w:b/>
        </w:rPr>
        <w:t>10-year holding periods:</w:t>
      </w:r>
      <w:r>
        <w:rPr/>
        <w:t xml:space="preserve"> </w:t>
      </w:r>
      <w:r>
        <w:rPr>
          <w:b/>
        </w:rPr>
        <w:t>13 total 10-year periods</w:t>
      </w:r>
      <w:r>
        <w:rPr/>
        <w:t xml:space="preserve">, </w:t>
      </w:r>
      <w:r>
        <w:rPr>
          <w:b/>
        </w:rPr>
        <w:t>all 13</w:t>
      </w:r>
      <w:r>
        <w:rPr/>
        <w:t xml:space="preserve"> ended in a gain (</w:t>
      </w:r>
      <w:r>
        <w:rPr>
          <w:b/>
        </w:rPr>
        <w:t>100%</w:t>
      </w:r>
      <w:r>
        <w:rPr/>
        <w:t xml:space="preserve"> gain probability, 0% loss) — </w:t>
      </w:r>
      <w:r>
        <w:rPr>
          <w:i/>
        </w:rPr>
        <w:t>(the transcript momentarily also states "zero out of 30 periods," which appears to be an inconsistency/speech slip relative to the "13 total periods" figure stated just before it)</w:t>
      </w:r>
      <w:r>
        <w:rPr/>
        <w:t>.</w:t>
      </w:r>
    </w:p>
    <w:p>
      <w:pPr>
        <w:pStyle w:val="Heading4"/>
        <w:numPr>
          <w:ilvl w:val="0"/>
          <w:numId w:val="0"/>
        </w:numPr>
        <w:bidi w:val="0"/>
        <w:ind w:hanging="0" w:start="0"/>
        <w:jc w:val="start"/>
        <w:rPr/>
      </w:pPr>
      <w:r>
        <w:rPr/>
        <w:t>Fact 3: Stock Prices Move in Cycles, Not Straight Lines</w:t>
      </w:r>
    </w:p>
    <w:p>
      <w:pPr>
        <w:pStyle w:val="BodyText"/>
        <w:numPr>
          <w:ilvl w:val="0"/>
          <w:numId w:val="48"/>
        </w:numPr>
        <w:tabs>
          <w:tab w:val="clear" w:pos="709"/>
          <w:tab w:val="left" w:pos="709" w:leader="none"/>
        </w:tabs>
        <w:bidi w:val="0"/>
        <w:ind w:hanging="283" w:start="709"/>
        <w:jc w:val="start"/>
        <w:rPr/>
      </w:pPr>
      <w:r>
        <w:rPr>
          <w:b/>
        </w:rPr>
        <w:t>Bull market (uptrend):</w:t>
      </w:r>
      <w:r>
        <w:rPr/>
        <w:t xml:space="preserve"> a series of </w:t>
      </w:r>
      <w:r>
        <w:rPr>
          <w:b/>
        </w:rPr>
        <w:t>higher highs and higher lows</w:t>
      </w:r>
      <w:r>
        <w:rPr/>
        <w:t xml:space="preserve"> — generally associated with economic growth and market optimism. Most of the time, the market is in a bull-market phase.</w:t>
      </w:r>
    </w:p>
    <w:p>
      <w:pPr>
        <w:pStyle w:val="BodyText"/>
        <w:numPr>
          <w:ilvl w:val="0"/>
          <w:numId w:val="48"/>
        </w:numPr>
        <w:tabs>
          <w:tab w:val="clear" w:pos="709"/>
          <w:tab w:val="left" w:pos="709" w:leader="none"/>
        </w:tabs>
        <w:bidi w:val="0"/>
        <w:ind w:hanging="283" w:start="709"/>
        <w:jc w:val="start"/>
        <w:rPr/>
      </w:pPr>
      <w:r>
        <w:rPr>
          <w:b/>
        </w:rPr>
        <w:t>Bear market (downtrend):</w:t>
      </w:r>
      <w:r>
        <w:rPr/>
        <w:t xml:space="preserve"> a series of </w:t>
      </w:r>
      <w:r>
        <w:rPr>
          <w:b/>
        </w:rPr>
        <w:t>lower highs and lower lows</w:t>
      </w:r>
      <w:r>
        <w:rPr/>
        <w:t xml:space="preserve"> — generally (though not always) associated with recessions or broad pessimism.</w:t>
      </w:r>
    </w:p>
    <w:p>
      <w:pPr>
        <w:pStyle w:val="BodyText"/>
        <w:numPr>
          <w:ilvl w:val="0"/>
          <w:numId w:val="48"/>
        </w:numPr>
        <w:tabs>
          <w:tab w:val="clear" w:pos="709"/>
          <w:tab w:val="left" w:pos="709" w:leader="none"/>
        </w:tabs>
        <w:bidi w:val="0"/>
        <w:ind w:hanging="283" w:start="709"/>
        <w:jc w:val="start"/>
        <w:rPr/>
      </w:pPr>
      <w:r>
        <w:rPr/>
        <w:t>On an actual long-run S&amp;P 500 chart, Adam demonstrates visually marking off alternating bull-market and bear-market segments over time.</w:t>
      </w:r>
    </w:p>
    <w:p>
      <w:pPr>
        <w:pStyle w:val="Heading4"/>
        <w:numPr>
          <w:ilvl w:val="0"/>
          <w:numId w:val="0"/>
        </w:numPr>
        <w:bidi w:val="0"/>
        <w:ind w:hanging="0" w:start="0"/>
        <w:jc w:val="start"/>
        <w:rPr/>
      </w:pPr>
      <w:r>
        <w:rPr/>
        <w:t>Fact 4: Bull Markets Are Opportunities for Investors</w:t>
      </w:r>
    </w:p>
    <w:p>
      <w:pPr>
        <w:pStyle w:val="BodyText"/>
        <w:numPr>
          <w:ilvl w:val="0"/>
          <w:numId w:val="49"/>
        </w:numPr>
        <w:tabs>
          <w:tab w:val="clear" w:pos="709"/>
          <w:tab w:val="left" w:pos="709" w:leader="none"/>
        </w:tabs>
        <w:bidi w:val="0"/>
        <w:ind w:hanging="283" w:start="709"/>
        <w:jc w:val="start"/>
        <w:rPr/>
      </w:pPr>
      <w:r>
        <w:rPr/>
        <w:t xml:space="preserve">The stock market spends roughly </w:t>
      </w:r>
      <w:r>
        <w:rPr>
          <w:b/>
        </w:rPr>
        <w:t>80% of the time in a bull-market phase</w:t>
      </w:r>
      <w:r>
        <w:rPr/>
        <w:t>.</w:t>
      </w:r>
    </w:p>
    <w:p>
      <w:pPr>
        <w:pStyle w:val="BodyText"/>
        <w:numPr>
          <w:ilvl w:val="0"/>
          <w:numId w:val="49"/>
        </w:numPr>
        <w:tabs>
          <w:tab w:val="clear" w:pos="709"/>
          <w:tab w:val="left" w:pos="709" w:leader="none"/>
        </w:tabs>
        <w:bidi w:val="0"/>
        <w:ind w:hanging="283" w:start="709"/>
        <w:jc w:val="start"/>
        <w:rPr/>
      </w:pPr>
      <w:r>
        <w:rPr/>
        <w:t xml:space="preserve">Even within a bull market, prices still regularly decline — but "every time they go down, they go even higher" afterward, producing a pattern of </w:t>
      </w:r>
      <w:r>
        <w:rPr>
          <w:b/>
        </w:rPr>
        <w:t>higher highs and higher lows</w:t>
      </w:r>
      <w:r>
        <w:rPr/>
        <w:t xml:space="preserve"> made up of repeated </w:t>
      </w:r>
      <w:r>
        <w:rPr>
          <w:b/>
        </w:rPr>
        <w:t>"wave up, wave down"</w:t>
      </w:r>
      <w:r>
        <w:rPr/>
        <w:t xml:space="preserve"> cycles.</w:t>
      </w:r>
    </w:p>
    <w:p>
      <w:pPr>
        <w:pStyle w:val="BodyText"/>
        <w:numPr>
          <w:ilvl w:val="0"/>
          <w:numId w:val="49"/>
        </w:numPr>
        <w:tabs>
          <w:tab w:val="clear" w:pos="709"/>
          <w:tab w:val="left" w:pos="709" w:leader="none"/>
        </w:tabs>
        <w:bidi w:val="0"/>
        <w:ind w:hanging="283" w:start="709"/>
        <w:jc w:val="start"/>
        <w:rPr/>
      </w:pPr>
      <w:r>
        <w:rPr>
          <w:b/>
        </w:rPr>
        <w:t>Breathing analogy:</w:t>
      </w:r>
      <w:r>
        <w:rPr/>
        <w:t xml:space="preserve"> price behavior compared to breathing — "breathe out, breathe in" repeatedly; a market "can't go up every single day... it's got to come down before going even higher."</w:t>
      </w:r>
    </w:p>
    <w:p>
      <w:pPr>
        <w:pStyle w:val="BodyText"/>
        <w:numPr>
          <w:ilvl w:val="0"/>
          <w:numId w:val="49"/>
        </w:numPr>
        <w:tabs>
          <w:tab w:val="clear" w:pos="709"/>
          <w:tab w:val="left" w:pos="709" w:leader="none"/>
        </w:tabs>
        <w:bidi w:val="0"/>
        <w:ind w:hanging="283" w:start="709"/>
        <w:jc w:val="start"/>
        <w:rPr/>
      </w:pPr>
      <w:r>
        <w:rPr>
          <w:b/>
        </w:rPr>
        <w:t>Pullback:</w:t>
      </w:r>
      <w:r>
        <w:rPr/>
        <w:t xml:space="preserve"> a wave-down decline of </w:t>
      </w:r>
      <w:r>
        <w:rPr>
          <w:b/>
        </w:rPr>
        <w:t>1% to 9%</w:t>
      </w:r>
      <w:r>
        <w:rPr/>
        <w:t xml:space="preserve">. Occurs on average </w:t>
      </w:r>
      <w:r>
        <w:rPr>
          <w:b/>
        </w:rPr>
        <w:t>~3 times per year</w:t>
      </w:r>
      <w:r>
        <w:rPr/>
        <w:t>. Timing is unpredictable ("no one knows... it will happen when it happens").</w:t>
      </w:r>
    </w:p>
    <w:p>
      <w:pPr>
        <w:pStyle w:val="BodyText"/>
        <w:numPr>
          <w:ilvl w:val="0"/>
          <w:numId w:val="49"/>
        </w:numPr>
        <w:tabs>
          <w:tab w:val="clear" w:pos="709"/>
          <w:tab w:val="left" w:pos="709" w:leader="none"/>
        </w:tabs>
        <w:bidi w:val="0"/>
        <w:ind w:hanging="283" w:start="709"/>
        <w:jc w:val="start"/>
        <w:rPr/>
      </w:pPr>
      <w:r>
        <w:rPr>
          <w:b/>
        </w:rPr>
        <w:t>Correction:</w:t>
      </w:r>
      <w:r>
        <w:rPr/>
        <w:t xml:space="preserve"> a bigger wave-down decline of </w:t>
      </w:r>
      <w:r>
        <w:rPr>
          <w:b/>
        </w:rPr>
        <w:t>10% to 19%</w:t>
      </w:r>
      <w:r>
        <w:rPr/>
        <w:t xml:space="preserve">. Occurs on average </w:t>
      </w:r>
      <w:r>
        <w:rPr>
          <w:b/>
        </w:rPr>
        <w:t>~once per year</w:t>
      </w:r>
      <w:r>
        <w:rPr/>
        <w:t xml:space="preserve"> (essentially, one of the roughly three pullbacks in a given year tends to deepen into a correction).</w:t>
      </w:r>
    </w:p>
    <w:p>
      <w:pPr>
        <w:pStyle w:val="BodyText"/>
        <w:numPr>
          <w:ilvl w:val="0"/>
          <w:numId w:val="49"/>
        </w:numPr>
        <w:tabs>
          <w:tab w:val="clear" w:pos="709"/>
          <w:tab w:val="left" w:pos="709" w:leader="none"/>
        </w:tabs>
        <w:bidi w:val="0"/>
        <w:ind w:hanging="283" w:start="709"/>
        <w:jc w:val="start"/>
        <w:rPr/>
      </w:pPr>
      <w:r>
        <w:rPr>
          <w:b/>
        </w:rPr>
        <w:t>Duration:</w:t>
      </w:r>
      <w:r>
        <w:rPr/>
        <w:t xml:space="preserve"> pullbacks and corrections typically </w:t>
      </w:r>
      <w:r>
        <w:rPr>
          <w:b/>
        </w:rPr>
        <w:t>last 1 to 4 months</w:t>
      </w:r>
      <w:r>
        <w:rPr/>
        <w:t>.</w:t>
      </w:r>
    </w:p>
    <w:p>
      <w:pPr>
        <w:pStyle w:val="BodyText"/>
        <w:numPr>
          <w:ilvl w:val="0"/>
          <w:numId w:val="49"/>
        </w:numPr>
        <w:tabs>
          <w:tab w:val="clear" w:pos="709"/>
          <w:tab w:val="left" w:pos="709" w:leader="none"/>
        </w:tabs>
        <w:bidi w:val="0"/>
        <w:ind w:hanging="283" w:start="709"/>
        <w:jc w:val="start"/>
        <w:rPr/>
      </w:pPr>
      <w:r>
        <w:rPr/>
        <w:t xml:space="preserve">Both pullbacks and corrections are framed as </w:t>
      </w:r>
      <w:r>
        <w:rPr>
          <w:b/>
        </w:rPr>
        <w:t>buying opportunities</w:t>
      </w:r>
      <w:r>
        <w:rPr/>
        <w:t xml:space="preserve"> — the investor's aim is to buy during wave-downs (small ones = pullbacks, big ones = corrections).</w:t>
      </w:r>
    </w:p>
    <w:p>
      <w:pPr>
        <w:pStyle w:val="BodyText"/>
        <w:numPr>
          <w:ilvl w:val="0"/>
          <w:numId w:val="49"/>
        </w:numPr>
        <w:tabs>
          <w:tab w:val="clear" w:pos="709"/>
          <w:tab w:val="left" w:pos="709" w:leader="none"/>
        </w:tabs>
        <w:bidi w:val="0"/>
        <w:spacing w:before="0" w:after="0"/>
        <w:ind w:hanging="283" w:start="709"/>
        <w:jc w:val="start"/>
        <w:rPr/>
      </w:pPr>
      <w:r>
        <w:rPr>
          <w:b/>
        </w:rPr>
        <w:t>Estimating possible bottoms — Moving Averages:</w:t>
      </w:r>
      <w:r>
        <w:rPr/>
        <w:t xml:space="preserve"> since no one can predict the exact bottom of a wave-down, </w:t>
      </w:r>
      <w:r>
        <w:rPr>
          <w:b/>
        </w:rPr>
        <w:t>moving averages</w:t>
      </w:r>
      <w:r>
        <w:rPr/>
        <w:t xml:space="preserve"> are used as a probabilistic guide (full detail deferred to the later Technical Analysis lesson).</w:t>
      </w:r>
    </w:p>
    <w:p>
      <w:pPr>
        <w:pStyle w:val="BodyText"/>
        <w:numPr>
          <w:ilvl w:val="1"/>
          <w:numId w:val="49"/>
        </w:numPr>
        <w:tabs>
          <w:tab w:val="clear" w:pos="709"/>
          <w:tab w:val="left" w:pos="1418" w:leader="none"/>
        </w:tabs>
        <w:bidi w:val="0"/>
        <w:ind w:hanging="283" w:start="1418"/>
        <w:jc w:val="start"/>
        <w:rPr/>
      </w:pPr>
      <w:r>
        <w:rPr>
          <w:b/>
        </w:rPr>
        <w:t>50-day moving average</w:t>
      </w:r>
      <w:r>
        <w:rPr/>
        <w:t xml:space="preserve"> — shown as the </w:t>
      </w:r>
      <w:r>
        <w:rPr>
          <w:b/>
        </w:rPr>
        <w:t>blue line</w:t>
      </w:r>
      <w:r>
        <w:rPr/>
        <w:t>.</w:t>
      </w:r>
    </w:p>
    <w:p>
      <w:pPr>
        <w:pStyle w:val="BodyText"/>
        <w:numPr>
          <w:ilvl w:val="1"/>
          <w:numId w:val="49"/>
        </w:numPr>
        <w:tabs>
          <w:tab w:val="clear" w:pos="709"/>
          <w:tab w:val="left" w:pos="1418" w:leader="none"/>
        </w:tabs>
        <w:bidi w:val="0"/>
        <w:ind w:hanging="283" w:start="1418"/>
        <w:jc w:val="start"/>
        <w:rPr/>
      </w:pPr>
      <w:r>
        <w:rPr>
          <w:b/>
        </w:rPr>
        <w:t>150-day moving average</w:t>
      </w:r>
      <w:r>
        <w:rPr/>
        <w:t xml:space="preserve"> — shown as the </w:t>
      </w:r>
      <w:r>
        <w:rPr>
          <w:b/>
        </w:rPr>
        <w:t>green line</w:t>
      </w:r>
      <w:r>
        <w:rPr/>
        <w:t>.</w:t>
      </w:r>
    </w:p>
    <w:p>
      <w:pPr>
        <w:pStyle w:val="BodyText"/>
        <w:numPr>
          <w:ilvl w:val="1"/>
          <w:numId w:val="49"/>
        </w:numPr>
        <w:tabs>
          <w:tab w:val="clear" w:pos="709"/>
          <w:tab w:val="left" w:pos="1418" w:leader="none"/>
        </w:tabs>
        <w:bidi w:val="0"/>
        <w:ind w:hanging="283" w:start="1418"/>
        <w:jc w:val="start"/>
        <w:rPr/>
      </w:pPr>
      <w:r>
        <w:rPr>
          <w:b/>
        </w:rPr>
        <w:t>200-day moving average</w:t>
      </w:r>
      <w:r>
        <w:rPr/>
        <w:t xml:space="preserve"> — shown as the </w:t>
      </w:r>
      <w:r>
        <w:rPr>
          <w:b/>
        </w:rPr>
        <w:t>red line</w:t>
      </w:r>
      <w:r>
        <w:rPr/>
        <w:t>.</w:t>
      </w:r>
    </w:p>
    <w:p>
      <w:pPr>
        <w:pStyle w:val="BodyText"/>
        <w:numPr>
          <w:ilvl w:val="1"/>
          <w:numId w:val="49"/>
        </w:numPr>
        <w:tabs>
          <w:tab w:val="clear" w:pos="709"/>
          <w:tab w:val="left" w:pos="1418" w:leader="none"/>
        </w:tabs>
        <w:bidi w:val="0"/>
        <w:ind w:hanging="283" w:start="1418"/>
        <w:jc w:val="start"/>
        <w:rPr/>
      </w:pPr>
      <w:r>
        <w:rPr/>
        <w:t>These are auto-calculated/auto-plotted by charting software.</w:t>
      </w:r>
    </w:p>
    <w:p>
      <w:pPr>
        <w:pStyle w:val="BodyText"/>
        <w:numPr>
          <w:ilvl w:val="1"/>
          <w:numId w:val="49"/>
        </w:numPr>
        <w:tabs>
          <w:tab w:val="clear" w:pos="709"/>
          <w:tab w:val="left" w:pos="1418" w:leader="none"/>
        </w:tabs>
        <w:bidi w:val="0"/>
        <w:ind w:hanging="283" w:start="1418"/>
        <w:jc w:val="start"/>
        <w:rPr/>
      </w:pPr>
      <w:r>
        <w:rPr/>
        <w:t xml:space="preserve">Moving averages help identify </w:t>
      </w:r>
      <w:r>
        <w:rPr>
          <w:b/>
        </w:rPr>
        <w:t>support levels</w:t>
      </w:r>
      <w:r>
        <w:rPr/>
        <w:t xml:space="preserve"> — price levels where a decline tends to stall and bounce back up (not guaranteed, but "a good probability"). Example given: the S&amp;P 500 repeatedly using its 50-day (blue) moving average as a support level, bouncing off it multiple times in succession.</w:t>
      </w:r>
    </w:p>
    <w:p>
      <w:pPr>
        <w:pStyle w:val="BodyText"/>
        <w:numPr>
          <w:ilvl w:val="1"/>
          <w:numId w:val="49"/>
        </w:numPr>
        <w:tabs>
          <w:tab w:val="clear" w:pos="709"/>
          <w:tab w:val="left" w:pos="1418" w:leader="none"/>
        </w:tabs>
        <w:bidi w:val="0"/>
        <w:ind w:hanging="283" w:start="1418"/>
        <w:jc w:val="start"/>
        <w:rPr/>
      </w:pPr>
      <w:r>
        <w:rPr/>
        <w:t xml:space="preserve">Practical application: once price falls to a moving-average support level, that's a </w:t>
      </w:r>
      <w:r>
        <w:rPr>
          <w:b/>
        </w:rPr>
        <w:t>possible bottom</w:t>
      </w:r>
      <w:r>
        <w:rPr/>
        <w:t xml:space="preserve"> and a point to start adding shares — but because price could still fall further to the </w:t>
      </w:r>
      <w:r>
        <w:rPr>
          <w:i/>
        </w:rPr>
        <w:t>next</w:t>
      </w:r>
      <w:r>
        <w:rPr/>
        <w:t xml:space="preserve"> moving average down, positions should always be built in </w:t>
      </w:r>
      <w:r>
        <w:rPr>
          <w:b/>
        </w:rPr>
        <w:t>tranches at successive support levels</w:t>
      </w:r>
      <w:r>
        <w:rPr/>
        <w:t>, never bought "at one go."</w:t>
      </w:r>
    </w:p>
    <w:p>
      <w:pPr>
        <w:pStyle w:val="HorizontalLine"/>
        <w:bidi w:val="0"/>
        <w:jc w:val="start"/>
        <w:rPr/>
      </w:pPr>
      <w:r>
        <w:rPr/>
      </w:r>
    </w:p>
    <w:p>
      <w:pPr>
        <w:pStyle w:val="Heading3"/>
        <w:bidi w:val="0"/>
        <w:ind w:hanging="0" w:start="0"/>
        <w:jc w:val="start"/>
        <w:rPr/>
      </w:pPr>
      <w:r>
        <w:rPr/>
        <w:t>Tools &amp; Websites Referenced (Summary)</w:t>
      </w:r>
    </w:p>
    <w:p>
      <w:pPr>
        <w:pStyle w:val="BodyText"/>
        <w:numPr>
          <w:ilvl w:val="0"/>
          <w:numId w:val="50"/>
        </w:numPr>
        <w:tabs>
          <w:tab w:val="clear" w:pos="709"/>
          <w:tab w:val="left" w:pos="709" w:leader="none"/>
        </w:tabs>
        <w:bidi w:val="0"/>
        <w:ind w:hanging="283" w:start="709"/>
        <w:jc w:val="start"/>
        <w:rPr/>
      </w:pPr>
      <w:r>
        <w:rPr>
          <w:b/>
        </w:rPr>
        <w:t>Yahoo Finance</w:t>
      </w:r>
      <w:r>
        <w:rPr/>
        <w:t xml:space="preserve"> (finance.yahoo.com) — ticker search; "Statistics" page (net income, shares outstanding, implied shares outstanding); "Summary" page (EPS TTM, P/E TTM, forward dividend/yield, market cap, current share price).</w:t>
      </w:r>
    </w:p>
    <w:p>
      <w:pPr>
        <w:pStyle w:val="BodyText"/>
        <w:numPr>
          <w:ilvl w:val="0"/>
          <w:numId w:val="50"/>
        </w:numPr>
        <w:tabs>
          <w:tab w:val="clear" w:pos="709"/>
          <w:tab w:val="left" w:pos="709" w:leader="none"/>
        </w:tabs>
        <w:bidi w:val="0"/>
        <w:ind w:hanging="283" w:start="709"/>
        <w:jc w:val="start"/>
        <w:rPr/>
      </w:pPr>
      <w:r>
        <w:rPr>
          <w:b/>
        </w:rPr>
        <w:t>Stock Oracle</w:t>
      </w:r>
      <w:r>
        <w:rPr/>
        <w:t xml:space="preserve"> (app.stockoracle.com) — subscription platform; "Company Metrics" page (ROIC, ROE, P/E trailing &amp; forward, PEG, 5-year and beyond-5-year growth projections, dividend yield/history/growth-rate/payout ratio/ex-date-pay-date schedule); customizable "Favorites" from a pool of ~479–497 available metrics; Adam's primary go-to tool for metrics not available on Yahoo Finance (e.g., ROIC).</w:t>
      </w:r>
    </w:p>
    <w:p>
      <w:pPr>
        <w:pStyle w:val="BodyText"/>
        <w:numPr>
          <w:ilvl w:val="0"/>
          <w:numId w:val="50"/>
        </w:numPr>
        <w:tabs>
          <w:tab w:val="clear" w:pos="709"/>
          <w:tab w:val="left" w:pos="709" w:leader="none"/>
        </w:tabs>
        <w:bidi w:val="0"/>
        <w:ind w:hanging="283" w:start="709"/>
        <w:jc w:val="start"/>
        <w:rPr/>
      </w:pPr>
      <w:r>
        <w:rPr>
          <w:b/>
        </w:rPr>
        <w:t>FinViz</w:t>
      </w:r>
      <w:r>
        <w:rPr/>
        <w:t xml:space="preserve"> (finviz.com) — ticker search; past-5-year and projected-next-5-year earnings growth; "Maps" feature visualizing the entire S&amp;P 500 by sector/performance, color-coded green (up YTD) / red (down YTD).</w:t>
      </w:r>
    </w:p>
    <w:p>
      <w:pPr>
        <w:pStyle w:val="BodyText"/>
        <w:numPr>
          <w:ilvl w:val="0"/>
          <w:numId w:val="50"/>
        </w:numPr>
        <w:tabs>
          <w:tab w:val="clear" w:pos="709"/>
          <w:tab w:val="left" w:pos="709" w:leader="none"/>
        </w:tabs>
        <w:bidi w:val="0"/>
        <w:ind w:hanging="283" w:start="709"/>
        <w:jc w:val="start"/>
        <w:rPr/>
      </w:pPr>
      <w:r>
        <w:rPr>
          <w:b/>
        </w:rPr>
        <w:t>Zacks</w:t>
      </w:r>
      <w:r>
        <w:rPr/>
        <w:t xml:space="preserve"> (zacks.com) — alternative source for earnings growth projections, used to cross-check FinViz's numbers (Adam recommends getting more than one source/opinion).</w:t>
      </w:r>
    </w:p>
    <w:p>
      <w:pPr>
        <w:pStyle w:val="BodyText"/>
        <w:numPr>
          <w:ilvl w:val="0"/>
          <w:numId w:val="50"/>
        </w:numPr>
        <w:tabs>
          <w:tab w:val="clear" w:pos="709"/>
          <w:tab w:val="left" w:pos="709" w:leader="none"/>
        </w:tabs>
        <w:bidi w:val="0"/>
        <w:ind w:hanging="283" w:start="709"/>
        <w:jc w:val="start"/>
        <w:rPr/>
      </w:pPr>
      <w:r>
        <w:rPr>
          <w:b/>
        </w:rPr>
        <w:t>TradingView</w:t>
      </w:r>
      <w:r>
        <w:rPr/>
        <w:t xml:space="preserve"> (tradingview.com) — charting software (free version sufficient); used for P/E-ratio overlays on price charts, moving averages, and cross-market/currency-adjusted index comparisons (index symbols such as SPX for the S&amp;P 500). Course includes dedicated tutorials on setting up TradingView charts.</w:t>
      </w:r>
    </w:p>
    <w:p>
      <w:pPr>
        <w:pStyle w:val="BodyText"/>
        <w:numPr>
          <w:ilvl w:val="0"/>
          <w:numId w:val="50"/>
        </w:numPr>
        <w:tabs>
          <w:tab w:val="clear" w:pos="709"/>
          <w:tab w:val="left" w:pos="709" w:leader="none"/>
        </w:tabs>
        <w:bidi w:val="0"/>
        <w:ind w:hanging="283" w:start="709"/>
        <w:jc w:val="start"/>
        <w:rPr/>
      </w:pPr>
      <w:r>
        <w:rPr>
          <w:b/>
        </w:rPr>
        <w:t>Interactive Brokers</w:t>
      </w:r>
      <w:r>
        <w:rPr/>
        <w:t xml:space="preserve"> — Adam's personal brokerage; notable for allowing fractional share purchases in the US market. (Any reputable broker is acceptable for the course; broker mechanics are broadly similar once learned.)</w:t>
      </w:r>
    </w:p>
    <w:p>
      <w:pPr>
        <w:pStyle w:val="HorizontalLine"/>
        <w:bidi w:val="0"/>
        <w:jc w:val="start"/>
        <w:rPr/>
      </w:pPr>
      <w:r>
        <w:rPr/>
      </w:r>
    </w:p>
    <w:p>
      <w:pPr>
        <w:pStyle w:val="Heading3"/>
        <w:bidi w:val="0"/>
        <w:ind w:hanging="0" w:start="0"/>
        <w:jc w:val="start"/>
        <w:rPr/>
      </w:pPr>
      <w:r>
        <w:rPr/>
        <w:t>Key Takeaways</w:t>
      </w:r>
    </w:p>
    <w:p>
      <w:pPr>
        <w:pStyle w:val="BodyText"/>
        <w:numPr>
          <w:ilvl w:val="0"/>
          <w:numId w:val="51"/>
        </w:numPr>
        <w:tabs>
          <w:tab w:val="clear" w:pos="709"/>
          <w:tab w:val="left" w:pos="709" w:leader="none"/>
        </w:tabs>
        <w:bidi w:val="0"/>
        <w:ind w:hanging="283" w:start="709"/>
        <w:jc w:val="start"/>
        <w:rPr/>
      </w:pPr>
      <w:r>
        <w:rPr/>
        <w:t>A share is ownership in a real business, not a lottery ticket — the business's growing profitability, not news headlines, is what ultimately makes a share worth more.</w:t>
      </w:r>
    </w:p>
    <w:p>
      <w:pPr>
        <w:pStyle w:val="BodyText"/>
        <w:numPr>
          <w:ilvl w:val="0"/>
          <w:numId w:val="51"/>
        </w:numPr>
        <w:tabs>
          <w:tab w:val="clear" w:pos="709"/>
          <w:tab w:val="left" w:pos="709" w:leader="none"/>
        </w:tabs>
        <w:bidi w:val="0"/>
        <w:ind w:hanging="283" w:start="709"/>
        <w:jc w:val="start"/>
        <w:rPr/>
      </w:pPr>
      <w:r>
        <w:rPr/>
        <w:t xml:space="preserve">Learn to find and use </w:t>
      </w:r>
      <w:r>
        <w:rPr>
          <w:b/>
        </w:rPr>
        <w:t>net income</w:t>
      </w:r>
      <w:r>
        <w:rPr/>
        <w:t xml:space="preserve">, </w:t>
      </w:r>
      <w:r>
        <w:rPr>
          <w:b/>
        </w:rPr>
        <w:t>implied shares outstanding</w:t>
      </w:r>
      <w:r>
        <w:rPr/>
        <w:t xml:space="preserve">, and </w:t>
      </w:r>
      <w:r>
        <w:rPr>
          <w:b/>
        </w:rPr>
        <w:t>EPS</w:t>
      </w:r>
      <w:r>
        <w:rPr/>
        <w:t xml:space="preserve"> — and understand the four ways a company can return that profit to you: dividends, buybacks, reinvestment (ROIC), or retained earnings.</w:t>
      </w:r>
    </w:p>
    <w:p>
      <w:pPr>
        <w:pStyle w:val="BodyText"/>
        <w:numPr>
          <w:ilvl w:val="0"/>
          <w:numId w:val="51"/>
        </w:numPr>
        <w:tabs>
          <w:tab w:val="clear" w:pos="709"/>
          <w:tab w:val="left" w:pos="709" w:leader="none"/>
        </w:tabs>
        <w:bidi w:val="0"/>
        <w:ind w:hanging="283" w:start="709"/>
        <w:jc w:val="start"/>
        <w:rPr/>
      </w:pPr>
      <w:r>
        <w:rPr>
          <w:b/>
        </w:rPr>
        <w:t>P/E ratio alone is meaningless</w:t>
      </w:r>
      <w:r>
        <w:rPr/>
        <w:t xml:space="preserve"> — it must always be evaluated against the </w:t>
      </w:r>
      <w:r>
        <w:rPr>
          <w:b/>
        </w:rPr>
        <w:t>earnings growth rate</w:t>
      </w:r>
      <w:r>
        <w:rPr/>
        <w:t xml:space="preserve"> via the </w:t>
      </w:r>
      <w:r>
        <w:rPr>
          <w:b/>
        </w:rPr>
        <w:t>PEG ratio</w:t>
      </w:r>
      <w:r>
        <w:rPr/>
        <w:t xml:space="preserve"> (PEG = P/E ÷ growth%; roughly ≤1.5 reasonable, &lt;1 cheap, &gt;1.5 getting expensive), and even PEG is only a rough guide — full valuation comes later via discounted cash flow.</w:t>
      </w:r>
    </w:p>
    <w:p>
      <w:pPr>
        <w:pStyle w:val="BodyText"/>
        <w:numPr>
          <w:ilvl w:val="0"/>
          <w:numId w:val="51"/>
        </w:numPr>
        <w:tabs>
          <w:tab w:val="clear" w:pos="709"/>
          <w:tab w:val="left" w:pos="709" w:leader="none"/>
        </w:tabs>
        <w:bidi w:val="0"/>
        <w:ind w:hanging="283" w:start="709"/>
        <w:jc w:val="start"/>
        <w:rPr/>
      </w:pPr>
      <w:r>
        <w:rPr/>
        <w:t xml:space="preserve">Short-term price action is driven by </w:t>
      </w:r>
      <w:r>
        <w:rPr>
          <w:b/>
        </w:rPr>
        <w:t>demand/supply, emotion (fear and greed), news, and manipulation/forced selling</w:t>
      </w:r>
      <w:r>
        <w:rPr/>
        <w:t xml:space="preserve"> — largely unpredictable and not correlated to actual business performance.</w:t>
      </w:r>
    </w:p>
    <w:p>
      <w:pPr>
        <w:pStyle w:val="BodyText"/>
        <w:numPr>
          <w:ilvl w:val="0"/>
          <w:numId w:val="51"/>
        </w:numPr>
        <w:tabs>
          <w:tab w:val="clear" w:pos="709"/>
          <w:tab w:val="left" w:pos="709" w:leader="none"/>
        </w:tabs>
        <w:bidi w:val="0"/>
        <w:ind w:hanging="283" w:start="709"/>
        <w:jc w:val="start"/>
        <w:rPr/>
      </w:pPr>
      <w:r>
        <w:rPr/>
        <w:t xml:space="preserve">Long-term price action (2+ years) is driven by </w:t>
      </w:r>
      <w:r>
        <w:rPr>
          <w:b/>
        </w:rPr>
        <w:t>fundamentals</w:t>
      </w:r>
      <w:r>
        <w:rPr/>
        <w:t xml:space="preserve">: earnings growth (~8%/year long-run average), share buybacks, dividends, future earnings anticipation, and money supply — with a </w:t>
      </w:r>
      <w:r>
        <w:rPr>
          <w:b/>
        </w:rPr>
        <w:t>100% long-term correlation</w:t>
      </w:r>
      <w:r>
        <w:rPr/>
        <w:t xml:space="preserve"> between business success and stock price success.</w:t>
      </w:r>
    </w:p>
    <w:p>
      <w:pPr>
        <w:pStyle w:val="BodyText"/>
        <w:numPr>
          <w:ilvl w:val="0"/>
          <w:numId w:val="51"/>
        </w:numPr>
        <w:tabs>
          <w:tab w:val="clear" w:pos="709"/>
          <w:tab w:val="left" w:pos="709" w:leader="none"/>
        </w:tabs>
        <w:bidi w:val="0"/>
        <w:ind w:hanging="283" w:start="709"/>
        <w:jc w:val="start"/>
        <w:rPr/>
      </w:pPr>
      <w:r>
        <w:rPr/>
        <w:t xml:space="preserve">The investing decision mix should be </w:t>
      </w:r>
      <w:r>
        <w:rPr>
          <w:b/>
        </w:rPr>
        <w:t>90% fundamental analysis, 10% technical analysis</w:t>
      </w:r>
      <w:r>
        <w:rPr/>
        <w:t>.</w:t>
      </w:r>
    </w:p>
    <w:p>
      <w:pPr>
        <w:pStyle w:val="BodyText"/>
        <w:numPr>
          <w:ilvl w:val="0"/>
          <w:numId w:val="51"/>
        </w:numPr>
        <w:tabs>
          <w:tab w:val="clear" w:pos="709"/>
          <w:tab w:val="left" w:pos="709" w:leader="none"/>
        </w:tabs>
        <w:bidi w:val="0"/>
        <w:ind w:hanging="283" w:start="709"/>
        <w:jc w:val="start"/>
        <w:rPr/>
      </w:pPr>
      <w:r>
        <w:rPr/>
        <w:t xml:space="preserve">Making money requires buying great businesses </w:t>
      </w:r>
      <w:r>
        <w:rPr>
          <w:b/>
        </w:rPr>
        <w:t>when undervalued</w:t>
      </w:r>
      <w:r>
        <w:rPr/>
        <w:t xml:space="preserve"> (below intrinsic value) and being willing to buy into bad news/panic, rather than asking "why did the market move" (an unproductive question).</w:t>
      </w:r>
    </w:p>
    <w:p>
      <w:pPr>
        <w:pStyle w:val="BodyText"/>
        <w:numPr>
          <w:ilvl w:val="0"/>
          <w:numId w:val="51"/>
        </w:numPr>
        <w:tabs>
          <w:tab w:val="clear" w:pos="709"/>
          <w:tab w:val="left" w:pos="709" w:leader="none"/>
        </w:tabs>
        <w:bidi w:val="0"/>
        <w:ind w:hanging="283" w:start="709"/>
        <w:jc w:val="start"/>
        <w:rPr/>
      </w:pPr>
      <w:r>
        <w:rPr/>
        <w:t xml:space="preserve">Wealth is built two ways: </w:t>
      </w:r>
      <w:r>
        <w:rPr>
          <w:b/>
        </w:rPr>
        <w:t>capital appreciation</w:t>
      </w:r>
      <w:r>
        <w:rPr/>
        <w:t xml:space="preserve"> and </w:t>
      </w:r>
      <w:r>
        <w:rPr>
          <w:b/>
        </w:rPr>
        <w:t>dividends</w:t>
      </w:r>
      <w:r>
        <w:rPr/>
        <w:t xml:space="preserve"> — know which one your objective favors, and choose stocks/markets accordingly (US market: better for capital gains, low-taxed; Singapore market: better dividend yields, tax-free).</w:t>
      </w:r>
    </w:p>
    <w:p>
      <w:pPr>
        <w:pStyle w:val="BodyText"/>
        <w:numPr>
          <w:ilvl w:val="0"/>
          <w:numId w:val="51"/>
        </w:numPr>
        <w:tabs>
          <w:tab w:val="clear" w:pos="709"/>
          <w:tab w:val="left" w:pos="709" w:leader="none"/>
        </w:tabs>
        <w:bidi w:val="0"/>
        <w:ind w:hanging="283" w:start="709"/>
        <w:jc w:val="start"/>
        <w:rPr/>
      </w:pPr>
      <w:r>
        <w:rPr/>
        <w:t xml:space="preserve">Stock indexes (S&amp;P 500, Dow Jones, NASDAQ 100, etc.) are curated, self-upgrading baskets of top companies used as </w:t>
      </w:r>
      <w:r>
        <w:rPr>
          <w:b/>
        </w:rPr>
        <w:t>performance benchmarks</w:t>
      </w:r>
      <w:r>
        <w:rPr/>
        <w:t xml:space="preserve"> — the course's implicit goal is to beat them.</w:t>
      </w:r>
    </w:p>
    <w:p>
      <w:pPr>
        <w:pStyle w:val="BodyText"/>
        <w:numPr>
          <w:ilvl w:val="0"/>
          <w:numId w:val="51"/>
        </w:numPr>
        <w:tabs>
          <w:tab w:val="clear" w:pos="709"/>
          <w:tab w:val="left" w:pos="709" w:leader="none"/>
        </w:tabs>
        <w:bidi w:val="0"/>
        <w:ind w:hanging="283" w:start="709"/>
        <w:jc w:val="start"/>
        <w:rPr/>
      </w:pPr>
      <w:r>
        <w:rPr/>
        <w:t xml:space="preserve">Historically, the </w:t>
      </w:r>
      <w:r>
        <w:rPr>
          <w:b/>
        </w:rPr>
        <w:t>US market has the best long-run and 10-year track record</w:t>
      </w:r>
      <w:r>
        <w:rPr/>
        <w:t xml:space="preserve"> among major global markets, with a high (~78–96%+) probability of gains the longer the holding period, especially past 10–15 years.</w:t>
      </w:r>
    </w:p>
    <w:p>
      <w:pPr>
        <w:pStyle w:val="BodyText"/>
        <w:numPr>
          <w:ilvl w:val="0"/>
          <w:numId w:val="51"/>
        </w:numPr>
        <w:tabs>
          <w:tab w:val="clear" w:pos="709"/>
          <w:tab w:val="left" w:pos="709" w:leader="none"/>
        </w:tabs>
        <w:bidi w:val="0"/>
        <w:ind w:hanging="283" w:start="709"/>
        <w:jc w:val="start"/>
        <w:rPr/>
      </w:pPr>
      <w:r>
        <w:rPr/>
        <w:t xml:space="preserve">Markets move in </w:t>
      </w:r>
      <w:r>
        <w:rPr>
          <w:b/>
        </w:rPr>
        <w:t>bull/bear cycles</w:t>
      </w:r>
      <w:r>
        <w:rPr/>
        <w:t xml:space="preserve"> made of repeated wave patterns; expect regular </w:t>
      </w:r>
      <w:r>
        <w:rPr>
          <w:b/>
        </w:rPr>
        <w:t>pullbacks (1–9% drops, ~3x/year)</w:t>
      </w:r>
      <w:r>
        <w:rPr/>
        <w:t xml:space="preserve"> and </w:t>
      </w:r>
      <w:r>
        <w:rPr>
          <w:b/>
        </w:rPr>
        <w:t>corrections (10–19% drops, ~1x/year)</w:t>
      </w:r>
      <w:r>
        <w:rPr/>
        <w:t xml:space="preserve"> even within a bull market — these are normal and are buying opportunities, not reasons to panic.</w:t>
      </w:r>
    </w:p>
    <w:p>
      <w:pPr>
        <w:pStyle w:val="HorizontalLine"/>
        <w:bidi w:val="0"/>
        <w:jc w:val="start"/>
        <w:rPr/>
      </w:pPr>
      <w:r>
        <w:rPr/>
      </w:r>
    </w:p>
    <w:p>
      <w:pPr>
        <w:pStyle w:val="Heading1"/>
        <w:bidi w:val="0"/>
        <w:ind w:hanging="0" w:start="0"/>
        <w:jc w:val="start"/>
        <w:rPr/>
      </w:pPr>
      <w:r>
        <w:rPr/>
        <w:t>Part II — Trend Following, Strategy Execution &amp; The Keys to Profitable Investing</w:t>
      </w:r>
    </w:p>
    <w:p>
      <w:pPr>
        <w:pStyle w:val="Heading2"/>
        <w:bidi w:val="0"/>
        <w:ind w:hanging="0" w:start="0"/>
        <w:jc w:val="start"/>
        <w:rPr/>
      </w:pPr>
      <w:r>
        <w:rPr/>
        <w:t>Section 02 — Trend Following, Strategy Execution &amp; The Three Steps to Successful Investing</w:t>
      </w:r>
    </w:p>
    <w:p>
      <w:pPr>
        <w:pStyle w:val="BodyText"/>
        <w:bidi w:val="0"/>
        <w:jc w:val="start"/>
        <w:rPr/>
      </w:pPr>
      <w:r>
        <w:rPr>
          <w:b/>
        </w:rPr>
        <w:t>Source videos</w:t>
      </w:r>
      <w:r>
        <w:rPr/>
        <w:t xml:space="preserve"> | File | Actual content | |---|---| | 20 — Trend Following Part 1 (20:09) | Moving-average trend-following theory + charting setup | | 21 — Trend Following Part 2 (36:36) | Live 20-year SPY back-test, trade-by-trade; parabolic drops; bear-market staged buying | | 22 — Strategy Execution (30:31) | 200 MA rule, combined signal, three method summary, buy-and-hold vs trend-following back-test, timing studies, macro vs price action, 2020 case study | | 25 — Part 1 (27:34) | </w:t>
      </w:r>
      <w:r>
        <w:rPr>
          <w:b/>
        </w:rPr>
        <w:t>Lesson 3: The Three Steps to Successful Investing — Part 1</w:t>
      </w:r>
      <w:r>
        <w:rPr/>
        <w:t xml:space="preserve"> (great businesses, intrinsic value, five criteria, reasons 1–3 a stock goes on sale) | | 26 — Part 2 (23:03) | </w:t>
      </w:r>
      <w:r>
        <w:rPr>
          <w:b/>
        </w:rPr>
        <w:t>Lesson 3: The Three Steps to Successful Investing — Part 2</w:t>
      </w:r>
      <w:r>
        <w:rPr/>
        <w:t xml:space="preserve"> (reasons 4–5 a stock goes on sale, GOOGL/J&amp;J case studies, when to sell) |</w:t>
      </w:r>
    </w:p>
    <w:p>
      <w:pPr>
        <w:pStyle w:val="HorizontalLine"/>
        <w:bidi w:val="0"/>
        <w:jc w:val="start"/>
        <w:rPr/>
      </w:pPr>
      <w:r>
        <w:rPr/>
      </w:r>
    </w:p>
    <w:p>
      <w:pPr>
        <w:pStyle w:val="Heading2"/>
        <w:bidi w:val="0"/>
        <w:ind w:hanging="0" w:start="0"/>
        <w:jc w:val="start"/>
        <w:rPr/>
      </w:pPr>
      <w:r>
        <w:rPr/>
        <w:t>PART A — TREND FOLLOWING (Videos 20 &amp; 21)</w:t>
      </w:r>
    </w:p>
    <w:p>
      <w:pPr>
        <w:pStyle w:val="Heading3"/>
        <w:bidi w:val="0"/>
        <w:ind w:hanging="0" w:start="0"/>
        <w:jc w:val="start"/>
        <w:rPr/>
      </w:pPr>
      <w:r>
        <w:rPr/>
        <w:t>A1. The Two Methods of Investing — Where Trend Following Fits</w:t>
      </w:r>
    </w:p>
    <w:p>
      <w:pPr>
        <w:pStyle w:val="BodyText"/>
        <w:numPr>
          <w:ilvl w:val="0"/>
          <w:numId w:val="52"/>
        </w:numPr>
        <w:tabs>
          <w:tab w:val="clear" w:pos="709"/>
          <w:tab w:val="left" w:pos="709" w:leader="none"/>
        </w:tabs>
        <w:bidi w:val="0"/>
        <w:spacing w:before="0" w:after="0"/>
        <w:ind w:hanging="283" w:start="709"/>
        <w:jc w:val="start"/>
        <w:rPr/>
      </w:pPr>
      <w:r>
        <w:rPr>
          <w:b/>
        </w:rPr>
        <w:t>Method 1 (previous lesson): Buy and hold.</w:t>
      </w:r>
    </w:p>
    <w:p>
      <w:pPr>
        <w:pStyle w:val="BodyText"/>
        <w:numPr>
          <w:ilvl w:val="1"/>
          <w:numId w:val="52"/>
        </w:numPr>
        <w:tabs>
          <w:tab w:val="clear" w:pos="709"/>
          <w:tab w:val="left" w:pos="1418" w:leader="none"/>
        </w:tabs>
        <w:bidi w:val="0"/>
        <w:ind w:hanging="283" w:start="1418"/>
        <w:jc w:val="start"/>
        <w:rPr/>
      </w:pPr>
      <w:r>
        <w:rPr/>
        <w:t>Buy consistently every couple of months regardless of the trend — through bull markets and bear markets.</w:t>
      </w:r>
    </w:p>
    <w:p>
      <w:pPr>
        <w:pStyle w:val="BodyText"/>
        <w:numPr>
          <w:ilvl w:val="1"/>
          <w:numId w:val="52"/>
        </w:numPr>
        <w:tabs>
          <w:tab w:val="clear" w:pos="709"/>
          <w:tab w:val="left" w:pos="1418" w:leader="none"/>
        </w:tabs>
        <w:bidi w:val="0"/>
        <w:ind w:hanging="283" w:start="1418"/>
        <w:jc w:val="start"/>
        <w:rPr/>
      </w:pPr>
      <w:r>
        <w:rPr/>
        <w:t>Hold through the ups and downs.</w:t>
      </w:r>
    </w:p>
    <w:p>
      <w:pPr>
        <w:pStyle w:val="BodyText"/>
        <w:numPr>
          <w:ilvl w:val="1"/>
          <w:numId w:val="52"/>
        </w:numPr>
        <w:tabs>
          <w:tab w:val="clear" w:pos="709"/>
          <w:tab w:val="left" w:pos="1418" w:leader="none"/>
        </w:tabs>
        <w:bidi w:val="0"/>
        <w:ind w:hanging="283" w:start="1418"/>
        <w:jc w:val="start"/>
        <w:rPr/>
      </w:pPr>
      <w:r>
        <w:rPr/>
        <w:t xml:space="preserve">Long-run average return: </w:t>
      </w:r>
      <w:r>
        <w:rPr>
          <w:b/>
        </w:rPr>
        <w:t>about 10% per year</w:t>
      </w:r>
      <w:r>
        <w:rPr/>
        <w:t>.</w:t>
      </w:r>
    </w:p>
    <w:p>
      <w:pPr>
        <w:pStyle w:val="BodyText"/>
        <w:numPr>
          <w:ilvl w:val="0"/>
          <w:numId w:val="52"/>
        </w:numPr>
        <w:tabs>
          <w:tab w:val="clear" w:pos="709"/>
          <w:tab w:val="left" w:pos="709" w:leader="none"/>
        </w:tabs>
        <w:bidi w:val="0"/>
        <w:spacing w:before="0" w:after="0"/>
        <w:ind w:hanging="283" w:start="709"/>
        <w:jc w:val="start"/>
        <w:rPr/>
      </w:pPr>
      <w:r>
        <w:rPr>
          <w:b/>
        </w:rPr>
        <w:t>Method 2: Trend following.</w:t>
      </w:r>
    </w:p>
    <w:p>
      <w:pPr>
        <w:pStyle w:val="BodyText"/>
        <w:numPr>
          <w:ilvl w:val="1"/>
          <w:numId w:val="52"/>
        </w:numPr>
        <w:tabs>
          <w:tab w:val="clear" w:pos="709"/>
          <w:tab w:val="left" w:pos="1418" w:leader="none"/>
        </w:tabs>
        <w:bidi w:val="0"/>
        <w:ind w:hanging="283" w:start="1418"/>
        <w:jc w:val="start"/>
        <w:rPr/>
      </w:pPr>
      <w:r>
        <w:rPr/>
        <w:t xml:space="preserve">We attempt to </w:t>
      </w:r>
      <w:r>
        <w:rPr>
          <w:b/>
        </w:rPr>
        <w:t>time the market by following the trend</w:t>
      </w:r>
      <w:r>
        <w:rPr/>
        <w:t>.</w:t>
      </w:r>
    </w:p>
    <w:p>
      <w:pPr>
        <w:pStyle w:val="BodyText"/>
        <w:numPr>
          <w:ilvl w:val="1"/>
          <w:numId w:val="52"/>
        </w:numPr>
        <w:tabs>
          <w:tab w:val="clear" w:pos="709"/>
          <w:tab w:val="left" w:pos="1418" w:leader="none"/>
        </w:tabs>
        <w:bidi w:val="0"/>
        <w:ind w:hanging="283" w:start="1418"/>
        <w:jc w:val="start"/>
        <w:rPr/>
      </w:pPr>
      <w:r>
        <w:rPr/>
        <w:t>Goal: identify uptrends (bull markets) and identify bear markets.</w:t>
      </w:r>
    </w:p>
    <w:p>
      <w:pPr>
        <w:pStyle w:val="BodyText"/>
        <w:numPr>
          <w:ilvl w:val="1"/>
          <w:numId w:val="52"/>
        </w:numPr>
        <w:tabs>
          <w:tab w:val="clear" w:pos="709"/>
          <w:tab w:val="left" w:pos="1418" w:leader="none"/>
        </w:tabs>
        <w:bidi w:val="0"/>
        <w:ind w:hanging="283" w:start="1418"/>
        <w:jc w:val="start"/>
        <w:rPr/>
      </w:pPr>
      <w:r>
        <w:rPr/>
        <w:t xml:space="preserve">Far more </w:t>
      </w:r>
      <w:r>
        <w:rPr>
          <w:b/>
        </w:rPr>
        <w:t>active</w:t>
      </w:r>
      <w:r>
        <w:rPr/>
        <w:t xml:space="preserve"> than buy and hold.</w:t>
      </w:r>
    </w:p>
    <w:p>
      <w:pPr>
        <w:pStyle w:val="BodyText"/>
        <w:numPr>
          <w:ilvl w:val="1"/>
          <w:numId w:val="52"/>
        </w:numPr>
        <w:tabs>
          <w:tab w:val="clear" w:pos="709"/>
          <w:tab w:val="left" w:pos="1418" w:leader="none"/>
        </w:tabs>
        <w:bidi w:val="0"/>
        <w:spacing w:before="0" w:after="0"/>
        <w:ind w:hanging="283" w:start="1418"/>
        <w:jc w:val="start"/>
        <w:rPr/>
      </w:pPr>
      <w:r>
        <w:rPr/>
        <w:t>Procedure:</w:t>
      </w:r>
    </w:p>
    <w:p>
      <w:pPr>
        <w:pStyle w:val="BodyText"/>
        <w:numPr>
          <w:ilvl w:val="2"/>
          <w:numId w:val="52"/>
        </w:numPr>
        <w:tabs>
          <w:tab w:val="clear" w:pos="709"/>
          <w:tab w:val="left" w:pos="2127" w:leader="none"/>
        </w:tabs>
        <w:bidi w:val="0"/>
        <w:ind w:hanging="283" w:start="2127"/>
        <w:jc w:val="start"/>
        <w:rPr/>
      </w:pPr>
      <w:r>
        <w:rPr/>
        <w:t xml:space="preserve">Buy </w:t>
      </w:r>
      <w:r>
        <w:rPr>
          <w:b/>
        </w:rPr>
        <w:t>only during the uptrend / bull market</w:t>
      </w:r>
      <w:r>
        <w:rPr/>
        <w:t>.</w:t>
      </w:r>
    </w:p>
    <w:p>
      <w:pPr>
        <w:pStyle w:val="BodyText"/>
        <w:numPr>
          <w:ilvl w:val="2"/>
          <w:numId w:val="52"/>
        </w:numPr>
        <w:tabs>
          <w:tab w:val="clear" w:pos="709"/>
          <w:tab w:val="left" w:pos="2127" w:leader="none"/>
        </w:tabs>
        <w:bidi w:val="0"/>
        <w:ind w:hanging="283" w:start="2127"/>
        <w:jc w:val="start"/>
        <w:rPr/>
      </w:pPr>
      <w:r>
        <w:rPr/>
        <w:t xml:space="preserve">Once we identify that it is turning into a bear market, </w:t>
      </w:r>
      <w:r>
        <w:rPr>
          <w:b/>
        </w:rPr>
        <w:t>sell all our shares</w:t>
      </w:r>
      <w:r>
        <w:rPr/>
        <w:t>.</w:t>
      </w:r>
    </w:p>
    <w:p>
      <w:pPr>
        <w:pStyle w:val="BodyText"/>
        <w:numPr>
          <w:ilvl w:val="2"/>
          <w:numId w:val="52"/>
        </w:numPr>
        <w:tabs>
          <w:tab w:val="clear" w:pos="709"/>
          <w:tab w:val="left" w:pos="2127" w:leader="none"/>
        </w:tabs>
        <w:bidi w:val="0"/>
        <w:ind w:hanging="283" w:start="2127"/>
        <w:jc w:val="start"/>
        <w:rPr/>
      </w:pPr>
      <w:r>
        <w:rPr/>
        <w:t xml:space="preserve">Only once the bear market has ended and a new bull market starts, </w:t>
      </w:r>
      <w:r>
        <w:rPr>
          <w:b/>
        </w:rPr>
        <w:t>get back in</w:t>
      </w:r>
      <w:r>
        <w:rPr/>
        <w:t xml:space="preserve"> to ride the new bull market.</w:t>
      </w:r>
    </w:p>
    <w:p>
      <w:pPr>
        <w:pStyle w:val="BodyText"/>
        <w:numPr>
          <w:ilvl w:val="2"/>
          <w:numId w:val="52"/>
        </w:numPr>
        <w:tabs>
          <w:tab w:val="clear" w:pos="709"/>
          <w:tab w:val="left" w:pos="2127" w:leader="none"/>
        </w:tabs>
        <w:bidi w:val="0"/>
        <w:ind w:hanging="283" w:start="2127"/>
        <w:jc w:val="start"/>
        <w:rPr/>
      </w:pPr>
      <w:r>
        <w:rPr/>
        <w:t>Repeat the process indefinitely.</w:t>
      </w:r>
    </w:p>
    <w:p>
      <w:pPr>
        <w:pStyle w:val="BodyText"/>
        <w:numPr>
          <w:ilvl w:val="1"/>
          <w:numId w:val="52"/>
        </w:numPr>
        <w:tabs>
          <w:tab w:val="clear" w:pos="709"/>
          <w:tab w:val="left" w:pos="1418" w:leader="none"/>
        </w:tabs>
        <w:bidi w:val="0"/>
        <w:ind w:hanging="283" w:start="1418"/>
        <w:jc w:val="start"/>
        <w:rPr/>
      </w:pPr>
      <w:r>
        <w:rPr/>
        <w:t xml:space="preserve">The tool that makes this possible: </w:t>
      </w:r>
      <w:r>
        <w:rPr>
          <w:b/>
        </w:rPr>
        <w:t>moving averages</w:t>
      </w:r>
      <w:r>
        <w:rPr/>
        <w:t>.</w:t>
      </w:r>
    </w:p>
    <w:p>
      <w:pPr>
        <w:pStyle w:val="Heading3"/>
        <w:numPr>
          <w:ilvl w:val="0"/>
          <w:numId w:val="0"/>
        </w:numPr>
        <w:bidi w:val="0"/>
        <w:ind w:hanging="0" w:start="0"/>
        <w:jc w:val="start"/>
        <w:rPr/>
      </w:pPr>
      <w:r>
        <w:rPr/>
        <w:t>A2. What a Moving Average Is</w:t>
      </w:r>
    </w:p>
    <w:p>
      <w:pPr>
        <w:pStyle w:val="BodyText"/>
        <w:numPr>
          <w:ilvl w:val="0"/>
          <w:numId w:val="53"/>
        </w:numPr>
        <w:tabs>
          <w:tab w:val="clear" w:pos="709"/>
          <w:tab w:val="left" w:pos="709" w:leader="none"/>
        </w:tabs>
        <w:bidi w:val="0"/>
        <w:ind w:hanging="283" w:start="709"/>
        <w:jc w:val="start"/>
        <w:rPr/>
      </w:pPr>
      <w:r>
        <w:rPr/>
        <w:t xml:space="preserve">A moving average is a mathematical calculation: </w:t>
      </w:r>
      <w:r>
        <w:rPr>
          <w:b/>
        </w:rPr>
        <w:t>the average of the stock price over a certain period of time</w:t>
      </w:r>
      <w:r>
        <w:rPr/>
        <w:t>.</w:t>
      </w:r>
    </w:p>
    <w:p>
      <w:pPr>
        <w:pStyle w:val="BodyText"/>
        <w:numPr>
          <w:ilvl w:val="0"/>
          <w:numId w:val="53"/>
        </w:numPr>
        <w:tabs>
          <w:tab w:val="clear" w:pos="709"/>
          <w:tab w:val="left" w:pos="709" w:leader="none"/>
        </w:tabs>
        <w:bidi w:val="0"/>
        <w:ind w:hanging="283" w:start="709"/>
        <w:jc w:val="start"/>
        <w:rPr/>
      </w:pPr>
      <w:r>
        <w:rPr>
          <w:b/>
        </w:rPr>
        <w:t>50-day MA</w:t>
      </w:r>
      <w:r>
        <w:rPr/>
        <w:t xml:space="preserve"> — software takes the last </w:t>
      </w:r>
      <w:r>
        <w:rPr>
          <w:b/>
        </w:rPr>
        <w:t>50 days of the stock's closing price</w:t>
      </w:r>
      <w:r>
        <w:rPr/>
        <w:t>, adds them together, divides by 50, repeats every day, and plots the line.</w:t>
      </w:r>
    </w:p>
    <w:p>
      <w:pPr>
        <w:pStyle w:val="BodyText"/>
        <w:numPr>
          <w:ilvl w:val="0"/>
          <w:numId w:val="53"/>
        </w:numPr>
        <w:tabs>
          <w:tab w:val="clear" w:pos="709"/>
          <w:tab w:val="left" w:pos="709" w:leader="none"/>
        </w:tabs>
        <w:bidi w:val="0"/>
        <w:ind w:hanging="283" w:start="709"/>
        <w:jc w:val="start"/>
        <w:rPr/>
      </w:pPr>
      <w:r>
        <w:rPr>
          <w:b/>
        </w:rPr>
        <w:t>150-day MA</w:t>
      </w:r>
      <w:r>
        <w:rPr/>
        <w:t xml:space="preserve"> — software adds the last </w:t>
      </w:r>
      <w:r>
        <w:rPr>
          <w:b/>
        </w:rPr>
        <w:t>150 days of closing price</w:t>
      </w:r>
      <w:r>
        <w:rPr/>
        <w:t>, divides by 150, repeats every day, plots the line.</w:t>
      </w:r>
    </w:p>
    <w:p>
      <w:pPr>
        <w:pStyle w:val="BodyText"/>
        <w:numPr>
          <w:ilvl w:val="0"/>
          <w:numId w:val="53"/>
        </w:numPr>
        <w:tabs>
          <w:tab w:val="clear" w:pos="709"/>
          <w:tab w:val="left" w:pos="709" w:leader="none"/>
        </w:tabs>
        <w:bidi w:val="0"/>
        <w:spacing w:before="0" w:after="0"/>
        <w:ind w:hanging="283" w:start="709"/>
        <w:jc w:val="start"/>
        <w:rPr/>
      </w:pPr>
      <w:r>
        <w:rPr>
          <w:b/>
        </w:rPr>
        <w:t>Colour convention used throughout the course (Adam's own convention — "because Adam says so"):</w:t>
      </w:r>
    </w:p>
    <w:p>
      <w:pPr>
        <w:pStyle w:val="BodyText"/>
        <w:numPr>
          <w:ilvl w:val="1"/>
          <w:numId w:val="53"/>
        </w:numPr>
        <w:tabs>
          <w:tab w:val="clear" w:pos="709"/>
          <w:tab w:val="left" w:pos="1418" w:leader="none"/>
        </w:tabs>
        <w:bidi w:val="0"/>
        <w:ind w:hanging="283" w:start="1418"/>
        <w:jc w:val="start"/>
        <w:rPr/>
      </w:pPr>
      <w:r>
        <w:rPr>
          <w:b/>
        </w:rPr>
        <w:t>50 MA = BLUE</w:t>
      </w:r>
    </w:p>
    <w:p>
      <w:pPr>
        <w:pStyle w:val="BodyText"/>
        <w:numPr>
          <w:ilvl w:val="1"/>
          <w:numId w:val="53"/>
        </w:numPr>
        <w:tabs>
          <w:tab w:val="clear" w:pos="709"/>
          <w:tab w:val="left" w:pos="1418" w:leader="none"/>
        </w:tabs>
        <w:bidi w:val="0"/>
        <w:ind w:hanging="283" w:start="1418"/>
        <w:jc w:val="start"/>
        <w:rPr/>
      </w:pPr>
      <w:r>
        <w:rPr>
          <w:b/>
        </w:rPr>
        <w:t>150 MA = GREEN</w:t>
      </w:r>
    </w:p>
    <w:p>
      <w:pPr>
        <w:pStyle w:val="BodyText"/>
        <w:numPr>
          <w:ilvl w:val="1"/>
          <w:numId w:val="53"/>
        </w:numPr>
        <w:tabs>
          <w:tab w:val="clear" w:pos="709"/>
          <w:tab w:val="left" w:pos="1418" w:leader="none"/>
        </w:tabs>
        <w:bidi w:val="0"/>
        <w:ind w:hanging="283" w:start="1418"/>
        <w:jc w:val="start"/>
        <w:rPr/>
      </w:pPr>
      <w:r>
        <w:rPr>
          <w:b/>
        </w:rPr>
        <w:t>200 MA = RED</w:t>
      </w:r>
      <w:r>
        <w:rPr/>
        <w:t xml:space="preserve"> (introduced later, in video 22)</w:t>
      </w:r>
    </w:p>
    <w:p>
      <w:pPr>
        <w:pStyle w:val="Heading3"/>
        <w:numPr>
          <w:ilvl w:val="0"/>
          <w:numId w:val="0"/>
        </w:numPr>
        <w:bidi w:val="0"/>
        <w:ind w:hanging="0" w:start="0"/>
        <w:jc w:val="start"/>
        <w:rPr/>
      </w:pPr>
      <w:r>
        <w:rPr/>
        <w:t>A3. The Hulk-and-Smurf Mnemonic</w:t>
      </w:r>
    </w:p>
    <w:p>
      <w:pPr>
        <w:pStyle w:val="BodyText"/>
        <w:numPr>
          <w:ilvl w:val="0"/>
          <w:numId w:val="54"/>
        </w:numPr>
        <w:tabs>
          <w:tab w:val="clear" w:pos="709"/>
          <w:tab w:val="left" w:pos="709" w:leader="none"/>
        </w:tabs>
        <w:bidi w:val="0"/>
        <w:ind w:hanging="283" w:start="709"/>
        <w:jc w:val="start"/>
        <w:rPr/>
      </w:pPr>
      <w:r>
        <w:rPr>
          <w:b/>
        </w:rPr>
        <w:t>Green (150) = the Incredible Hulk. Blue (50) = a Smurf.</w:t>
      </w:r>
    </w:p>
    <w:p>
      <w:pPr>
        <w:pStyle w:val="BodyText"/>
        <w:numPr>
          <w:ilvl w:val="0"/>
          <w:numId w:val="54"/>
        </w:numPr>
        <w:tabs>
          <w:tab w:val="clear" w:pos="709"/>
          <w:tab w:val="left" w:pos="709" w:leader="none"/>
        </w:tabs>
        <w:bidi w:val="0"/>
        <w:ind w:hanging="283" w:start="709"/>
        <w:jc w:val="start"/>
        <w:rPr/>
      </w:pPr>
      <w:r>
        <w:rPr/>
        <w:t xml:space="preserve">Alternative framing: a </w:t>
      </w:r>
      <w:r>
        <w:rPr>
          <w:b/>
        </w:rPr>
        <w:t>150 kg man</w:t>
      </w:r>
      <w:r>
        <w:rPr/>
        <w:t xml:space="preserve"> and a </w:t>
      </w:r>
      <w:r>
        <w:rPr>
          <w:b/>
        </w:rPr>
        <w:t>50 kg man</w:t>
      </w:r>
      <w:r>
        <w:rPr/>
        <w:t>.</w:t>
      </w:r>
    </w:p>
    <w:p>
      <w:pPr>
        <w:pStyle w:val="BodyText"/>
        <w:numPr>
          <w:ilvl w:val="0"/>
          <w:numId w:val="54"/>
        </w:numPr>
        <w:tabs>
          <w:tab w:val="clear" w:pos="709"/>
          <w:tab w:val="left" w:pos="709" w:leader="none"/>
        </w:tabs>
        <w:bidi w:val="0"/>
        <w:ind w:hanging="283" w:start="709"/>
        <w:jc w:val="start"/>
        <w:rPr/>
      </w:pPr>
      <w:r>
        <w:rPr>
          <w:b/>
        </w:rPr>
        <w:t>When the Hulk sits on the Smurf → it goes DOWN.</w:t>
      </w:r>
      <w:r>
        <w:rPr/>
        <w:t xml:space="preserve"> So when the 150 green is </w:t>
      </w:r>
      <w:r>
        <w:rPr>
          <w:i/>
        </w:rPr>
        <w:t>above</w:t>
      </w:r>
      <w:r>
        <w:rPr/>
        <w:t xml:space="preserve"> the 50 blue → </w:t>
      </w:r>
      <w:r>
        <w:rPr>
          <w:b/>
        </w:rPr>
        <w:t>confirmed downtrend / bear market</w:t>
      </w:r>
      <w:r>
        <w:rPr/>
        <w:t>.</w:t>
      </w:r>
    </w:p>
    <w:p>
      <w:pPr>
        <w:pStyle w:val="BodyText"/>
        <w:numPr>
          <w:ilvl w:val="0"/>
          <w:numId w:val="54"/>
        </w:numPr>
        <w:tabs>
          <w:tab w:val="clear" w:pos="709"/>
          <w:tab w:val="left" w:pos="709" w:leader="none"/>
        </w:tabs>
        <w:bidi w:val="0"/>
        <w:ind w:hanging="283" w:start="709"/>
        <w:jc w:val="start"/>
        <w:rPr/>
      </w:pPr>
      <w:r>
        <w:rPr>
          <w:b/>
        </w:rPr>
        <w:t>When the Smurf sits on the Hulk → the Hulk carries him UP.</w:t>
      </w:r>
      <w:r>
        <w:rPr/>
        <w:t xml:space="preserve"> So when the 50 blue is </w:t>
      </w:r>
      <w:r>
        <w:rPr>
          <w:i/>
        </w:rPr>
        <w:t>above</w:t>
      </w:r>
      <w:r>
        <w:rPr/>
        <w:t xml:space="preserve"> the 150 green → </w:t>
      </w:r>
      <w:r>
        <w:rPr>
          <w:b/>
        </w:rPr>
        <w:t>uptrend / bull market</w:t>
      </w:r>
      <w:r>
        <w:rPr/>
        <w:t>.</w:t>
      </w:r>
    </w:p>
    <w:p>
      <w:pPr>
        <w:pStyle w:val="Heading3"/>
        <w:numPr>
          <w:ilvl w:val="0"/>
          <w:numId w:val="0"/>
        </w:numPr>
        <w:bidi w:val="0"/>
        <w:ind w:hanging="0" w:start="0"/>
        <w:jc w:val="start"/>
        <w:rPr/>
      </w:pPr>
      <w:r>
        <w:rPr/>
        <w:t>A4. RULE — Identifying a Change in Trend (50/150 Crossover Method)</w:t>
      </w:r>
    </w:p>
    <w:p>
      <w:pPr>
        <w:pStyle w:val="Heading4"/>
        <w:bidi w:val="0"/>
        <w:ind w:hanging="0" w:start="0"/>
        <w:jc w:val="start"/>
        <w:rPr/>
      </w:pPr>
      <w:r>
        <w:rPr/>
        <w:t>State definitions</w:t>
      </w:r>
    </w:p>
    <w:p>
      <w:pPr>
        <w:pStyle w:val="BodyText"/>
        <w:numPr>
          <w:ilvl w:val="0"/>
          <w:numId w:val="55"/>
        </w:numPr>
        <w:tabs>
          <w:tab w:val="clear" w:pos="709"/>
          <w:tab w:val="left" w:pos="709" w:leader="none"/>
        </w:tabs>
        <w:bidi w:val="0"/>
        <w:ind w:hanging="283" w:start="709"/>
        <w:jc w:val="start"/>
        <w:rPr/>
      </w:pPr>
      <w:r>
        <w:rPr>
          <w:b/>
        </w:rPr>
        <w:t>Downtrend / bear market:</w:t>
      </w:r>
      <w:r>
        <w:rPr/>
        <w:t xml:space="preserve"> 150 green is above 50 blue, and </w:t>
      </w:r>
      <w:r>
        <w:rPr>
          <w:b/>
        </w:rPr>
        <w:t>both moving averages are sloping down</w:t>
      </w:r>
      <w:r>
        <w:rPr/>
        <w:t>.</w:t>
      </w:r>
    </w:p>
    <w:p>
      <w:pPr>
        <w:pStyle w:val="BodyText"/>
        <w:numPr>
          <w:ilvl w:val="0"/>
          <w:numId w:val="55"/>
        </w:numPr>
        <w:tabs>
          <w:tab w:val="clear" w:pos="709"/>
          <w:tab w:val="left" w:pos="709" w:leader="none"/>
        </w:tabs>
        <w:bidi w:val="0"/>
        <w:ind w:hanging="283" w:start="709"/>
        <w:jc w:val="start"/>
        <w:rPr/>
      </w:pPr>
      <w:r>
        <w:rPr>
          <w:b/>
        </w:rPr>
        <w:t>Uptrend / bull market:</w:t>
      </w:r>
      <w:r>
        <w:rPr/>
        <w:t xml:space="preserve"> 50 blue is above 150 green, and </w:t>
      </w:r>
      <w:r>
        <w:rPr>
          <w:b/>
        </w:rPr>
        <w:t>both moving averages are sloping up</w:t>
      </w:r>
      <w:r>
        <w:rPr/>
        <w:t>.</w:t>
      </w:r>
    </w:p>
    <w:p>
      <w:pPr>
        <w:pStyle w:val="BodyText"/>
        <w:numPr>
          <w:ilvl w:val="0"/>
          <w:numId w:val="55"/>
        </w:numPr>
        <w:tabs>
          <w:tab w:val="clear" w:pos="709"/>
          <w:tab w:val="left" w:pos="709" w:leader="none"/>
        </w:tabs>
        <w:bidi w:val="0"/>
        <w:ind w:hanging="283" w:start="709"/>
        <w:jc w:val="start"/>
        <w:rPr/>
      </w:pPr>
      <w:r>
        <w:rPr/>
        <w:t>As long as blue stays below green, the downtrend continues.</w:t>
      </w:r>
    </w:p>
    <w:p>
      <w:pPr>
        <w:pStyle w:val="Heading4"/>
        <w:numPr>
          <w:ilvl w:val="0"/>
          <w:numId w:val="0"/>
        </w:numPr>
        <w:bidi w:val="0"/>
        <w:ind w:hanging="0" w:start="0"/>
        <w:jc w:val="start"/>
        <w:rPr/>
      </w:pPr>
      <w:r>
        <w:rPr/>
        <w:t>RULE — Downtrend reverses into an Uptrend (TWO conditions, both must be met)</w:t>
      </w:r>
    </w:p>
    <w:p>
      <w:pPr>
        <w:pStyle w:val="BodyText"/>
        <w:numPr>
          <w:ilvl w:val="0"/>
          <w:numId w:val="56"/>
        </w:numPr>
        <w:tabs>
          <w:tab w:val="clear" w:pos="709"/>
          <w:tab w:val="left" w:pos="709" w:leader="none"/>
        </w:tabs>
        <w:bidi w:val="0"/>
        <w:spacing w:before="0" w:after="0"/>
        <w:ind w:hanging="283" w:start="709"/>
        <w:jc w:val="start"/>
        <w:rPr/>
      </w:pPr>
      <w:r>
        <w:rPr>
          <w:b/>
        </w:rPr>
        <w:t>Both moving averages must change their slope.</w:t>
      </w:r>
      <w:r>
        <w:rPr/>
        <w:t xml:space="preserve"> From sloping down, both lines must </w:t>
      </w:r>
      <w:r>
        <w:rPr>
          <w:b/>
        </w:rPr>
        <w:t>flatten or slope upwards</w:t>
      </w:r>
      <w:r>
        <w:rPr/>
        <w:t>.</w:t>
      </w:r>
    </w:p>
    <w:p>
      <w:pPr>
        <w:pStyle w:val="BodyText"/>
        <w:numPr>
          <w:ilvl w:val="1"/>
          <w:numId w:val="56"/>
        </w:numPr>
        <w:tabs>
          <w:tab w:val="clear" w:pos="709"/>
          <w:tab w:val="left" w:pos="1418" w:leader="none"/>
        </w:tabs>
        <w:bidi w:val="0"/>
        <w:ind w:hanging="283" w:start="1418"/>
        <w:jc w:val="start"/>
        <w:rPr/>
      </w:pPr>
      <w:r>
        <w:rPr>
          <w:i/>
        </w:rPr>
        <w:t>If either line is still sloping down, it is still a downtrend. It is NOT a change in trend.</w:t>
      </w:r>
    </w:p>
    <w:p>
      <w:pPr>
        <w:pStyle w:val="BodyText"/>
        <w:numPr>
          <w:ilvl w:val="1"/>
          <w:numId w:val="56"/>
        </w:numPr>
        <w:tabs>
          <w:tab w:val="clear" w:pos="709"/>
          <w:tab w:val="left" w:pos="1418" w:leader="none"/>
        </w:tabs>
        <w:bidi w:val="0"/>
        <w:ind w:hanging="283" w:start="1418"/>
        <w:jc w:val="start"/>
        <w:rPr/>
      </w:pPr>
      <w:r>
        <w:rPr/>
        <w:t>Both lines have to be flat or sloping up for the change in trend to be confirmed.</w:t>
      </w:r>
    </w:p>
    <w:p>
      <w:pPr>
        <w:pStyle w:val="BodyText"/>
        <w:numPr>
          <w:ilvl w:val="0"/>
          <w:numId w:val="56"/>
        </w:numPr>
        <w:tabs>
          <w:tab w:val="clear" w:pos="709"/>
          <w:tab w:val="left" w:pos="709" w:leader="none"/>
        </w:tabs>
        <w:bidi w:val="0"/>
        <w:ind w:hanging="283" w:start="709"/>
        <w:jc w:val="start"/>
        <w:rPr/>
      </w:pPr>
      <w:r>
        <w:rPr>
          <w:b/>
        </w:rPr>
        <w:t>The 50 MA (blue) must cross ABOVE the 150 MA (green).</w:t>
      </w:r>
      <w:r>
        <w:rPr/>
        <w:t xml:space="preserve"> There must be a crossover.</w:t>
      </w:r>
    </w:p>
    <w:p>
      <w:pPr>
        <w:pStyle w:val="BodyText"/>
        <w:numPr>
          <w:ilvl w:val="0"/>
          <w:numId w:val="57"/>
        </w:numPr>
        <w:tabs>
          <w:tab w:val="clear" w:pos="709"/>
          <w:tab w:val="left" w:pos="709" w:leader="none"/>
        </w:tabs>
        <w:bidi w:val="0"/>
        <w:ind w:hanging="283" w:start="709"/>
        <w:jc w:val="start"/>
        <w:rPr/>
      </w:pPr>
      <w:r>
        <w:rPr/>
        <w:t xml:space="preserve">When both are satisfied → </w:t>
      </w:r>
      <w:r>
        <w:rPr>
          <w:b/>
        </w:rPr>
        <w:t>uptrend confirmation / bull-market confirmation → BUY to get back into the market.</w:t>
      </w:r>
    </w:p>
    <w:p>
      <w:pPr>
        <w:pStyle w:val="Heading4"/>
        <w:numPr>
          <w:ilvl w:val="0"/>
          <w:numId w:val="0"/>
        </w:numPr>
        <w:bidi w:val="0"/>
        <w:ind w:hanging="0" w:start="0"/>
        <w:jc w:val="start"/>
        <w:rPr/>
      </w:pPr>
      <w:r>
        <w:rPr/>
        <w:t>RULE — Uptrend reverses into a Downtrend (TWO conditions, both must be met)</w:t>
      </w:r>
    </w:p>
    <w:p>
      <w:pPr>
        <w:pStyle w:val="BodyText"/>
        <w:numPr>
          <w:ilvl w:val="0"/>
          <w:numId w:val="58"/>
        </w:numPr>
        <w:tabs>
          <w:tab w:val="clear" w:pos="709"/>
          <w:tab w:val="left" w:pos="709" w:leader="none"/>
        </w:tabs>
        <w:bidi w:val="0"/>
        <w:spacing w:before="0" w:after="0"/>
        <w:ind w:hanging="283" w:start="709"/>
        <w:jc w:val="start"/>
        <w:rPr/>
      </w:pPr>
      <w:r>
        <w:rPr>
          <w:b/>
        </w:rPr>
        <w:t>Both moving averages must change their slope.</w:t>
      </w:r>
      <w:r>
        <w:rPr/>
        <w:t xml:space="preserve"> From sloping up, both must </w:t>
      </w:r>
      <w:r>
        <w:rPr>
          <w:b/>
        </w:rPr>
        <w:t>flatten or slope downwards</w:t>
      </w:r>
      <w:r>
        <w:rPr/>
        <w:t>.</w:t>
      </w:r>
    </w:p>
    <w:p>
      <w:pPr>
        <w:pStyle w:val="BodyText"/>
        <w:numPr>
          <w:ilvl w:val="1"/>
          <w:numId w:val="58"/>
        </w:numPr>
        <w:tabs>
          <w:tab w:val="clear" w:pos="709"/>
          <w:tab w:val="left" w:pos="1418" w:leader="none"/>
        </w:tabs>
        <w:bidi w:val="0"/>
        <w:ind w:hanging="283" w:start="1418"/>
        <w:jc w:val="start"/>
        <w:rPr/>
      </w:pPr>
      <w:r>
        <w:rPr>
          <w:i/>
        </w:rPr>
        <w:t>If one moving average is still sloping up, it is NOT a change in trend.</w:t>
      </w:r>
    </w:p>
    <w:p>
      <w:pPr>
        <w:pStyle w:val="BodyText"/>
        <w:numPr>
          <w:ilvl w:val="0"/>
          <w:numId w:val="58"/>
        </w:numPr>
        <w:tabs>
          <w:tab w:val="clear" w:pos="709"/>
          <w:tab w:val="left" w:pos="709" w:leader="none"/>
        </w:tabs>
        <w:bidi w:val="0"/>
        <w:ind w:hanging="283" w:start="709"/>
        <w:jc w:val="start"/>
        <w:rPr/>
      </w:pPr>
      <w:r>
        <w:rPr>
          <w:b/>
        </w:rPr>
        <w:t>The 50 MA (blue) must cross BELOW the 150 MA (green).</w:t>
      </w:r>
    </w:p>
    <w:p>
      <w:pPr>
        <w:pStyle w:val="BodyText"/>
        <w:numPr>
          <w:ilvl w:val="0"/>
          <w:numId w:val="59"/>
        </w:numPr>
        <w:tabs>
          <w:tab w:val="clear" w:pos="709"/>
          <w:tab w:val="left" w:pos="709" w:leader="none"/>
        </w:tabs>
        <w:bidi w:val="0"/>
        <w:ind w:hanging="283" w:start="709"/>
        <w:jc w:val="start"/>
        <w:rPr/>
      </w:pPr>
      <w:r>
        <w:rPr/>
        <w:t xml:space="preserve">When both are satisfied → confirmed bear market → </w:t>
      </w:r>
      <w:r>
        <w:rPr>
          <w:b/>
        </w:rPr>
        <w:t>SELL</w:t>
      </w:r>
      <w:r>
        <w:rPr/>
        <w:t>.</w:t>
      </w:r>
    </w:p>
    <w:p>
      <w:pPr>
        <w:pStyle w:val="Heading4"/>
        <w:numPr>
          <w:ilvl w:val="0"/>
          <w:numId w:val="0"/>
        </w:numPr>
        <w:bidi w:val="0"/>
        <w:ind w:hanging="0" w:start="0"/>
        <w:jc w:val="start"/>
        <w:rPr/>
      </w:pPr>
      <w:r>
        <w:rPr/>
        <w:t>The single most important refinement</w:t>
      </w:r>
    </w:p>
    <w:p>
      <w:pPr>
        <w:pStyle w:val="BodyText"/>
        <w:numPr>
          <w:ilvl w:val="0"/>
          <w:numId w:val="60"/>
        </w:numPr>
        <w:tabs>
          <w:tab w:val="clear" w:pos="709"/>
          <w:tab w:val="left" w:pos="709" w:leader="none"/>
        </w:tabs>
        <w:bidi w:val="0"/>
        <w:ind w:hanging="283" w:start="709"/>
        <w:jc w:val="start"/>
        <w:rPr/>
      </w:pPr>
      <w:r>
        <w:rPr>
          <w:b/>
        </w:rPr>
        <w:t>The slope is the most important thing — you cannot just look at the 50/150 crossover.</w:t>
      </w:r>
    </w:p>
    <w:p>
      <w:pPr>
        <w:pStyle w:val="BodyText"/>
        <w:numPr>
          <w:ilvl w:val="0"/>
          <w:numId w:val="60"/>
        </w:numPr>
        <w:tabs>
          <w:tab w:val="clear" w:pos="709"/>
          <w:tab w:val="left" w:pos="709" w:leader="none"/>
        </w:tabs>
        <w:bidi w:val="0"/>
        <w:ind w:hanging="283" w:start="709"/>
        <w:jc w:val="start"/>
        <w:rPr/>
      </w:pPr>
      <w:r>
        <w:rPr/>
        <w:t xml:space="preserve">The classic mistake: people see the 50 above the 150 and buy immediately — and it was a </w:t>
      </w:r>
      <w:r>
        <w:rPr>
          <w:b/>
        </w:rPr>
        <w:t>fake-out</w:t>
      </w:r>
      <w:r>
        <w:rPr/>
        <w:t xml:space="preserve"> / false reversal.</w:t>
      </w:r>
    </w:p>
    <w:p>
      <w:pPr>
        <w:pStyle w:val="BodyText"/>
        <w:numPr>
          <w:ilvl w:val="0"/>
          <w:numId w:val="60"/>
        </w:numPr>
        <w:tabs>
          <w:tab w:val="clear" w:pos="709"/>
          <w:tab w:val="left" w:pos="709" w:leader="none"/>
        </w:tabs>
        <w:bidi w:val="0"/>
        <w:ind w:hanging="283" w:start="709"/>
        <w:jc w:val="start"/>
        <w:rPr/>
      </w:pPr>
      <w:r>
        <w:rPr>
          <w:b/>
        </w:rPr>
        <w:t>Watch the GREEN line.</w:t>
      </w:r>
      <w:r>
        <w:rPr/>
        <w:t xml:space="preserve"> You have to wait for the green line to flatten before confirming the uptrend, and wait for the green line to flatten/slope down before confirming the downtrend.</w:t>
      </w:r>
    </w:p>
    <w:p>
      <w:pPr>
        <w:pStyle w:val="BodyText"/>
        <w:numPr>
          <w:ilvl w:val="0"/>
          <w:numId w:val="60"/>
        </w:numPr>
        <w:tabs>
          <w:tab w:val="clear" w:pos="709"/>
          <w:tab w:val="left" w:pos="709" w:leader="none"/>
        </w:tabs>
        <w:bidi w:val="0"/>
        <w:ind w:hanging="283" w:start="709"/>
        <w:jc w:val="start"/>
        <w:rPr/>
      </w:pPr>
      <w:r>
        <w:rPr>
          <w:b/>
        </w:rPr>
        <w:t>If you are not sure whether the green has flattened, wait a few more days.</w:t>
      </w:r>
      <w:r>
        <w:rPr/>
        <w:t xml:space="preserve"> (Adam does exactly this repeatedly in the back-test.)</w:t>
      </w:r>
    </w:p>
    <w:p>
      <w:pPr>
        <w:pStyle w:val="Heading3"/>
        <w:numPr>
          <w:ilvl w:val="0"/>
          <w:numId w:val="0"/>
        </w:numPr>
        <w:bidi w:val="0"/>
        <w:ind w:hanging="0" w:start="0"/>
        <w:jc w:val="start"/>
        <w:rPr/>
      </w:pPr>
      <w:r>
        <w:rPr/>
        <w:t>A5. RULE — Timeframe Restriction</w:t>
      </w:r>
    </w:p>
    <w:p>
      <w:pPr>
        <w:pStyle w:val="BodyText"/>
        <w:numPr>
          <w:ilvl w:val="0"/>
          <w:numId w:val="61"/>
        </w:numPr>
        <w:tabs>
          <w:tab w:val="clear" w:pos="709"/>
          <w:tab w:val="left" w:pos="709" w:leader="none"/>
        </w:tabs>
        <w:bidi w:val="0"/>
        <w:ind w:hanging="283" w:start="709"/>
        <w:jc w:val="start"/>
        <w:rPr/>
      </w:pPr>
      <w:r>
        <w:rPr>
          <w:b/>
        </w:rPr>
        <w:t>The 50/150 crossover change-in-trend method ONLY works on DAILY candles.</w:t>
      </w:r>
    </w:p>
    <w:p>
      <w:pPr>
        <w:pStyle w:val="BodyText"/>
        <w:numPr>
          <w:ilvl w:val="0"/>
          <w:numId w:val="61"/>
        </w:numPr>
        <w:tabs>
          <w:tab w:val="clear" w:pos="709"/>
          <w:tab w:val="left" w:pos="709" w:leader="none"/>
        </w:tabs>
        <w:bidi w:val="0"/>
        <w:ind w:hanging="283" w:start="709"/>
        <w:jc w:val="start"/>
        <w:rPr/>
      </w:pPr>
      <w:r>
        <w:rPr>
          <w:b/>
        </w:rPr>
        <w:t>Do NOT use it on weekly or monthly candles</w:t>
      </w:r>
      <w:r>
        <w:rPr/>
        <w:t xml:space="preserve"> for the change-in-trend method. (Repeated for emphasis in both video 20 and video 22.)</w:t>
      </w:r>
    </w:p>
    <w:p>
      <w:pPr>
        <w:pStyle w:val="Heading3"/>
        <w:numPr>
          <w:ilvl w:val="0"/>
          <w:numId w:val="0"/>
        </w:numPr>
        <w:bidi w:val="0"/>
        <w:ind w:hanging="0" w:start="0"/>
        <w:jc w:val="start"/>
        <w:rPr/>
      </w:pPr>
      <w:r>
        <w:rPr/>
        <w:t>A6. Adding Shares Inside an Uptrend — "Buy the Dip on the Uptrend"</w:t>
      </w:r>
    </w:p>
    <w:p>
      <w:pPr>
        <w:pStyle w:val="BodyText"/>
        <w:numPr>
          <w:ilvl w:val="0"/>
          <w:numId w:val="62"/>
        </w:numPr>
        <w:tabs>
          <w:tab w:val="clear" w:pos="709"/>
          <w:tab w:val="left" w:pos="709" w:leader="none"/>
        </w:tabs>
        <w:bidi w:val="0"/>
        <w:ind w:hanging="283" w:start="709"/>
        <w:jc w:val="start"/>
        <w:rPr/>
      </w:pPr>
      <w:r>
        <w:rPr/>
        <w:t xml:space="preserve">Price moves in </w:t>
      </w:r>
      <w:r>
        <w:rPr>
          <w:b/>
        </w:rPr>
        <w:t>wave up, wave down, wave up, wave down</w:t>
      </w:r>
      <w:r>
        <w:rPr/>
        <w:t xml:space="preserve"> = </w:t>
      </w:r>
      <w:r>
        <w:rPr>
          <w:b/>
        </w:rPr>
        <w:t>impulse, correction, impulse, correction</w:t>
      </w:r>
      <w:r>
        <w:rPr/>
        <w:t xml:space="preserve"> ("breathe out, breathe in").</w:t>
      </w:r>
    </w:p>
    <w:p>
      <w:pPr>
        <w:pStyle w:val="BodyText"/>
        <w:numPr>
          <w:ilvl w:val="0"/>
          <w:numId w:val="62"/>
        </w:numPr>
        <w:tabs>
          <w:tab w:val="clear" w:pos="709"/>
          <w:tab w:val="left" w:pos="709" w:leader="none"/>
        </w:tabs>
        <w:bidi w:val="0"/>
        <w:ind w:hanging="283" w:start="709"/>
        <w:jc w:val="start"/>
        <w:rPr/>
      </w:pPr>
      <w:r>
        <w:rPr>
          <w:b/>
        </w:rPr>
        <w:t>We buy on the wave down.</w:t>
      </w:r>
      <w:r>
        <w:rPr/>
        <w:t xml:space="preserve"> When price waves down and hits one of the moving averages, we can add more shares.</w:t>
      </w:r>
    </w:p>
    <w:p>
      <w:pPr>
        <w:pStyle w:val="BodyText"/>
        <w:numPr>
          <w:ilvl w:val="0"/>
          <w:numId w:val="62"/>
        </w:numPr>
        <w:tabs>
          <w:tab w:val="clear" w:pos="709"/>
          <w:tab w:val="left" w:pos="709" w:leader="none"/>
        </w:tabs>
        <w:bidi w:val="0"/>
        <w:ind w:hanging="283" w:start="709"/>
        <w:jc w:val="start"/>
        <w:rPr/>
      </w:pPr>
      <w:r>
        <w:rPr/>
        <w:t>Valid as long as the blue line remains above the green line (still an uptrend).</w:t>
      </w:r>
    </w:p>
    <w:p>
      <w:pPr>
        <w:pStyle w:val="BodyText"/>
        <w:numPr>
          <w:ilvl w:val="0"/>
          <w:numId w:val="62"/>
        </w:numPr>
        <w:tabs>
          <w:tab w:val="clear" w:pos="709"/>
          <w:tab w:val="left" w:pos="709" w:leader="none"/>
        </w:tabs>
        <w:bidi w:val="0"/>
        <w:ind w:hanging="283" w:start="709"/>
        <w:jc w:val="start"/>
        <w:rPr/>
      </w:pPr>
      <w:r>
        <w:rPr>
          <w:b/>
        </w:rPr>
        <w:t>Write this down: "Buy the dip on the uptrend."</w:t>
      </w:r>
    </w:p>
    <w:p>
      <w:pPr>
        <w:pStyle w:val="BodyText"/>
        <w:numPr>
          <w:ilvl w:val="0"/>
          <w:numId w:val="62"/>
        </w:numPr>
        <w:tabs>
          <w:tab w:val="clear" w:pos="709"/>
          <w:tab w:val="left" w:pos="709" w:leader="none"/>
        </w:tabs>
        <w:bidi w:val="0"/>
        <w:ind w:hanging="283" w:start="709"/>
        <w:jc w:val="start"/>
        <w:rPr/>
      </w:pPr>
      <w:r>
        <w:rPr>
          <w:b/>
        </w:rPr>
        <w:t>Dip = correction = retracement</w:t>
      </w:r>
      <w:r>
        <w:rPr/>
        <w:t xml:space="preserve"> — all the same thing.</w:t>
      </w:r>
    </w:p>
    <w:p>
      <w:pPr>
        <w:pStyle w:val="BodyText"/>
        <w:numPr>
          <w:ilvl w:val="0"/>
          <w:numId w:val="62"/>
        </w:numPr>
        <w:tabs>
          <w:tab w:val="clear" w:pos="709"/>
          <w:tab w:val="left" w:pos="709" w:leader="none"/>
        </w:tabs>
        <w:bidi w:val="0"/>
        <w:ind w:hanging="283" w:start="709"/>
        <w:jc w:val="start"/>
        <w:rPr/>
      </w:pPr>
      <w:r>
        <w:rPr/>
        <w:t xml:space="preserve">The moving averages </w:t>
      </w:r>
      <w:r>
        <w:rPr>
          <w:b/>
        </w:rPr>
        <w:t>act like support levels</w:t>
      </w:r>
      <w:r>
        <w:rPr/>
        <w:t xml:space="preserve"> — that's where you know you can add more shares.</w:t>
      </w:r>
    </w:p>
    <w:p>
      <w:pPr>
        <w:pStyle w:val="BodyText"/>
        <w:numPr>
          <w:ilvl w:val="0"/>
          <w:numId w:val="62"/>
        </w:numPr>
        <w:tabs>
          <w:tab w:val="clear" w:pos="709"/>
          <w:tab w:val="left" w:pos="709" w:leader="none"/>
        </w:tabs>
        <w:bidi w:val="0"/>
        <w:ind w:hanging="283" w:start="709"/>
        <w:jc w:val="start"/>
        <w:rPr/>
      </w:pPr>
      <w:r>
        <w:rPr/>
        <w:t xml:space="preserve">Frequency of adding is up to you: </w:t>
      </w:r>
      <w:r>
        <w:rPr>
          <w:b/>
        </w:rPr>
        <w:t>once in three months, once in six months, once a year.</w:t>
      </w:r>
    </w:p>
    <w:p>
      <w:pPr>
        <w:pStyle w:val="BodyText"/>
        <w:numPr>
          <w:ilvl w:val="0"/>
          <w:numId w:val="62"/>
        </w:numPr>
        <w:tabs>
          <w:tab w:val="clear" w:pos="709"/>
          <w:tab w:val="left" w:pos="709" w:leader="none"/>
        </w:tabs>
        <w:bidi w:val="0"/>
        <w:ind w:hanging="283" w:start="709"/>
        <w:jc w:val="start"/>
        <w:rPr/>
      </w:pPr>
      <w:r>
        <w:rPr/>
        <w:t>You can't tell how long an uptrend will last — it could last many months or many years. Keep adding along the way.</w:t>
      </w:r>
    </w:p>
    <w:p>
      <w:pPr>
        <w:pStyle w:val="Heading3"/>
        <w:numPr>
          <w:ilvl w:val="0"/>
          <w:numId w:val="0"/>
        </w:numPr>
        <w:bidi w:val="0"/>
        <w:ind w:hanging="0" w:start="0"/>
        <w:jc w:val="start"/>
        <w:rPr/>
      </w:pPr>
      <w:r>
        <w:rPr/>
        <w:t>A7. Worked Example — 2006 to 2011 (Financial Crisis Window)</w:t>
      </w:r>
    </w:p>
    <w:p>
      <w:pPr>
        <w:pStyle w:val="BodyText"/>
        <w:numPr>
          <w:ilvl w:val="0"/>
          <w:numId w:val="63"/>
        </w:numPr>
        <w:tabs>
          <w:tab w:val="clear" w:pos="709"/>
          <w:tab w:val="left" w:pos="709" w:leader="none"/>
        </w:tabs>
        <w:bidi w:val="0"/>
        <w:ind w:hanging="283" w:start="709"/>
        <w:jc w:val="start"/>
        <w:rPr/>
      </w:pPr>
      <w:r>
        <w:rPr/>
        <w:t xml:space="preserve">If you bought the Dow Jones or the S&amp;P at the start of this ~five-year window and simply held, you would end up with </w:t>
      </w:r>
      <w:r>
        <w:rPr>
          <w:b/>
        </w:rPr>
        <w:t>a very small return</w:t>
      </w:r>
      <w:r>
        <w:rPr/>
        <w:t>.</w:t>
      </w:r>
    </w:p>
    <w:p>
      <w:pPr>
        <w:pStyle w:val="BodyText"/>
        <w:numPr>
          <w:ilvl w:val="0"/>
          <w:numId w:val="63"/>
        </w:numPr>
        <w:tabs>
          <w:tab w:val="clear" w:pos="709"/>
          <w:tab w:val="left" w:pos="709" w:leader="none"/>
        </w:tabs>
        <w:bidi w:val="0"/>
        <w:spacing w:before="0" w:after="0"/>
        <w:ind w:hanging="283" w:start="709"/>
        <w:jc w:val="start"/>
        <w:rPr/>
      </w:pPr>
      <w:r>
        <w:rPr/>
        <w:t>Using trend following you exit before the bear market and buy back to catch the bull market. Three trades:</w:t>
      </w:r>
    </w:p>
    <w:p>
      <w:pPr>
        <w:pStyle w:val="BodyText"/>
        <w:numPr>
          <w:ilvl w:val="1"/>
          <w:numId w:val="63"/>
        </w:numPr>
        <w:tabs>
          <w:tab w:val="clear" w:pos="709"/>
          <w:tab w:val="left" w:pos="1418" w:leader="none"/>
        </w:tabs>
        <w:bidi w:val="0"/>
        <w:ind w:hanging="283" w:start="1418"/>
        <w:jc w:val="start"/>
        <w:rPr/>
      </w:pPr>
      <w:r>
        <w:rPr/>
        <w:t xml:space="preserve">Trade 1: </w:t>
      </w:r>
      <w:r>
        <w:rPr>
          <w:b/>
        </w:rPr>
        <w:t>+22%</w:t>
      </w:r>
    </w:p>
    <w:p>
      <w:pPr>
        <w:pStyle w:val="BodyText"/>
        <w:numPr>
          <w:ilvl w:val="1"/>
          <w:numId w:val="63"/>
        </w:numPr>
        <w:tabs>
          <w:tab w:val="clear" w:pos="709"/>
          <w:tab w:val="left" w:pos="1418" w:leader="none"/>
        </w:tabs>
        <w:bidi w:val="0"/>
        <w:ind w:hanging="283" w:start="1418"/>
        <w:jc w:val="start"/>
        <w:rPr/>
      </w:pPr>
      <w:r>
        <w:rPr/>
        <w:t xml:space="preserve">Trade 2: </w:t>
      </w:r>
      <w:r>
        <w:rPr>
          <w:b/>
        </w:rPr>
        <w:t>+31%</w:t>
      </w:r>
      <w:r>
        <w:rPr/>
        <w:t xml:space="preserve"> (after avoiding the entire bear market)</w:t>
      </w:r>
    </w:p>
    <w:p>
      <w:pPr>
        <w:pStyle w:val="BodyText"/>
        <w:numPr>
          <w:ilvl w:val="1"/>
          <w:numId w:val="63"/>
        </w:numPr>
        <w:tabs>
          <w:tab w:val="clear" w:pos="709"/>
          <w:tab w:val="left" w:pos="1418" w:leader="none"/>
        </w:tabs>
        <w:bidi w:val="0"/>
        <w:ind w:hanging="283" w:start="1418"/>
        <w:jc w:val="start"/>
        <w:rPr/>
      </w:pPr>
      <w:r>
        <w:rPr/>
        <w:t xml:space="preserve">Trade 3: </w:t>
      </w:r>
      <w:r>
        <w:rPr>
          <w:b/>
        </w:rPr>
        <w:t>+19%</w:t>
      </w:r>
    </w:p>
    <w:p>
      <w:pPr>
        <w:pStyle w:val="BodyText"/>
        <w:numPr>
          <w:ilvl w:val="1"/>
          <w:numId w:val="63"/>
        </w:numPr>
        <w:tabs>
          <w:tab w:val="clear" w:pos="709"/>
          <w:tab w:val="left" w:pos="1418" w:leader="none"/>
        </w:tabs>
        <w:bidi w:val="0"/>
        <w:ind w:hanging="283" w:start="1418"/>
        <w:jc w:val="start"/>
        <w:rPr/>
      </w:pPr>
      <w:r>
        <w:rPr>
          <w:b/>
        </w:rPr>
        <w:t>Total: 72% over the five-year period</w:t>
      </w:r>
      <w:r>
        <w:rPr/>
        <w:t xml:space="preserve"> — better than buying and holding across the same window.</w:t>
      </w:r>
    </w:p>
    <w:p>
      <w:pPr>
        <w:pStyle w:val="Heading3"/>
        <w:numPr>
          <w:ilvl w:val="0"/>
          <w:numId w:val="0"/>
        </w:numPr>
        <w:bidi w:val="0"/>
        <w:ind w:hanging="0" w:start="0"/>
        <w:jc w:val="start"/>
        <w:rPr/>
      </w:pPr>
      <w:r>
        <w:rPr/>
        <w:t>A8. Charting Setup — Tools and Exact Steps</w:t>
      </w:r>
    </w:p>
    <w:p>
      <w:pPr>
        <w:pStyle w:val="BodyText"/>
        <w:numPr>
          <w:ilvl w:val="0"/>
          <w:numId w:val="64"/>
        </w:numPr>
        <w:tabs>
          <w:tab w:val="clear" w:pos="709"/>
          <w:tab w:val="left" w:pos="709" w:leader="none"/>
        </w:tabs>
        <w:bidi w:val="0"/>
        <w:ind w:hanging="283" w:start="709"/>
        <w:jc w:val="start"/>
        <w:rPr/>
      </w:pPr>
      <w:r>
        <w:rPr>
          <w:b/>
        </w:rPr>
        <w:t>Any charting software will work</w:t>
      </w:r>
      <w:r>
        <w:rPr/>
        <w:t xml:space="preserve"> — all charting software lets you add moving averages. Named options: </w:t>
      </w:r>
      <w:r>
        <w:rPr>
          <w:b/>
        </w:rPr>
        <w:t>TradingView</w:t>
      </w:r>
      <w:r>
        <w:rPr/>
        <w:t xml:space="preserve">, or </w:t>
      </w:r>
      <w:r>
        <w:rPr>
          <w:b/>
        </w:rPr>
        <w:t>the charting software from your broker</w:t>
      </w:r>
      <w:r>
        <w:rPr/>
        <w:t>, whichever broker you use.</w:t>
      </w:r>
    </w:p>
    <w:p>
      <w:pPr>
        <w:pStyle w:val="BodyText"/>
        <w:numPr>
          <w:ilvl w:val="0"/>
          <w:numId w:val="64"/>
        </w:numPr>
        <w:tabs>
          <w:tab w:val="clear" w:pos="709"/>
          <w:tab w:val="left" w:pos="709" w:leader="none"/>
        </w:tabs>
        <w:bidi w:val="0"/>
        <w:ind w:hanging="283" w:start="709"/>
        <w:jc w:val="start"/>
        <w:rPr/>
      </w:pPr>
      <w:r>
        <w:rPr/>
        <w:t xml:space="preserve">Adam demonstrates on </w:t>
      </w:r>
      <w:r>
        <w:rPr>
          <w:b/>
        </w:rPr>
        <w:t>Think or Swim (TD Ameritrade)</w:t>
      </w:r>
      <w:r>
        <w:rPr/>
        <w:t xml:space="preserve"> charting software.</w:t>
      </w:r>
    </w:p>
    <w:p>
      <w:pPr>
        <w:pStyle w:val="BodyText"/>
        <w:numPr>
          <w:ilvl w:val="0"/>
          <w:numId w:val="64"/>
        </w:numPr>
        <w:tabs>
          <w:tab w:val="clear" w:pos="709"/>
          <w:tab w:val="left" w:pos="709" w:leader="none"/>
        </w:tabs>
        <w:bidi w:val="0"/>
        <w:ind w:hanging="283" w:start="709"/>
        <w:jc w:val="start"/>
        <w:rPr/>
      </w:pPr>
      <w:r>
        <w:rPr/>
        <w:t xml:space="preserve">Instrument used: </w:t>
      </w:r>
      <w:r>
        <w:rPr>
          <w:b/>
        </w:rPr>
        <w:t>SPY</w:t>
      </w:r>
      <w:r>
        <w:rPr/>
        <w:t xml:space="preserve"> (the S&amp;P 500 ETF).</w:t>
      </w:r>
    </w:p>
    <w:p>
      <w:pPr>
        <w:pStyle w:val="Heading4"/>
        <w:numPr>
          <w:ilvl w:val="0"/>
          <w:numId w:val="0"/>
        </w:numPr>
        <w:bidi w:val="0"/>
        <w:ind w:hanging="0" w:start="0"/>
        <w:jc w:val="start"/>
        <w:rPr/>
      </w:pPr>
      <w:r>
        <w:rPr/>
        <w:t>Steps to install the moving averages (Think or Swim)</w:t>
      </w:r>
    </w:p>
    <w:p>
      <w:pPr>
        <w:pStyle w:val="BodyText"/>
        <w:numPr>
          <w:ilvl w:val="0"/>
          <w:numId w:val="65"/>
        </w:numPr>
        <w:tabs>
          <w:tab w:val="clear" w:pos="709"/>
          <w:tab w:val="left" w:pos="709" w:leader="none"/>
        </w:tabs>
        <w:bidi w:val="0"/>
        <w:ind w:hanging="283" w:start="709"/>
        <w:jc w:val="start"/>
        <w:rPr/>
      </w:pPr>
      <w:r>
        <w:rPr/>
        <w:t xml:space="preserve">Set candles to </w:t>
      </w:r>
      <w:r>
        <w:rPr>
          <w:b/>
        </w:rPr>
        <w:t>daily</w:t>
      </w:r>
      <w:r>
        <w:rPr/>
        <w:t>.</w:t>
      </w:r>
    </w:p>
    <w:p>
      <w:pPr>
        <w:pStyle w:val="BodyText"/>
        <w:numPr>
          <w:ilvl w:val="0"/>
          <w:numId w:val="65"/>
        </w:numPr>
        <w:tabs>
          <w:tab w:val="clear" w:pos="709"/>
          <w:tab w:val="left" w:pos="709" w:leader="none"/>
        </w:tabs>
        <w:bidi w:val="0"/>
        <w:ind w:hanging="283" w:start="709"/>
        <w:jc w:val="start"/>
        <w:rPr/>
      </w:pPr>
      <w:r>
        <w:rPr/>
        <w:t xml:space="preserve">To back-test, set the chart range to </w:t>
      </w:r>
      <w:r>
        <w:rPr>
          <w:b/>
        </w:rPr>
        <w:t>20 years</w:t>
      </w:r>
      <w:r>
        <w:rPr/>
        <w:t xml:space="preserve"> — the software automatically switches to monthly candles, so go to </w:t>
      </w:r>
      <w:r>
        <w:rPr>
          <w:b/>
        </w:rPr>
        <w:t>Time Frame</w:t>
      </w:r>
      <w:r>
        <w:rPr/>
        <w:t xml:space="preserve"> and </w:t>
      </w:r>
      <w:r>
        <w:rPr>
          <w:b/>
        </w:rPr>
        <w:t>change it back to daily candles</w:t>
      </w:r>
      <w:r>
        <w:rPr/>
        <w:t xml:space="preserve"> (20 years, daily candles).</w:t>
      </w:r>
    </w:p>
    <w:p>
      <w:pPr>
        <w:pStyle w:val="BodyText"/>
        <w:numPr>
          <w:ilvl w:val="0"/>
          <w:numId w:val="65"/>
        </w:numPr>
        <w:tabs>
          <w:tab w:val="clear" w:pos="709"/>
          <w:tab w:val="left" w:pos="709" w:leader="none"/>
        </w:tabs>
        <w:bidi w:val="0"/>
        <w:ind w:hanging="283" w:start="709"/>
        <w:jc w:val="start"/>
        <w:rPr/>
      </w:pPr>
      <w:r>
        <w:rPr/>
        <w:t xml:space="preserve">Click the </w:t>
      </w:r>
      <w:r>
        <w:rPr>
          <w:b/>
        </w:rPr>
        <w:t>"magic potion" (studies) icon</w:t>
      </w:r>
      <w:r>
        <w:rPr/>
        <w:t xml:space="preserve"> → type </w:t>
      </w:r>
      <w:r>
        <w:rPr>
          <w:b/>
        </w:rPr>
        <w:t>"moving averages"</w:t>
      </w:r>
      <w:r>
        <w:rPr/>
        <w:t>.</w:t>
      </w:r>
    </w:p>
    <w:p>
      <w:pPr>
        <w:pStyle w:val="BodyText"/>
        <w:numPr>
          <w:ilvl w:val="0"/>
          <w:numId w:val="65"/>
        </w:numPr>
        <w:tabs>
          <w:tab w:val="clear" w:pos="709"/>
          <w:tab w:val="left" w:pos="709" w:leader="none"/>
        </w:tabs>
        <w:bidi w:val="0"/>
        <w:ind w:hanging="283" w:start="709"/>
        <w:jc w:val="start"/>
        <w:rPr/>
      </w:pPr>
      <w:r>
        <w:rPr/>
        <w:t xml:space="preserve">Two kinds exist: </w:t>
      </w:r>
      <w:r>
        <w:rPr>
          <w:b/>
        </w:rPr>
        <w:t>Simple Moving Average</w:t>
      </w:r>
      <w:r>
        <w:rPr/>
        <w:t xml:space="preserve"> and </w:t>
      </w:r>
      <w:r>
        <w:rPr>
          <w:b/>
        </w:rPr>
        <w:t>Exponential Moving Average</w:t>
      </w:r>
      <w:r>
        <w:rPr/>
        <w:t xml:space="preserve">. </w:t>
      </w:r>
      <w:r>
        <w:rPr>
          <w:b/>
        </w:rPr>
        <w:t>For the 50/150 method, use the SIMPLE moving average.</w:t>
      </w:r>
    </w:p>
    <w:p>
      <w:pPr>
        <w:pStyle w:val="BodyText"/>
        <w:numPr>
          <w:ilvl w:val="0"/>
          <w:numId w:val="65"/>
        </w:numPr>
        <w:tabs>
          <w:tab w:val="clear" w:pos="709"/>
          <w:tab w:val="left" w:pos="709" w:leader="none"/>
        </w:tabs>
        <w:bidi w:val="0"/>
        <w:ind w:hanging="283" w:start="709"/>
        <w:jc w:val="start"/>
        <w:rPr/>
      </w:pPr>
      <w:r>
        <w:rPr/>
        <w:t xml:space="preserve">Double-click Simple Moving Average → it defaults to a </w:t>
      </w:r>
      <w:r>
        <w:rPr>
          <w:b/>
        </w:rPr>
        <w:t>9-day</w:t>
      </w:r>
      <w:r>
        <w:rPr/>
        <w:t xml:space="preserve"> MA.</w:t>
      </w:r>
    </w:p>
    <w:p>
      <w:pPr>
        <w:pStyle w:val="BodyText"/>
        <w:numPr>
          <w:ilvl w:val="0"/>
          <w:numId w:val="65"/>
        </w:numPr>
        <w:tabs>
          <w:tab w:val="clear" w:pos="709"/>
          <w:tab w:val="left" w:pos="709" w:leader="none"/>
        </w:tabs>
        <w:bidi w:val="0"/>
        <w:ind w:hanging="283" w:start="709"/>
        <w:jc w:val="start"/>
        <w:rPr/>
      </w:pPr>
      <w:r>
        <w:rPr/>
        <w:t xml:space="preserve">Click </w:t>
      </w:r>
      <w:r>
        <w:rPr>
          <w:b/>
        </w:rPr>
        <w:t>Edit</w:t>
      </w:r>
      <w:r>
        <w:rPr/>
        <w:t xml:space="preserve">, change </w:t>
      </w:r>
      <w:r>
        <w:rPr>
          <w:b/>
        </w:rPr>
        <w:t>9 → 50</w:t>
      </w:r>
      <w:r>
        <w:rPr/>
        <w:t xml:space="preserve">, set colour </w:t>
      </w:r>
      <w:r>
        <w:rPr>
          <w:b/>
        </w:rPr>
        <w:t>blue</w:t>
      </w:r>
      <w:r>
        <w:rPr/>
        <w:t xml:space="preserve">, width </w:t>
      </w:r>
      <w:r>
        <w:rPr>
          <w:b/>
        </w:rPr>
        <w:t>2 or 3</w:t>
      </w:r>
      <w:r>
        <w:rPr/>
        <w:t xml:space="preserve"> (doesn't matter).</w:t>
      </w:r>
    </w:p>
    <w:p>
      <w:pPr>
        <w:pStyle w:val="BodyText"/>
        <w:numPr>
          <w:ilvl w:val="0"/>
          <w:numId w:val="65"/>
        </w:numPr>
        <w:tabs>
          <w:tab w:val="clear" w:pos="709"/>
          <w:tab w:val="left" w:pos="709" w:leader="none"/>
        </w:tabs>
        <w:bidi w:val="0"/>
        <w:ind w:hanging="283" w:start="709"/>
        <w:jc w:val="start"/>
        <w:rPr/>
      </w:pPr>
      <w:r>
        <w:rPr/>
        <w:t xml:space="preserve">Click again to add a second study → </w:t>
      </w:r>
      <w:r>
        <w:rPr>
          <w:b/>
        </w:rPr>
        <w:t>Edit</w:t>
      </w:r>
      <w:r>
        <w:rPr/>
        <w:t xml:space="preserve"> → change to </w:t>
      </w:r>
      <w:r>
        <w:rPr>
          <w:b/>
        </w:rPr>
        <w:t>150</w:t>
      </w:r>
      <w:r>
        <w:rPr/>
        <w:t xml:space="preserve">, colour </w:t>
      </w:r>
      <w:r>
        <w:rPr>
          <w:b/>
        </w:rPr>
        <w:t>green</w:t>
      </w:r>
      <w:r>
        <w:rPr/>
        <w:t xml:space="preserve">, width </w:t>
      </w:r>
      <w:r>
        <w:rPr>
          <w:b/>
        </w:rPr>
        <w:t>2</w:t>
      </w:r>
      <w:r>
        <w:rPr/>
        <w:t>.</w:t>
      </w:r>
    </w:p>
    <w:p>
      <w:pPr>
        <w:pStyle w:val="BodyText"/>
        <w:numPr>
          <w:ilvl w:val="0"/>
          <w:numId w:val="65"/>
        </w:numPr>
        <w:tabs>
          <w:tab w:val="clear" w:pos="709"/>
          <w:tab w:val="left" w:pos="709" w:leader="none"/>
        </w:tabs>
        <w:bidi w:val="0"/>
        <w:ind w:hanging="283" w:start="709"/>
        <w:jc w:val="start"/>
        <w:rPr/>
      </w:pPr>
      <w:r>
        <w:rPr/>
        <w:t xml:space="preserve">Click OK. Optionally </w:t>
      </w:r>
      <w:r>
        <w:rPr>
          <w:b/>
        </w:rPr>
        <w:t>Save as "50 150"</w:t>
      </w:r>
      <w:r>
        <w:rPr/>
        <w:t xml:space="preserve"> so the preset is reusable.</w:t>
      </w:r>
    </w:p>
    <w:p>
      <w:pPr>
        <w:pStyle w:val="BodyText"/>
        <w:numPr>
          <w:ilvl w:val="0"/>
          <w:numId w:val="65"/>
        </w:numPr>
        <w:tabs>
          <w:tab w:val="clear" w:pos="709"/>
          <w:tab w:val="left" w:pos="709" w:leader="none"/>
        </w:tabs>
        <w:bidi w:val="0"/>
        <w:ind w:hanging="283" w:start="709"/>
        <w:jc w:val="start"/>
        <w:rPr/>
      </w:pPr>
      <w:r>
        <w:rPr/>
        <w:t xml:space="preserve">(Later: add the </w:t>
      </w:r>
      <w:r>
        <w:rPr>
          <w:b/>
        </w:rPr>
        <w:t>200 MA in red</w:t>
      </w:r>
      <w:r>
        <w:rPr/>
        <w:t>.)</w:t>
      </w:r>
    </w:p>
    <w:p>
      <w:pPr>
        <w:pStyle w:val="Heading3"/>
        <w:numPr>
          <w:ilvl w:val="0"/>
          <w:numId w:val="0"/>
        </w:numPr>
        <w:bidi w:val="0"/>
        <w:ind w:hanging="0" w:start="0"/>
        <w:jc w:val="start"/>
        <w:rPr/>
      </w:pPr>
      <w:r>
        <w:rPr/>
        <w:t>A9. The 20-Year SPY Back-Test — Trade-by-Trade Walkthrough (Video 21)</w:t>
      </w:r>
    </w:p>
    <w:p>
      <w:pPr>
        <w:pStyle w:val="Heading4"/>
        <w:bidi w:val="0"/>
        <w:ind w:hanging="0" w:start="0"/>
        <w:jc w:val="start"/>
        <w:rPr/>
      </w:pPr>
      <w:r>
        <w:rPr/>
        <w:t>Back-test protocol</w:t>
      </w:r>
    </w:p>
    <w:p>
      <w:pPr>
        <w:pStyle w:val="BodyText"/>
        <w:numPr>
          <w:ilvl w:val="0"/>
          <w:numId w:val="66"/>
        </w:numPr>
        <w:tabs>
          <w:tab w:val="clear" w:pos="709"/>
          <w:tab w:val="left" w:pos="709" w:leader="none"/>
        </w:tabs>
        <w:bidi w:val="0"/>
        <w:ind w:hanging="283" w:start="709"/>
        <w:jc w:val="start"/>
        <w:rPr/>
      </w:pPr>
      <w:r>
        <w:rPr/>
        <w:t xml:space="preserve">Chart starts at </w:t>
      </w:r>
      <w:r>
        <w:rPr>
          <w:b/>
        </w:rPr>
        <w:t>2001</w:t>
      </w:r>
      <w:r>
        <w:rPr/>
        <w:t>. Move forward day by day.</w:t>
      </w:r>
    </w:p>
    <w:p>
      <w:pPr>
        <w:pStyle w:val="BodyText"/>
        <w:numPr>
          <w:ilvl w:val="0"/>
          <w:numId w:val="66"/>
        </w:numPr>
        <w:tabs>
          <w:tab w:val="clear" w:pos="709"/>
          <w:tab w:val="left" w:pos="709" w:leader="none"/>
        </w:tabs>
        <w:bidi w:val="0"/>
        <w:ind w:hanging="283" w:start="709"/>
        <w:jc w:val="start"/>
        <w:rPr/>
      </w:pPr>
      <w:r>
        <w:rPr>
          <w:b/>
        </w:rPr>
        <w:t>Pretend you don't know the future</w:t>
      </w:r>
      <w:r>
        <w:rPr/>
        <w:t xml:space="preserve"> — make decisions only on what is visible at that moment.</w:t>
      </w:r>
    </w:p>
    <w:p>
      <w:pPr>
        <w:pStyle w:val="BodyText"/>
        <w:numPr>
          <w:ilvl w:val="0"/>
          <w:numId w:val="66"/>
        </w:numPr>
        <w:tabs>
          <w:tab w:val="clear" w:pos="709"/>
          <w:tab w:val="left" w:pos="709" w:leader="none"/>
        </w:tabs>
        <w:bidi w:val="0"/>
        <w:ind w:hanging="283" w:start="709"/>
        <w:jc w:val="start"/>
        <w:rPr/>
      </w:pPr>
      <w:r>
        <w:rPr>
          <w:b/>
        </w:rPr>
        <w:t>Execution rule: buy or sell on the OPENING PRICE of the day AFTER the crossover is confirmed.</w:t>
      </w:r>
    </w:p>
    <w:p>
      <w:pPr>
        <w:pStyle w:val="BodyText"/>
        <w:numPr>
          <w:ilvl w:val="0"/>
          <w:numId w:val="66"/>
        </w:numPr>
        <w:tabs>
          <w:tab w:val="clear" w:pos="709"/>
          <w:tab w:val="left" w:pos="709" w:leader="none"/>
        </w:tabs>
        <w:bidi w:val="0"/>
        <w:ind w:hanging="283" w:start="709"/>
        <w:jc w:val="start"/>
        <w:rPr/>
      </w:pPr>
      <w:r>
        <w:rPr/>
        <w:t xml:space="preserve">Chart legend used to read the price: </w:t>
      </w:r>
      <w:r>
        <w:rPr>
          <w:b/>
        </w:rPr>
        <w:t>O = opening price, H = high, L = low, C = closing price.</w:t>
      </w:r>
      <w:r>
        <w:rPr/>
        <w:t xml:space="preserve"> We trade the </w:t>
      </w:r>
      <w:r>
        <w:rPr>
          <w:b/>
        </w:rPr>
        <w:t>O</w:t>
      </w:r>
      <w:r>
        <w:rPr/>
        <w:t>.</w:t>
      </w:r>
    </w:p>
    <w:p>
      <w:pPr>
        <w:pStyle w:val="BodyText"/>
        <w:numPr>
          <w:ilvl w:val="0"/>
          <w:numId w:val="66"/>
        </w:numPr>
        <w:tabs>
          <w:tab w:val="clear" w:pos="709"/>
          <w:tab w:val="left" w:pos="709" w:leader="none"/>
        </w:tabs>
        <w:bidi w:val="0"/>
        <w:ind w:hanging="283" w:start="709"/>
        <w:jc w:val="start"/>
        <w:rPr/>
      </w:pPr>
      <w:r>
        <w:rPr/>
        <w:t xml:space="preserve">Prices recorded in an </w:t>
      </w:r>
      <w:r>
        <w:rPr>
          <w:b/>
        </w:rPr>
        <w:t>Excel spreadsheet</w:t>
      </w:r>
      <w:r>
        <w:rPr/>
        <w:t xml:space="preserve"> to calculate profit/loss.</w:t>
      </w:r>
    </w:p>
    <w:p>
      <w:pPr>
        <w:pStyle w:val="Heading4"/>
        <w:numPr>
          <w:ilvl w:val="0"/>
          <w:numId w:val="0"/>
        </w:numPr>
        <w:bidi w:val="0"/>
        <w:ind w:hanging="0" w:start="0"/>
        <w:jc w:val="start"/>
        <w:rPr/>
      </w:pPr>
      <w:r>
        <w:rPr/>
        <w:t>Signals and fake-outs encountered</w:t>
      </w:r>
    </w:p>
    <w:p>
      <w:pPr>
        <w:pStyle w:val="BodyText"/>
        <w:numPr>
          <w:ilvl w:val="0"/>
          <w:numId w:val="67"/>
        </w:numPr>
        <w:tabs>
          <w:tab w:val="clear" w:pos="709"/>
          <w:tab w:val="left" w:pos="709" w:leader="none"/>
        </w:tabs>
        <w:bidi w:val="0"/>
        <w:ind w:hanging="283" w:start="709"/>
        <w:jc w:val="start"/>
        <w:rPr/>
      </w:pPr>
      <w:r>
        <w:rPr/>
        <w:t xml:space="preserve">Starting state 2001: </w:t>
      </w:r>
      <w:r>
        <w:rPr>
          <w:b/>
        </w:rPr>
        <w:t>downtrend</w:t>
      </w:r>
      <w:r>
        <w:rPr/>
        <w:t xml:space="preserve"> (blue below green) → do not buy.</w:t>
      </w:r>
    </w:p>
    <w:p>
      <w:pPr>
        <w:pStyle w:val="BodyText"/>
        <w:numPr>
          <w:ilvl w:val="0"/>
          <w:numId w:val="67"/>
        </w:numPr>
        <w:tabs>
          <w:tab w:val="clear" w:pos="709"/>
          <w:tab w:val="left" w:pos="709" w:leader="none"/>
        </w:tabs>
        <w:bidi w:val="0"/>
        <w:ind w:hanging="283" w:start="709"/>
        <w:jc w:val="start"/>
        <w:rPr/>
      </w:pPr>
      <w:r>
        <w:rPr>
          <w:b/>
        </w:rPr>
        <w:t>First crossover: NOT a buy</w:t>
      </w:r>
      <w:r>
        <w:rPr/>
        <w:t xml:space="preserve"> — the blue had sloped up but the </w:t>
      </w:r>
      <w:r>
        <w:rPr>
          <w:b/>
        </w:rPr>
        <w:t>green was still sloping down</w:t>
      </w:r>
      <w:r>
        <w:rPr/>
        <w:t>. It was a fake-out; the 50 fell back below the 150 and the downtrend continued.</w:t>
      </w:r>
    </w:p>
    <w:p>
      <w:pPr>
        <w:pStyle w:val="BodyText"/>
        <w:numPr>
          <w:ilvl w:val="0"/>
          <w:numId w:val="67"/>
        </w:numPr>
        <w:tabs>
          <w:tab w:val="clear" w:pos="709"/>
          <w:tab w:val="left" w:pos="709" w:leader="none"/>
        </w:tabs>
        <w:bidi w:val="0"/>
        <w:ind w:hanging="283" w:start="709"/>
        <w:jc w:val="start"/>
        <w:rPr/>
      </w:pPr>
      <w:r>
        <w:rPr>
          <w:b/>
        </w:rPr>
        <w:t>Second crossover: confirmed</w:t>
      </w:r>
      <w:r>
        <w:rPr/>
        <w:t xml:space="preserve"> — both sloping up + crossover → </w:t>
      </w:r>
      <w:r>
        <w:rPr>
          <w:b/>
        </w:rPr>
        <w:t>BUY</w:t>
      </w:r>
      <w:r>
        <w:rPr/>
        <w:t>.</w:t>
      </w:r>
    </w:p>
    <w:p>
      <w:pPr>
        <w:pStyle w:val="Heading4"/>
        <w:numPr>
          <w:ilvl w:val="0"/>
          <w:numId w:val="0"/>
        </w:numPr>
        <w:bidi w:val="0"/>
        <w:ind w:hanging="0" w:start="0"/>
        <w:jc w:val="start"/>
        <w:rPr/>
      </w:pPr>
      <w:r>
        <w:rPr/>
        <w:t>Complete trade log (SPY, opening prices)</w:t>
      </w:r>
    </w:p>
    <w:tbl>
      <w:tblPr>
        <w:tblW w:w="5000" w:type="pct"/>
        <w:jc w:val="start"/>
        <w:tblInd w:w="-5" w:type="dxa"/>
        <w:tblLayout w:type="fixed"/>
        <w:tblCellMar>
          <w:top w:w="55" w:type="dxa"/>
          <w:start w:w="55" w:type="dxa"/>
          <w:bottom w:w="55" w:type="dxa"/>
          <w:end w:w="55" w:type="dxa"/>
        </w:tblCellMar>
      </w:tblPr>
      <w:tblGrid>
        <w:gridCol w:w="2409"/>
        <w:gridCol w:w="2410"/>
        <w:gridCol w:w="2409"/>
        <w:gridCol w:w="2410"/>
      </w:tblGrid>
      <w:tr>
        <w:trPr>
          <w:tblHeader w:val="true"/>
        </w:trPr>
        <w:tc>
          <w:tcPr>
            <w:tcW w:w="2409" w:type="dxa"/>
            <w:tcBorders>
              <w:top w:val="single" w:sz="4" w:space="0" w:color="000000"/>
              <w:start w:val="single" w:sz="4" w:space="0" w:color="000000"/>
              <w:bottom w:val="single" w:sz="4" w:space="0" w:color="000000"/>
            </w:tcBorders>
          </w:tcPr>
          <w:p>
            <w:pPr>
              <w:pStyle w:val="TableHeading"/>
              <w:bidi w:val="0"/>
              <w:jc w:val="start"/>
              <w:rPr/>
            </w:pPr>
            <w:r>
              <w:rPr/>
              <w:t>#</w:t>
            </w:r>
          </w:p>
        </w:tc>
        <w:tc>
          <w:tcPr>
            <w:tcW w:w="2410" w:type="dxa"/>
            <w:tcBorders>
              <w:top w:val="single" w:sz="4" w:space="0" w:color="000000"/>
              <w:start w:val="single" w:sz="4" w:space="0" w:color="000000"/>
              <w:bottom w:val="single" w:sz="4" w:space="0" w:color="000000"/>
            </w:tcBorders>
          </w:tcPr>
          <w:p>
            <w:pPr>
              <w:pStyle w:val="TableHeading"/>
              <w:bidi w:val="0"/>
              <w:jc w:val="start"/>
              <w:rPr/>
            </w:pPr>
            <w:r>
              <w:rPr/>
              <w:t>Action</w:t>
            </w:r>
          </w:p>
        </w:tc>
        <w:tc>
          <w:tcPr>
            <w:tcW w:w="2409" w:type="dxa"/>
            <w:tcBorders>
              <w:top w:val="single" w:sz="4" w:space="0" w:color="000000"/>
              <w:start w:val="single" w:sz="4" w:space="0" w:color="000000"/>
              <w:bottom w:val="single" w:sz="4" w:space="0" w:color="000000"/>
            </w:tcBorders>
          </w:tcPr>
          <w:p>
            <w:pPr>
              <w:pStyle w:val="TableHeading"/>
              <w:bidi w:val="0"/>
              <w:jc w:val="start"/>
              <w:rPr/>
            </w:pPr>
            <w:r>
              <w:rPr/>
              <w:t>Price</w:t>
            </w:r>
          </w:p>
        </w:tc>
        <w:tc>
          <w:tcPr>
            <w:tcW w:w="2410"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Note</w:t>
            </w:r>
          </w:p>
        </w:tc>
      </w:tr>
      <w:tr>
        <w:trPr/>
        <w:tc>
          <w:tcPr>
            <w:tcW w:w="2409" w:type="dxa"/>
            <w:tcBorders>
              <w:start w:val="single" w:sz="4" w:space="0" w:color="000000"/>
              <w:bottom w:val="single" w:sz="4" w:space="0" w:color="000000"/>
            </w:tcBorders>
          </w:tcPr>
          <w:p>
            <w:pPr>
              <w:pStyle w:val="TableContents"/>
              <w:bidi w:val="0"/>
              <w:jc w:val="start"/>
              <w:rPr/>
            </w:pPr>
            <w:r>
              <w:rPr/>
              <w:t>1</w:t>
            </w:r>
          </w:p>
        </w:tc>
        <w:tc>
          <w:tcPr>
            <w:tcW w:w="2410" w:type="dxa"/>
            <w:tcBorders>
              <w:start w:val="single" w:sz="4" w:space="0" w:color="000000"/>
              <w:bottom w:val="single" w:sz="4" w:space="0" w:color="000000"/>
            </w:tcBorders>
          </w:tcPr>
          <w:p>
            <w:pPr>
              <w:pStyle w:val="TableContents"/>
              <w:bidi w:val="0"/>
              <w:jc w:val="start"/>
              <w:rPr/>
            </w:pPr>
            <w:r>
              <w:rPr/>
              <w:t>BUY</w:t>
            </w:r>
          </w:p>
        </w:tc>
        <w:tc>
          <w:tcPr>
            <w:tcW w:w="2409" w:type="dxa"/>
            <w:tcBorders>
              <w:start w:val="single" w:sz="4" w:space="0" w:color="000000"/>
              <w:bottom w:val="single" w:sz="4" w:space="0" w:color="000000"/>
            </w:tcBorders>
          </w:tcPr>
          <w:p>
            <w:pPr>
              <w:pStyle w:val="TableContents"/>
              <w:bidi w:val="0"/>
              <w:jc w:val="start"/>
              <w:rPr/>
            </w:pPr>
            <w:r>
              <w:rPr/>
              <w:t>94.89</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Day after confirmed crossover</w:t>
            </w:r>
          </w:p>
        </w:tc>
      </w:tr>
      <w:tr>
        <w:trPr/>
        <w:tc>
          <w:tcPr>
            <w:tcW w:w="2409" w:type="dxa"/>
            <w:tcBorders>
              <w:start w:val="single" w:sz="4" w:space="0" w:color="000000"/>
              <w:bottom w:val="single" w:sz="4" w:space="0" w:color="000000"/>
            </w:tcBorders>
          </w:tcPr>
          <w:p>
            <w:pPr>
              <w:pStyle w:val="TableContents"/>
              <w:bidi w:val="0"/>
              <w:jc w:val="start"/>
              <w:rPr/>
            </w:pPr>
            <w:r>
              <w:rPr/>
              <w:t>2</w:t>
            </w:r>
          </w:p>
        </w:tc>
        <w:tc>
          <w:tcPr>
            <w:tcW w:w="2410" w:type="dxa"/>
            <w:tcBorders>
              <w:start w:val="single" w:sz="4" w:space="0" w:color="000000"/>
              <w:bottom w:val="single" w:sz="4" w:space="0" w:color="000000"/>
            </w:tcBorders>
          </w:tcPr>
          <w:p>
            <w:pPr>
              <w:pStyle w:val="TableContents"/>
              <w:bidi w:val="0"/>
              <w:jc w:val="start"/>
              <w:rPr/>
            </w:pPr>
            <w:r>
              <w:rPr/>
              <w:t>SELL</w:t>
            </w:r>
          </w:p>
        </w:tc>
        <w:tc>
          <w:tcPr>
            <w:tcW w:w="2409" w:type="dxa"/>
            <w:tcBorders>
              <w:start w:val="single" w:sz="4" w:space="0" w:color="000000"/>
              <w:bottom w:val="single" w:sz="4" w:space="0" w:color="000000"/>
            </w:tcBorders>
          </w:tcPr>
          <w:p>
            <w:pPr>
              <w:pStyle w:val="TableContents"/>
              <w:bidi w:val="0"/>
              <w:jc w:val="start"/>
              <w:rPr/>
            </w:pPr>
            <w:r>
              <w:rPr/>
              <w:t>109.62</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Crossover came first, waited for green to flatten</w:t>
            </w:r>
          </w:p>
        </w:tc>
      </w:tr>
      <w:tr>
        <w:trPr/>
        <w:tc>
          <w:tcPr>
            <w:tcW w:w="2409" w:type="dxa"/>
            <w:tcBorders>
              <w:start w:val="single" w:sz="4" w:space="0" w:color="000000"/>
              <w:bottom w:val="single" w:sz="4" w:space="0" w:color="000000"/>
            </w:tcBorders>
          </w:tcPr>
          <w:p>
            <w:pPr>
              <w:pStyle w:val="TableContents"/>
              <w:bidi w:val="0"/>
              <w:jc w:val="start"/>
              <w:rPr/>
            </w:pPr>
            <w:r>
              <w:rPr/>
              <w:t>3</w:t>
            </w:r>
          </w:p>
        </w:tc>
        <w:tc>
          <w:tcPr>
            <w:tcW w:w="2410" w:type="dxa"/>
            <w:tcBorders>
              <w:start w:val="single" w:sz="4" w:space="0" w:color="000000"/>
              <w:bottom w:val="single" w:sz="4" w:space="0" w:color="000000"/>
            </w:tcBorders>
          </w:tcPr>
          <w:p>
            <w:pPr>
              <w:pStyle w:val="TableContents"/>
              <w:bidi w:val="0"/>
              <w:jc w:val="start"/>
              <w:rPr/>
            </w:pPr>
            <w:r>
              <w:rPr/>
              <w:t>BUY</w:t>
            </w:r>
          </w:p>
        </w:tc>
        <w:tc>
          <w:tcPr>
            <w:tcW w:w="2409" w:type="dxa"/>
            <w:tcBorders>
              <w:start w:val="single" w:sz="4" w:space="0" w:color="000000"/>
              <w:bottom w:val="single" w:sz="4" w:space="0" w:color="000000"/>
            </w:tcBorders>
          </w:tcPr>
          <w:p>
            <w:pPr>
              <w:pStyle w:val="TableContents"/>
              <w:bidi w:val="0"/>
              <w:jc w:val="start"/>
              <w:rPr/>
            </w:pPr>
            <w:r>
              <w:rPr/>
              <w:t>113.12</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Prior downtrend was very short-lived</w:t>
            </w:r>
          </w:p>
        </w:tc>
      </w:tr>
      <w:tr>
        <w:trPr/>
        <w:tc>
          <w:tcPr>
            <w:tcW w:w="2409" w:type="dxa"/>
            <w:tcBorders>
              <w:start w:val="single" w:sz="4" w:space="0" w:color="000000"/>
              <w:bottom w:val="single" w:sz="4" w:space="0" w:color="000000"/>
            </w:tcBorders>
          </w:tcPr>
          <w:p>
            <w:pPr>
              <w:pStyle w:val="TableContents"/>
              <w:bidi w:val="0"/>
              <w:jc w:val="start"/>
              <w:rPr/>
            </w:pPr>
            <w:r>
              <w:rPr/>
              <w:t>4</w:t>
            </w:r>
          </w:p>
        </w:tc>
        <w:tc>
          <w:tcPr>
            <w:tcW w:w="2410" w:type="dxa"/>
            <w:tcBorders>
              <w:start w:val="single" w:sz="4" w:space="0" w:color="000000"/>
              <w:bottom w:val="single" w:sz="4" w:space="0" w:color="000000"/>
            </w:tcBorders>
          </w:tcPr>
          <w:p>
            <w:pPr>
              <w:pStyle w:val="TableContents"/>
              <w:bidi w:val="0"/>
              <w:jc w:val="start"/>
              <w:rPr/>
            </w:pPr>
            <w:r>
              <w:rPr/>
              <w:t>SELL</w:t>
            </w:r>
          </w:p>
        </w:tc>
        <w:tc>
          <w:tcPr>
            <w:tcW w:w="2409" w:type="dxa"/>
            <w:tcBorders>
              <w:start w:val="single" w:sz="4" w:space="0" w:color="000000"/>
              <w:bottom w:val="single" w:sz="4" w:space="0" w:color="000000"/>
            </w:tcBorders>
          </w:tcPr>
          <w:p>
            <w:pPr>
              <w:pStyle w:val="TableContents"/>
              <w:bidi w:val="0"/>
              <w:jc w:val="start"/>
              <w:rPr/>
            </w:pPr>
            <w:r>
              <w:rPr/>
              <w:t>125.20</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Blue sloping down, green flat</w:t>
            </w:r>
          </w:p>
        </w:tc>
      </w:tr>
      <w:tr>
        <w:trPr/>
        <w:tc>
          <w:tcPr>
            <w:tcW w:w="2409" w:type="dxa"/>
            <w:tcBorders>
              <w:start w:val="single" w:sz="4" w:space="0" w:color="000000"/>
              <w:bottom w:val="single" w:sz="4" w:space="0" w:color="000000"/>
            </w:tcBorders>
          </w:tcPr>
          <w:p>
            <w:pPr>
              <w:pStyle w:val="TableContents"/>
              <w:bidi w:val="0"/>
              <w:jc w:val="start"/>
              <w:rPr/>
            </w:pPr>
            <w:r>
              <w:rPr/>
              <w:t>5</w:t>
            </w:r>
          </w:p>
        </w:tc>
        <w:tc>
          <w:tcPr>
            <w:tcW w:w="2410" w:type="dxa"/>
            <w:tcBorders>
              <w:start w:val="single" w:sz="4" w:space="0" w:color="000000"/>
              <w:bottom w:val="single" w:sz="4" w:space="0" w:color="000000"/>
            </w:tcBorders>
          </w:tcPr>
          <w:p>
            <w:pPr>
              <w:pStyle w:val="TableContents"/>
              <w:bidi w:val="0"/>
              <w:jc w:val="start"/>
              <w:rPr/>
            </w:pPr>
            <w:r>
              <w:rPr/>
              <w:t>BUY</w:t>
            </w:r>
          </w:p>
        </w:tc>
        <w:tc>
          <w:tcPr>
            <w:tcW w:w="2409" w:type="dxa"/>
            <w:tcBorders>
              <w:start w:val="single" w:sz="4" w:space="0" w:color="000000"/>
              <w:bottom w:val="single" w:sz="4" w:space="0" w:color="000000"/>
            </w:tcBorders>
          </w:tcPr>
          <w:p>
            <w:pPr>
              <w:pStyle w:val="TableContents"/>
              <w:bidi w:val="0"/>
              <w:jc w:val="start"/>
              <w:rPr/>
            </w:pPr>
            <w:r>
              <w:rPr/>
              <w:t>132.12</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Downtrend again short-lived, reversed back up</w:t>
            </w:r>
          </w:p>
        </w:tc>
      </w:tr>
      <w:tr>
        <w:trPr/>
        <w:tc>
          <w:tcPr>
            <w:tcW w:w="2409" w:type="dxa"/>
            <w:tcBorders>
              <w:start w:val="single" w:sz="4" w:space="0" w:color="000000"/>
              <w:bottom w:val="single" w:sz="4" w:space="0" w:color="000000"/>
            </w:tcBorders>
          </w:tcPr>
          <w:p>
            <w:pPr>
              <w:pStyle w:val="TableContents"/>
              <w:bidi w:val="0"/>
              <w:jc w:val="start"/>
              <w:rPr/>
            </w:pPr>
            <w:r>
              <w:rPr/>
              <w:t>6</w:t>
            </w:r>
          </w:p>
        </w:tc>
        <w:tc>
          <w:tcPr>
            <w:tcW w:w="2410" w:type="dxa"/>
            <w:tcBorders>
              <w:start w:val="single" w:sz="4" w:space="0" w:color="000000"/>
              <w:bottom w:val="single" w:sz="4" w:space="0" w:color="000000"/>
            </w:tcBorders>
          </w:tcPr>
          <w:p>
            <w:pPr>
              <w:pStyle w:val="TableContents"/>
              <w:bidi w:val="0"/>
              <w:jc w:val="start"/>
              <w:rPr/>
            </w:pPr>
            <w:r>
              <w:rPr/>
              <w:t>SELL</w:t>
            </w:r>
          </w:p>
        </w:tc>
        <w:tc>
          <w:tcPr>
            <w:tcW w:w="2409" w:type="dxa"/>
            <w:tcBorders>
              <w:start w:val="single" w:sz="4" w:space="0" w:color="000000"/>
              <w:bottom w:val="single" w:sz="4" w:space="0" w:color="000000"/>
            </w:tcBorders>
          </w:tcPr>
          <w:p>
            <w:pPr>
              <w:pStyle w:val="TableContents"/>
              <w:bidi w:val="0"/>
              <w:jc w:val="start"/>
              <w:rPr/>
            </w:pPr>
            <w:r>
              <w:rPr/>
              <w:t>147.93</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 xml:space="preserve">Confirmed by price action too: higher highs turned into </w:t>
            </w:r>
            <w:r>
              <w:rPr>
                <w:b/>
              </w:rPr>
              <w:t>lower highs</w:t>
            </w:r>
          </w:p>
        </w:tc>
      </w:tr>
      <w:tr>
        <w:trPr/>
        <w:tc>
          <w:tcPr>
            <w:tcW w:w="2409" w:type="dxa"/>
            <w:tcBorders>
              <w:start w:val="single" w:sz="4" w:space="0" w:color="000000"/>
              <w:bottom w:val="single" w:sz="4" w:space="0" w:color="000000"/>
            </w:tcBorders>
          </w:tcPr>
          <w:p>
            <w:pPr>
              <w:pStyle w:val="TableContents"/>
              <w:bidi w:val="0"/>
              <w:jc w:val="start"/>
              <w:rPr/>
            </w:pPr>
            <w:r>
              <w:rPr/>
              <w:t>7</w:t>
            </w:r>
          </w:p>
        </w:tc>
        <w:tc>
          <w:tcPr>
            <w:tcW w:w="2410" w:type="dxa"/>
            <w:tcBorders>
              <w:start w:val="single" w:sz="4" w:space="0" w:color="000000"/>
              <w:bottom w:val="single" w:sz="4" w:space="0" w:color="000000"/>
            </w:tcBorders>
          </w:tcPr>
          <w:p>
            <w:pPr>
              <w:pStyle w:val="TableContents"/>
              <w:bidi w:val="0"/>
              <w:jc w:val="start"/>
              <w:rPr/>
            </w:pPr>
            <w:r>
              <w:rPr/>
              <w:t>BUY</w:t>
            </w:r>
          </w:p>
        </w:tc>
        <w:tc>
          <w:tcPr>
            <w:tcW w:w="2409" w:type="dxa"/>
            <w:tcBorders>
              <w:start w:val="single" w:sz="4" w:space="0" w:color="000000"/>
              <w:bottom w:val="single" w:sz="4" w:space="0" w:color="000000"/>
            </w:tcBorders>
          </w:tcPr>
          <w:p>
            <w:pPr>
              <w:pStyle w:val="TableContents"/>
              <w:bidi w:val="0"/>
              <w:jc w:val="start"/>
              <w:rPr/>
            </w:pPr>
            <w:r>
              <w:rPr/>
              <w:t>93.67</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After the crash; waited for green to flatten</w:t>
            </w:r>
          </w:p>
        </w:tc>
      </w:tr>
      <w:tr>
        <w:trPr/>
        <w:tc>
          <w:tcPr>
            <w:tcW w:w="2409" w:type="dxa"/>
            <w:tcBorders>
              <w:start w:val="single" w:sz="4" w:space="0" w:color="000000"/>
              <w:bottom w:val="single" w:sz="4" w:space="0" w:color="000000"/>
            </w:tcBorders>
          </w:tcPr>
          <w:p>
            <w:pPr>
              <w:pStyle w:val="TableContents"/>
              <w:bidi w:val="0"/>
              <w:jc w:val="start"/>
              <w:rPr/>
            </w:pPr>
            <w:r>
              <w:rPr/>
              <w:t>8</w:t>
            </w:r>
          </w:p>
        </w:tc>
        <w:tc>
          <w:tcPr>
            <w:tcW w:w="2410" w:type="dxa"/>
            <w:tcBorders>
              <w:start w:val="single" w:sz="4" w:space="0" w:color="000000"/>
              <w:bottom w:val="single" w:sz="4" w:space="0" w:color="000000"/>
            </w:tcBorders>
          </w:tcPr>
          <w:p>
            <w:pPr>
              <w:pStyle w:val="TableContents"/>
              <w:bidi w:val="0"/>
              <w:jc w:val="start"/>
              <w:rPr/>
            </w:pPr>
            <w:r>
              <w:rPr/>
              <w:t>SELL</w:t>
            </w:r>
          </w:p>
        </w:tc>
        <w:tc>
          <w:tcPr>
            <w:tcW w:w="2409" w:type="dxa"/>
            <w:tcBorders>
              <w:start w:val="single" w:sz="4" w:space="0" w:color="000000"/>
              <w:bottom w:val="single" w:sz="4" w:space="0" w:color="000000"/>
            </w:tcBorders>
          </w:tcPr>
          <w:p>
            <w:pPr>
              <w:pStyle w:val="TableContents"/>
              <w:bidi w:val="0"/>
              <w:jc w:val="start"/>
              <w:rPr/>
            </w:pPr>
            <w:r>
              <w:rPr/>
              <w:t>106.02</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Blue sloping down, green flat</w:t>
            </w:r>
          </w:p>
        </w:tc>
      </w:tr>
      <w:tr>
        <w:trPr/>
        <w:tc>
          <w:tcPr>
            <w:tcW w:w="2409" w:type="dxa"/>
            <w:tcBorders>
              <w:start w:val="single" w:sz="4" w:space="0" w:color="000000"/>
              <w:bottom w:val="single" w:sz="4" w:space="0" w:color="000000"/>
            </w:tcBorders>
          </w:tcPr>
          <w:p>
            <w:pPr>
              <w:pStyle w:val="TableContents"/>
              <w:bidi w:val="0"/>
              <w:jc w:val="start"/>
              <w:rPr/>
            </w:pPr>
            <w:r>
              <w:rPr/>
              <w:t>9</w:t>
            </w:r>
          </w:p>
        </w:tc>
        <w:tc>
          <w:tcPr>
            <w:tcW w:w="2410" w:type="dxa"/>
            <w:tcBorders>
              <w:start w:val="single" w:sz="4" w:space="0" w:color="000000"/>
              <w:bottom w:val="single" w:sz="4" w:space="0" w:color="000000"/>
            </w:tcBorders>
          </w:tcPr>
          <w:p>
            <w:pPr>
              <w:pStyle w:val="TableContents"/>
              <w:bidi w:val="0"/>
              <w:jc w:val="start"/>
              <w:rPr/>
            </w:pPr>
            <w:r>
              <w:rPr/>
              <w:t>BUY</w:t>
            </w:r>
          </w:p>
        </w:tc>
        <w:tc>
          <w:tcPr>
            <w:tcW w:w="2409" w:type="dxa"/>
            <w:tcBorders>
              <w:start w:val="single" w:sz="4" w:space="0" w:color="000000"/>
              <w:bottom w:val="single" w:sz="4" w:space="0" w:color="000000"/>
            </w:tcBorders>
          </w:tcPr>
          <w:p>
            <w:pPr>
              <w:pStyle w:val="TableContents"/>
              <w:bidi w:val="0"/>
              <w:jc w:val="start"/>
              <w:rPr/>
            </w:pPr>
            <w:r>
              <w:rPr/>
              <w:t>118.10</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r>
          </w:p>
        </w:tc>
      </w:tr>
      <w:tr>
        <w:trPr/>
        <w:tc>
          <w:tcPr>
            <w:tcW w:w="2409" w:type="dxa"/>
            <w:tcBorders>
              <w:start w:val="single" w:sz="4" w:space="0" w:color="000000"/>
              <w:bottom w:val="single" w:sz="4" w:space="0" w:color="000000"/>
            </w:tcBorders>
          </w:tcPr>
          <w:p>
            <w:pPr>
              <w:pStyle w:val="TableContents"/>
              <w:bidi w:val="0"/>
              <w:jc w:val="start"/>
              <w:rPr/>
            </w:pPr>
            <w:r>
              <w:rPr/>
              <w:t>10</w:t>
            </w:r>
          </w:p>
        </w:tc>
        <w:tc>
          <w:tcPr>
            <w:tcW w:w="2410" w:type="dxa"/>
            <w:tcBorders>
              <w:start w:val="single" w:sz="4" w:space="0" w:color="000000"/>
              <w:bottom w:val="single" w:sz="4" w:space="0" w:color="000000"/>
            </w:tcBorders>
          </w:tcPr>
          <w:p>
            <w:pPr>
              <w:pStyle w:val="TableContents"/>
              <w:bidi w:val="0"/>
              <w:jc w:val="start"/>
              <w:rPr/>
            </w:pPr>
            <w:r>
              <w:rPr/>
              <w:t>SELL</w:t>
            </w:r>
          </w:p>
        </w:tc>
        <w:tc>
          <w:tcPr>
            <w:tcW w:w="2409" w:type="dxa"/>
            <w:tcBorders>
              <w:start w:val="single" w:sz="4" w:space="0" w:color="000000"/>
              <w:bottom w:val="single" w:sz="4" w:space="0" w:color="000000"/>
            </w:tcBorders>
          </w:tcPr>
          <w:p>
            <w:pPr>
              <w:pStyle w:val="TableContents"/>
              <w:bidi w:val="0"/>
              <w:jc w:val="start"/>
              <w:rPr/>
            </w:pPr>
            <w:r>
              <w:rPr/>
              <w:t>124.42</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 xml:space="preserve">Sold into a </w:t>
            </w:r>
            <w:r>
              <w:rPr>
                <w:b/>
              </w:rPr>
              <w:t>gap down</w:t>
            </w:r>
            <w:r>
              <w:rPr/>
              <w:t xml:space="preserve"> after green flattened</w:t>
            </w:r>
          </w:p>
        </w:tc>
      </w:tr>
      <w:tr>
        <w:trPr/>
        <w:tc>
          <w:tcPr>
            <w:tcW w:w="2409" w:type="dxa"/>
            <w:tcBorders>
              <w:start w:val="single" w:sz="4" w:space="0" w:color="000000"/>
              <w:bottom w:val="single" w:sz="4" w:space="0" w:color="000000"/>
            </w:tcBorders>
          </w:tcPr>
          <w:p>
            <w:pPr>
              <w:pStyle w:val="TableContents"/>
              <w:bidi w:val="0"/>
              <w:jc w:val="start"/>
              <w:rPr/>
            </w:pPr>
            <w:r>
              <w:rPr/>
              <w:t>11</w:t>
            </w:r>
          </w:p>
        </w:tc>
        <w:tc>
          <w:tcPr>
            <w:tcW w:w="2410" w:type="dxa"/>
            <w:tcBorders>
              <w:start w:val="single" w:sz="4" w:space="0" w:color="000000"/>
              <w:bottom w:val="single" w:sz="4" w:space="0" w:color="000000"/>
            </w:tcBorders>
          </w:tcPr>
          <w:p>
            <w:pPr>
              <w:pStyle w:val="TableContents"/>
              <w:bidi w:val="0"/>
              <w:jc w:val="start"/>
              <w:rPr/>
            </w:pPr>
            <w:r>
              <w:rPr/>
              <w:t>BUY</w:t>
            </w:r>
          </w:p>
        </w:tc>
        <w:tc>
          <w:tcPr>
            <w:tcW w:w="2409" w:type="dxa"/>
            <w:tcBorders>
              <w:start w:val="single" w:sz="4" w:space="0" w:color="000000"/>
              <w:bottom w:val="single" w:sz="4" w:space="0" w:color="000000"/>
            </w:tcBorders>
          </w:tcPr>
          <w:p>
            <w:pPr>
              <w:pStyle w:val="TableContents"/>
              <w:bidi w:val="0"/>
              <w:jc w:val="start"/>
              <w:rPr/>
            </w:pPr>
            <w:r>
              <w:rPr/>
              <w:t>128.73</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Waited extra days for green to flatten</w:t>
            </w:r>
          </w:p>
        </w:tc>
      </w:tr>
      <w:tr>
        <w:trPr/>
        <w:tc>
          <w:tcPr>
            <w:tcW w:w="2409" w:type="dxa"/>
            <w:tcBorders>
              <w:start w:val="single" w:sz="4" w:space="0" w:color="000000"/>
              <w:bottom w:val="single" w:sz="4" w:space="0" w:color="000000"/>
            </w:tcBorders>
          </w:tcPr>
          <w:p>
            <w:pPr>
              <w:pStyle w:val="TableContents"/>
              <w:bidi w:val="0"/>
              <w:jc w:val="start"/>
              <w:rPr/>
            </w:pPr>
            <w:r>
              <w:rPr/>
              <w:t>12</w:t>
            </w:r>
          </w:p>
        </w:tc>
        <w:tc>
          <w:tcPr>
            <w:tcW w:w="2410" w:type="dxa"/>
            <w:tcBorders>
              <w:start w:val="single" w:sz="4" w:space="0" w:color="000000"/>
              <w:bottom w:val="single" w:sz="4" w:space="0" w:color="000000"/>
            </w:tcBorders>
          </w:tcPr>
          <w:p>
            <w:pPr>
              <w:pStyle w:val="TableContents"/>
              <w:bidi w:val="0"/>
              <w:jc w:val="start"/>
              <w:rPr/>
            </w:pPr>
            <w:r>
              <w:rPr/>
              <w:t>SELL</w:t>
            </w:r>
          </w:p>
        </w:tc>
        <w:tc>
          <w:tcPr>
            <w:tcW w:w="2409" w:type="dxa"/>
            <w:tcBorders>
              <w:start w:val="single" w:sz="4" w:space="0" w:color="000000"/>
              <w:bottom w:val="single" w:sz="4" w:space="0" w:color="000000"/>
            </w:tcBorders>
          </w:tcPr>
          <w:p>
            <w:pPr>
              <w:pStyle w:val="TableContents"/>
              <w:bidi w:val="0"/>
              <w:jc w:val="start"/>
              <w:rPr/>
            </w:pPr>
            <w:r>
              <w:rPr/>
              <w:t>187.49</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b/>
              </w:rPr>
              <w:t>Parabolic drop</w:t>
            </w:r>
            <w:r>
              <w:rPr/>
              <w:t xml:space="preserve"> — sold only "to follow the rules of the game"</w:t>
            </w:r>
          </w:p>
        </w:tc>
      </w:tr>
      <w:tr>
        <w:trPr/>
        <w:tc>
          <w:tcPr>
            <w:tcW w:w="2409" w:type="dxa"/>
            <w:tcBorders>
              <w:start w:val="single" w:sz="4" w:space="0" w:color="000000"/>
              <w:bottom w:val="single" w:sz="4" w:space="0" w:color="000000"/>
            </w:tcBorders>
          </w:tcPr>
          <w:p>
            <w:pPr>
              <w:pStyle w:val="TableContents"/>
              <w:bidi w:val="0"/>
              <w:jc w:val="start"/>
              <w:rPr/>
            </w:pPr>
            <w:r>
              <w:rPr/>
              <w:t>13</w:t>
            </w:r>
          </w:p>
        </w:tc>
        <w:tc>
          <w:tcPr>
            <w:tcW w:w="2410" w:type="dxa"/>
            <w:tcBorders>
              <w:start w:val="single" w:sz="4" w:space="0" w:color="000000"/>
              <w:bottom w:val="single" w:sz="4" w:space="0" w:color="000000"/>
            </w:tcBorders>
          </w:tcPr>
          <w:p>
            <w:pPr>
              <w:pStyle w:val="TableContents"/>
              <w:bidi w:val="0"/>
              <w:jc w:val="start"/>
              <w:rPr/>
            </w:pPr>
            <w:r>
              <w:rPr/>
              <w:t>BUY</w:t>
            </w:r>
          </w:p>
        </w:tc>
        <w:tc>
          <w:tcPr>
            <w:tcW w:w="2409" w:type="dxa"/>
            <w:tcBorders>
              <w:start w:val="single" w:sz="4" w:space="0" w:color="000000"/>
              <w:bottom w:val="single" w:sz="4" w:space="0" w:color="000000"/>
            </w:tcBorders>
          </w:tcPr>
          <w:p>
            <w:pPr>
              <w:pStyle w:val="TableContents"/>
              <w:bidi w:val="0"/>
              <w:jc w:val="start"/>
              <w:rPr/>
            </w:pPr>
            <w:r>
              <w:rPr/>
              <w:t>210.12</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 xml:space="preserve">After a </w:t>
            </w:r>
            <w:r>
              <w:rPr>
                <w:b/>
              </w:rPr>
              <w:t>double dip</w:t>
            </w:r>
          </w:p>
        </w:tc>
      </w:tr>
      <w:tr>
        <w:trPr/>
        <w:tc>
          <w:tcPr>
            <w:tcW w:w="2409" w:type="dxa"/>
            <w:tcBorders>
              <w:start w:val="single" w:sz="4" w:space="0" w:color="000000"/>
              <w:bottom w:val="single" w:sz="4" w:space="0" w:color="000000"/>
            </w:tcBorders>
          </w:tcPr>
          <w:p>
            <w:pPr>
              <w:pStyle w:val="TableContents"/>
              <w:bidi w:val="0"/>
              <w:jc w:val="start"/>
              <w:rPr/>
            </w:pPr>
            <w:r>
              <w:rPr/>
              <w:t>14</w:t>
            </w:r>
          </w:p>
        </w:tc>
        <w:tc>
          <w:tcPr>
            <w:tcW w:w="2410" w:type="dxa"/>
            <w:tcBorders>
              <w:start w:val="single" w:sz="4" w:space="0" w:color="000000"/>
              <w:bottom w:val="single" w:sz="4" w:space="0" w:color="000000"/>
            </w:tcBorders>
          </w:tcPr>
          <w:p>
            <w:pPr>
              <w:pStyle w:val="TableContents"/>
              <w:bidi w:val="0"/>
              <w:jc w:val="start"/>
              <w:rPr/>
            </w:pPr>
            <w:r>
              <w:rPr/>
              <w:t>SELL</w:t>
            </w:r>
          </w:p>
        </w:tc>
        <w:tc>
          <w:tcPr>
            <w:tcW w:w="2409" w:type="dxa"/>
            <w:tcBorders>
              <w:start w:val="single" w:sz="4" w:space="0" w:color="000000"/>
              <w:bottom w:val="single" w:sz="4" w:space="0" w:color="000000"/>
            </w:tcBorders>
          </w:tcPr>
          <w:p>
            <w:pPr>
              <w:pStyle w:val="TableContents"/>
              <w:bidi w:val="0"/>
              <w:jc w:val="start"/>
              <w:rPr/>
            </w:pPr>
            <w:r>
              <w:rPr/>
              <w:t>266.52</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Took several extra days of waiting to confirm green had flattened</w:t>
            </w:r>
          </w:p>
        </w:tc>
      </w:tr>
      <w:tr>
        <w:trPr/>
        <w:tc>
          <w:tcPr>
            <w:tcW w:w="2409" w:type="dxa"/>
            <w:tcBorders>
              <w:start w:val="single" w:sz="4" w:space="0" w:color="000000"/>
              <w:bottom w:val="single" w:sz="4" w:space="0" w:color="000000"/>
            </w:tcBorders>
          </w:tcPr>
          <w:p>
            <w:pPr>
              <w:pStyle w:val="TableContents"/>
              <w:bidi w:val="0"/>
              <w:jc w:val="start"/>
              <w:rPr/>
            </w:pPr>
            <w:r>
              <w:rPr/>
              <w:t>15</w:t>
            </w:r>
          </w:p>
        </w:tc>
        <w:tc>
          <w:tcPr>
            <w:tcW w:w="2410" w:type="dxa"/>
            <w:tcBorders>
              <w:start w:val="single" w:sz="4" w:space="0" w:color="000000"/>
              <w:bottom w:val="single" w:sz="4" w:space="0" w:color="000000"/>
            </w:tcBorders>
          </w:tcPr>
          <w:p>
            <w:pPr>
              <w:pStyle w:val="TableContents"/>
              <w:bidi w:val="0"/>
              <w:jc w:val="start"/>
              <w:rPr/>
            </w:pPr>
            <w:r>
              <w:rPr/>
              <w:t>BUY</w:t>
            </w:r>
          </w:p>
        </w:tc>
        <w:tc>
          <w:tcPr>
            <w:tcW w:w="2409" w:type="dxa"/>
            <w:tcBorders>
              <w:start w:val="single" w:sz="4" w:space="0" w:color="000000"/>
              <w:bottom w:val="single" w:sz="4" w:space="0" w:color="000000"/>
            </w:tcBorders>
          </w:tcPr>
          <w:p>
            <w:pPr>
              <w:pStyle w:val="TableContents"/>
              <w:bidi w:val="0"/>
              <w:jc w:val="start"/>
              <w:rPr/>
            </w:pPr>
            <w:r>
              <w:rPr/>
              <w:t>284.70</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r>
          </w:p>
        </w:tc>
      </w:tr>
      <w:tr>
        <w:trPr/>
        <w:tc>
          <w:tcPr>
            <w:tcW w:w="2409" w:type="dxa"/>
            <w:tcBorders>
              <w:start w:val="single" w:sz="4" w:space="0" w:color="000000"/>
              <w:bottom w:val="single" w:sz="4" w:space="0" w:color="000000"/>
            </w:tcBorders>
          </w:tcPr>
          <w:p>
            <w:pPr>
              <w:pStyle w:val="TableContents"/>
              <w:bidi w:val="0"/>
              <w:jc w:val="start"/>
              <w:rPr/>
            </w:pPr>
            <w:r>
              <w:rPr/>
              <w:t>16</w:t>
            </w:r>
          </w:p>
        </w:tc>
        <w:tc>
          <w:tcPr>
            <w:tcW w:w="2410" w:type="dxa"/>
            <w:tcBorders>
              <w:start w:val="single" w:sz="4" w:space="0" w:color="000000"/>
              <w:bottom w:val="single" w:sz="4" w:space="0" w:color="000000"/>
            </w:tcBorders>
          </w:tcPr>
          <w:p>
            <w:pPr>
              <w:pStyle w:val="TableContents"/>
              <w:bidi w:val="0"/>
              <w:jc w:val="start"/>
              <w:rPr/>
            </w:pPr>
            <w:r>
              <w:rPr/>
              <w:t>SELL</w:t>
            </w:r>
          </w:p>
        </w:tc>
        <w:tc>
          <w:tcPr>
            <w:tcW w:w="2409" w:type="dxa"/>
            <w:tcBorders>
              <w:start w:val="single" w:sz="4" w:space="0" w:color="000000"/>
              <w:bottom w:val="single" w:sz="4" w:space="0" w:color="000000"/>
            </w:tcBorders>
          </w:tcPr>
          <w:p>
            <w:pPr>
              <w:pStyle w:val="TableContents"/>
              <w:bidi w:val="0"/>
              <w:jc w:val="start"/>
              <w:rPr/>
            </w:pPr>
            <w:r>
              <w:rPr/>
              <w:t>249.52</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b/>
              </w:rPr>
              <w:t>COVID / pandemic crash, February 2020 — a parabolic drop</w:t>
            </w:r>
          </w:p>
        </w:tc>
      </w:tr>
      <w:tr>
        <w:trPr/>
        <w:tc>
          <w:tcPr>
            <w:tcW w:w="2409" w:type="dxa"/>
            <w:tcBorders>
              <w:start w:val="single" w:sz="4" w:space="0" w:color="000000"/>
              <w:bottom w:val="single" w:sz="4" w:space="0" w:color="000000"/>
            </w:tcBorders>
          </w:tcPr>
          <w:p>
            <w:pPr>
              <w:pStyle w:val="TableContents"/>
              <w:bidi w:val="0"/>
              <w:jc w:val="start"/>
              <w:rPr/>
            </w:pPr>
            <w:r>
              <w:rPr/>
              <w:t>17</w:t>
            </w:r>
          </w:p>
        </w:tc>
        <w:tc>
          <w:tcPr>
            <w:tcW w:w="2410" w:type="dxa"/>
            <w:tcBorders>
              <w:start w:val="single" w:sz="4" w:space="0" w:color="000000"/>
              <w:bottom w:val="single" w:sz="4" w:space="0" w:color="000000"/>
            </w:tcBorders>
          </w:tcPr>
          <w:p>
            <w:pPr>
              <w:pStyle w:val="TableContents"/>
              <w:bidi w:val="0"/>
              <w:jc w:val="start"/>
              <w:rPr/>
            </w:pPr>
            <w:r>
              <w:rPr/>
              <w:t>BUY</w:t>
            </w:r>
          </w:p>
        </w:tc>
        <w:tc>
          <w:tcPr>
            <w:tcW w:w="2409" w:type="dxa"/>
            <w:tcBorders>
              <w:start w:val="single" w:sz="4" w:space="0" w:color="000000"/>
              <w:bottom w:val="single" w:sz="4" w:space="0" w:color="000000"/>
            </w:tcBorders>
          </w:tcPr>
          <w:p>
            <w:pPr>
              <w:pStyle w:val="TableContents"/>
              <w:bidi w:val="0"/>
              <w:jc w:val="start"/>
              <w:rPr/>
            </w:pPr>
            <w:r>
              <w:rPr/>
              <w:t>320.13</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Blue sloping up, green flattened</w:t>
            </w:r>
          </w:p>
        </w:tc>
      </w:tr>
      <w:tr>
        <w:trPr/>
        <w:tc>
          <w:tcPr>
            <w:tcW w:w="2409" w:type="dxa"/>
            <w:tcBorders>
              <w:start w:val="single" w:sz="4" w:space="0" w:color="000000"/>
              <w:bottom w:val="single" w:sz="4" w:space="0" w:color="000000"/>
            </w:tcBorders>
          </w:tcPr>
          <w:p>
            <w:pPr>
              <w:pStyle w:val="TableContents"/>
              <w:bidi w:val="0"/>
              <w:jc w:val="start"/>
              <w:rPr/>
            </w:pPr>
            <w:r>
              <w:rPr/>
              <w:t>—</w:t>
            </w:r>
          </w:p>
        </w:tc>
        <w:tc>
          <w:tcPr>
            <w:tcW w:w="2410" w:type="dxa"/>
            <w:tcBorders>
              <w:start w:val="single" w:sz="4" w:space="0" w:color="000000"/>
              <w:bottom w:val="single" w:sz="4" w:space="0" w:color="000000"/>
            </w:tcBorders>
          </w:tcPr>
          <w:p>
            <w:pPr>
              <w:pStyle w:val="TableContents"/>
              <w:bidi w:val="0"/>
              <w:jc w:val="start"/>
              <w:rPr/>
            </w:pPr>
            <w:r>
              <w:rPr/>
              <w:t>Mark-to-market</w:t>
            </w:r>
          </w:p>
        </w:tc>
        <w:tc>
          <w:tcPr>
            <w:tcW w:w="2409" w:type="dxa"/>
            <w:tcBorders>
              <w:start w:val="single" w:sz="4" w:space="0" w:color="000000"/>
              <w:bottom w:val="single" w:sz="4" w:space="0" w:color="000000"/>
            </w:tcBorders>
          </w:tcPr>
          <w:p>
            <w:pPr>
              <w:pStyle w:val="TableContents"/>
              <w:bidi w:val="0"/>
              <w:jc w:val="start"/>
              <w:rPr/>
            </w:pPr>
            <w:r>
              <w:rPr>
                <w:b/>
              </w:rPr>
              <w:t>390.25</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Last closing price at time of recording</w:t>
            </w:r>
          </w:p>
        </w:tc>
      </w:tr>
    </w:tbl>
    <w:p>
      <w:pPr>
        <w:pStyle w:val="BodyText"/>
        <w:bidi w:val="0"/>
        <w:jc w:val="start"/>
        <w:rPr/>
      </w:pPr>
      <w:r>
        <w:rPr/>
      </w:r>
    </w:p>
    <w:p>
      <w:pPr>
        <w:pStyle w:val="Heading4"/>
        <w:bidi w:val="0"/>
        <w:ind w:hanging="0" w:start="0"/>
        <w:jc w:val="start"/>
        <w:rPr/>
      </w:pPr>
      <w:r>
        <w:rPr/>
        <w:t>Back-test results and observations</w:t>
      </w:r>
    </w:p>
    <w:p>
      <w:pPr>
        <w:pStyle w:val="BodyText"/>
        <w:numPr>
          <w:ilvl w:val="0"/>
          <w:numId w:val="68"/>
        </w:numPr>
        <w:tabs>
          <w:tab w:val="clear" w:pos="709"/>
          <w:tab w:val="left" w:pos="709" w:leader="none"/>
        </w:tabs>
        <w:bidi w:val="0"/>
        <w:ind w:hanging="283" w:start="709"/>
        <w:jc w:val="start"/>
        <w:rPr/>
      </w:pPr>
      <w:r>
        <w:rPr/>
        <w:t xml:space="preserve">Over the 20 years there were </w:t>
      </w:r>
      <w:r>
        <w:rPr>
          <w:b/>
        </w:rPr>
        <w:t>nine buys and nine sells</w:t>
      </w:r>
      <w:r>
        <w:rPr/>
        <w:t xml:space="preserve"> — nine round-trip transactions.</w:t>
      </w:r>
    </w:p>
    <w:p>
      <w:pPr>
        <w:pStyle w:val="BodyText"/>
        <w:numPr>
          <w:ilvl w:val="0"/>
          <w:numId w:val="68"/>
        </w:numPr>
        <w:tabs>
          <w:tab w:val="clear" w:pos="709"/>
          <w:tab w:val="left" w:pos="709" w:leader="none"/>
        </w:tabs>
        <w:bidi w:val="0"/>
        <w:ind w:hanging="283" w:start="709"/>
        <w:jc w:val="start"/>
        <w:rPr/>
      </w:pPr>
      <w:r>
        <w:rPr>
          <w:b/>
        </w:rPr>
        <w:t>Most trades made money.</w:t>
      </w:r>
      <w:r>
        <w:rPr/>
        <w:t xml:space="preserve"> There was </w:t>
      </w:r>
      <w:r>
        <w:rPr>
          <w:b/>
        </w:rPr>
        <w:t>one loss — caused by the February 2020 plunge</w:t>
      </w:r>
      <w:r>
        <w:rPr/>
        <w:t xml:space="preserve"> — but it was made back very quickly on the next trade.</w:t>
      </w:r>
    </w:p>
    <w:p>
      <w:pPr>
        <w:pStyle w:val="BodyText"/>
        <w:numPr>
          <w:ilvl w:val="0"/>
          <w:numId w:val="68"/>
        </w:numPr>
        <w:tabs>
          <w:tab w:val="clear" w:pos="709"/>
          <w:tab w:val="left" w:pos="709" w:leader="none"/>
        </w:tabs>
        <w:bidi w:val="0"/>
        <w:ind w:hanging="283" w:start="709"/>
        <w:jc w:val="start"/>
        <w:rPr/>
      </w:pPr>
      <w:r>
        <w:rPr>
          <w:b/>
        </w:rPr>
        <w:t>Overall: yes, you make money.</w:t>
      </w:r>
      <w:r>
        <w:rPr/>
        <w:t xml:space="preserve"> As with any method there is no 100% win rate — you win some and lose some, but you win more than you lose.</w:t>
      </w:r>
    </w:p>
    <w:p>
      <w:pPr>
        <w:pStyle w:val="BodyText"/>
        <w:numPr>
          <w:ilvl w:val="0"/>
          <w:numId w:val="68"/>
        </w:numPr>
        <w:tabs>
          <w:tab w:val="clear" w:pos="709"/>
          <w:tab w:val="left" w:pos="709" w:leader="none"/>
        </w:tabs>
        <w:bidi w:val="0"/>
        <w:ind w:hanging="283" w:start="709"/>
        <w:jc w:val="start"/>
        <w:rPr/>
      </w:pPr>
      <w:r>
        <w:rPr/>
        <w:t xml:space="preserve">Biggest win of the method: </w:t>
      </w:r>
      <w:r>
        <w:rPr>
          <w:b/>
        </w:rPr>
        <w:t>it got us out before the financial-crisis bear market — a 50% plunge — and kept us out of the market for a year</w:t>
      </w:r>
      <w:r>
        <w:rPr/>
        <w:t>, then put us back in near the start of the new bull market.</w:t>
      </w:r>
    </w:p>
    <w:p>
      <w:pPr>
        <w:pStyle w:val="Heading4"/>
        <w:numPr>
          <w:ilvl w:val="0"/>
          <w:numId w:val="0"/>
        </w:numPr>
        <w:bidi w:val="0"/>
        <w:ind w:hanging="0" w:start="0"/>
        <w:jc w:val="start"/>
        <w:rPr/>
      </w:pPr>
      <w:r>
        <w:rPr/>
        <w:t>Discipline principles stated during the back-test</w:t>
      </w:r>
    </w:p>
    <w:p>
      <w:pPr>
        <w:pStyle w:val="BodyText"/>
        <w:numPr>
          <w:ilvl w:val="0"/>
          <w:numId w:val="69"/>
        </w:numPr>
        <w:tabs>
          <w:tab w:val="clear" w:pos="709"/>
          <w:tab w:val="left" w:pos="709" w:leader="none"/>
        </w:tabs>
        <w:bidi w:val="0"/>
        <w:ind w:hanging="283" w:start="709"/>
        <w:jc w:val="start"/>
        <w:rPr/>
      </w:pPr>
      <w:r>
        <w:rPr>
          <w:b/>
        </w:rPr>
        <w:t>We are not predicting the future. No one can predict the market.</w:t>
      </w:r>
      <w:r>
        <w:rPr/>
        <w:t xml:space="preserve"> "I'm not a fortune teller. All I'm doing is following the trend."</w:t>
      </w:r>
    </w:p>
    <w:p>
      <w:pPr>
        <w:pStyle w:val="BodyText"/>
        <w:numPr>
          <w:ilvl w:val="0"/>
          <w:numId w:val="69"/>
        </w:numPr>
        <w:tabs>
          <w:tab w:val="clear" w:pos="709"/>
          <w:tab w:val="left" w:pos="709" w:leader="none"/>
        </w:tabs>
        <w:bidi w:val="0"/>
        <w:ind w:hanging="283" w:start="709"/>
        <w:jc w:val="start"/>
        <w:rPr/>
      </w:pPr>
      <w:r>
        <w:rPr>
          <w:b/>
        </w:rPr>
        <w:t>River analogy:</w:t>
      </w:r>
      <w:r>
        <w:rPr/>
        <w:t xml:space="preserve"> if the river flows north, I swim north; if it flows south, I get off the boat. Follow the market — don't outsmart the market.</w:t>
      </w:r>
    </w:p>
    <w:p>
      <w:pPr>
        <w:pStyle w:val="BodyText"/>
        <w:numPr>
          <w:ilvl w:val="0"/>
          <w:numId w:val="69"/>
        </w:numPr>
        <w:tabs>
          <w:tab w:val="clear" w:pos="709"/>
          <w:tab w:val="left" w:pos="709" w:leader="none"/>
        </w:tabs>
        <w:bidi w:val="0"/>
        <w:ind w:hanging="283" w:start="709"/>
        <w:jc w:val="start"/>
        <w:rPr/>
      </w:pPr>
      <w:r>
        <w:rPr>
          <w:b/>
        </w:rPr>
        <w:t>Ignore the news and the newspapers — everything is noise.</w:t>
      </w:r>
      <w:r>
        <w:rPr/>
        <w:t xml:space="preserve"> Look only at price action and the trend.</w:t>
      </w:r>
    </w:p>
    <w:p>
      <w:pPr>
        <w:pStyle w:val="BodyText"/>
        <w:numPr>
          <w:ilvl w:val="0"/>
          <w:numId w:val="69"/>
        </w:numPr>
        <w:tabs>
          <w:tab w:val="clear" w:pos="709"/>
          <w:tab w:val="left" w:pos="709" w:leader="none"/>
        </w:tabs>
        <w:bidi w:val="0"/>
        <w:ind w:hanging="283" w:start="709"/>
        <w:jc w:val="start"/>
        <w:rPr/>
      </w:pPr>
      <w:r>
        <w:rPr/>
        <w:t xml:space="preserve">We can identify </w:t>
      </w:r>
      <w:r>
        <w:rPr>
          <w:b/>
        </w:rPr>
        <w:t>when</w:t>
      </w:r>
      <w:r>
        <w:rPr/>
        <w:t xml:space="preserve"> a trend changes, but </w:t>
      </w:r>
      <w:r>
        <w:rPr>
          <w:b/>
        </w:rPr>
        <w:t>not how long the new trend will last</w:t>
      </w:r>
      <w:r>
        <w:rPr/>
        <w:t>. Some downtrends are very short-lived and reverse straight back up.</w:t>
      </w:r>
    </w:p>
    <w:p>
      <w:pPr>
        <w:pStyle w:val="Heading3"/>
        <w:numPr>
          <w:ilvl w:val="0"/>
          <w:numId w:val="0"/>
        </w:numPr>
        <w:bidi w:val="0"/>
        <w:ind w:hanging="0" w:start="0"/>
        <w:jc w:val="start"/>
        <w:rPr/>
      </w:pPr>
      <w:r>
        <w:rPr/>
        <w:t>A10. The Limitation — Parabolic Drops</w:t>
      </w:r>
    </w:p>
    <w:p>
      <w:pPr>
        <w:pStyle w:val="BodyText"/>
        <w:numPr>
          <w:ilvl w:val="0"/>
          <w:numId w:val="70"/>
        </w:numPr>
        <w:tabs>
          <w:tab w:val="clear" w:pos="709"/>
          <w:tab w:val="left" w:pos="709" w:leader="none"/>
        </w:tabs>
        <w:bidi w:val="0"/>
        <w:ind w:hanging="283" w:start="709"/>
        <w:jc w:val="start"/>
        <w:rPr/>
      </w:pPr>
      <w:r>
        <w:rPr>
          <w:b/>
        </w:rPr>
        <w:t>Definition: a parabolic drop is when the market drops 90 degrees — straight down.</w:t>
      </w:r>
    </w:p>
    <w:p>
      <w:pPr>
        <w:pStyle w:val="BodyText"/>
        <w:numPr>
          <w:ilvl w:val="0"/>
          <w:numId w:val="70"/>
        </w:numPr>
        <w:tabs>
          <w:tab w:val="clear" w:pos="709"/>
          <w:tab w:val="left" w:pos="709" w:leader="none"/>
        </w:tabs>
        <w:bidi w:val="0"/>
        <w:ind w:hanging="283" w:start="709"/>
        <w:jc w:val="start"/>
        <w:rPr/>
      </w:pPr>
      <w:r>
        <w:rPr/>
        <w:t xml:space="preserve">Normal trend change is roughly </w:t>
      </w:r>
      <w:r>
        <w:rPr>
          <w:b/>
        </w:rPr>
        <w:t>45 degrees up / 45 degrees down</w:t>
      </w:r>
      <w:r>
        <w:rPr/>
        <w:t>. A parabolic drop is a 90-degree collapse.</w:t>
      </w:r>
    </w:p>
    <w:p>
      <w:pPr>
        <w:pStyle w:val="BodyText"/>
        <w:numPr>
          <w:ilvl w:val="0"/>
          <w:numId w:val="70"/>
        </w:numPr>
        <w:tabs>
          <w:tab w:val="clear" w:pos="709"/>
          <w:tab w:val="left" w:pos="709" w:leader="none"/>
        </w:tabs>
        <w:bidi w:val="0"/>
        <w:ind w:hanging="283" w:start="709"/>
        <w:jc w:val="start"/>
        <w:rPr/>
      </w:pPr>
      <w:r>
        <w:rPr>
          <w:b/>
        </w:rPr>
        <w:t>This does happen in the market once in a while.</w:t>
      </w:r>
      <w:r>
        <w:rPr/>
        <w:t xml:space="preserve"> In the 20-year back-test it happened twice — including the </w:t>
      </w:r>
      <w:r>
        <w:rPr>
          <w:b/>
        </w:rPr>
        <w:t>February 2020 COVID crash</w:t>
      </w:r>
      <w:r>
        <w:rPr/>
        <w:t>.</w:t>
      </w:r>
    </w:p>
    <w:p>
      <w:pPr>
        <w:pStyle w:val="BodyText"/>
        <w:numPr>
          <w:ilvl w:val="0"/>
          <w:numId w:val="70"/>
        </w:numPr>
        <w:tabs>
          <w:tab w:val="clear" w:pos="709"/>
          <w:tab w:val="left" w:pos="709" w:leader="none"/>
        </w:tabs>
        <w:bidi w:val="0"/>
        <w:ind w:hanging="283" w:start="709"/>
        <w:jc w:val="start"/>
        <w:rPr/>
      </w:pPr>
      <w:r>
        <w:rPr>
          <w:b/>
        </w:rPr>
        <w:t>The failure mode:</w:t>
      </w:r>
      <w:r>
        <w:rPr/>
        <w:t xml:space="preserve"> when the market drops that fast, </w:t>
      </w:r>
      <w:r>
        <w:rPr>
          <w:b/>
        </w:rPr>
        <w:t>by the time the moving averages cross and you sell, you are selling far too low — after the crash has already happened.</w:t>
      </w:r>
      <w:r>
        <w:rPr/>
        <w:t xml:space="preserve"> There is no point selling at that stage.</w:t>
      </w:r>
    </w:p>
    <w:p>
      <w:pPr>
        <w:pStyle w:val="BodyText"/>
        <w:numPr>
          <w:ilvl w:val="0"/>
          <w:numId w:val="70"/>
        </w:numPr>
        <w:tabs>
          <w:tab w:val="clear" w:pos="709"/>
          <w:tab w:val="left" w:pos="709" w:leader="none"/>
        </w:tabs>
        <w:bidi w:val="0"/>
        <w:spacing w:before="0" w:after="0"/>
        <w:ind w:hanging="283" w:start="709"/>
        <w:jc w:val="start"/>
        <w:rPr/>
      </w:pPr>
      <w:r>
        <w:rPr>
          <w:b/>
        </w:rPr>
        <w:t>RULE (Adam's real-life behaviour): when you see a 90-degree drop, DO NOT SELL. Just hold it.</w:t>
      </w:r>
    </w:p>
    <w:p>
      <w:pPr>
        <w:pStyle w:val="BodyText"/>
        <w:numPr>
          <w:ilvl w:val="1"/>
          <w:numId w:val="70"/>
        </w:numPr>
        <w:tabs>
          <w:tab w:val="clear" w:pos="709"/>
          <w:tab w:val="left" w:pos="1418" w:leader="none"/>
        </w:tabs>
        <w:bidi w:val="0"/>
        <w:ind w:hanging="283" w:start="1418"/>
        <w:jc w:val="start"/>
        <w:rPr/>
      </w:pPr>
      <w:r>
        <w:rPr/>
        <w:t xml:space="preserve">He states explicitly that in reality he did </w:t>
      </w:r>
      <w:r>
        <w:rPr>
          <w:b/>
        </w:rPr>
        <w:t>not</w:t>
      </w:r>
      <w:r>
        <w:rPr/>
        <w:t xml:space="preserve"> sell in February 2020; he ignored the moving averages completely.</w:t>
      </w:r>
    </w:p>
    <w:p>
      <w:pPr>
        <w:pStyle w:val="BodyText"/>
        <w:numPr>
          <w:ilvl w:val="1"/>
          <w:numId w:val="70"/>
        </w:numPr>
        <w:tabs>
          <w:tab w:val="clear" w:pos="709"/>
          <w:tab w:val="left" w:pos="1418" w:leader="none"/>
        </w:tabs>
        <w:bidi w:val="0"/>
        <w:ind w:hanging="283" w:start="1418"/>
        <w:jc w:val="start"/>
        <w:rPr/>
      </w:pPr>
      <w:r>
        <w:rPr/>
        <w:t>In the back-test he sold anyway, only to follow the mechanical rules of the exercise.</w:t>
      </w:r>
    </w:p>
    <w:p>
      <w:pPr>
        <w:pStyle w:val="BodyText"/>
        <w:numPr>
          <w:ilvl w:val="0"/>
          <w:numId w:val="70"/>
        </w:numPr>
        <w:tabs>
          <w:tab w:val="clear" w:pos="709"/>
          <w:tab w:val="left" w:pos="709" w:leader="none"/>
        </w:tabs>
        <w:bidi w:val="0"/>
        <w:ind w:hanging="283" w:start="709"/>
        <w:jc w:val="start"/>
        <w:rPr/>
      </w:pPr>
      <w:r>
        <w:rPr>
          <w:b/>
        </w:rPr>
        <w:t>Rubber-ball theory:</w:t>
      </w:r>
      <w:r>
        <w:rPr/>
        <w:t xml:space="preserve"> the harder you throw the ball down, the faster it bounces back up. If you hold great companies/good ETFs, they bounce back just as fast.</w:t>
      </w:r>
    </w:p>
    <w:p>
      <w:pPr>
        <w:pStyle w:val="BodyText"/>
        <w:numPr>
          <w:ilvl w:val="0"/>
          <w:numId w:val="70"/>
        </w:numPr>
        <w:tabs>
          <w:tab w:val="clear" w:pos="709"/>
          <w:tab w:val="left" w:pos="709" w:leader="none"/>
        </w:tabs>
        <w:bidi w:val="0"/>
        <w:ind w:hanging="283" w:start="709"/>
        <w:jc w:val="start"/>
        <w:rPr/>
      </w:pPr>
      <w:r>
        <w:rPr>
          <w:b/>
        </w:rPr>
        <w:t>The problem this creates:</w:t>
      </w:r>
      <w:r>
        <w:rPr/>
        <w:t xml:space="preserve"> where do you buy more shares to take advantage of the discount? Waiting for the 50 to cross back above the 150 means buying </w:t>
      </w:r>
      <w:r>
        <w:rPr>
          <w:b/>
        </w:rPr>
        <w:t>only after the big recovery — too high</w:t>
      </w:r>
      <w:r>
        <w:rPr/>
        <w:t>.</w:t>
      </w:r>
    </w:p>
    <w:p>
      <w:pPr>
        <w:pStyle w:val="Heading3"/>
        <w:numPr>
          <w:ilvl w:val="0"/>
          <w:numId w:val="0"/>
        </w:numPr>
        <w:bidi w:val="0"/>
        <w:ind w:hanging="0" w:start="0"/>
        <w:jc w:val="start"/>
        <w:rPr/>
      </w:pPr>
      <w:r>
        <w:rPr/>
        <w:t>A11. RULE — Staged Buying Into a Crash (Bear-Market Ladder)</w:t>
      </w:r>
    </w:p>
    <w:p>
      <w:pPr>
        <w:pStyle w:val="Heading4"/>
        <w:bidi w:val="0"/>
        <w:ind w:hanging="0" w:start="0"/>
        <w:jc w:val="start"/>
        <w:rPr/>
      </w:pPr>
      <w:r>
        <w:rPr/>
        <w:t>The historical facts underpinning the rule</w:t>
      </w:r>
    </w:p>
    <w:p>
      <w:pPr>
        <w:pStyle w:val="BodyText"/>
        <w:numPr>
          <w:ilvl w:val="0"/>
          <w:numId w:val="71"/>
        </w:numPr>
        <w:tabs>
          <w:tab w:val="clear" w:pos="709"/>
          <w:tab w:val="left" w:pos="709" w:leader="none"/>
        </w:tabs>
        <w:bidi w:val="0"/>
        <w:ind w:hanging="283" w:start="709"/>
        <w:jc w:val="start"/>
        <w:rPr/>
      </w:pPr>
      <w:r>
        <w:rPr/>
        <w:t xml:space="preserve">Adam has studied the markets for </w:t>
      </w:r>
      <w:r>
        <w:rPr>
          <w:b/>
        </w:rPr>
        <w:t>28 years</w:t>
      </w:r>
      <w:r>
        <w:rPr/>
        <w:t xml:space="preserve"> and lived through </w:t>
      </w:r>
      <w:r>
        <w:rPr>
          <w:b/>
        </w:rPr>
        <w:t>six bear markets</w:t>
      </w:r>
      <w:r>
        <w:rPr/>
        <w:t xml:space="preserve">; the statistics are drawn from </w:t>
      </w:r>
      <w:r>
        <w:rPr>
          <w:b/>
        </w:rPr>
        <w:t>100 years</w:t>
      </w:r>
      <w:r>
        <w:rPr/>
        <w:t xml:space="preserve"> of market history.</w:t>
      </w:r>
    </w:p>
    <w:p>
      <w:pPr>
        <w:pStyle w:val="BodyText"/>
        <w:numPr>
          <w:ilvl w:val="0"/>
          <w:numId w:val="71"/>
        </w:numPr>
        <w:tabs>
          <w:tab w:val="clear" w:pos="709"/>
          <w:tab w:val="left" w:pos="709" w:leader="none"/>
        </w:tabs>
        <w:bidi w:val="0"/>
        <w:ind w:hanging="283" w:start="709"/>
        <w:jc w:val="start"/>
        <w:rPr/>
      </w:pPr>
      <w:r>
        <w:rPr>
          <w:b/>
        </w:rPr>
        <w:t>A bear market is a drop of more than 20% from the high.</w:t>
      </w:r>
      <w:r>
        <w:rPr/>
        <w:t xml:space="preserve"> Anything more than 20% is a bear market.</w:t>
      </w:r>
    </w:p>
    <w:p>
      <w:pPr>
        <w:pStyle w:val="BodyText"/>
        <w:numPr>
          <w:ilvl w:val="0"/>
          <w:numId w:val="71"/>
        </w:numPr>
        <w:tabs>
          <w:tab w:val="clear" w:pos="709"/>
          <w:tab w:val="left" w:pos="709" w:leader="none"/>
        </w:tabs>
        <w:bidi w:val="0"/>
        <w:ind w:hanging="283" w:start="709"/>
        <w:jc w:val="start"/>
        <w:rPr/>
      </w:pPr>
      <w:r>
        <w:rPr>
          <w:b/>
        </w:rPr>
        <w:t>The average bear market drops 36%.</w:t>
      </w:r>
    </w:p>
    <w:p>
      <w:pPr>
        <w:pStyle w:val="BodyText"/>
        <w:numPr>
          <w:ilvl w:val="0"/>
          <w:numId w:val="71"/>
        </w:numPr>
        <w:tabs>
          <w:tab w:val="clear" w:pos="709"/>
          <w:tab w:val="left" w:pos="709" w:leader="none"/>
        </w:tabs>
        <w:bidi w:val="0"/>
        <w:ind w:hanging="283" w:start="709"/>
        <w:jc w:val="start"/>
        <w:rPr/>
      </w:pPr>
      <w:r>
        <w:rPr>
          <w:b/>
        </w:rPr>
        <w:t>The worst drop in history was 55%</w:t>
      </w:r>
      <w:r>
        <w:rPr/>
        <w:t xml:space="preserve"> (the financial crisis).</w:t>
      </w:r>
    </w:p>
    <w:p>
      <w:pPr>
        <w:pStyle w:val="Heading4"/>
        <w:numPr>
          <w:ilvl w:val="0"/>
          <w:numId w:val="0"/>
        </w:numPr>
        <w:bidi w:val="0"/>
        <w:ind w:hanging="0" w:start="0"/>
        <w:jc w:val="start"/>
        <w:rPr/>
      </w:pPr>
      <w:r>
        <w:rPr/>
        <w:t>The staged-entry rule (using a target of 100 shares of the ETF as the illustration)</w:t>
      </w:r>
    </w:p>
    <w:p>
      <w:pPr>
        <w:pStyle w:val="BodyText"/>
        <w:numPr>
          <w:ilvl w:val="0"/>
          <w:numId w:val="72"/>
        </w:numPr>
        <w:tabs>
          <w:tab w:val="clear" w:pos="709"/>
          <w:tab w:val="left" w:pos="709" w:leader="none"/>
        </w:tabs>
        <w:bidi w:val="0"/>
        <w:ind w:hanging="283" w:start="709"/>
        <w:jc w:val="start"/>
        <w:rPr/>
      </w:pPr>
      <w:r>
        <w:rPr>
          <w:b/>
        </w:rPr>
        <w:t>At −25% from the top:</w:t>
      </w:r>
      <w:r>
        <w:rPr/>
        <w:t xml:space="preserve"> start adding — buy </w:t>
      </w:r>
      <w:r>
        <w:rPr>
          <w:b/>
        </w:rPr>
        <w:t>25 shares (a quarter position)</w:t>
      </w:r>
      <w:r>
        <w:rPr/>
        <w:t xml:space="preserve">. Do </w:t>
      </w:r>
      <w:r>
        <w:rPr>
          <w:i/>
        </w:rPr>
        <w:t>not</w:t>
      </w:r>
      <w:r>
        <w:rPr/>
        <w:t xml:space="preserve"> deploy the full 100 at this level.</w:t>
      </w:r>
    </w:p>
    <w:p>
      <w:pPr>
        <w:pStyle w:val="BodyText"/>
        <w:numPr>
          <w:ilvl w:val="0"/>
          <w:numId w:val="72"/>
        </w:numPr>
        <w:tabs>
          <w:tab w:val="clear" w:pos="709"/>
          <w:tab w:val="left" w:pos="709" w:leader="none"/>
        </w:tabs>
        <w:bidi w:val="0"/>
        <w:ind w:hanging="283" w:start="709"/>
        <w:jc w:val="start"/>
        <w:rPr/>
      </w:pPr>
      <w:r>
        <w:rPr>
          <w:b/>
        </w:rPr>
        <w:t>At −35%/−36% (the historical average):</w:t>
      </w:r>
      <w:r>
        <w:rPr/>
        <w:t xml:space="preserve"> add another </w:t>
      </w:r>
      <w:r>
        <w:rPr>
          <w:b/>
        </w:rPr>
        <w:t>quarter position</w:t>
      </w:r>
      <w:r>
        <w:rPr/>
        <w:t xml:space="preserve"> → now half the planned position is filled.</w:t>
      </w:r>
    </w:p>
    <w:p>
      <w:pPr>
        <w:pStyle w:val="BodyText"/>
        <w:numPr>
          <w:ilvl w:val="0"/>
          <w:numId w:val="72"/>
        </w:numPr>
        <w:tabs>
          <w:tab w:val="clear" w:pos="709"/>
          <w:tab w:val="left" w:pos="709" w:leader="none"/>
        </w:tabs>
        <w:bidi w:val="0"/>
        <w:ind w:hanging="283" w:start="709"/>
        <w:jc w:val="start"/>
        <w:rPr/>
      </w:pPr>
      <w:r>
        <w:rPr>
          <w:b/>
        </w:rPr>
        <w:t>At another −10% down (i.e. −45%):</w:t>
      </w:r>
      <w:r>
        <w:rPr/>
        <w:t xml:space="preserve"> add the </w:t>
      </w:r>
      <w:r>
        <w:rPr>
          <w:b/>
        </w:rPr>
        <w:t>third quarter position</w:t>
      </w:r>
      <w:r>
        <w:rPr/>
        <w:t>.</w:t>
      </w:r>
    </w:p>
    <w:p>
      <w:pPr>
        <w:pStyle w:val="BodyText"/>
        <w:numPr>
          <w:ilvl w:val="0"/>
          <w:numId w:val="72"/>
        </w:numPr>
        <w:tabs>
          <w:tab w:val="clear" w:pos="709"/>
          <w:tab w:val="left" w:pos="709" w:leader="none"/>
        </w:tabs>
        <w:bidi w:val="0"/>
        <w:ind w:hanging="283" w:start="709"/>
        <w:jc w:val="start"/>
        <w:rPr/>
      </w:pPr>
      <w:r>
        <w:rPr>
          <w:b/>
        </w:rPr>
        <w:t>At −55% (the biggest drop the market has ever seen):</w:t>
      </w:r>
      <w:r>
        <w:rPr/>
        <w:t xml:space="preserve"> you know you are definitely at the bottom → add the </w:t>
      </w:r>
      <w:r>
        <w:rPr>
          <w:b/>
        </w:rPr>
        <w:t>last quarter position</w:t>
      </w:r>
      <w:r>
        <w:rPr/>
        <w:t xml:space="preserve"> — "all in maybe."</w:t>
      </w:r>
    </w:p>
    <w:p>
      <w:pPr>
        <w:pStyle w:val="BodyText"/>
        <w:numPr>
          <w:ilvl w:val="0"/>
          <w:numId w:val="72"/>
        </w:numPr>
        <w:tabs>
          <w:tab w:val="clear" w:pos="709"/>
          <w:tab w:val="left" w:pos="709" w:leader="none"/>
        </w:tabs>
        <w:bidi w:val="0"/>
        <w:ind w:hanging="283" w:start="709"/>
        <w:jc w:val="start"/>
        <w:rPr/>
      </w:pPr>
      <w:r>
        <w:rPr>
          <w:b/>
        </w:rPr>
        <w:t>Rationale:</w:t>
      </w:r>
      <w:r>
        <w:rPr/>
        <w:t xml:space="preserve"> you can never know where the exact bottom is — the market can reverse at −25%, at −35%, anywhere. Buying in stages means that if it reverses at −35% you still captured at least half your intended position. Once the moving average crosses back and the uptrend is confirmed, </w:t>
      </w:r>
      <w:r>
        <w:rPr>
          <w:b/>
        </w:rPr>
        <w:t>add more shares later on</w:t>
      </w:r>
      <w:r>
        <w:rPr/>
        <w:t>.</w:t>
      </w:r>
    </w:p>
    <w:p>
      <w:pPr>
        <w:pStyle w:val="Heading3"/>
        <w:numPr>
          <w:ilvl w:val="0"/>
          <w:numId w:val="0"/>
        </w:numPr>
        <w:bidi w:val="0"/>
        <w:ind w:hanging="0" w:start="0"/>
        <w:jc w:val="start"/>
        <w:rPr/>
      </w:pPr>
      <w:r>
        <w:rPr/>
        <w:t>A12. Supplementary Resources Referenced</w:t>
      </w:r>
    </w:p>
    <w:p>
      <w:pPr>
        <w:pStyle w:val="BodyText"/>
        <w:numPr>
          <w:ilvl w:val="0"/>
          <w:numId w:val="73"/>
        </w:numPr>
        <w:tabs>
          <w:tab w:val="clear" w:pos="709"/>
          <w:tab w:val="left" w:pos="709" w:leader="none"/>
        </w:tabs>
        <w:bidi w:val="0"/>
        <w:spacing w:before="0" w:after="0"/>
        <w:ind w:hanging="283" w:start="709"/>
        <w:jc w:val="start"/>
        <w:rPr/>
      </w:pPr>
      <w:r>
        <w:rPr/>
        <w:t xml:space="preserve">YouTube: search </w:t>
      </w:r>
      <w:r>
        <w:rPr>
          <w:b/>
        </w:rPr>
        <w:t>"Adam Khoo bull market"</w:t>
      </w:r>
      <w:r>
        <w:rPr/>
        <w:t>.</w:t>
      </w:r>
    </w:p>
    <w:p>
      <w:pPr>
        <w:pStyle w:val="BodyText"/>
        <w:numPr>
          <w:ilvl w:val="1"/>
          <w:numId w:val="73"/>
        </w:numPr>
        <w:tabs>
          <w:tab w:val="clear" w:pos="709"/>
          <w:tab w:val="left" w:pos="1418" w:leader="none"/>
        </w:tabs>
        <w:bidi w:val="0"/>
        <w:ind w:hanging="283" w:start="1418"/>
        <w:jc w:val="start"/>
        <w:rPr/>
      </w:pPr>
      <w:r>
        <w:rPr>
          <w:b/>
        </w:rPr>
        <w:t>"Has the stock market bottomed?" — 3 April 2020</w:t>
      </w:r>
      <w:r>
        <w:rPr/>
        <w:t xml:space="preserve"> — the video where he called the bottom (or at least "near the bottom").</w:t>
      </w:r>
    </w:p>
    <w:p>
      <w:pPr>
        <w:pStyle w:val="BodyText"/>
        <w:numPr>
          <w:ilvl w:val="1"/>
          <w:numId w:val="73"/>
        </w:numPr>
        <w:tabs>
          <w:tab w:val="clear" w:pos="709"/>
          <w:tab w:val="left" w:pos="1418" w:leader="none"/>
        </w:tabs>
        <w:bidi w:val="0"/>
        <w:ind w:hanging="283" w:start="1418"/>
        <w:jc w:val="start"/>
        <w:rPr/>
      </w:pPr>
      <w:r>
        <w:rPr>
          <w:b/>
        </w:rPr>
        <w:t>"The bull market is back" — 10 April 2020</w:t>
      </w:r>
      <w:r>
        <w:rPr/>
        <w:t xml:space="preserve"> — where he called the new bull market and told viewers to get back into the markets.</w:t>
      </w:r>
    </w:p>
    <w:p>
      <w:pPr>
        <w:pStyle w:val="BodyText"/>
        <w:numPr>
          <w:ilvl w:val="1"/>
          <w:numId w:val="73"/>
        </w:numPr>
        <w:tabs>
          <w:tab w:val="clear" w:pos="709"/>
          <w:tab w:val="left" w:pos="1418" w:leader="none"/>
        </w:tabs>
        <w:bidi w:val="0"/>
        <w:ind w:hanging="283" w:start="1418"/>
        <w:jc w:val="start"/>
        <w:rPr/>
      </w:pPr>
      <w:r>
        <w:rPr/>
        <w:t>These videos show the additional parameters and indicators he uses.</w:t>
      </w:r>
    </w:p>
    <w:p>
      <w:pPr>
        <w:pStyle w:val="HorizontalLine"/>
        <w:bidi w:val="0"/>
        <w:jc w:val="start"/>
        <w:rPr/>
      </w:pPr>
      <w:r>
        <w:rPr/>
      </w:r>
    </w:p>
    <w:p>
      <w:pPr>
        <w:pStyle w:val="Heading2"/>
        <w:bidi w:val="0"/>
        <w:ind w:hanging="0" w:start="0"/>
        <w:jc w:val="start"/>
        <w:rPr/>
      </w:pPr>
      <w:r>
        <w:rPr/>
        <w:t>PART B — STRATEGY EXECUTION (Video 22)</w:t>
      </w:r>
    </w:p>
    <w:p>
      <w:pPr>
        <w:pStyle w:val="Heading3"/>
        <w:bidi w:val="0"/>
        <w:ind w:hanging="0" w:start="0"/>
        <w:jc w:val="start"/>
        <w:rPr/>
      </w:pPr>
      <w:r>
        <w:rPr/>
        <w:t>B1. RULE — The 200-Day Simple Moving Average (Red Line)</w:t>
      </w:r>
    </w:p>
    <w:p>
      <w:pPr>
        <w:pStyle w:val="BodyText"/>
        <w:numPr>
          <w:ilvl w:val="0"/>
          <w:numId w:val="74"/>
        </w:numPr>
        <w:tabs>
          <w:tab w:val="clear" w:pos="709"/>
          <w:tab w:val="left" w:pos="709" w:leader="none"/>
        </w:tabs>
        <w:bidi w:val="0"/>
        <w:ind w:hanging="283" w:start="709"/>
        <w:jc w:val="start"/>
        <w:rPr/>
      </w:pPr>
      <w:r>
        <w:rPr/>
        <w:t xml:space="preserve">Install the </w:t>
      </w:r>
      <w:r>
        <w:rPr>
          <w:b/>
        </w:rPr>
        <w:t>200 simple moving average</w:t>
      </w:r>
      <w:r>
        <w:rPr/>
        <w:t xml:space="preserve"> into the chart; Adam's preference is to colour it </w:t>
      </w:r>
      <w:r>
        <w:rPr>
          <w:b/>
        </w:rPr>
        <w:t>red</w:t>
      </w:r>
      <w:r>
        <w:rPr/>
        <w:t>.</w:t>
      </w:r>
    </w:p>
    <w:p>
      <w:pPr>
        <w:pStyle w:val="BodyText"/>
        <w:numPr>
          <w:ilvl w:val="0"/>
          <w:numId w:val="74"/>
        </w:numPr>
        <w:tabs>
          <w:tab w:val="clear" w:pos="709"/>
          <w:tab w:val="left" w:pos="709" w:leader="none"/>
        </w:tabs>
        <w:bidi w:val="0"/>
        <w:ind w:hanging="283" w:start="709"/>
        <w:jc w:val="start"/>
        <w:rPr/>
      </w:pPr>
      <w:r>
        <w:rPr>
          <w:b/>
        </w:rPr>
        <w:t>The 200 works ALONE</w:t>
      </w:r>
      <w:r>
        <w:rPr/>
        <w:t xml:space="preserve"> — it is a single moving average, so the rules are stricter.</w:t>
      </w:r>
    </w:p>
    <w:p>
      <w:pPr>
        <w:pStyle w:val="Heading4"/>
        <w:numPr>
          <w:ilvl w:val="0"/>
          <w:numId w:val="0"/>
        </w:numPr>
        <w:bidi w:val="0"/>
        <w:ind w:hanging="0" w:start="0"/>
        <w:jc w:val="start"/>
        <w:rPr/>
      </w:pPr>
      <w:r>
        <w:rPr/>
        <w:t>RULE — Uptrend by the 200 MA (two criteria)</w:t>
      </w:r>
    </w:p>
    <w:p>
      <w:pPr>
        <w:pStyle w:val="BodyText"/>
        <w:numPr>
          <w:ilvl w:val="0"/>
          <w:numId w:val="75"/>
        </w:numPr>
        <w:tabs>
          <w:tab w:val="clear" w:pos="709"/>
          <w:tab w:val="left" w:pos="709" w:leader="none"/>
        </w:tabs>
        <w:bidi w:val="0"/>
        <w:ind w:hanging="283" w:start="709"/>
        <w:jc w:val="start"/>
        <w:rPr/>
      </w:pPr>
      <w:r>
        <w:rPr>
          <w:b/>
        </w:rPr>
        <w:t>The price of the stock/ETF must be ABOVE the 200 moving average</w:t>
      </w:r>
      <w:r>
        <w:rPr/>
        <w:t>, and</w:t>
      </w:r>
    </w:p>
    <w:p>
      <w:pPr>
        <w:pStyle w:val="BodyText"/>
        <w:numPr>
          <w:ilvl w:val="0"/>
          <w:numId w:val="75"/>
        </w:numPr>
        <w:tabs>
          <w:tab w:val="clear" w:pos="709"/>
          <w:tab w:val="left" w:pos="709" w:leader="none"/>
        </w:tabs>
        <w:bidi w:val="0"/>
        <w:ind w:hanging="283" w:start="709"/>
        <w:jc w:val="start"/>
        <w:rPr/>
      </w:pPr>
      <w:r>
        <w:rPr>
          <w:b/>
        </w:rPr>
        <w:t>The 200 must be SLOPING UP.</w:t>
      </w:r>
    </w:p>
    <w:p>
      <w:pPr>
        <w:pStyle w:val="BodyText"/>
        <w:numPr>
          <w:ilvl w:val="0"/>
          <w:numId w:val="76"/>
        </w:numPr>
        <w:tabs>
          <w:tab w:val="clear" w:pos="709"/>
          <w:tab w:val="left" w:pos="709" w:leader="none"/>
        </w:tabs>
        <w:bidi w:val="0"/>
        <w:ind w:hanging="283" w:start="709"/>
        <w:jc w:val="start"/>
        <w:rPr/>
      </w:pPr>
      <w:r>
        <w:rPr>
          <w:b/>
        </w:rPr>
        <w:t>It cannot be flat.</w:t>
      </w:r>
      <w:r>
        <w:rPr/>
        <w:t xml:space="preserve"> It must slope up.</w:t>
      </w:r>
    </w:p>
    <w:p>
      <w:pPr>
        <w:pStyle w:val="BodyText"/>
        <w:numPr>
          <w:ilvl w:val="0"/>
          <w:numId w:val="76"/>
        </w:numPr>
        <w:tabs>
          <w:tab w:val="clear" w:pos="709"/>
          <w:tab w:val="left" w:pos="709" w:leader="none"/>
        </w:tabs>
        <w:bidi w:val="0"/>
        <w:ind w:hanging="283" w:start="709"/>
        <w:jc w:val="start"/>
        <w:rPr/>
      </w:pPr>
      <w:r>
        <w:rPr>
          <w:i/>
        </w:rPr>
        <w:t>Contrast with 50/150:</w:t>
      </w:r>
      <w:r>
        <w:rPr/>
        <w:t xml:space="preserve"> for the 50/150 the lines may be </w:t>
      </w:r>
      <w:r>
        <w:rPr>
          <w:b/>
        </w:rPr>
        <w:t>flat or sloping up</w:t>
      </w:r>
      <w:r>
        <w:rPr/>
        <w:t xml:space="preserve"> for an uptrend, and </w:t>
      </w:r>
      <w:r>
        <w:rPr>
          <w:b/>
        </w:rPr>
        <w:t>flat or sloping down</w:t>
      </w:r>
      <w:r>
        <w:rPr/>
        <w:t xml:space="preserve"> for a downtrend. Because the 200 is only one moving average, </w:t>
      </w:r>
      <w:r>
        <w:rPr>
          <w:b/>
        </w:rPr>
        <w:t>we have to be more strict — only sloping up counts as an uptrend.</w:t>
      </w:r>
    </w:p>
    <w:p>
      <w:pPr>
        <w:pStyle w:val="Heading4"/>
        <w:numPr>
          <w:ilvl w:val="0"/>
          <w:numId w:val="0"/>
        </w:numPr>
        <w:bidi w:val="0"/>
        <w:ind w:hanging="0" w:start="0"/>
        <w:jc w:val="start"/>
        <w:rPr/>
      </w:pPr>
      <w:r>
        <w:rPr/>
        <w:t>RULE — Downtrend by the 200 MA (two criteria)</w:t>
      </w:r>
    </w:p>
    <w:p>
      <w:pPr>
        <w:pStyle w:val="BodyText"/>
        <w:numPr>
          <w:ilvl w:val="0"/>
          <w:numId w:val="77"/>
        </w:numPr>
        <w:tabs>
          <w:tab w:val="clear" w:pos="709"/>
          <w:tab w:val="left" w:pos="709" w:leader="none"/>
        </w:tabs>
        <w:bidi w:val="0"/>
        <w:ind w:hanging="283" w:start="709"/>
        <w:jc w:val="start"/>
        <w:rPr/>
      </w:pPr>
      <w:r>
        <w:rPr>
          <w:b/>
        </w:rPr>
        <w:t>The price must cross BELOW the 200 moving average</w:t>
      </w:r>
      <w:r>
        <w:rPr/>
        <w:t>, and</w:t>
      </w:r>
    </w:p>
    <w:p>
      <w:pPr>
        <w:pStyle w:val="BodyText"/>
        <w:numPr>
          <w:ilvl w:val="0"/>
          <w:numId w:val="77"/>
        </w:numPr>
        <w:tabs>
          <w:tab w:val="clear" w:pos="709"/>
          <w:tab w:val="left" w:pos="709" w:leader="none"/>
        </w:tabs>
        <w:bidi w:val="0"/>
        <w:ind w:hanging="283" w:start="709"/>
        <w:jc w:val="start"/>
        <w:rPr/>
      </w:pPr>
      <w:r>
        <w:rPr>
          <w:b/>
        </w:rPr>
        <w:t>The 200 must slope downwards.</w:t>
      </w:r>
    </w:p>
    <w:p>
      <w:pPr>
        <w:pStyle w:val="Heading4"/>
        <w:numPr>
          <w:ilvl w:val="0"/>
          <w:numId w:val="0"/>
        </w:numPr>
        <w:bidi w:val="0"/>
        <w:ind w:hanging="0" w:start="0"/>
        <w:jc w:val="start"/>
        <w:rPr/>
      </w:pPr>
      <w:r>
        <w:rPr/>
        <w:t>Interpretation notes</w:t>
      </w:r>
    </w:p>
    <w:p>
      <w:pPr>
        <w:pStyle w:val="BodyText"/>
        <w:numPr>
          <w:ilvl w:val="0"/>
          <w:numId w:val="78"/>
        </w:numPr>
        <w:tabs>
          <w:tab w:val="clear" w:pos="709"/>
          <w:tab w:val="left" w:pos="709" w:leader="none"/>
        </w:tabs>
        <w:bidi w:val="0"/>
        <w:ind w:hanging="283" w:start="709"/>
        <w:jc w:val="start"/>
        <w:rPr/>
      </w:pPr>
      <w:r>
        <w:rPr/>
        <w:t xml:space="preserve">Price dipping below the 200 while the 200 is </w:t>
      </w:r>
      <w:r>
        <w:rPr>
          <w:b/>
        </w:rPr>
        <w:t>still sloping up</w:t>
      </w:r>
      <w:r>
        <w:rPr/>
        <w:t xml:space="preserve"> is </w:t>
      </w:r>
      <w:r>
        <w:rPr>
          <w:b/>
        </w:rPr>
        <w:t>not</w:t>
      </w:r>
      <w:r>
        <w:rPr/>
        <w:t xml:space="preserve"> a downtrend.</w:t>
      </w:r>
    </w:p>
    <w:p>
      <w:pPr>
        <w:pStyle w:val="BodyText"/>
        <w:numPr>
          <w:ilvl w:val="0"/>
          <w:numId w:val="78"/>
        </w:numPr>
        <w:tabs>
          <w:tab w:val="clear" w:pos="709"/>
          <w:tab w:val="left" w:pos="709" w:leader="none"/>
        </w:tabs>
        <w:bidi w:val="0"/>
        <w:ind w:hanging="283" w:start="709"/>
        <w:jc w:val="start"/>
        <w:rPr/>
      </w:pPr>
      <w:r>
        <w:rPr/>
        <w:t xml:space="preserve">Price rising above the 200 while the 200 is </w:t>
      </w:r>
      <w:r>
        <w:rPr>
          <w:b/>
        </w:rPr>
        <w:t>still sloping down</w:t>
      </w:r>
      <w:r>
        <w:rPr/>
        <w:t xml:space="preserve"> is </w:t>
      </w:r>
      <w:r>
        <w:rPr>
          <w:b/>
        </w:rPr>
        <w:t>not</w:t>
      </w:r>
      <w:r>
        <w:rPr/>
        <w:t xml:space="preserve"> an uptrend.</w:t>
      </w:r>
    </w:p>
    <w:p>
      <w:pPr>
        <w:pStyle w:val="Heading3"/>
        <w:numPr>
          <w:ilvl w:val="0"/>
          <w:numId w:val="0"/>
        </w:numPr>
        <w:bidi w:val="0"/>
        <w:ind w:hanging="0" w:start="0"/>
        <w:jc w:val="start"/>
        <w:rPr/>
      </w:pPr>
      <w:r>
        <w:rPr/>
        <w:t>B2. RULE — Which Signal Do I Use? Combine All Three and Take Whichever Comes First</w:t>
      </w:r>
    </w:p>
    <w:p>
      <w:pPr>
        <w:pStyle w:val="BodyText"/>
        <w:numPr>
          <w:ilvl w:val="0"/>
          <w:numId w:val="79"/>
        </w:numPr>
        <w:tabs>
          <w:tab w:val="clear" w:pos="709"/>
          <w:tab w:val="left" w:pos="709" w:leader="none"/>
        </w:tabs>
        <w:bidi w:val="0"/>
        <w:ind w:hanging="283" w:start="709"/>
        <w:jc w:val="start"/>
        <w:rPr/>
      </w:pPr>
      <w:r>
        <w:rPr>
          <w:b/>
        </w:rPr>
        <w:t>Answer: combine all three moving averages (50, 150, 200) to determine the trend.</w:t>
      </w:r>
    </w:p>
    <w:p>
      <w:pPr>
        <w:pStyle w:val="BodyText"/>
        <w:numPr>
          <w:ilvl w:val="0"/>
          <w:numId w:val="79"/>
        </w:numPr>
        <w:tabs>
          <w:tab w:val="clear" w:pos="709"/>
          <w:tab w:val="left" w:pos="709" w:leader="none"/>
        </w:tabs>
        <w:bidi w:val="0"/>
        <w:ind w:hanging="283" w:start="709"/>
        <w:jc w:val="start"/>
        <w:rPr/>
      </w:pPr>
      <w:r>
        <w:rPr>
          <w:b/>
        </w:rPr>
        <w:t>RULE: follow the signal that comes FIRST.</w:t>
      </w:r>
      <w:r>
        <w:rPr/>
        <w:t xml:space="preserve"> Whichever fires earlier is the change-in-trend signal.</w:t>
      </w:r>
    </w:p>
    <w:p>
      <w:pPr>
        <w:pStyle w:val="BodyText"/>
        <w:numPr>
          <w:ilvl w:val="0"/>
          <w:numId w:val="79"/>
        </w:numPr>
        <w:tabs>
          <w:tab w:val="clear" w:pos="709"/>
          <w:tab w:val="left" w:pos="709" w:leader="none"/>
        </w:tabs>
        <w:bidi w:val="0"/>
        <w:spacing w:before="0" w:after="0"/>
        <w:ind w:hanging="283" w:start="709"/>
        <w:jc w:val="start"/>
        <w:rPr/>
      </w:pPr>
      <w:r>
        <w:rPr/>
        <w:t>Worked illustration:</w:t>
      </w:r>
    </w:p>
    <w:p>
      <w:pPr>
        <w:pStyle w:val="BodyText"/>
        <w:numPr>
          <w:ilvl w:val="1"/>
          <w:numId w:val="79"/>
        </w:numPr>
        <w:tabs>
          <w:tab w:val="clear" w:pos="709"/>
          <w:tab w:val="left" w:pos="1418" w:leader="none"/>
        </w:tabs>
        <w:bidi w:val="0"/>
        <w:ind w:hanging="283" w:start="1418"/>
        <w:jc w:val="start"/>
        <w:rPr/>
      </w:pPr>
      <w:r>
        <w:rPr/>
        <w:t xml:space="preserve">On an uptrend turning down, the 50/150 exit fired earlier than the 200 exit (the 200 exit only came once the red line was sloping down with price below it) → take the </w:t>
      </w:r>
      <w:r>
        <w:rPr>
          <w:b/>
        </w:rPr>
        <w:t>50/150</w:t>
      </w:r>
      <w:r>
        <w:rPr/>
        <w:t xml:space="preserve"> signal.</w:t>
      </w:r>
    </w:p>
    <w:p>
      <w:pPr>
        <w:pStyle w:val="BodyText"/>
        <w:numPr>
          <w:ilvl w:val="1"/>
          <w:numId w:val="79"/>
        </w:numPr>
        <w:tabs>
          <w:tab w:val="clear" w:pos="709"/>
          <w:tab w:val="left" w:pos="1418" w:leader="none"/>
        </w:tabs>
        <w:bidi w:val="0"/>
        <w:ind w:hanging="283" w:start="1418"/>
        <w:jc w:val="start"/>
        <w:rPr/>
      </w:pPr>
      <w:r>
        <w:rPr/>
        <w:t xml:space="preserve">On a downtrend turning up, the 50/150 entry fired earlier than the 200 entry → take the </w:t>
      </w:r>
      <w:r>
        <w:rPr>
          <w:b/>
        </w:rPr>
        <w:t>50/150</w:t>
      </w:r>
      <w:r>
        <w:rPr/>
        <w:t xml:space="preserve"> signal.</w:t>
      </w:r>
    </w:p>
    <w:p>
      <w:pPr>
        <w:pStyle w:val="BodyText"/>
        <w:numPr>
          <w:ilvl w:val="1"/>
          <w:numId w:val="79"/>
        </w:numPr>
        <w:tabs>
          <w:tab w:val="clear" w:pos="709"/>
          <w:tab w:val="left" w:pos="1418" w:leader="none"/>
        </w:tabs>
        <w:bidi w:val="0"/>
        <w:ind w:hanging="283" w:start="1418"/>
        <w:jc w:val="start"/>
        <w:rPr/>
      </w:pPr>
      <w:r>
        <w:rPr>
          <w:b/>
        </w:rPr>
        <w:t>The 50/150 does not always come first. There are times the 200 comes first.</w:t>
      </w:r>
      <w:r>
        <w:rPr/>
        <w:t xml:space="preserve"> Always take the earlier signal.</w:t>
      </w:r>
    </w:p>
    <w:p>
      <w:pPr>
        <w:pStyle w:val="BodyText"/>
        <w:numPr>
          <w:ilvl w:val="0"/>
          <w:numId w:val="79"/>
        </w:numPr>
        <w:tabs>
          <w:tab w:val="clear" w:pos="709"/>
          <w:tab w:val="left" w:pos="709" w:leader="none"/>
        </w:tabs>
        <w:bidi w:val="0"/>
        <w:ind w:hanging="283" w:start="709"/>
        <w:jc w:val="start"/>
        <w:rPr/>
      </w:pPr>
      <w:r>
        <w:rPr>
          <w:b/>
        </w:rPr>
        <w:t>Re-emphasised: this trend-reversal method only works on daily candles.</w:t>
      </w:r>
    </w:p>
    <w:p>
      <w:pPr>
        <w:pStyle w:val="Heading3"/>
        <w:numPr>
          <w:ilvl w:val="0"/>
          <w:numId w:val="0"/>
        </w:numPr>
        <w:bidi w:val="0"/>
        <w:ind w:hanging="0" w:start="0"/>
        <w:jc w:val="start"/>
        <w:rPr/>
      </w:pPr>
      <w:r>
        <w:rPr/>
        <w:t>B3. RULE — Complete ETF Trend-Following Strategy (Summary)</w:t>
      </w:r>
    </w:p>
    <w:p>
      <w:pPr>
        <w:pStyle w:val="BodyText"/>
        <w:bidi w:val="0"/>
        <w:jc w:val="start"/>
        <w:rPr/>
      </w:pPr>
      <w:r>
        <w:rPr>
          <w:b/>
        </w:rPr>
        <w:t>BUY when the index/ETF is making a dip on an uptrend.</w:t>
      </w:r>
      <w:r>
        <w:rPr/>
        <w:t xml:space="preserve"> Uptrend is defined as EITHER:</w:t>
      </w:r>
    </w:p>
    <w:p>
      <w:pPr>
        <w:pStyle w:val="BodyText"/>
        <w:numPr>
          <w:ilvl w:val="0"/>
          <w:numId w:val="80"/>
        </w:numPr>
        <w:tabs>
          <w:tab w:val="clear" w:pos="709"/>
          <w:tab w:val="left" w:pos="709" w:leader="none"/>
        </w:tabs>
        <w:bidi w:val="0"/>
        <w:ind w:hanging="283" w:start="709"/>
        <w:jc w:val="start"/>
        <w:rPr/>
      </w:pPr>
      <w:r>
        <w:rPr/>
        <w:t xml:space="preserve">The </w:t>
      </w:r>
      <w:r>
        <w:rPr>
          <w:b/>
        </w:rPr>
        <w:t>50 MA is above the 150 MA and both moving averages are flat or sloping up</w:t>
      </w:r>
      <w:r>
        <w:rPr/>
        <w:t xml:space="preserve"> (they must not be sloping down), </w:t>
      </w:r>
      <w:r>
        <w:rPr>
          <w:b/>
        </w:rPr>
        <w:t>OR</w:t>
      </w:r>
    </w:p>
    <w:p>
      <w:pPr>
        <w:pStyle w:val="BodyText"/>
        <w:numPr>
          <w:ilvl w:val="0"/>
          <w:numId w:val="80"/>
        </w:numPr>
        <w:tabs>
          <w:tab w:val="clear" w:pos="709"/>
          <w:tab w:val="left" w:pos="709" w:leader="none"/>
        </w:tabs>
        <w:bidi w:val="0"/>
        <w:ind w:hanging="283" w:start="709"/>
        <w:jc w:val="start"/>
        <w:rPr/>
      </w:pPr>
      <w:r>
        <w:rPr/>
        <w:t xml:space="preserve">The </w:t>
      </w:r>
      <w:r>
        <w:rPr>
          <w:b/>
        </w:rPr>
        <w:t>price of the ETF is above the 200 MA and the 200 is sloping up.</w:t>
      </w:r>
    </w:p>
    <w:p>
      <w:pPr>
        <w:pStyle w:val="BodyText"/>
        <w:numPr>
          <w:ilvl w:val="0"/>
          <w:numId w:val="80"/>
        </w:numPr>
        <w:tabs>
          <w:tab w:val="clear" w:pos="709"/>
          <w:tab w:val="left" w:pos="709" w:leader="none"/>
        </w:tabs>
        <w:bidi w:val="0"/>
        <w:ind w:hanging="283" w:start="709"/>
        <w:jc w:val="start"/>
        <w:rPr/>
      </w:pPr>
      <w:r>
        <w:rPr/>
        <w:t>Either condition satisfies the uptrend condition.</w:t>
      </w:r>
    </w:p>
    <w:p>
      <w:pPr>
        <w:pStyle w:val="BodyText"/>
        <w:numPr>
          <w:ilvl w:val="0"/>
          <w:numId w:val="80"/>
        </w:numPr>
        <w:tabs>
          <w:tab w:val="clear" w:pos="709"/>
          <w:tab w:val="left" w:pos="709" w:leader="none"/>
        </w:tabs>
        <w:bidi w:val="0"/>
        <w:ind w:hanging="283" w:start="709"/>
        <w:jc w:val="start"/>
        <w:rPr/>
      </w:pPr>
      <w:r>
        <w:rPr/>
        <w:t xml:space="preserve">As long as it is an uptrend, </w:t>
      </w:r>
      <w:r>
        <w:rPr>
          <w:b/>
        </w:rPr>
        <w:t>buy when the price retraces or dips to the moving average.</w:t>
      </w:r>
    </w:p>
    <w:p>
      <w:pPr>
        <w:pStyle w:val="BodyText"/>
        <w:bidi w:val="0"/>
        <w:jc w:val="start"/>
        <w:rPr/>
      </w:pPr>
      <w:r>
        <w:rPr>
          <w:b/>
        </w:rPr>
        <w:t>SELL / exit the ETF when the index reverses into a downtrend</w:t>
      </w:r>
      <w:r>
        <w:rPr/>
        <w:t xml:space="preserve"> (a potential bear market). Downtrend is EITHER:</w:t>
      </w:r>
    </w:p>
    <w:p>
      <w:pPr>
        <w:pStyle w:val="BodyText"/>
        <w:numPr>
          <w:ilvl w:val="0"/>
          <w:numId w:val="81"/>
        </w:numPr>
        <w:tabs>
          <w:tab w:val="clear" w:pos="709"/>
          <w:tab w:val="left" w:pos="709" w:leader="none"/>
        </w:tabs>
        <w:bidi w:val="0"/>
        <w:ind w:hanging="283" w:start="709"/>
        <w:jc w:val="start"/>
        <w:rPr/>
      </w:pPr>
      <w:r>
        <w:rPr/>
        <w:t xml:space="preserve">The </w:t>
      </w:r>
      <w:r>
        <w:rPr>
          <w:b/>
        </w:rPr>
        <w:t>50 MA crosses below the 150 MA and both moving averages have flattened or are sloping down</w:t>
      </w:r>
      <w:r>
        <w:rPr/>
        <w:t xml:space="preserve">, </w:t>
      </w:r>
      <w:r>
        <w:rPr>
          <w:b/>
        </w:rPr>
        <w:t>OR</w:t>
      </w:r>
    </w:p>
    <w:p>
      <w:pPr>
        <w:pStyle w:val="BodyText"/>
        <w:numPr>
          <w:ilvl w:val="0"/>
          <w:numId w:val="81"/>
        </w:numPr>
        <w:tabs>
          <w:tab w:val="clear" w:pos="709"/>
          <w:tab w:val="left" w:pos="709" w:leader="none"/>
        </w:tabs>
        <w:bidi w:val="0"/>
        <w:ind w:hanging="283" w:start="709"/>
        <w:jc w:val="start"/>
        <w:rPr/>
      </w:pPr>
      <w:r>
        <w:rPr/>
        <w:t xml:space="preserve">The </w:t>
      </w:r>
      <w:r>
        <w:rPr>
          <w:b/>
        </w:rPr>
        <w:t>ETF price crosses below the 200 MA and the 200 is sloping down.</w:t>
      </w:r>
    </w:p>
    <w:p>
      <w:pPr>
        <w:pStyle w:val="BodyText"/>
        <w:numPr>
          <w:ilvl w:val="0"/>
          <w:numId w:val="81"/>
        </w:numPr>
        <w:tabs>
          <w:tab w:val="clear" w:pos="709"/>
          <w:tab w:val="left" w:pos="709" w:leader="none"/>
        </w:tabs>
        <w:bidi w:val="0"/>
        <w:ind w:hanging="283" w:start="709"/>
        <w:jc w:val="start"/>
        <w:rPr/>
      </w:pPr>
      <w:r>
        <w:rPr>
          <w:b/>
        </w:rPr>
        <w:t>Whichever comes first.</w:t>
      </w:r>
    </w:p>
    <w:p>
      <w:pPr>
        <w:pStyle w:val="BodyText"/>
        <w:bidi w:val="0"/>
        <w:jc w:val="start"/>
        <w:rPr/>
      </w:pPr>
      <w:r>
        <w:rPr>
          <w:b/>
        </w:rPr>
        <w:t>EXCEPTION TO THE SELL RULE:</w:t>
      </w:r>
      <w:r>
        <w:rPr/>
        <w:t xml:space="preserve"> if the price drops </w:t>
      </w:r>
      <w:r>
        <w:rPr>
          <w:b/>
        </w:rPr>
        <w:t>90 degrees (parabolic drop)</w:t>
      </w:r>
      <w:r>
        <w:rPr/>
        <w:t xml:space="preserve">, as in the 2020 pandemic — </w:t>
      </w:r>
      <w:r>
        <w:rPr>
          <w:b/>
        </w:rPr>
        <w:t>do not sell.</w:t>
      </w:r>
      <w:r>
        <w:rPr/>
        <w:t xml:space="preserve"> By then it is too late; you would be selling near the bottom, which makes no sense. Hold it. Good ETFs and good companies bounce back like a rubber ball — the faster it drops, the faster it bounces back.</w:t>
      </w:r>
    </w:p>
    <w:p>
      <w:pPr>
        <w:pStyle w:val="BodyText"/>
        <w:numPr>
          <w:ilvl w:val="0"/>
          <w:numId w:val="82"/>
        </w:numPr>
        <w:tabs>
          <w:tab w:val="clear" w:pos="709"/>
          <w:tab w:val="left" w:pos="709" w:leader="none"/>
        </w:tabs>
        <w:bidi w:val="0"/>
        <w:ind w:hanging="283" w:start="709"/>
        <w:jc w:val="start"/>
        <w:rPr/>
      </w:pPr>
      <w:r>
        <w:rPr/>
        <w:t xml:space="preserve">On such a crash, rather than waiting for the 50 to get back above the 150 (by which time price has risen a lot), </w:t>
      </w:r>
      <w:r>
        <w:rPr>
          <w:b/>
        </w:rPr>
        <w:t>add at −25%, add more at −35%, more at −45%, and at −55% that's the bottom — all in.</w:t>
      </w:r>
    </w:p>
    <w:p>
      <w:pPr>
        <w:pStyle w:val="Heading3"/>
        <w:numPr>
          <w:ilvl w:val="0"/>
          <w:numId w:val="0"/>
        </w:numPr>
        <w:bidi w:val="0"/>
        <w:ind w:hanging="0" w:start="0"/>
        <w:jc w:val="start"/>
        <w:rPr/>
      </w:pPr>
      <w:r>
        <w:rPr/>
        <w:t>B4. The Three Methods Compared</w:t>
      </w:r>
    </w:p>
    <w:p>
      <w:pPr>
        <w:pStyle w:val="Heading4"/>
        <w:bidi w:val="0"/>
        <w:ind w:hanging="0" w:start="0"/>
        <w:jc w:val="start"/>
        <w:rPr/>
      </w:pPr>
      <w:r>
        <w:rPr/>
        <w:t>Method 1 — Dollar-Cost Averaging (passive)</w:t>
      </w:r>
    </w:p>
    <w:p>
      <w:pPr>
        <w:pStyle w:val="BodyText"/>
        <w:numPr>
          <w:ilvl w:val="0"/>
          <w:numId w:val="83"/>
        </w:numPr>
        <w:tabs>
          <w:tab w:val="clear" w:pos="709"/>
          <w:tab w:val="left" w:pos="709" w:leader="none"/>
        </w:tabs>
        <w:bidi w:val="0"/>
        <w:ind w:hanging="283" w:start="709"/>
        <w:jc w:val="start"/>
        <w:rPr/>
      </w:pPr>
      <w:r>
        <w:rPr/>
        <w:t xml:space="preserve">The simplest method. </w:t>
      </w:r>
      <w:r>
        <w:rPr>
          <w:b/>
        </w:rPr>
        <w:t>No market timing, no need to look at the trend.</w:t>
      </w:r>
    </w:p>
    <w:p>
      <w:pPr>
        <w:pStyle w:val="BodyText"/>
        <w:numPr>
          <w:ilvl w:val="0"/>
          <w:numId w:val="83"/>
        </w:numPr>
        <w:tabs>
          <w:tab w:val="clear" w:pos="709"/>
          <w:tab w:val="left" w:pos="709" w:leader="none"/>
        </w:tabs>
        <w:bidi w:val="0"/>
        <w:ind w:hanging="283" w:start="709"/>
        <w:jc w:val="start"/>
        <w:rPr/>
      </w:pPr>
      <w:r>
        <w:rPr>
          <w:b/>
        </w:rPr>
        <w:t>Invest a fixed dollar amount at regular intervals</w:t>
      </w:r>
      <w:r>
        <w:rPr/>
        <w:t xml:space="preserve">, regardless of uptrend or downtrend. The only requirement is </w:t>
      </w:r>
      <w:r>
        <w:rPr>
          <w:b/>
        </w:rPr>
        <w:t>consistency</w:t>
      </w:r>
      <w:r>
        <w:rPr/>
        <w:t>.</w:t>
      </w:r>
    </w:p>
    <w:p>
      <w:pPr>
        <w:pStyle w:val="BodyText"/>
        <w:numPr>
          <w:ilvl w:val="0"/>
          <w:numId w:val="83"/>
        </w:numPr>
        <w:tabs>
          <w:tab w:val="clear" w:pos="709"/>
          <w:tab w:val="left" w:pos="709" w:leader="none"/>
        </w:tabs>
        <w:bidi w:val="0"/>
        <w:ind w:hanging="283" w:start="709"/>
        <w:jc w:val="start"/>
        <w:rPr/>
      </w:pPr>
      <w:r>
        <w:rPr/>
        <w:t xml:space="preserve">Effect: on average you </w:t>
      </w:r>
      <w:r>
        <w:rPr>
          <w:b/>
        </w:rPr>
        <w:t>buy more shares at a low price and fewer at a high price</w:t>
      </w:r>
      <w:r>
        <w:rPr/>
        <w:t>, averaging your cost to a reasonable level.</w:t>
      </w:r>
    </w:p>
    <w:p>
      <w:pPr>
        <w:pStyle w:val="BodyText"/>
        <w:numPr>
          <w:ilvl w:val="0"/>
          <w:numId w:val="83"/>
        </w:numPr>
        <w:tabs>
          <w:tab w:val="clear" w:pos="709"/>
          <w:tab w:val="left" w:pos="709" w:leader="none"/>
        </w:tabs>
        <w:bidi w:val="0"/>
        <w:ind w:hanging="283" w:start="709"/>
        <w:jc w:val="start"/>
        <w:rPr/>
      </w:pPr>
      <w:r>
        <w:rPr/>
        <w:t>You always make money over time.</w:t>
      </w:r>
    </w:p>
    <w:p>
      <w:pPr>
        <w:pStyle w:val="BodyText"/>
        <w:numPr>
          <w:ilvl w:val="0"/>
          <w:numId w:val="83"/>
        </w:numPr>
        <w:tabs>
          <w:tab w:val="clear" w:pos="709"/>
          <w:tab w:val="left" w:pos="709" w:leader="none"/>
        </w:tabs>
        <w:bidi w:val="0"/>
        <w:ind w:hanging="283" w:start="709"/>
        <w:jc w:val="start"/>
        <w:rPr/>
      </w:pPr>
      <w:r>
        <w:rPr/>
        <w:t xml:space="preserve">Can be done on a portfolio of </w:t>
      </w:r>
      <w:r>
        <w:rPr>
          <w:b/>
        </w:rPr>
        <w:t>equity ETFs</w:t>
      </w:r>
      <w:r>
        <w:rPr/>
        <w:t xml:space="preserve"> or a portfolio of </w:t>
      </w:r>
      <w:r>
        <w:rPr>
          <w:b/>
        </w:rPr>
        <w:t>multi-asset ETFs</w:t>
      </w:r>
      <w:r>
        <w:rPr/>
        <w:t>.</w:t>
      </w:r>
    </w:p>
    <w:p>
      <w:pPr>
        <w:pStyle w:val="BodyText"/>
        <w:numPr>
          <w:ilvl w:val="0"/>
          <w:numId w:val="83"/>
        </w:numPr>
        <w:tabs>
          <w:tab w:val="clear" w:pos="709"/>
          <w:tab w:val="left" w:pos="709" w:leader="none"/>
        </w:tabs>
        <w:bidi w:val="0"/>
        <w:ind w:hanging="283" w:start="709"/>
        <w:jc w:val="start"/>
        <w:rPr/>
      </w:pPr>
      <w:r>
        <w:rPr/>
        <w:t>Passive approach — buy and hold through the ups and downs.</w:t>
      </w:r>
    </w:p>
    <w:p>
      <w:pPr>
        <w:pStyle w:val="BodyText"/>
        <w:numPr>
          <w:ilvl w:val="0"/>
          <w:numId w:val="83"/>
        </w:numPr>
        <w:tabs>
          <w:tab w:val="clear" w:pos="709"/>
          <w:tab w:val="left" w:pos="709" w:leader="none"/>
        </w:tabs>
        <w:bidi w:val="0"/>
        <w:ind w:hanging="283" w:start="709"/>
        <w:jc w:val="start"/>
        <w:rPr/>
      </w:pPr>
      <w:r>
        <w:rPr>
          <w:i/>
        </w:rPr>
        <w:t>"If you're colourblind, just do this."</w:t>
      </w:r>
    </w:p>
    <w:p>
      <w:pPr>
        <w:pStyle w:val="Heading4"/>
        <w:numPr>
          <w:ilvl w:val="0"/>
          <w:numId w:val="0"/>
        </w:numPr>
        <w:bidi w:val="0"/>
        <w:ind w:hanging="0" w:start="0"/>
        <w:jc w:val="start"/>
        <w:rPr/>
      </w:pPr>
      <w:r>
        <w:rPr/>
        <w:t>Method 2 — Trend Following</w:t>
      </w:r>
    </w:p>
    <w:p>
      <w:pPr>
        <w:pStyle w:val="BodyText"/>
        <w:numPr>
          <w:ilvl w:val="0"/>
          <w:numId w:val="84"/>
        </w:numPr>
        <w:tabs>
          <w:tab w:val="clear" w:pos="709"/>
          <w:tab w:val="left" w:pos="709" w:leader="none"/>
        </w:tabs>
        <w:bidi w:val="0"/>
        <w:ind w:hanging="283" w:start="709"/>
        <w:jc w:val="start"/>
        <w:rPr/>
      </w:pPr>
      <w:r>
        <w:rPr/>
        <w:t>Requires seeing the colours of the moving averages.</w:t>
      </w:r>
    </w:p>
    <w:p>
      <w:pPr>
        <w:pStyle w:val="BodyText"/>
        <w:numPr>
          <w:ilvl w:val="0"/>
          <w:numId w:val="84"/>
        </w:numPr>
        <w:tabs>
          <w:tab w:val="clear" w:pos="709"/>
          <w:tab w:val="left" w:pos="709" w:leader="none"/>
        </w:tabs>
        <w:bidi w:val="0"/>
        <w:ind w:hanging="283" w:start="709"/>
        <w:jc w:val="start"/>
        <w:rPr/>
      </w:pPr>
      <w:r>
        <w:rPr/>
        <w:t xml:space="preserve">Identify uptrend vs downtrend using the </w:t>
      </w:r>
      <w:r>
        <w:rPr>
          <w:b/>
        </w:rPr>
        <w:t>50, 150 and 200 moving averages</w:t>
      </w:r>
      <w:r>
        <w:rPr/>
        <w:t>.</w:t>
      </w:r>
    </w:p>
    <w:p>
      <w:pPr>
        <w:pStyle w:val="BodyText"/>
        <w:numPr>
          <w:ilvl w:val="0"/>
          <w:numId w:val="84"/>
        </w:numPr>
        <w:tabs>
          <w:tab w:val="clear" w:pos="709"/>
          <w:tab w:val="left" w:pos="709" w:leader="none"/>
        </w:tabs>
        <w:bidi w:val="0"/>
        <w:ind w:hanging="283" w:start="709"/>
        <w:jc w:val="start"/>
        <w:rPr/>
      </w:pPr>
      <w:r>
        <w:rPr/>
        <w:t xml:space="preserve">Buy when the index/ETF starts an uptrend; </w:t>
      </w:r>
      <w:r>
        <w:rPr>
          <w:b/>
        </w:rPr>
        <w:t>add more shares on every dip on the uptrend</w:t>
      </w:r>
      <w:r>
        <w:rPr/>
        <w:t xml:space="preserve"> (wave down toward a moving average).</w:t>
      </w:r>
    </w:p>
    <w:p>
      <w:pPr>
        <w:pStyle w:val="BodyText"/>
        <w:numPr>
          <w:ilvl w:val="0"/>
          <w:numId w:val="84"/>
        </w:numPr>
        <w:tabs>
          <w:tab w:val="clear" w:pos="709"/>
          <w:tab w:val="left" w:pos="709" w:leader="none"/>
        </w:tabs>
        <w:bidi w:val="0"/>
        <w:ind w:hanging="283" w:start="709"/>
        <w:jc w:val="start"/>
        <w:rPr/>
      </w:pPr>
      <w:r>
        <w:rPr/>
        <w:t>You can't pick the exact bottom, but near the moving averages you know you're near the bottom.</w:t>
      </w:r>
    </w:p>
    <w:p>
      <w:pPr>
        <w:pStyle w:val="BodyText"/>
        <w:numPr>
          <w:ilvl w:val="0"/>
          <w:numId w:val="84"/>
        </w:numPr>
        <w:tabs>
          <w:tab w:val="clear" w:pos="709"/>
          <w:tab w:val="left" w:pos="709" w:leader="none"/>
        </w:tabs>
        <w:bidi w:val="0"/>
        <w:ind w:hanging="283" w:start="709"/>
        <w:jc w:val="start"/>
        <w:rPr/>
      </w:pPr>
      <w:r>
        <w:rPr>
          <w:b/>
        </w:rPr>
        <w:t>Yes, you do get out of the market</w:t>
      </w:r>
      <w:r>
        <w:rPr/>
        <w:t xml:space="preserve"> — when the uptrend reverses into a downtrend/bear market.</w:t>
      </w:r>
    </w:p>
    <w:p>
      <w:pPr>
        <w:pStyle w:val="BodyText"/>
        <w:numPr>
          <w:ilvl w:val="0"/>
          <w:numId w:val="84"/>
        </w:numPr>
        <w:tabs>
          <w:tab w:val="clear" w:pos="709"/>
          <w:tab w:val="left" w:pos="709" w:leader="none"/>
        </w:tabs>
        <w:bidi w:val="0"/>
        <w:ind w:hanging="283" w:start="709"/>
        <w:jc w:val="start"/>
        <w:rPr/>
      </w:pPr>
      <w:r>
        <w:rPr/>
        <w:t>There is no telling how long bear markets last — one month, six months, one year.</w:t>
      </w:r>
    </w:p>
    <w:p>
      <w:pPr>
        <w:pStyle w:val="Heading4"/>
        <w:numPr>
          <w:ilvl w:val="0"/>
          <w:numId w:val="0"/>
        </w:numPr>
        <w:bidi w:val="0"/>
        <w:ind w:hanging="0" w:start="0"/>
        <w:jc w:val="start"/>
        <w:rPr/>
      </w:pPr>
      <w:r>
        <w:rPr/>
        <w:t>Method 3 — The Hybrid (the method Adam actually uses)</w:t>
      </w:r>
    </w:p>
    <w:p>
      <w:pPr>
        <w:pStyle w:val="BodyText"/>
        <w:numPr>
          <w:ilvl w:val="0"/>
          <w:numId w:val="85"/>
        </w:numPr>
        <w:tabs>
          <w:tab w:val="clear" w:pos="709"/>
          <w:tab w:val="left" w:pos="709" w:leader="none"/>
        </w:tabs>
        <w:bidi w:val="0"/>
        <w:ind w:hanging="283" w:start="709"/>
        <w:jc w:val="start"/>
        <w:rPr/>
      </w:pPr>
      <w:r>
        <w:rPr/>
        <w:t>A hybrid of methods 1 and 2.</w:t>
      </w:r>
    </w:p>
    <w:p>
      <w:pPr>
        <w:pStyle w:val="BodyText"/>
        <w:numPr>
          <w:ilvl w:val="0"/>
          <w:numId w:val="85"/>
        </w:numPr>
        <w:tabs>
          <w:tab w:val="clear" w:pos="709"/>
          <w:tab w:val="left" w:pos="709" w:leader="none"/>
        </w:tabs>
        <w:bidi w:val="0"/>
        <w:ind w:hanging="283" w:start="709"/>
        <w:jc w:val="start"/>
        <w:rPr/>
      </w:pPr>
      <w:r>
        <w:rPr>
          <w:b/>
        </w:rPr>
        <w:t>Dollar-cost average — buy shares with a fixed amount of money every six months — but do NOT buy blindly.</w:t>
      </w:r>
    </w:p>
    <w:p>
      <w:pPr>
        <w:pStyle w:val="BodyText"/>
        <w:numPr>
          <w:ilvl w:val="0"/>
          <w:numId w:val="85"/>
        </w:numPr>
        <w:tabs>
          <w:tab w:val="clear" w:pos="709"/>
          <w:tab w:val="left" w:pos="709" w:leader="none"/>
        </w:tabs>
        <w:bidi w:val="0"/>
        <w:spacing w:before="0" w:after="0"/>
        <w:ind w:hanging="283" w:start="709"/>
        <w:jc w:val="start"/>
        <w:rPr/>
      </w:pPr>
      <w:r>
        <w:rPr>
          <w:b/>
        </w:rPr>
        <w:t>Look at the trend of the market.</w:t>
      </w:r>
      <w:r>
        <w:rPr/>
        <w:t xml:space="preserve"> Only buy when:</w:t>
      </w:r>
    </w:p>
    <w:p>
      <w:pPr>
        <w:pStyle w:val="BodyText"/>
        <w:numPr>
          <w:ilvl w:val="1"/>
          <w:numId w:val="85"/>
        </w:numPr>
        <w:tabs>
          <w:tab w:val="clear" w:pos="709"/>
          <w:tab w:val="left" w:pos="1418" w:leader="none"/>
        </w:tabs>
        <w:bidi w:val="0"/>
        <w:ind w:hanging="283" w:start="1418"/>
        <w:jc w:val="start"/>
        <w:rPr/>
      </w:pPr>
      <w:r>
        <w:rPr/>
        <w:t xml:space="preserve">the market is making a </w:t>
      </w:r>
      <w:r>
        <w:rPr>
          <w:b/>
        </w:rPr>
        <w:t>dip on the uptrend</w:t>
      </w:r>
      <w:r>
        <w:rPr/>
        <w:t xml:space="preserve">, </w:t>
      </w:r>
      <w:r>
        <w:rPr>
          <w:b/>
        </w:rPr>
        <w:t>or</w:t>
      </w:r>
    </w:p>
    <w:p>
      <w:pPr>
        <w:pStyle w:val="BodyText"/>
        <w:numPr>
          <w:ilvl w:val="1"/>
          <w:numId w:val="85"/>
        </w:numPr>
        <w:tabs>
          <w:tab w:val="clear" w:pos="709"/>
          <w:tab w:val="left" w:pos="1418" w:leader="none"/>
        </w:tabs>
        <w:bidi w:val="0"/>
        <w:ind w:hanging="283" w:start="1418"/>
        <w:jc w:val="start"/>
        <w:rPr/>
      </w:pPr>
      <w:r>
        <w:rPr/>
        <w:t xml:space="preserve">the market is at the </w:t>
      </w:r>
      <w:r>
        <w:rPr>
          <w:b/>
        </w:rPr>
        <w:t>support level of a consolidation</w:t>
      </w:r>
      <w:r>
        <w:rPr/>
        <w:t>.</w:t>
      </w:r>
    </w:p>
    <w:p>
      <w:pPr>
        <w:pStyle w:val="BodyText"/>
        <w:numPr>
          <w:ilvl w:val="0"/>
          <w:numId w:val="85"/>
        </w:numPr>
        <w:tabs>
          <w:tab w:val="clear" w:pos="709"/>
          <w:tab w:val="left" w:pos="709" w:leader="none"/>
        </w:tabs>
        <w:bidi w:val="0"/>
        <w:ind w:hanging="283" w:start="709"/>
        <w:jc w:val="start"/>
        <w:rPr/>
      </w:pPr>
      <w:r>
        <w:rPr>
          <w:b/>
        </w:rPr>
        <w:t>If the market is in a downtrend, avoid dollar-cost averaging.</w:t>
      </w:r>
    </w:p>
    <w:p>
      <w:pPr>
        <w:pStyle w:val="Heading3"/>
        <w:numPr>
          <w:ilvl w:val="0"/>
          <w:numId w:val="0"/>
        </w:numPr>
        <w:bidi w:val="0"/>
        <w:ind w:hanging="0" w:start="0"/>
        <w:jc w:val="start"/>
        <w:rPr/>
      </w:pPr>
      <w:r>
        <w:rPr/>
        <w:t>B5. BACK-TEST — Buy-and-Hold vs Trend Following over 26 Years</w:t>
      </w:r>
    </w:p>
    <w:p>
      <w:pPr>
        <w:pStyle w:val="BodyText"/>
        <w:numPr>
          <w:ilvl w:val="0"/>
          <w:numId w:val="86"/>
        </w:numPr>
        <w:tabs>
          <w:tab w:val="clear" w:pos="709"/>
          <w:tab w:val="left" w:pos="709" w:leader="none"/>
        </w:tabs>
        <w:bidi w:val="0"/>
        <w:spacing w:before="0" w:after="0"/>
        <w:ind w:hanging="283" w:start="709"/>
        <w:jc w:val="start"/>
        <w:rPr/>
      </w:pPr>
      <w:r>
        <w:rPr/>
        <w:t xml:space="preserve">Comparison run over the </w:t>
      </w:r>
      <w:r>
        <w:rPr>
          <w:b/>
        </w:rPr>
        <w:t>last 26 years</w:t>
      </w:r>
      <w:r>
        <w:rPr/>
        <w:t>:</w:t>
      </w:r>
    </w:p>
    <w:p>
      <w:pPr>
        <w:pStyle w:val="BodyText"/>
        <w:numPr>
          <w:ilvl w:val="1"/>
          <w:numId w:val="86"/>
        </w:numPr>
        <w:tabs>
          <w:tab w:val="clear" w:pos="709"/>
          <w:tab w:val="left" w:pos="1418" w:leader="none"/>
        </w:tabs>
        <w:bidi w:val="0"/>
        <w:ind w:hanging="283" w:start="1418"/>
        <w:jc w:val="start"/>
        <w:rPr/>
      </w:pPr>
      <w:r>
        <w:rPr>
          <w:b/>
        </w:rPr>
        <w:t>Buy and hold</w:t>
      </w:r>
      <w:r>
        <w:rPr/>
        <w:t xml:space="preserve"> (dollar-cost averaging consistently regardless of trend, holding through the ups and downs): </w:t>
      </w:r>
      <w:r>
        <w:rPr>
          <w:b/>
        </w:rPr>
        <w:t>total return 644%</w:t>
      </w:r>
    </w:p>
    <w:p>
      <w:pPr>
        <w:pStyle w:val="BodyText"/>
        <w:numPr>
          <w:ilvl w:val="1"/>
          <w:numId w:val="86"/>
        </w:numPr>
        <w:tabs>
          <w:tab w:val="clear" w:pos="709"/>
          <w:tab w:val="left" w:pos="1418" w:leader="none"/>
        </w:tabs>
        <w:bidi w:val="0"/>
        <w:ind w:hanging="283" w:start="1418"/>
        <w:jc w:val="start"/>
        <w:rPr/>
      </w:pPr>
      <w:r>
        <w:rPr>
          <w:b/>
        </w:rPr>
        <w:t>Trend following</w:t>
      </w:r>
      <w:r>
        <w:rPr/>
        <w:t xml:space="preserve"> (buy on the uptrend, exit at the start of the downtrend, buy back in): </w:t>
      </w:r>
      <w:r>
        <w:rPr>
          <w:b/>
        </w:rPr>
        <w:t>total return 696%</w:t>
      </w:r>
    </w:p>
    <w:p>
      <w:pPr>
        <w:pStyle w:val="BodyText"/>
        <w:numPr>
          <w:ilvl w:val="0"/>
          <w:numId w:val="86"/>
        </w:numPr>
        <w:tabs>
          <w:tab w:val="clear" w:pos="709"/>
          <w:tab w:val="left" w:pos="709" w:leader="none"/>
        </w:tabs>
        <w:bidi w:val="0"/>
        <w:ind w:hanging="283" w:start="709"/>
        <w:jc w:val="start"/>
        <w:rPr/>
      </w:pPr>
      <w:r>
        <w:rPr>
          <w:b/>
        </w:rPr>
        <w:t>Conclusion: in the long run the two are about the same.</w:t>
      </w:r>
      <w:r>
        <w:rPr/>
        <w:t xml:space="preserve"> Trend following gives slightly better results, but passive buying and holding would have done pretty well as well.</w:t>
      </w:r>
    </w:p>
    <w:p>
      <w:pPr>
        <w:pStyle w:val="BodyText"/>
        <w:numPr>
          <w:ilvl w:val="0"/>
          <w:numId w:val="86"/>
        </w:numPr>
        <w:tabs>
          <w:tab w:val="clear" w:pos="709"/>
          <w:tab w:val="left" w:pos="709" w:leader="none"/>
        </w:tabs>
        <w:bidi w:val="0"/>
        <w:ind w:hanging="283" w:start="709"/>
        <w:jc w:val="start"/>
        <w:rPr/>
      </w:pPr>
      <w:r>
        <w:rPr>
          <w:b/>
        </w:rPr>
        <w:t>Whatever strategy you use, the most important thing is to GET STARTED as early as possible.</w:t>
      </w:r>
      <w:r>
        <w:rPr/>
        <w:t xml:space="preserve"> The worst thing a person can do is procrastinate and never start.</w:t>
      </w:r>
    </w:p>
    <w:p>
      <w:pPr>
        <w:pStyle w:val="Heading3"/>
        <w:numPr>
          <w:ilvl w:val="0"/>
          <w:numId w:val="0"/>
        </w:numPr>
        <w:bidi w:val="0"/>
        <w:ind w:hanging="0" w:start="0"/>
        <w:jc w:val="start"/>
        <w:rPr/>
      </w:pPr>
      <w:r>
        <w:rPr/>
        <w:t>B6. Cash Rules and the Risk-Over-Time Inversion</w:t>
      </w:r>
    </w:p>
    <w:p>
      <w:pPr>
        <w:pStyle w:val="BodyText"/>
        <w:numPr>
          <w:ilvl w:val="0"/>
          <w:numId w:val="87"/>
        </w:numPr>
        <w:tabs>
          <w:tab w:val="clear" w:pos="709"/>
          <w:tab w:val="left" w:pos="709" w:leader="none"/>
        </w:tabs>
        <w:bidi w:val="0"/>
        <w:ind w:hanging="283" w:start="709"/>
        <w:jc w:val="start"/>
        <w:rPr/>
      </w:pPr>
      <w:r>
        <w:rPr>
          <w:b/>
        </w:rPr>
        <w:t>Only invest with cash you don't need in the short term.</w:t>
      </w:r>
      <w:r>
        <w:rPr/>
        <w:t xml:space="preserve"> If you need the cash for emergencies or expenses in the next one to two years, </w:t>
      </w:r>
      <w:r>
        <w:rPr>
          <w:b/>
        </w:rPr>
        <w:t>don't invest it</w:t>
      </w:r>
      <w:r>
        <w:rPr/>
        <w:t xml:space="preserve"> — keep it in cash or time deposits.</w:t>
      </w:r>
    </w:p>
    <w:p>
      <w:pPr>
        <w:pStyle w:val="BodyText"/>
        <w:numPr>
          <w:ilvl w:val="0"/>
          <w:numId w:val="87"/>
        </w:numPr>
        <w:tabs>
          <w:tab w:val="clear" w:pos="709"/>
          <w:tab w:val="left" w:pos="709" w:leader="none"/>
        </w:tabs>
        <w:bidi w:val="0"/>
        <w:ind w:hanging="283" w:start="709"/>
        <w:jc w:val="start"/>
        <w:rPr/>
      </w:pPr>
      <w:r>
        <w:rPr/>
        <w:t xml:space="preserve">If you don't need the cash for the next one, two, three, four years and you want to compound your wealth, </w:t>
      </w:r>
      <w:r>
        <w:rPr>
          <w:b/>
        </w:rPr>
        <w:t>start as early as possible</w:t>
      </w:r>
      <w:r>
        <w:rPr/>
        <w:t>.</w:t>
      </w:r>
    </w:p>
    <w:p>
      <w:pPr>
        <w:pStyle w:val="BodyText"/>
        <w:numPr>
          <w:ilvl w:val="0"/>
          <w:numId w:val="87"/>
        </w:numPr>
        <w:tabs>
          <w:tab w:val="clear" w:pos="709"/>
          <w:tab w:val="left" w:pos="709" w:leader="none"/>
        </w:tabs>
        <w:bidi w:val="0"/>
        <w:ind w:hanging="283" w:start="709"/>
        <w:jc w:val="start"/>
        <w:rPr/>
      </w:pPr>
      <w:r>
        <w:rPr>
          <w:b/>
        </w:rPr>
        <w:t>Short term:</w:t>
      </w:r>
      <w:r>
        <w:rPr/>
        <w:t xml:space="preserve"> holding cash </w:t>
      </w:r>
      <w:r>
        <w:rPr>
          <w:i/>
        </w:rPr>
        <w:t>is</w:t>
      </w:r>
      <w:r>
        <w:rPr/>
        <w:t xml:space="preserve"> safer than stocks. Example: in the </w:t>
      </w:r>
      <w:r>
        <w:rPr>
          <w:b/>
        </w:rPr>
        <w:t>2022 bear market the stock market dropped up to 20% in that one year</w:t>
      </w:r>
      <w:r>
        <w:rPr/>
        <w:t xml:space="preserve">. Cash didn't drop nominally — though cash still loses value to </w:t>
      </w:r>
      <w:r>
        <w:rPr>
          <w:b/>
        </w:rPr>
        <w:t>inflation</w:t>
      </w:r>
      <w:r>
        <w:rPr/>
        <w:t>, so there is a drop in real terms.</w:t>
      </w:r>
    </w:p>
    <w:p>
      <w:pPr>
        <w:pStyle w:val="BodyText"/>
        <w:numPr>
          <w:ilvl w:val="0"/>
          <w:numId w:val="87"/>
        </w:numPr>
        <w:tabs>
          <w:tab w:val="clear" w:pos="709"/>
          <w:tab w:val="left" w:pos="709" w:leader="none"/>
        </w:tabs>
        <w:bidi w:val="0"/>
        <w:spacing w:before="0" w:after="0"/>
        <w:ind w:hanging="283" w:start="709"/>
        <w:jc w:val="start"/>
        <w:rPr/>
      </w:pPr>
      <w:r>
        <w:rPr>
          <w:b/>
        </w:rPr>
        <w:t>Long term (5 to 10 years) the relationship inverts:</w:t>
      </w:r>
    </w:p>
    <w:p>
      <w:pPr>
        <w:pStyle w:val="BodyText"/>
        <w:numPr>
          <w:ilvl w:val="1"/>
          <w:numId w:val="87"/>
        </w:numPr>
        <w:tabs>
          <w:tab w:val="clear" w:pos="709"/>
          <w:tab w:val="left" w:pos="1418" w:leader="none"/>
        </w:tabs>
        <w:bidi w:val="0"/>
        <w:ind w:hanging="283" w:start="1418"/>
        <w:jc w:val="start"/>
        <w:rPr/>
      </w:pPr>
      <w:r>
        <w:rPr>
          <w:b/>
        </w:rPr>
        <w:t>The longer you hold cash, the more risky it becomes</w:t>
      </w:r>
      <w:r>
        <w:rPr/>
        <w:t xml:space="preserve"> — cash hardly grows, you only get very minute interest from time deposits, it doesn't build wealth, and in the long run you won't have enough for retirement or to beat inflation.</w:t>
      </w:r>
    </w:p>
    <w:p>
      <w:pPr>
        <w:pStyle w:val="BodyText"/>
        <w:numPr>
          <w:ilvl w:val="1"/>
          <w:numId w:val="87"/>
        </w:numPr>
        <w:tabs>
          <w:tab w:val="clear" w:pos="709"/>
          <w:tab w:val="left" w:pos="1418" w:leader="none"/>
        </w:tabs>
        <w:bidi w:val="0"/>
        <w:ind w:hanging="283" w:start="1418"/>
        <w:jc w:val="start"/>
        <w:rPr/>
      </w:pPr>
      <w:r>
        <w:rPr>
          <w:b/>
        </w:rPr>
        <w:t>The longer you hold stocks, the safer it becomes</w:t>
      </w:r>
      <w:r>
        <w:rPr/>
        <w:t xml:space="preserve"> — despite going through repeated bear markets and ups and downs, over time you are much better off than someone who stayed in cash for 5–10 years.</w:t>
      </w:r>
    </w:p>
    <w:p>
      <w:pPr>
        <w:pStyle w:val="BodyText"/>
        <w:numPr>
          <w:ilvl w:val="0"/>
          <w:numId w:val="87"/>
        </w:numPr>
        <w:tabs>
          <w:tab w:val="clear" w:pos="709"/>
          <w:tab w:val="left" w:pos="709" w:leader="none"/>
        </w:tabs>
        <w:bidi w:val="0"/>
        <w:spacing w:before="0" w:after="0"/>
        <w:ind w:hanging="283" w:start="709"/>
        <w:jc w:val="start"/>
        <w:rPr/>
      </w:pPr>
      <w:r>
        <w:rPr>
          <w:b/>
        </w:rPr>
        <w:t>On the fear "what if I buy and it crashes next week?":</w:t>
      </w:r>
    </w:p>
    <w:p>
      <w:pPr>
        <w:pStyle w:val="BodyText"/>
        <w:numPr>
          <w:ilvl w:val="1"/>
          <w:numId w:val="87"/>
        </w:numPr>
        <w:tabs>
          <w:tab w:val="clear" w:pos="709"/>
          <w:tab w:val="left" w:pos="1418" w:leader="none"/>
        </w:tabs>
        <w:bidi w:val="0"/>
        <w:ind w:hanging="283" w:start="1418"/>
        <w:jc w:val="start"/>
        <w:rPr/>
      </w:pPr>
      <w:r>
        <w:rPr/>
        <w:t xml:space="preserve">First, </w:t>
      </w:r>
      <w:r>
        <w:rPr>
          <w:b/>
        </w:rPr>
        <w:t>you can never predict when the next crash will come.</w:t>
      </w:r>
    </w:p>
    <w:p>
      <w:pPr>
        <w:pStyle w:val="BodyText"/>
        <w:numPr>
          <w:ilvl w:val="1"/>
          <w:numId w:val="87"/>
        </w:numPr>
        <w:tabs>
          <w:tab w:val="clear" w:pos="709"/>
          <w:tab w:val="left" w:pos="1418" w:leader="none"/>
        </w:tabs>
        <w:bidi w:val="0"/>
        <w:ind w:hanging="283" w:start="1418"/>
        <w:jc w:val="start"/>
        <w:rPr/>
      </w:pPr>
      <w:r>
        <w:rPr/>
        <w:t xml:space="preserve">Second, </w:t>
      </w:r>
      <w:r>
        <w:rPr>
          <w:b/>
        </w:rPr>
        <w:t>even if you are unlucky enough to buy right at the top before a crash, if you hold on over the long run you are STILL better off than the person who stayed in cash the whole time.</w:t>
      </w:r>
    </w:p>
    <w:p>
      <w:pPr>
        <w:pStyle w:val="Heading3"/>
        <w:numPr>
          <w:ilvl w:val="0"/>
          <w:numId w:val="0"/>
        </w:numPr>
        <w:bidi w:val="0"/>
        <w:ind w:hanging="0" w:start="0"/>
        <w:jc w:val="start"/>
        <w:rPr/>
      </w:pPr>
      <w:r>
        <w:rPr/>
        <w:t>B7. STUDY — Bad Timing Still Beats Procrastination (2001–2020, $2,000/year into the S&amp;P 500 ETF)</w:t>
      </w:r>
    </w:p>
    <w:p>
      <w:pPr>
        <w:pStyle w:val="BodyText"/>
        <w:bidi w:val="0"/>
        <w:jc w:val="start"/>
        <w:rPr/>
      </w:pPr>
      <w:r>
        <w:rPr/>
        <w:t xml:space="preserve">Five scenarios, each investing </w:t>
      </w:r>
      <w:r>
        <w:rPr>
          <w:b/>
        </w:rPr>
        <w:t>$2,000 annually into the S&amp;P 500 ETF from 2001 to 2020</w:t>
      </w:r>
      <w:r>
        <w:rPr/>
        <w:t xml:space="preserve"> (20 years):</w:t>
      </w:r>
    </w:p>
    <w:tbl>
      <w:tblPr>
        <w:tblW w:w="5000" w:type="pct"/>
        <w:jc w:val="start"/>
        <w:tblInd w:w="-5" w:type="dxa"/>
        <w:tblLayout w:type="fixed"/>
        <w:tblCellMar>
          <w:top w:w="55" w:type="dxa"/>
          <w:start w:w="55" w:type="dxa"/>
          <w:bottom w:w="55" w:type="dxa"/>
          <w:end w:w="55" w:type="dxa"/>
        </w:tblCellMar>
      </w:tblPr>
      <w:tblGrid>
        <w:gridCol w:w="3212"/>
        <w:gridCol w:w="3213"/>
        <w:gridCol w:w="3213"/>
      </w:tblGrid>
      <w:tr>
        <w:trPr>
          <w:tblHeader w:val="true"/>
        </w:trPr>
        <w:tc>
          <w:tcPr>
            <w:tcW w:w="3212" w:type="dxa"/>
            <w:tcBorders>
              <w:top w:val="single" w:sz="4" w:space="0" w:color="000000"/>
              <w:start w:val="single" w:sz="4" w:space="0" w:color="000000"/>
              <w:bottom w:val="single" w:sz="4" w:space="0" w:color="000000"/>
            </w:tcBorders>
          </w:tcPr>
          <w:p>
            <w:pPr>
              <w:pStyle w:val="TableHeading"/>
              <w:bidi w:val="0"/>
              <w:jc w:val="start"/>
              <w:rPr/>
            </w:pPr>
            <w:r>
              <w:rPr/>
              <w:t>Scenario</w:t>
            </w:r>
          </w:p>
        </w:tc>
        <w:tc>
          <w:tcPr>
            <w:tcW w:w="3213" w:type="dxa"/>
            <w:tcBorders>
              <w:top w:val="single" w:sz="4" w:space="0" w:color="000000"/>
              <w:start w:val="single" w:sz="4" w:space="0" w:color="000000"/>
              <w:bottom w:val="single" w:sz="4" w:space="0" w:color="000000"/>
            </w:tcBorders>
          </w:tcPr>
          <w:p>
            <w:pPr>
              <w:pStyle w:val="TableHeading"/>
              <w:bidi w:val="0"/>
              <w:jc w:val="start"/>
              <w:rPr/>
            </w:pPr>
            <w:r>
              <w:rPr/>
              <w:t>Behaviour</w:t>
            </w:r>
          </w:p>
        </w:tc>
        <w:tc>
          <w:tcPr>
            <w:tcW w:w="3213"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Ending value</w:t>
            </w:r>
          </w:p>
        </w:tc>
      </w:tr>
      <w:tr>
        <w:trPr/>
        <w:tc>
          <w:tcPr>
            <w:tcW w:w="3212" w:type="dxa"/>
            <w:tcBorders>
              <w:start w:val="single" w:sz="4" w:space="0" w:color="000000"/>
              <w:bottom w:val="single" w:sz="4" w:space="0" w:color="000000"/>
            </w:tcBorders>
          </w:tcPr>
          <w:p>
            <w:pPr>
              <w:pStyle w:val="TableContents"/>
              <w:bidi w:val="0"/>
              <w:jc w:val="start"/>
              <w:rPr/>
            </w:pPr>
            <w:r>
              <w:rPr/>
              <w:t>1. Perfect timing ("like God")</w:t>
            </w:r>
          </w:p>
        </w:tc>
        <w:tc>
          <w:tcPr>
            <w:tcW w:w="3213" w:type="dxa"/>
            <w:tcBorders>
              <w:start w:val="single" w:sz="4" w:space="0" w:color="000000"/>
              <w:bottom w:val="single" w:sz="4" w:space="0" w:color="000000"/>
            </w:tcBorders>
          </w:tcPr>
          <w:p>
            <w:pPr>
              <w:pStyle w:val="TableContents"/>
              <w:bidi w:val="0"/>
              <w:jc w:val="start"/>
              <w:rPr/>
            </w:pPr>
            <w:r>
              <w:rPr/>
              <w:t xml:space="preserve">Invests $2,000 at the exact </w:t>
            </w:r>
            <w:r>
              <w:rPr>
                <w:b/>
              </w:rPr>
              <w:t>bottom of the market every year</w:t>
            </w:r>
            <w:r>
              <w:rPr/>
              <w:t xml:space="preserve"> (impossible in practice)</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b/>
              </w:rPr>
              <w:t>$151,000</w:t>
            </w:r>
          </w:p>
        </w:tc>
      </w:tr>
      <w:tr>
        <w:trPr/>
        <w:tc>
          <w:tcPr>
            <w:tcW w:w="3212" w:type="dxa"/>
            <w:tcBorders>
              <w:start w:val="single" w:sz="4" w:space="0" w:color="000000"/>
              <w:bottom w:val="single" w:sz="4" w:space="0" w:color="000000"/>
            </w:tcBorders>
          </w:tcPr>
          <w:p>
            <w:pPr>
              <w:pStyle w:val="TableContents"/>
              <w:bidi w:val="0"/>
              <w:jc w:val="start"/>
              <w:rPr/>
            </w:pPr>
            <w:r>
              <w:rPr/>
              <w:t>2. Invest immediately</w:t>
            </w:r>
          </w:p>
        </w:tc>
        <w:tc>
          <w:tcPr>
            <w:tcW w:w="3213" w:type="dxa"/>
            <w:tcBorders>
              <w:start w:val="single" w:sz="4" w:space="0" w:color="000000"/>
              <w:bottom w:val="single" w:sz="4" w:space="0" w:color="000000"/>
            </w:tcBorders>
          </w:tcPr>
          <w:p>
            <w:pPr>
              <w:pStyle w:val="TableContents"/>
              <w:bidi w:val="0"/>
              <w:jc w:val="start"/>
              <w:rPr/>
            </w:pPr>
            <w:r>
              <w:rPr/>
              <w:t xml:space="preserve">Puts in $2,000 on the </w:t>
            </w:r>
            <w:r>
              <w:rPr>
                <w:b/>
              </w:rPr>
              <w:t>first trading day of every year</w:t>
            </w:r>
            <w:r>
              <w:rPr/>
              <w:t xml:space="preserve"> (2nd/3rd January)</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b/>
              </w:rPr>
              <w:t>$135,000</w:t>
            </w:r>
          </w:p>
        </w:tc>
      </w:tr>
      <w:tr>
        <w:trPr/>
        <w:tc>
          <w:tcPr>
            <w:tcW w:w="3212" w:type="dxa"/>
            <w:tcBorders>
              <w:start w:val="single" w:sz="4" w:space="0" w:color="000000"/>
              <w:bottom w:val="single" w:sz="4" w:space="0" w:color="000000"/>
            </w:tcBorders>
          </w:tcPr>
          <w:p>
            <w:pPr>
              <w:pStyle w:val="TableContents"/>
              <w:bidi w:val="0"/>
              <w:jc w:val="start"/>
              <w:rPr/>
            </w:pPr>
            <w:r>
              <w:rPr/>
              <w:t>3. Dollar-cost averaging</w:t>
            </w:r>
          </w:p>
        </w:tc>
        <w:tc>
          <w:tcPr>
            <w:tcW w:w="3213" w:type="dxa"/>
            <w:tcBorders>
              <w:start w:val="single" w:sz="4" w:space="0" w:color="000000"/>
              <w:bottom w:val="single" w:sz="4" w:space="0" w:color="000000"/>
            </w:tcBorders>
          </w:tcPr>
          <w:p>
            <w:pPr>
              <w:pStyle w:val="TableContents"/>
              <w:bidi w:val="0"/>
              <w:jc w:val="start"/>
              <w:rPr/>
            </w:pPr>
            <w:r>
              <w:rPr/>
              <w:t xml:space="preserve">Splits $2,000 into 12 months = </w:t>
            </w:r>
            <w:r>
              <w:rPr>
                <w:b/>
              </w:rPr>
              <w:t>$167 per month</w:t>
            </w:r>
            <w:r>
              <w:rPr/>
              <w:t>, every month</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b/>
              </w:rPr>
              <w:t>$134,856</w:t>
            </w:r>
          </w:p>
        </w:tc>
      </w:tr>
      <w:tr>
        <w:trPr/>
        <w:tc>
          <w:tcPr>
            <w:tcW w:w="3212" w:type="dxa"/>
            <w:tcBorders>
              <w:start w:val="single" w:sz="4" w:space="0" w:color="000000"/>
              <w:bottom w:val="single" w:sz="4" w:space="0" w:color="000000"/>
            </w:tcBorders>
          </w:tcPr>
          <w:p>
            <w:pPr>
              <w:pStyle w:val="TableContents"/>
              <w:bidi w:val="0"/>
              <w:jc w:val="start"/>
              <w:rPr/>
            </w:pPr>
            <w:r>
              <w:rPr/>
              <w:t>4. Worst timing ("Charlie Brown")</w:t>
            </w:r>
          </w:p>
        </w:tc>
        <w:tc>
          <w:tcPr>
            <w:tcW w:w="3213" w:type="dxa"/>
            <w:tcBorders>
              <w:start w:val="single" w:sz="4" w:space="0" w:color="000000"/>
              <w:bottom w:val="single" w:sz="4" w:space="0" w:color="000000"/>
            </w:tcBorders>
          </w:tcPr>
          <w:p>
            <w:pPr>
              <w:pStyle w:val="TableContents"/>
              <w:bidi w:val="0"/>
              <w:jc w:val="start"/>
              <w:rPr/>
            </w:pPr>
            <w:r>
              <w:rPr/>
              <w:t xml:space="preserve">Invests $2,000 at the </w:t>
            </w:r>
            <w:r>
              <w:rPr>
                <w:b/>
              </w:rPr>
              <w:t>top of the market every year</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b/>
              </w:rPr>
              <w:t>$121,000</w:t>
            </w:r>
          </w:p>
        </w:tc>
      </w:tr>
      <w:tr>
        <w:trPr/>
        <w:tc>
          <w:tcPr>
            <w:tcW w:w="3212" w:type="dxa"/>
            <w:tcBorders>
              <w:start w:val="single" w:sz="4" w:space="0" w:color="000000"/>
              <w:bottom w:val="single" w:sz="4" w:space="0" w:color="000000"/>
            </w:tcBorders>
          </w:tcPr>
          <w:p>
            <w:pPr>
              <w:pStyle w:val="TableContents"/>
              <w:bidi w:val="0"/>
              <w:jc w:val="start"/>
              <w:rPr/>
            </w:pPr>
            <w:r>
              <w:rPr/>
              <w:t>5. Stayed in cash</w:t>
            </w:r>
          </w:p>
        </w:tc>
        <w:tc>
          <w:tcPr>
            <w:tcW w:w="3213" w:type="dxa"/>
            <w:tcBorders>
              <w:start w:val="single" w:sz="4" w:space="0" w:color="000000"/>
              <w:bottom w:val="single" w:sz="4" w:space="0" w:color="000000"/>
            </w:tcBorders>
          </w:tcPr>
          <w:p>
            <w:pPr>
              <w:pStyle w:val="TableContents"/>
              <w:bidi w:val="0"/>
              <w:jc w:val="start"/>
              <w:rPr/>
            </w:pPr>
            <w:r>
              <w:rPr/>
              <w:t xml:space="preserve">Kept $2,000/yr in </w:t>
            </w:r>
            <w:r>
              <w:rPr>
                <w:b/>
              </w:rPr>
              <w:t>time deposits</w:t>
            </w:r>
            <w:r>
              <w:rPr/>
              <w:t xml:space="preserve"> for 20 years, always waiting for a lower price</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b/>
              </w:rPr>
              <w:t>$44,000</w:t>
            </w:r>
          </w:p>
        </w:tc>
      </w:tr>
    </w:tbl>
    <w:p>
      <w:pPr>
        <w:pStyle w:val="BodyText"/>
        <w:bidi w:val="0"/>
        <w:jc w:val="start"/>
        <w:rPr/>
      </w:pPr>
      <w:r>
        <w:rPr/>
      </w:r>
    </w:p>
    <w:p>
      <w:pPr>
        <w:pStyle w:val="BodyText"/>
        <w:numPr>
          <w:ilvl w:val="0"/>
          <w:numId w:val="88"/>
        </w:numPr>
        <w:tabs>
          <w:tab w:val="clear" w:pos="709"/>
          <w:tab w:val="left" w:pos="709" w:leader="none"/>
        </w:tabs>
        <w:bidi w:val="0"/>
        <w:ind w:hanging="283" w:start="709"/>
        <w:jc w:val="start"/>
        <w:rPr/>
      </w:pPr>
      <w:r>
        <w:rPr>
          <w:b/>
        </w:rPr>
        <w:t>Lesson: even bad timing beats procrastination.</w:t>
      </w:r>
      <w:r>
        <w:rPr/>
        <w:t xml:space="preserve"> The worst outcome by far belongs to the person who never started.</w:t>
      </w:r>
    </w:p>
    <w:p>
      <w:pPr>
        <w:pStyle w:val="BodyText"/>
        <w:numPr>
          <w:ilvl w:val="0"/>
          <w:numId w:val="88"/>
        </w:numPr>
        <w:tabs>
          <w:tab w:val="clear" w:pos="709"/>
          <w:tab w:val="left" w:pos="709" w:leader="none"/>
        </w:tabs>
        <w:bidi w:val="0"/>
        <w:ind w:hanging="283" w:start="709"/>
        <w:jc w:val="start"/>
        <w:rPr/>
      </w:pPr>
      <w:r>
        <w:rPr/>
        <w:t>Note how close scenario 3 (DCA, $134,856) is to scenario 2 (lump sum at the start of each year, $135,000).</w:t>
      </w:r>
    </w:p>
    <w:p>
      <w:pPr>
        <w:pStyle w:val="Heading3"/>
        <w:numPr>
          <w:ilvl w:val="0"/>
          <w:numId w:val="0"/>
        </w:numPr>
        <w:bidi w:val="0"/>
        <w:ind w:hanging="0" w:start="0"/>
        <w:jc w:val="start"/>
        <w:rPr/>
      </w:pPr>
      <w:r>
        <w:rPr/>
        <w:t>B8. RULE — Ignore Macroeconomics; The Stock Market Is Not The Economy</w:t>
      </w:r>
    </w:p>
    <w:p>
      <w:pPr>
        <w:pStyle w:val="BodyText"/>
        <w:numPr>
          <w:ilvl w:val="0"/>
          <w:numId w:val="89"/>
        </w:numPr>
        <w:tabs>
          <w:tab w:val="clear" w:pos="709"/>
          <w:tab w:val="left" w:pos="709" w:leader="none"/>
        </w:tabs>
        <w:bidi w:val="0"/>
        <w:ind w:hanging="283" w:start="709"/>
        <w:jc w:val="start"/>
        <w:rPr/>
      </w:pPr>
      <w:r>
        <w:rPr>
          <w:b/>
        </w:rPr>
        <w:t>Adam does not use macroeconomic factors — interest rates, GDP, employment data — in making investment decisions at all.</w:t>
      </w:r>
      <w:r>
        <w:rPr/>
        <w:t xml:space="preserve"> He reads them "for entertainment purposes."</w:t>
      </w:r>
    </w:p>
    <w:p>
      <w:pPr>
        <w:pStyle w:val="BodyText"/>
        <w:numPr>
          <w:ilvl w:val="0"/>
          <w:numId w:val="89"/>
        </w:numPr>
        <w:tabs>
          <w:tab w:val="clear" w:pos="709"/>
          <w:tab w:val="left" w:pos="709" w:leader="none"/>
        </w:tabs>
        <w:bidi w:val="0"/>
        <w:ind w:hanging="283" w:start="709"/>
        <w:jc w:val="start"/>
        <w:rPr/>
      </w:pPr>
      <w:r>
        <w:rPr>
          <w:b/>
        </w:rPr>
        <w:t>Looking at macro data will not only fail to help — it will make your decisions WORSE.</w:t>
      </w:r>
      <w:r>
        <w:rPr/>
        <w:t xml:space="preserve"> It will adversely affect your returns: you'll buy at the worst time and sell at the worst time.</w:t>
      </w:r>
    </w:p>
    <w:p>
      <w:pPr>
        <w:pStyle w:val="BodyText"/>
        <w:numPr>
          <w:ilvl w:val="0"/>
          <w:numId w:val="89"/>
        </w:numPr>
        <w:tabs>
          <w:tab w:val="clear" w:pos="709"/>
          <w:tab w:val="left" w:pos="709" w:leader="none"/>
        </w:tabs>
        <w:bidi w:val="0"/>
        <w:ind w:hanging="283" w:start="709"/>
        <w:jc w:val="start"/>
        <w:rPr/>
      </w:pPr>
      <w:r>
        <w:rPr>
          <w:b/>
        </w:rPr>
        <w:t>The stock market is not the economy. They are two totally separate animals.</w:t>
      </w:r>
    </w:p>
    <w:p>
      <w:pPr>
        <w:pStyle w:val="BodyText"/>
        <w:numPr>
          <w:ilvl w:val="0"/>
          <w:numId w:val="89"/>
        </w:numPr>
        <w:tabs>
          <w:tab w:val="clear" w:pos="709"/>
          <w:tab w:val="left" w:pos="709" w:leader="none"/>
        </w:tabs>
        <w:bidi w:val="0"/>
        <w:spacing w:before="0" w:after="0"/>
        <w:ind w:hanging="283" w:start="709"/>
        <w:jc w:val="start"/>
        <w:rPr/>
      </w:pPr>
      <w:r>
        <w:rPr>
          <w:b/>
        </w:rPr>
        <w:t>The stock market is a LEADING INDICATOR of the economy — it leads the economy by about SIX TO NINE MONTHS.</w:t>
      </w:r>
    </w:p>
    <w:p>
      <w:pPr>
        <w:pStyle w:val="BodyText"/>
        <w:numPr>
          <w:ilvl w:val="1"/>
          <w:numId w:val="89"/>
        </w:numPr>
        <w:tabs>
          <w:tab w:val="clear" w:pos="709"/>
          <w:tab w:val="left" w:pos="1418" w:leader="none"/>
        </w:tabs>
        <w:bidi w:val="0"/>
        <w:ind w:hanging="283" w:start="1418"/>
        <w:jc w:val="start"/>
        <w:rPr/>
      </w:pPr>
      <w:r>
        <w:rPr/>
        <w:t xml:space="preserve">When the stock market turns from uptrend to downtrend, </w:t>
      </w:r>
      <w:r>
        <w:rPr>
          <w:b/>
        </w:rPr>
        <w:t>six to nine months later</w:t>
      </w:r>
      <w:r>
        <w:rPr/>
        <w:t xml:space="preserve"> the economy will show a recession.</w:t>
      </w:r>
    </w:p>
    <w:p>
      <w:pPr>
        <w:pStyle w:val="BodyText"/>
        <w:numPr>
          <w:ilvl w:val="1"/>
          <w:numId w:val="89"/>
        </w:numPr>
        <w:tabs>
          <w:tab w:val="clear" w:pos="709"/>
          <w:tab w:val="left" w:pos="1418" w:leader="none"/>
        </w:tabs>
        <w:bidi w:val="0"/>
        <w:ind w:hanging="283" w:start="1418"/>
        <w:jc w:val="start"/>
        <w:rPr/>
      </w:pPr>
      <w:r>
        <w:rPr/>
        <w:t xml:space="preserve">When the stock market turns from downtrend to uptrend, </w:t>
      </w:r>
      <w:r>
        <w:rPr>
          <w:b/>
        </w:rPr>
        <w:t>six to nine months later</w:t>
      </w:r>
      <w:r>
        <w:rPr/>
        <w:t xml:space="preserve"> the economy will show a recovery in GDP.</w:t>
      </w:r>
    </w:p>
    <w:p>
      <w:pPr>
        <w:pStyle w:val="BodyText"/>
        <w:numPr>
          <w:ilvl w:val="0"/>
          <w:numId w:val="89"/>
        </w:numPr>
        <w:tabs>
          <w:tab w:val="clear" w:pos="709"/>
          <w:tab w:val="left" w:pos="709" w:leader="none"/>
        </w:tabs>
        <w:bidi w:val="0"/>
        <w:ind w:hanging="283" w:start="709"/>
        <w:jc w:val="start"/>
        <w:rPr/>
      </w:pPr>
      <w:r>
        <w:rPr>
          <w:b/>
        </w:rPr>
        <w:t>If you focus on economic data you are six to nine months late and you will always make late decisions.</w:t>
      </w:r>
    </w:p>
    <w:p>
      <w:pPr>
        <w:pStyle w:val="BodyText"/>
        <w:numPr>
          <w:ilvl w:val="0"/>
          <w:numId w:val="89"/>
        </w:numPr>
        <w:tabs>
          <w:tab w:val="clear" w:pos="709"/>
          <w:tab w:val="left" w:pos="709" w:leader="none"/>
        </w:tabs>
        <w:bidi w:val="0"/>
        <w:ind w:hanging="283" w:start="709"/>
        <w:jc w:val="start"/>
        <w:rPr/>
      </w:pPr>
      <w:r>
        <w:rPr>
          <w:b/>
        </w:rPr>
        <w:t>Focus only on the price action / the trend of the market.</w:t>
      </w:r>
    </w:p>
    <w:p>
      <w:pPr>
        <w:pStyle w:val="Heading4"/>
        <w:numPr>
          <w:ilvl w:val="0"/>
          <w:numId w:val="0"/>
        </w:numPr>
        <w:bidi w:val="0"/>
        <w:ind w:hanging="0" w:start="0"/>
        <w:jc w:val="start"/>
        <w:rPr/>
      </w:pPr>
      <w:r>
        <w:rPr/>
        <w:t>The economy-vs-market cycle chart (red line = stock price, green line = GDP)</w:t>
      </w:r>
    </w:p>
    <w:p>
      <w:pPr>
        <w:pStyle w:val="BodyText"/>
        <w:numPr>
          <w:ilvl w:val="0"/>
          <w:numId w:val="90"/>
        </w:numPr>
        <w:tabs>
          <w:tab w:val="clear" w:pos="709"/>
          <w:tab w:val="left" w:pos="709" w:leader="none"/>
        </w:tabs>
        <w:bidi w:val="0"/>
        <w:ind w:hanging="283" w:start="709"/>
        <w:jc w:val="start"/>
        <w:rPr/>
      </w:pPr>
      <w:r>
        <w:rPr>
          <w:b/>
        </w:rPr>
        <w:t>At the market top:</w:t>
      </w:r>
      <w:r>
        <w:rPr/>
        <w:t xml:space="preserve"> the market reverses into a downtrend (50 crossing below the 150 and sloping down = the trend-follower's exit signal) — but </w:t>
      </w:r>
      <w:r>
        <w:rPr>
          <w:b/>
        </w:rPr>
        <w:t>the economy is still showing growth, in full recovery</w:t>
      </w:r>
      <w:r>
        <w:rPr/>
        <w:t>. Investors reading the news see a strong economy and BUY right at the top, then wonder why it goes down.</w:t>
      </w:r>
    </w:p>
    <w:p>
      <w:pPr>
        <w:pStyle w:val="BodyText"/>
        <w:numPr>
          <w:ilvl w:val="0"/>
          <w:numId w:val="90"/>
        </w:numPr>
        <w:tabs>
          <w:tab w:val="clear" w:pos="709"/>
          <w:tab w:val="left" w:pos="709" w:leader="none"/>
        </w:tabs>
        <w:bidi w:val="0"/>
        <w:ind w:hanging="283" w:start="709"/>
        <w:jc w:val="start"/>
        <w:rPr/>
      </w:pPr>
      <w:r>
        <w:rPr>
          <w:b/>
        </w:rPr>
        <w:t>When the recession finally appears:</w:t>
      </w:r>
      <w:r>
        <w:rPr/>
        <w:t xml:space="preserve"> those investors sell — and by then </w:t>
      </w:r>
      <w:r>
        <w:rPr>
          <w:b/>
        </w:rPr>
        <w:t>they are selling near the bottom of the stock market cycle</w:t>
      </w:r>
      <w:r>
        <w:rPr/>
        <w:t xml:space="preserve">. This is why most retail investors </w:t>
      </w:r>
      <w:r>
        <w:rPr>
          <w:b/>
        </w:rPr>
        <w:t>buy high and sell low</w:t>
      </w:r>
      <w:r>
        <w:rPr/>
        <w:t>.</w:t>
      </w:r>
    </w:p>
    <w:p>
      <w:pPr>
        <w:pStyle w:val="BodyText"/>
        <w:numPr>
          <w:ilvl w:val="0"/>
          <w:numId w:val="90"/>
        </w:numPr>
        <w:tabs>
          <w:tab w:val="clear" w:pos="709"/>
          <w:tab w:val="left" w:pos="709" w:leader="none"/>
        </w:tabs>
        <w:bidi w:val="0"/>
        <w:ind w:hanging="283" w:start="709"/>
        <w:jc w:val="start"/>
        <w:rPr/>
      </w:pPr>
      <w:r>
        <w:rPr>
          <w:b/>
        </w:rPr>
        <w:t>At the market bottom:</w:t>
      </w:r>
      <w:r>
        <w:rPr/>
        <w:t xml:space="preserve"> a new uptrend forms (50 crossing above the 150 sloping up, or price above the 200 sloping up). Smart investors buy here. Retail investors won't — "it's a recession, GDP is still dropping."</w:t>
      </w:r>
    </w:p>
    <w:p>
      <w:pPr>
        <w:pStyle w:val="BodyText"/>
        <w:numPr>
          <w:ilvl w:val="0"/>
          <w:numId w:val="90"/>
        </w:numPr>
        <w:tabs>
          <w:tab w:val="clear" w:pos="709"/>
          <w:tab w:val="left" w:pos="709" w:leader="none"/>
        </w:tabs>
        <w:bidi w:val="0"/>
        <w:ind w:hanging="283" w:start="709"/>
        <w:jc w:val="start"/>
        <w:rPr/>
      </w:pPr>
      <w:r>
        <w:rPr>
          <w:b/>
        </w:rPr>
        <w:t>They wait for the green line (early recovery) and end up buying near the top again.</w:t>
      </w:r>
      <w:r>
        <w:rPr/>
        <w:t xml:space="preserve"> It goes up a bit, then collapses.</w:t>
      </w:r>
    </w:p>
    <w:p>
      <w:pPr>
        <w:pStyle w:val="BodyText"/>
        <w:numPr>
          <w:ilvl w:val="0"/>
          <w:numId w:val="90"/>
        </w:numPr>
        <w:tabs>
          <w:tab w:val="clear" w:pos="709"/>
          <w:tab w:val="left" w:pos="709" w:leader="none"/>
        </w:tabs>
        <w:bidi w:val="0"/>
        <w:ind w:hanging="283" w:start="709"/>
        <w:jc w:val="start"/>
        <w:rPr/>
      </w:pPr>
      <w:r>
        <w:rPr>
          <w:b/>
        </w:rPr>
        <w:t>Instruction: ignore the economy, ignore GDP, ignore inflation, ignore interest rates, ignore employment. All you have to look at is the price action.</w:t>
      </w:r>
    </w:p>
    <w:p>
      <w:pPr>
        <w:pStyle w:val="Heading3"/>
        <w:numPr>
          <w:ilvl w:val="0"/>
          <w:numId w:val="0"/>
        </w:numPr>
        <w:bidi w:val="0"/>
        <w:ind w:hanging="0" w:start="0"/>
        <w:jc w:val="start"/>
        <w:rPr/>
      </w:pPr>
      <w:r>
        <w:rPr/>
        <w:t>B9. CASE STUDY — March/April 2020: Buying While the News Screamed Depression</w:t>
      </w:r>
    </w:p>
    <w:p>
      <w:pPr>
        <w:pStyle w:val="Heading4"/>
        <w:bidi w:val="0"/>
        <w:ind w:hanging="0" w:start="0"/>
        <w:jc w:val="start"/>
        <w:rPr/>
      </w:pPr>
      <w:r>
        <w:rPr/>
        <w:t>The headlines that scared retail investors out (late March / early April 2020)</w:t>
      </w:r>
    </w:p>
    <w:p>
      <w:pPr>
        <w:pStyle w:val="BodyText"/>
        <w:numPr>
          <w:ilvl w:val="0"/>
          <w:numId w:val="91"/>
        </w:numPr>
        <w:tabs>
          <w:tab w:val="clear" w:pos="709"/>
          <w:tab w:val="left" w:pos="709" w:leader="none"/>
        </w:tabs>
        <w:bidi w:val="0"/>
        <w:ind w:hanging="283" w:start="709"/>
        <w:jc w:val="start"/>
        <w:rPr/>
      </w:pPr>
      <w:r>
        <w:rPr/>
        <w:t xml:space="preserve">Jobless claims soar to surpass </w:t>
      </w:r>
      <w:r>
        <w:rPr>
          <w:b/>
        </w:rPr>
        <w:t>3 million</w:t>
      </w:r>
      <w:r>
        <w:rPr/>
        <w:t>, a record high.</w:t>
      </w:r>
    </w:p>
    <w:p>
      <w:pPr>
        <w:pStyle w:val="BodyText"/>
        <w:numPr>
          <w:ilvl w:val="0"/>
          <w:numId w:val="91"/>
        </w:numPr>
        <w:tabs>
          <w:tab w:val="clear" w:pos="709"/>
          <w:tab w:val="left" w:pos="709" w:leader="none"/>
        </w:tabs>
        <w:bidi w:val="0"/>
        <w:ind w:hanging="283" w:start="709"/>
        <w:jc w:val="start"/>
        <w:rPr/>
      </w:pPr>
      <w:r>
        <w:rPr>
          <w:b/>
        </w:rPr>
        <w:t>30 March:</w:t>
      </w:r>
      <w:r>
        <w:rPr/>
        <w:t xml:space="preserve"> coronavirus job losses could total </w:t>
      </w:r>
      <w:r>
        <w:rPr>
          <w:b/>
        </w:rPr>
        <w:t>47 million</w:t>
      </w:r>
      <w:r>
        <w:rPr/>
        <w:t xml:space="preserve">; the unemployment rate may hit </w:t>
      </w:r>
      <w:r>
        <w:rPr>
          <w:b/>
        </w:rPr>
        <w:t>32%</w:t>
      </w:r>
      <w:r>
        <w:rPr/>
        <w:t>.</w:t>
      </w:r>
    </w:p>
    <w:p>
      <w:pPr>
        <w:pStyle w:val="BodyText"/>
        <w:numPr>
          <w:ilvl w:val="0"/>
          <w:numId w:val="91"/>
        </w:numPr>
        <w:tabs>
          <w:tab w:val="clear" w:pos="709"/>
          <w:tab w:val="left" w:pos="709" w:leader="none"/>
        </w:tabs>
        <w:bidi w:val="0"/>
        <w:ind w:hanging="283" w:start="709"/>
        <w:jc w:val="start"/>
        <w:rPr/>
      </w:pPr>
      <w:r>
        <w:rPr>
          <w:b/>
        </w:rPr>
        <w:t>6 April:</w:t>
      </w:r>
      <w:r>
        <w:rPr/>
        <w:t xml:space="preserve"> Janet Yellen (Federal Reserve Chairperson) says second-quarter GDP could </w:t>
      </w:r>
      <w:r>
        <w:rPr>
          <w:b/>
        </w:rPr>
        <w:t>decline by 30%</w:t>
      </w:r>
      <w:r>
        <w:rPr/>
        <w:t xml:space="preserve"> and unemployment is already at </w:t>
      </w:r>
      <w:r>
        <w:rPr>
          <w:b/>
        </w:rPr>
        <w:t>12 to 30%</w:t>
      </w:r>
      <w:r>
        <w:rPr/>
        <w:t>.</w:t>
      </w:r>
    </w:p>
    <w:p>
      <w:pPr>
        <w:pStyle w:val="BodyText"/>
        <w:numPr>
          <w:ilvl w:val="0"/>
          <w:numId w:val="91"/>
        </w:numPr>
        <w:tabs>
          <w:tab w:val="clear" w:pos="709"/>
          <w:tab w:val="left" w:pos="709" w:leader="none"/>
        </w:tabs>
        <w:bidi w:val="0"/>
        <w:ind w:hanging="283" w:start="709"/>
        <w:jc w:val="start"/>
        <w:rPr/>
      </w:pPr>
      <w:r>
        <w:rPr>
          <w:b/>
        </w:rPr>
        <w:t>9 April:</w:t>
      </w:r>
      <w:r>
        <w:rPr/>
        <w:t xml:space="preserve"> death toll reaches a third straight record, </w:t>
      </w:r>
      <w:r>
        <w:rPr>
          <w:b/>
        </w:rPr>
        <w:t>799</w:t>
      </w:r>
      <w:r>
        <w:rPr/>
        <w:t xml:space="preserve">; the IMF chief says the pandemic will unleash </w:t>
      </w:r>
      <w:r>
        <w:rPr>
          <w:b/>
        </w:rPr>
        <w:t>the worst recession since the Great Depression</w:t>
      </w:r>
      <w:r>
        <w:rPr/>
        <w:t>.</w:t>
      </w:r>
    </w:p>
    <w:p>
      <w:pPr>
        <w:pStyle w:val="BodyText"/>
        <w:numPr>
          <w:ilvl w:val="0"/>
          <w:numId w:val="91"/>
        </w:numPr>
        <w:tabs>
          <w:tab w:val="clear" w:pos="709"/>
          <w:tab w:val="left" w:pos="709" w:leader="none"/>
        </w:tabs>
        <w:bidi w:val="0"/>
        <w:ind w:hanging="283" w:start="709"/>
        <w:jc w:val="start"/>
        <w:rPr/>
      </w:pPr>
      <w:r>
        <w:rPr>
          <w:b/>
        </w:rPr>
        <w:t>9 April:</w:t>
      </w:r>
      <w:r>
        <w:rPr/>
        <w:t xml:space="preserve"> the bull market started — </w:t>
      </w:r>
      <w:r>
        <w:rPr>
          <w:b/>
        </w:rPr>
        <w:t>the Dow jumped 500 points, up 13% on the week.</w:t>
      </w:r>
    </w:p>
    <w:p>
      <w:pPr>
        <w:pStyle w:val="Heading4"/>
        <w:numPr>
          <w:ilvl w:val="0"/>
          <w:numId w:val="0"/>
        </w:numPr>
        <w:bidi w:val="0"/>
        <w:ind w:hanging="0" w:start="0"/>
        <w:jc w:val="start"/>
        <w:rPr/>
      </w:pPr>
      <w:r>
        <w:rPr/>
        <w:t>What actually happened</w:t>
      </w:r>
    </w:p>
    <w:p>
      <w:pPr>
        <w:pStyle w:val="BodyText"/>
        <w:numPr>
          <w:ilvl w:val="0"/>
          <w:numId w:val="92"/>
        </w:numPr>
        <w:tabs>
          <w:tab w:val="clear" w:pos="709"/>
          <w:tab w:val="left" w:pos="709" w:leader="none"/>
        </w:tabs>
        <w:bidi w:val="0"/>
        <w:ind w:hanging="283" w:start="709"/>
        <w:jc w:val="start"/>
        <w:rPr/>
      </w:pPr>
      <w:r>
        <w:rPr>
          <w:b/>
        </w:rPr>
        <w:t>The market bottomed on 23 March 2020</w:t>
      </w:r>
      <w:r>
        <w:rPr/>
        <w:t>, precisely when the media was most pessimistic and predicting the worst depression in history.</w:t>
      </w:r>
    </w:p>
    <w:p>
      <w:pPr>
        <w:pStyle w:val="BodyText"/>
        <w:numPr>
          <w:ilvl w:val="0"/>
          <w:numId w:val="92"/>
        </w:numPr>
        <w:tabs>
          <w:tab w:val="clear" w:pos="709"/>
          <w:tab w:val="left" w:pos="709" w:leader="none"/>
        </w:tabs>
        <w:bidi w:val="0"/>
        <w:ind w:hanging="283" w:start="709"/>
        <w:jc w:val="start"/>
        <w:rPr/>
      </w:pPr>
      <w:r>
        <w:rPr/>
        <w:t xml:space="preserve">Most people were selling like crazy; </w:t>
      </w:r>
      <w:r>
        <w:rPr>
          <w:b/>
        </w:rPr>
        <w:t>many banks were recommending their clients sell everything</w:t>
      </w:r>
      <w:r>
        <w:rPr/>
        <w:t xml:space="preserve"> (Adam notes he has many banker friends).</w:t>
      </w:r>
    </w:p>
    <w:p>
      <w:pPr>
        <w:pStyle w:val="BodyText"/>
        <w:numPr>
          <w:ilvl w:val="0"/>
          <w:numId w:val="92"/>
        </w:numPr>
        <w:tabs>
          <w:tab w:val="clear" w:pos="709"/>
          <w:tab w:val="left" w:pos="709" w:leader="none"/>
        </w:tabs>
        <w:bidi w:val="0"/>
        <w:ind w:hanging="283" w:start="709"/>
        <w:jc w:val="start"/>
        <w:rPr/>
      </w:pPr>
      <w:r>
        <w:rPr>
          <w:b/>
        </w:rPr>
        <w:t>Adam started buying on 25 March 2020 — two days after the bottom</w:t>
      </w:r>
      <w:r>
        <w:rPr/>
        <w:t xml:space="preserve"> — and was buying shares every single day on 4, 6 and 9 April, along with his entire investment community.</w:t>
      </w:r>
    </w:p>
    <w:p>
      <w:pPr>
        <w:pStyle w:val="Heading4"/>
        <w:numPr>
          <w:ilvl w:val="0"/>
          <w:numId w:val="0"/>
        </w:numPr>
        <w:bidi w:val="0"/>
        <w:ind w:hanging="0" w:start="0"/>
        <w:jc w:val="start"/>
        <w:rPr/>
      </w:pPr>
      <w:r>
        <w:rPr/>
        <w:t>The Ultimate Investors Playbook (UIP)</w:t>
      </w:r>
    </w:p>
    <w:p>
      <w:pPr>
        <w:pStyle w:val="BodyText"/>
        <w:numPr>
          <w:ilvl w:val="0"/>
          <w:numId w:val="93"/>
        </w:numPr>
        <w:tabs>
          <w:tab w:val="clear" w:pos="709"/>
          <w:tab w:val="left" w:pos="709" w:leader="none"/>
        </w:tabs>
        <w:bidi w:val="0"/>
        <w:ind w:hanging="283" w:start="709"/>
        <w:jc w:val="start"/>
        <w:rPr/>
      </w:pPr>
      <w:r>
        <w:rPr/>
        <w:t xml:space="preserve">A subscription service where Adam sends a </w:t>
      </w:r>
      <w:r>
        <w:rPr>
          <w:b/>
        </w:rPr>
        <w:t>notification within a couple of minutes</w:t>
      </w:r>
      <w:r>
        <w:rPr/>
        <w:t xml:space="preserve"> the moment he buys or sells something.</w:t>
      </w:r>
    </w:p>
    <w:p>
      <w:pPr>
        <w:pStyle w:val="BodyText"/>
        <w:numPr>
          <w:ilvl w:val="0"/>
          <w:numId w:val="93"/>
        </w:numPr>
        <w:tabs>
          <w:tab w:val="clear" w:pos="709"/>
          <w:tab w:val="left" w:pos="709" w:leader="none"/>
        </w:tabs>
        <w:bidi w:val="0"/>
        <w:ind w:hanging="283" w:start="709"/>
        <w:jc w:val="start"/>
        <w:rPr/>
      </w:pPr>
      <w:r>
        <w:rPr/>
        <w:t xml:space="preserve">At the time it had </w:t>
      </w:r>
      <w:r>
        <w:rPr>
          <w:b/>
        </w:rPr>
        <w:t>1,200 members</w:t>
      </w:r>
      <w:r>
        <w:rPr/>
        <w:t>; a few thousand more have joined since.</w:t>
      </w:r>
    </w:p>
    <w:p>
      <w:pPr>
        <w:pStyle w:val="BodyText"/>
        <w:numPr>
          <w:ilvl w:val="0"/>
          <w:numId w:val="93"/>
        </w:numPr>
        <w:tabs>
          <w:tab w:val="clear" w:pos="709"/>
          <w:tab w:val="left" w:pos="709" w:leader="none"/>
        </w:tabs>
        <w:bidi w:val="0"/>
        <w:spacing w:before="0" w:after="0"/>
        <w:ind w:hanging="283" w:start="709"/>
        <w:jc w:val="start"/>
        <w:rPr/>
      </w:pPr>
      <w:r>
        <w:rPr/>
        <w:t>Actual notifications from the crash:</w:t>
      </w:r>
    </w:p>
    <w:p>
      <w:pPr>
        <w:pStyle w:val="BodyText"/>
        <w:numPr>
          <w:ilvl w:val="1"/>
          <w:numId w:val="93"/>
        </w:numPr>
        <w:tabs>
          <w:tab w:val="clear" w:pos="709"/>
          <w:tab w:val="left" w:pos="1418" w:leader="none"/>
        </w:tabs>
        <w:bidi w:val="0"/>
        <w:ind w:hanging="283" w:start="1418"/>
        <w:jc w:val="start"/>
        <w:rPr/>
      </w:pPr>
      <w:r>
        <w:rPr>
          <w:b/>
        </w:rPr>
        <w:t>24 March:</w:t>
      </w:r>
      <w:r>
        <w:rPr/>
        <w:t xml:space="preserve"> heads-up — looking to add </w:t>
      </w:r>
      <w:r>
        <w:rPr>
          <w:b/>
        </w:rPr>
        <w:t>MasterCard</w:t>
      </w:r>
      <w:r>
        <w:rPr/>
        <w:t xml:space="preserve"> to the portfolio as it's at the </w:t>
      </w:r>
      <w:r>
        <w:rPr>
          <w:b/>
        </w:rPr>
        <w:t>150 MA support</w:t>
      </w:r>
      <w:r>
        <w:rPr/>
        <w:t>.</w:t>
      </w:r>
    </w:p>
    <w:p>
      <w:pPr>
        <w:pStyle w:val="BodyText"/>
        <w:numPr>
          <w:ilvl w:val="1"/>
          <w:numId w:val="93"/>
        </w:numPr>
        <w:tabs>
          <w:tab w:val="clear" w:pos="709"/>
          <w:tab w:val="left" w:pos="1418" w:leader="none"/>
        </w:tabs>
        <w:bidi w:val="0"/>
        <w:ind w:hanging="283" w:start="1418"/>
        <w:jc w:val="start"/>
        <w:rPr/>
      </w:pPr>
      <w:r>
        <w:rPr>
          <w:b/>
        </w:rPr>
        <w:t>25 March:</w:t>
      </w:r>
      <w:r>
        <w:rPr/>
        <w:t xml:space="preserve"> bought </w:t>
      </w:r>
      <w:r>
        <w:rPr>
          <w:b/>
        </w:rPr>
        <w:t>MasterCard at $236.40</w:t>
      </w:r>
      <w:r>
        <w:rPr/>
        <w:t xml:space="preserve">, with the intention of adding more if it dropped to </w:t>
      </w:r>
      <w:r>
        <w:rPr>
          <w:b/>
        </w:rPr>
        <w:t>$210</w:t>
      </w:r>
      <w:r>
        <w:rPr/>
        <w:t>.</w:t>
      </w:r>
    </w:p>
    <w:p>
      <w:pPr>
        <w:pStyle w:val="BodyText"/>
        <w:numPr>
          <w:ilvl w:val="1"/>
          <w:numId w:val="93"/>
        </w:numPr>
        <w:tabs>
          <w:tab w:val="clear" w:pos="709"/>
          <w:tab w:val="left" w:pos="1418" w:leader="none"/>
        </w:tabs>
        <w:bidi w:val="0"/>
        <w:ind w:hanging="283" w:start="1418"/>
        <w:jc w:val="start"/>
        <w:rPr/>
      </w:pPr>
      <w:r>
        <w:rPr>
          <w:b/>
        </w:rPr>
        <w:t>30 March:</w:t>
      </w:r>
      <w:r>
        <w:rPr/>
        <w:t xml:space="preserve"> added </w:t>
      </w:r>
      <w:r>
        <w:rPr>
          <w:b/>
        </w:rPr>
        <w:t>Facebook (now Meta Platforms) at $159.43</w:t>
      </w:r>
      <w:r>
        <w:rPr/>
        <w:t>.</w:t>
      </w:r>
    </w:p>
    <w:p>
      <w:pPr>
        <w:pStyle w:val="BodyText"/>
        <w:numPr>
          <w:ilvl w:val="0"/>
          <w:numId w:val="93"/>
        </w:numPr>
        <w:tabs>
          <w:tab w:val="clear" w:pos="709"/>
          <w:tab w:val="left" w:pos="709" w:leader="none"/>
        </w:tabs>
        <w:bidi w:val="0"/>
        <w:ind w:hanging="283" w:start="709"/>
        <w:jc w:val="start"/>
        <w:rPr/>
      </w:pPr>
      <w:r>
        <w:rPr>
          <w:b/>
        </w:rPr>
        <w:t>The buying rationale (important):</w:t>
      </w:r>
      <w:r>
        <w:rPr/>
        <w:t xml:space="preserve"> the decision to buy is </w:t>
      </w:r>
      <w:r>
        <w:rPr>
          <w:b/>
        </w:rPr>
        <w:t>not</w:t>
      </w:r>
      <w:r>
        <w:rPr/>
        <w:t xml:space="preserve"> a prediction that it's the bottom or that it will go up. </w:t>
      </w:r>
      <w:r>
        <w:rPr>
          <w:b/>
        </w:rPr>
        <w:t>No one can predict the bottom.</w:t>
      </w:r>
      <w:r>
        <w:rPr/>
        <w:t xml:space="preserve"> The criteria are simply: it's a </w:t>
      </w:r>
      <w:r>
        <w:rPr>
          <w:b/>
        </w:rPr>
        <w:t>great company</w:t>
      </w:r>
      <w:r>
        <w:rPr/>
        <w:t xml:space="preserve">, it is </w:t>
      </w:r>
      <w:r>
        <w:rPr>
          <w:b/>
        </w:rPr>
        <w:t>undervalued</w:t>
      </w:r>
      <w:r>
        <w:rPr/>
        <w:t xml:space="preserve">, and it's </w:t>
      </w:r>
      <w:r>
        <w:rPr>
          <w:b/>
        </w:rPr>
        <w:t>at a support level</w:t>
      </w:r>
      <w:r>
        <w:rPr/>
        <w:t xml:space="preserve"> → just buy, and you will do very well.</w:t>
      </w:r>
    </w:p>
    <w:p>
      <w:pPr>
        <w:pStyle w:val="Heading4"/>
        <w:numPr>
          <w:ilvl w:val="0"/>
          <w:numId w:val="0"/>
        </w:numPr>
        <w:bidi w:val="0"/>
        <w:ind w:hanging="0" w:start="0"/>
        <w:jc w:val="start"/>
        <w:rPr/>
      </w:pPr>
      <w:r>
        <w:rPr/>
        <w:t>The results</w:t>
      </w:r>
    </w:p>
    <w:p>
      <w:pPr>
        <w:pStyle w:val="BodyText"/>
        <w:numPr>
          <w:ilvl w:val="0"/>
          <w:numId w:val="94"/>
        </w:numPr>
        <w:tabs>
          <w:tab w:val="clear" w:pos="709"/>
          <w:tab w:val="left" w:pos="709" w:leader="none"/>
        </w:tabs>
        <w:bidi w:val="0"/>
        <w:spacing w:before="0" w:after="0"/>
        <w:ind w:hanging="283" w:start="709"/>
        <w:jc w:val="start"/>
        <w:rPr/>
      </w:pPr>
      <w:r>
        <w:rPr/>
        <w:t>By the end of 2020, when most people made no money:</w:t>
      </w:r>
    </w:p>
    <w:p>
      <w:pPr>
        <w:pStyle w:val="BodyText"/>
        <w:numPr>
          <w:ilvl w:val="1"/>
          <w:numId w:val="94"/>
        </w:numPr>
        <w:tabs>
          <w:tab w:val="clear" w:pos="709"/>
          <w:tab w:val="left" w:pos="1418" w:leader="none"/>
        </w:tabs>
        <w:bidi w:val="0"/>
        <w:ind w:hanging="283" w:start="1418"/>
        <w:jc w:val="start"/>
        <w:rPr/>
      </w:pPr>
      <w:r>
        <w:rPr>
          <w:b/>
        </w:rPr>
        <w:t>Portfolio 1 grew 44%</w:t>
      </w:r>
    </w:p>
    <w:p>
      <w:pPr>
        <w:pStyle w:val="BodyText"/>
        <w:numPr>
          <w:ilvl w:val="1"/>
          <w:numId w:val="94"/>
        </w:numPr>
        <w:tabs>
          <w:tab w:val="clear" w:pos="709"/>
          <w:tab w:val="left" w:pos="1418" w:leader="none"/>
        </w:tabs>
        <w:bidi w:val="0"/>
        <w:ind w:hanging="283" w:start="1418"/>
        <w:jc w:val="start"/>
        <w:rPr/>
      </w:pPr>
      <w:r>
        <w:rPr>
          <w:b/>
        </w:rPr>
        <w:t>Portfolio 2 grew 41.37%</w:t>
      </w:r>
    </w:p>
    <w:p>
      <w:pPr>
        <w:pStyle w:val="BodyText"/>
        <w:numPr>
          <w:ilvl w:val="1"/>
          <w:numId w:val="94"/>
        </w:numPr>
        <w:tabs>
          <w:tab w:val="clear" w:pos="709"/>
          <w:tab w:val="left" w:pos="1418" w:leader="none"/>
        </w:tabs>
        <w:bidi w:val="0"/>
        <w:ind w:hanging="283" w:start="1418"/>
        <w:jc w:val="start"/>
        <w:rPr/>
      </w:pPr>
      <w:r>
        <w:rPr>
          <w:b/>
        </w:rPr>
        <w:t>Actual dollar gain: $791,000 in profits</w:t>
      </w:r>
      <w:r>
        <w:rPr/>
        <w:t xml:space="preserve"> during that recession/bear-market year.</w:t>
      </w:r>
    </w:p>
    <w:p>
      <w:pPr>
        <w:pStyle w:val="BodyText"/>
        <w:numPr>
          <w:ilvl w:val="0"/>
          <w:numId w:val="94"/>
        </w:numPr>
        <w:tabs>
          <w:tab w:val="clear" w:pos="709"/>
          <w:tab w:val="left" w:pos="709" w:leader="none"/>
        </w:tabs>
        <w:bidi w:val="0"/>
        <w:ind w:hanging="283" w:start="709"/>
        <w:jc w:val="start"/>
        <w:rPr/>
      </w:pPr>
      <w:r>
        <w:rPr>
          <w:b/>
        </w:rPr>
        <w:t>These returns required more than index ETFs</w:t>
      </w:r>
      <w:r>
        <w:rPr/>
        <w:t xml:space="preserve"> — he picked individual companies that were </w:t>
      </w:r>
      <w:r>
        <w:rPr>
          <w:b/>
        </w:rPr>
        <w:t>super high quality and very, very undervalued</w:t>
      </w:r>
      <w:r>
        <w:rPr/>
        <w:t>. That is the subject of the next stage of the course.</w:t>
      </w:r>
    </w:p>
    <w:p>
      <w:pPr>
        <w:pStyle w:val="HorizontalLine"/>
        <w:bidi w:val="0"/>
        <w:jc w:val="start"/>
        <w:rPr/>
      </w:pPr>
      <w:r>
        <w:rPr/>
      </w:r>
    </w:p>
    <w:p>
      <w:pPr>
        <w:pStyle w:val="Heading2"/>
        <w:bidi w:val="0"/>
        <w:ind w:hanging="0" w:start="0"/>
        <w:jc w:val="start"/>
        <w:rPr/>
      </w:pPr>
      <w:r>
        <w:rPr/>
        <w:t>PART C — LESSON 3: THE THREE STEPS TO SUCCESSFUL INVESTING (Videos 25 &amp; 26)</w:t>
      </w:r>
    </w:p>
    <w:p>
      <w:pPr>
        <w:pStyle w:val="BlockQuotation"/>
        <w:bidi w:val="0"/>
        <w:jc w:val="start"/>
        <w:rPr/>
      </w:pPr>
      <w:r>
        <w:rPr>
          <w:i/>
        </w:rPr>
        <w:t>Content identification:</w:t>
      </w:r>
      <w:r>
        <w:rPr/>
        <w:t xml:space="preserve"> Video 25 ("Part 1") and video 26 ("Part 2") are the two halves of </w:t>
      </w:r>
      <w:r>
        <w:rPr>
          <w:b/>
        </w:rPr>
        <w:t>Lesson 3 — The Three Steps to Successful Investing</w:t>
      </w:r>
      <w:r>
        <w:rPr/>
        <w:t>. Video 25 opens with "welcome to lesson 3, the three steps to successful investing" and video 26 closes with "that concludes lesson number three… in the next lesson we're gonna dive deeper into analyzing businesses… lesson four, fundamental analysis."</w:t>
      </w:r>
    </w:p>
    <w:p>
      <w:pPr>
        <w:pStyle w:val="Heading3"/>
        <w:bidi w:val="0"/>
        <w:ind w:hanging="0" w:start="0"/>
        <w:jc w:val="start"/>
        <w:rPr/>
      </w:pPr>
      <w:r>
        <w:rPr/>
        <w:t>C1. Framing</w:t>
      </w:r>
    </w:p>
    <w:p>
      <w:pPr>
        <w:pStyle w:val="BodyText"/>
        <w:numPr>
          <w:ilvl w:val="0"/>
          <w:numId w:val="95"/>
        </w:numPr>
        <w:tabs>
          <w:tab w:val="clear" w:pos="709"/>
          <w:tab w:val="left" w:pos="709" w:leader="none"/>
        </w:tabs>
        <w:bidi w:val="0"/>
        <w:ind w:hanging="283" w:start="709"/>
        <w:jc w:val="start"/>
        <w:rPr/>
      </w:pPr>
      <w:r>
        <w:rPr/>
        <w:t xml:space="preserve">The previous lesson taught the simplest way to invest: buy an ETF tracking an index, owning the 30 or 500 biggest companies. </w:t>
      </w:r>
      <w:r>
        <w:rPr>
          <w:b/>
        </w:rPr>
        <w:t>But that only gets you market returns.</w:t>
      </w:r>
    </w:p>
    <w:p>
      <w:pPr>
        <w:pStyle w:val="BodyText"/>
        <w:numPr>
          <w:ilvl w:val="0"/>
          <w:numId w:val="95"/>
        </w:numPr>
        <w:tabs>
          <w:tab w:val="clear" w:pos="709"/>
          <w:tab w:val="left" w:pos="709" w:leader="none"/>
        </w:tabs>
        <w:bidi w:val="0"/>
        <w:ind w:hanging="283" w:start="709"/>
        <w:jc w:val="start"/>
        <w:rPr/>
      </w:pPr>
      <w:r>
        <w:rPr>
          <w:b/>
        </w:rPr>
        <w:t>The purpose of this course is to BEAT the market</w:t>
      </w:r>
      <w:r>
        <w:rPr/>
        <w:t xml:space="preserve"> — to get much higher returns than the index provides — by picking individual stocks that outperform.</w:t>
      </w:r>
    </w:p>
    <w:p>
      <w:pPr>
        <w:pStyle w:val="BodyText"/>
        <w:numPr>
          <w:ilvl w:val="0"/>
          <w:numId w:val="95"/>
        </w:numPr>
        <w:tabs>
          <w:tab w:val="clear" w:pos="709"/>
          <w:tab w:val="left" w:pos="709" w:leader="none"/>
        </w:tabs>
        <w:bidi w:val="0"/>
        <w:ind w:hanging="283" w:start="709"/>
        <w:jc w:val="start"/>
        <w:rPr/>
      </w:pPr>
      <w:r>
        <w:rPr/>
        <w:t>Lesson 3 is deliberately shorter: it delivers the broad concept; the details come in the subsequent lessons.</w:t>
      </w:r>
    </w:p>
    <w:p>
      <w:pPr>
        <w:pStyle w:val="Heading3"/>
        <w:numPr>
          <w:ilvl w:val="0"/>
          <w:numId w:val="0"/>
        </w:numPr>
        <w:bidi w:val="0"/>
        <w:ind w:hanging="0" w:start="0"/>
        <w:jc w:val="start"/>
        <w:rPr/>
      </w:pPr>
      <w:r>
        <w:rPr/>
        <w:t>C2. STEP 1 — Identify Great Businesses</w:t>
      </w:r>
    </w:p>
    <w:p>
      <w:pPr>
        <w:pStyle w:val="BodyText"/>
        <w:numPr>
          <w:ilvl w:val="0"/>
          <w:numId w:val="96"/>
        </w:numPr>
        <w:tabs>
          <w:tab w:val="clear" w:pos="709"/>
          <w:tab w:val="left" w:pos="709" w:leader="none"/>
        </w:tabs>
        <w:bidi w:val="0"/>
        <w:ind w:hanging="283" w:start="709"/>
        <w:jc w:val="start"/>
        <w:rPr/>
      </w:pPr>
      <w:r>
        <w:rPr/>
        <w:t xml:space="preserve">When you buy a share of stock </w:t>
      </w:r>
      <w:r>
        <w:rPr>
          <w:b/>
        </w:rPr>
        <w:t>you are not buying a lottery ticket — you are buying a piece of a business. You are owning a business.</w:t>
      </w:r>
    </w:p>
    <w:p>
      <w:pPr>
        <w:pStyle w:val="BodyText"/>
        <w:numPr>
          <w:ilvl w:val="0"/>
          <w:numId w:val="96"/>
        </w:numPr>
        <w:tabs>
          <w:tab w:val="clear" w:pos="709"/>
          <w:tab w:val="left" w:pos="709" w:leader="none"/>
        </w:tabs>
        <w:bidi w:val="0"/>
        <w:ind w:hanging="283" w:start="709"/>
        <w:jc w:val="start"/>
        <w:rPr/>
      </w:pPr>
      <w:r>
        <w:rPr>
          <w:b/>
        </w:rPr>
        <w:t>Only buy great businesses — best of breed.</w:t>
      </w:r>
      <w:r>
        <w:rPr/>
        <w:t xml:space="preserve"> Not mediocre businesses, not lousy businesses.</w:t>
      </w:r>
    </w:p>
    <w:p>
      <w:pPr>
        <w:pStyle w:val="BodyText"/>
        <w:numPr>
          <w:ilvl w:val="0"/>
          <w:numId w:val="96"/>
        </w:numPr>
        <w:tabs>
          <w:tab w:val="clear" w:pos="709"/>
          <w:tab w:val="left" w:pos="709" w:leader="none"/>
        </w:tabs>
        <w:bidi w:val="0"/>
        <w:ind w:hanging="283" w:start="709"/>
        <w:jc w:val="start"/>
        <w:rPr/>
      </w:pPr>
      <w:r>
        <w:rPr>
          <w:b/>
        </w:rPr>
        <w:t>In the US market there are over 10,000 businesses</w:t>
      </w:r>
      <w:r>
        <w:rPr/>
        <w:t xml:space="preserve"> and you can buy any one you want — so why waste time with low-quality businesses?</w:t>
      </w:r>
    </w:p>
    <w:p>
      <w:pPr>
        <w:pStyle w:val="BodyText"/>
        <w:numPr>
          <w:ilvl w:val="0"/>
          <w:numId w:val="96"/>
        </w:numPr>
        <w:tabs>
          <w:tab w:val="clear" w:pos="709"/>
          <w:tab w:val="left" w:pos="709" w:leader="none"/>
        </w:tabs>
        <w:bidi w:val="0"/>
        <w:ind w:hanging="283" w:start="709"/>
        <w:jc w:val="start"/>
        <w:rPr/>
      </w:pPr>
      <w:r>
        <w:rPr>
          <w:b/>
        </w:rPr>
        <w:t>Adam focuses only on the top 1% of great businesses and ignores the other 99%.</w:t>
      </w:r>
    </w:p>
    <w:p>
      <w:pPr>
        <w:pStyle w:val="Heading3"/>
        <w:numPr>
          <w:ilvl w:val="0"/>
          <w:numId w:val="0"/>
        </w:numPr>
        <w:bidi w:val="0"/>
        <w:ind w:hanging="0" w:start="0"/>
        <w:jc w:val="start"/>
        <w:rPr/>
      </w:pPr>
      <w:r>
        <w:rPr/>
        <w:t>C3. STEP 2 — Buy Only at the Right Price (Below Intrinsic Value)</w:t>
      </w:r>
    </w:p>
    <w:p>
      <w:pPr>
        <w:pStyle w:val="BodyText"/>
        <w:numPr>
          <w:ilvl w:val="0"/>
          <w:numId w:val="97"/>
        </w:numPr>
        <w:tabs>
          <w:tab w:val="clear" w:pos="709"/>
          <w:tab w:val="left" w:pos="709" w:leader="none"/>
        </w:tabs>
        <w:bidi w:val="0"/>
        <w:ind w:hanging="283" w:start="709"/>
        <w:jc w:val="start"/>
        <w:rPr/>
      </w:pPr>
      <w:r>
        <w:rPr>
          <w:b/>
        </w:rPr>
        <w:t>A great business can be a lousy investment if you pay too high a price</w:t>
      </w:r>
      <w:r>
        <w:rPr/>
        <w:t xml:space="preserve"> — if you buy it when it's overvalued.</w:t>
      </w:r>
    </w:p>
    <w:p>
      <w:pPr>
        <w:pStyle w:val="BodyText"/>
        <w:numPr>
          <w:ilvl w:val="0"/>
          <w:numId w:val="97"/>
        </w:numPr>
        <w:tabs>
          <w:tab w:val="clear" w:pos="709"/>
          <w:tab w:val="left" w:pos="709" w:leader="none"/>
        </w:tabs>
        <w:bidi w:val="0"/>
        <w:ind w:hanging="283" w:start="709"/>
        <w:jc w:val="start"/>
        <w:rPr/>
      </w:pPr>
      <w:r>
        <w:rPr>
          <w:b/>
        </w:rPr>
        <w:t>A great business becomes a great investment only when you buy it for less than what it is worth.</w:t>
      </w:r>
    </w:p>
    <w:p>
      <w:pPr>
        <w:pStyle w:val="BodyText"/>
        <w:numPr>
          <w:ilvl w:val="0"/>
          <w:numId w:val="97"/>
        </w:numPr>
        <w:tabs>
          <w:tab w:val="clear" w:pos="709"/>
          <w:tab w:val="left" w:pos="709" w:leader="none"/>
        </w:tabs>
        <w:bidi w:val="0"/>
        <w:spacing w:before="0" w:after="0"/>
        <w:ind w:hanging="283" w:start="709"/>
        <w:jc w:val="start"/>
        <w:rPr/>
      </w:pPr>
      <w:r>
        <w:rPr>
          <w:b/>
        </w:rPr>
        <w:t>Property analogy:</w:t>
      </w:r>
    </w:p>
    <w:p>
      <w:pPr>
        <w:pStyle w:val="BodyText"/>
        <w:numPr>
          <w:ilvl w:val="1"/>
          <w:numId w:val="97"/>
        </w:numPr>
        <w:tabs>
          <w:tab w:val="clear" w:pos="709"/>
          <w:tab w:val="left" w:pos="1418" w:leader="none"/>
        </w:tabs>
        <w:bidi w:val="0"/>
        <w:ind w:hanging="283" w:start="1418"/>
        <w:jc w:val="start"/>
        <w:rPr/>
      </w:pPr>
      <w:r>
        <w:rPr/>
        <w:t xml:space="preserve">The bank values an apartment at </w:t>
      </w:r>
      <w:r>
        <w:rPr>
          <w:b/>
        </w:rPr>
        <w:t>$1 million</w:t>
      </w:r>
      <w:r>
        <w:rPr/>
        <w:t xml:space="preserve">. You fall in love with it and pay </w:t>
      </w:r>
      <w:r>
        <w:rPr>
          <w:b/>
        </w:rPr>
        <w:t>$1.5 million</w:t>
      </w:r>
      <w:r>
        <w:rPr/>
        <w:t xml:space="preserve"> — </w:t>
      </w:r>
      <w:r>
        <w:rPr>
          <w:b/>
        </w:rPr>
        <w:t>50% above valuation</w:t>
      </w:r>
      <w:r>
        <w:rPr/>
        <w:t>. Bad investment: it will be very hard to profit, and any eventual return will be low because you overpaid.</w:t>
      </w:r>
    </w:p>
    <w:p>
      <w:pPr>
        <w:pStyle w:val="BodyText"/>
        <w:numPr>
          <w:ilvl w:val="1"/>
          <w:numId w:val="97"/>
        </w:numPr>
        <w:tabs>
          <w:tab w:val="clear" w:pos="709"/>
          <w:tab w:val="left" w:pos="1418" w:leader="none"/>
        </w:tabs>
        <w:bidi w:val="0"/>
        <w:ind w:hanging="283" w:start="1418"/>
        <w:jc w:val="start"/>
        <w:rPr/>
      </w:pPr>
      <w:r>
        <w:rPr/>
        <w:t xml:space="preserve">Alternatively the seller is desperate (a divorce, or he lost his business and needs cash) and sells at </w:t>
      </w:r>
      <w:r>
        <w:rPr>
          <w:b/>
        </w:rPr>
        <w:t>$700,000</w:t>
      </w:r>
      <w:r>
        <w:rPr/>
        <w:t xml:space="preserve"> — </w:t>
      </w:r>
      <w:r>
        <w:rPr>
          <w:b/>
        </w:rPr>
        <w:t>30% below intrinsic value</w:t>
      </w:r>
      <w:r>
        <w:rPr/>
        <w:t>. Great investment.</w:t>
      </w:r>
    </w:p>
    <w:p>
      <w:pPr>
        <w:pStyle w:val="BodyText"/>
        <w:numPr>
          <w:ilvl w:val="0"/>
          <w:numId w:val="97"/>
        </w:numPr>
        <w:tabs>
          <w:tab w:val="clear" w:pos="709"/>
          <w:tab w:val="left" w:pos="709" w:leader="none"/>
        </w:tabs>
        <w:bidi w:val="0"/>
        <w:ind w:hanging="283" w:start="709"/>
        <w:jc w:val="start"/>
        <w:rPr/>
      </w:pPr>
      <w:r>
        <w:rPr>
          <w:b/>
        </w:rPr>
        <w:t>In real estate, a great property with a desperate motivated seller is really hard to find.</w:t>
      </w:r>
      <w:r>
        <w:rPr/>
        <w:t xml:space="preserve"> In the stock market it happens all the time.</w:t>
      </w:r>
    </w:p>
    <w:p>
      <w:pPr>
        <w:pStyle w:val="BodyText"/>
        <w:numPr>
          <w:ilvl w:val="0"/>
          <w:numId w:val="97"/>
        </w:numPr>
        <w:tabs>
          <w:tab w:val="clear" w:pos="709"/>
          <w:tab w:val="left" w:pos="709" w:leader="none"/>
        </w:tabs>
        <w:bidi w:val="0"/>
        <w:ind w:hanging="283" w:start="709"/>
        <w:jc w:val="start"/>
        <w:rPr/>
      </w:pPr>
      <w:r>
        <w:rPr>
          <w:b/>
        </w:rPr>
        <w:t>Frequency:</w:t>
      </w:r>
      <w:r>
        <w:rPr/>
        <w:t xml:space="preserve"> not every day, but </w:t>
      </w:r>
      <w:r>
        <w:rPr>
          <w:b/>
        </w:rPr>
        <w:t>at least once a year, or once every few years</w:t>
      </w:r>
      <w:r>
        <w:rPr/>
        <w:t xml:space="preserve">, a great business goes on sale at a </w:t>
      </w:r>
      <w:r>
        <w:rPr>
          <w:b/>
        </w:rPr>
        <w:t>20%, 30% or 50% discount</w:t>
      </w:r>
      <w:r>
        <w:rPr/>
        <w:t xml:space="preserve"> because there are desperate, panicking sellers reacting to bad news.</w:t>
      </w:r>
    </w:p>
    <w:p>
      <w:pPr>
        <w:pStyle w:val="BodyText"/>
        <w:numPr>
          <w:ilvl w:val="0"/>
          <w:numId w:val="97"/>
        </w:numPr>
        <w:tabs>
          <w:tab w:val="clear" w:pos="709"/>
          <w:tab w:val="left" w:pos="709" w:leader="none"/>
        </w:tabs>
        <w:bidi w:val="0"/>
        <w:ind w:hanging="283" w:start="709"/>
        <w:jc w:val="start"/>
        <w:rPr/>
      </w:pPr>
      <w:r>
        <w:rPr/>
        <w:t>"That's how I got really rich, and that's how people like Warren Buffett got really rich."</w:t>
      </w:r>
    </w:p>
    <w:p>
      <w:pPr>
        <w:pStyle w:val="BodyText"/>
        <w:numPr>
          <w:ilvl w:val="0"/>
          <w:numId w:val="97"/>
        </w:numPr>
        <w:tabs>
          <w:tab w:val="clear" w:pos="709"/>
          <w:tab w:val="left" w:pos="709" w:leader="none"/>
        </w:tabs>
        <w:bidi w:val="0"/>
        <w:spacing w:before="0" w:after="0"/>
        <w:ind w:hanging="283" w:start="709"/>
        <w:jc w:val="start"/>
        <w:rPr/>
      </w:pPr>
      <w:r>
        <w:rPr>
          <w:b/>
        </w:rPr>
        <w:t>Ideally the price has waved down to a SUPPORT LEVEL.</w:t>
      </w:r>
    </w:p>
    <w:p>
      <w:pPr>
        <w:pStyle w:val="BodyText"/>
        <w:numPr>
          <w:ilvl w:val="1"/>
          <w:numId w:val="97"/>
        </w:numPr>
        <w:tabs>
          <w:tab w:val="clear" w:pos="709"/>
          <w:tab w:val="left" w:pos="1418" w:leader="none"/>
        </w:tabs>
        <w:bidi w:val="0"/>
        <w:ind w:hanging="283" w:start="1418"/>
        <w:jc w:val="start"/>
        <w:rPr/>
      </w:pPr>
      <w:r>
        <w:rPr>
          <w:b/>
        </w:rPr>
        <w:t>Support level</w:t>
      </w:r>
      <w:r>
        <w:rPr/>
        <w:t xml:space="preserve"> = a technical-analysis term (taught in </w:t>
      </w:r>
      <w:r>
        <w:rPr>
          <w:b/>
        </w:rPr>
        <w:t>lesson 6</w:t>
      </w:r>
      <w:r>
        <w:rPr/>
        <w:t xml:space="preserve">): a price level where price drops to that level and </w:t>
      </w:r>
      <w:r>
        <w:rPr>
          <w:b/>
        </w:rPr>
        <w:t>there is a high potential for it to reverse and bounce back up.</w:t>
      </w:r>
    </w:p>
    <w:p>
      <w:pPr>
        <w:pStyle w:val="Heading3"/>
        <w:numPr>
          <w:ilvl w:val="0"/>
          <w:numId w:val="0"/>
        </w:numPr>
        <w:bidi w:val="0"/>
        <w:ind w:hanging="0" w:start="0"/>
        <w:jc w:val="start"/>
        <w:rPr/>
      </w:pPr>
      <w:r>
        <w:rPr/>
        <w:t>C4. STEP 3 — Sell (Or Rather, Usually, Don't)</w:t>
      </w:r>
    </w:p>
    <w:p>
      <w:pPr>
        <w:pStyle w:val="BodyText"/>
        <w:numPr>
          <w:ilvl w:val="0"/>
          <w:numId w:val="98"/>
        </w:numPr>
        <w:tabs>
          <w:tab w:val="clear" w:pos="709"/>
          <w:tab w:val="left" w:pos="709" w:leader="none"/>
        </w:tabs>
        <w:bidi w:val="0"/>
        <w:ind w:hanging="283" w:start="709"/>
        <w:jc w:val="start"/>
        <w:rPr/>
      </w:pPr>
      <w:r>
        <w:rPr>
          <w:b/>
        </w:rPr>
        <w:t>If you have done steps 1 and 2 very well, you shouldn't ever have to sell</w:t>
      </w:r>
      <w:r>
        <w:rPr/>
        <w:t xml:space="preserve"> — until you need the cash to pay for something.</w:t>
      </w:r>
    </w:p>
    <w:p>
      <w:pPr>
        <w:pStyle w:val="BodyText"/>
        <w:numPr>
          <w:ilvl w:val="0"/>
          <w:numId w:val="98"/>
        </w:numPr>
        <w:tabs>
          <w:tab w:val="clear" w:pos="709"/>
          <w:tab w:val="left" w:pos="709" w:leader="none"/>
        </w:tabs>
        <w:bidi w:val="0"/>
        <w:spacing w:before="0" w:after="0"/>
        <w:ind w:hanging="283" w:start="709"/>
        <w:jc w:val="start"/>
        <w:rPr/>
      </w:pPr>
      <w:r>
        <w:rPr/>
        <w:t>Reasoning:</w:t>
      </w:r>
    </w:p>
    <w:p>
      <w:pPr>
        <w:pStyle w:val="BodyText"/>
        <w:numPr>
          <w:ilvl w:val="1"/>
          <w:numId w:val="98"/>
        </w:numPr>
        <w:tabs>
          <w:tab w:val="clear" w:pos="709"/>
          <w:tab w:val="left" w:pos="1418" w:leader="none"/>
        </w:tabs>
        <w:bidi w:val="0"/>
        <w:ind w:hanging="283" w:start="1418"/>
        <w:jc w:val="start"/>
        <w:rPr/>
      </w:pPr>
      <w:r>
        <w:rPr/>
        <w:t>A great business keeps growing and compounding your wealth.</w:t>
      </w:r>
    </w:p>
    <w:p>
      <w:pPr>
        <w:pStyle w:val="BodyText"/>
        <w:numPr>
          <w:ilvl w:val="1"/>
          <w:numId w:val="98"/>
        </w:numPr>
        <w:tabs>
          <w:tab w:val="clear" w:pos="709"/>
          <w:tab w:val="left" w:pos="1418" w:leader="none"/>
        </w:tabs>
        <w:bidi w:val="0"/>
        <w:ind w:hanging="283" w:start="1418"/>
        <w:jc w:val="start"/>
        <w:rPr/>
      </w:pPr>
      <w:r>
        <w:rPr/>
        <w:t xml:space="preserve">If you sell it, you must reinvest the cash into another great business — </w:t>
      </w:r>
      <w:r>
        <w:rPr>
          <w:b/>
        </w:rPr>
        <w:t>which is not easy, because there aren't that many great businesses around.</w:t>
      </w:r>
    </w:p>
    <w:p>
      <w:pPr>
        <w:pStyle w:val="BodyText"/>
        <w:numPr>
          <w:ilvl w:val="1"/>
          <w:numId w:val="98"/>
        </w:numPr>
        <w:tabs>
          <w:tab w:val="clear" w:pos="709"/>
          <w:tab w:val="left" w:pos="1418" w:leader="none"/>
        </w:tabs>
        <w:bidi w:val="0"/>
        <w:ind w:hanging="283" w:start="1418"/>
        <w:jc w:val="start"/>
        <w:rPr/>
      </w:pPr>
      <w:r>
        <w:rPr/>
        <w:t>"Once you latch on to a great business — like having the perfect wife — you're going to hold on for the rest of your life."</w:t>
      </w:r>
    </w:p>
    <w:p>
      <w:pPr>
        <w:pStyle w:val="Heading4"/>
        <w:numPr>
          <w:ilvl w:val="0"/>
          <w:numId w:val="0"/>
        </w:numPr>
        <w:bidi w:val="0"/>
        <w:ind w:hanging="0" w:start="0"/>
        <w:jc w:val="start"/>
        <w:rPr/>
      </w:pPr>
      <w:r>
        <w:rPr/>
        <w:t>Holding-period return evidence (as presented)</w:t>
      </w:r>
    </w:p>
    <w:tbl>
      <w:tblPr>
        <w:tblW w:w="5000" w:type="pct"/>
        <w:jc w:val="start"/>
        <w:tblInd w:w="-5" w:type="dxa"/>
        <w:tblLayout w:type="fixed"/>
        <w:tblCellMar>
          <w:top w:w="55" w:type="dxa"/>
          <w:start w:w="55" w:type="dxa"/>
          <w:bottom w:w="55" w:type="dxa"/>
          <w:end w:w="55" w:type="dxa"/>
        </w:tblCellMar>
      </w:tblPr>
      <w:tblGrid>
        <w:gridCol w:w="1927"/>
        <w:gridCol w:w="1928"/>
        <w:gridCol w:w="1927"/>
        <w:gridCol w:w="1928"/>
        <w:gridCol w:w="1928"/>
      </w:tblGrid>
      <w:tr>
        <w:trPr>
          <w:tblHeader w:val="true"/>
        </w:trPr>
        <w:tc>
          <w:tcPr>
            <w:tcW w:w="1927" w:type="dxa"/>
            <w:tcBorders>
              <w:top w:val="single" w:sz="4" w:space="0" w:color="000000"/>
              <w:start w:val="single" w:sz="4" w:space="0" w:color="000000"/>
              <w:bottom w:val="single" w:sz="4" w:space="0" w:color="000000"/>
            </w:tcBorders>
          </w:tcPr>
          <w:p>
            <w:pPr>
              <w:pStyle w:val="TableHeading"/>
              <w:bidi w:val="0"/>
              <w:jc w:val="start"/>
              <w:rPr/>
            </w:pPr>
            <w:r>
              <w:rPr/>
              <w:t>Company</w:t>
            </w:r>
          </w:p>
        </w:tc>
        <w:tc>
          <w:tcPr>
            <w:tcW w:w="1928" w:type="dxa"/>
            <w:tcBorders>
              <w:top w:val="single" w:sz="4" w:space="0" w:color="000000"/>
              <w:start w:val="single" w:sz="4" w:space="0" w:color="000000"/>
              <w:bottom w:val="single" w:sz="4" w:space="0" w:color="000000"/>
            </w:tcBorders>
          </w:tcPr>
          <w:p>
            <w:pPr>
              <w:pStyle w:val="TableHeading"/>
              <w:bidi w:val="0"/>
              <w:jc w:val="start"/>
              <w:rPr/>
            </w:pPr>
            <w:r>
              <w:rPr/>
              <w:t>1 year</w:t>
            </w:r>
          </w:p>
        </w:tc>
        <w:tc>
          <w:tcPr>
            <w:tcW w:w="1927" w:type="dxa"/>
            <w:tcBorders>
              <w:top w:val="single" w:sz="4" w:space="0" w:color="000000"/>
              <w:start w:val="single" w:sz="4" w:space="0" w:color="000000"/>
              <w:bottom w:val="single" w:sz="4" w:space="0" w:color="000000"/>
            </w:tcBorders>
          </w:tcPr>
          <w:p>
            <w:pPr>
              <w:pStyle w:val="TableHeading"/>
              <w:bidi w:val="0"/>
              <w:jc w:val="start"/>
              <w:rPr/>
            </w:pPr>
            <w:r>
              <w:rPr/>
              <w:t>5 years</w:t>
            </w:r>
          </w:p>
        </w:tc>
        <w:tc>
          <w:tcPr>
            <w:tcW w:w="1928" w:type="dxa"/>
            <w:tcBorders>
              <w:top w:val="single" w:sz="4" w:space="0" w:color="000000"/>
              <w:start w:val="single" w:sz="4" w:space="0" w:color="000000"/>
              <w:bottom w:val="single" w:sz="4" w:space="0" w:color="000000"/>
            </w:tcBorders>
          </w:tcPr>
          <w:p>
            <w:pPr>
              <w:pStyle w:val="TableHeading"/>
              <w:bidi w:val="0"/>
              <w:jc w:val="start"/>
              <w:rPr/>
            </w:pPr>
            <w:r>
              <w:rPr/>
              <w:t>10 years</w:t>
            </w:r>
          </w:p>
        </w:tc>
        <w:tc>
          <w:tcPr>
            <w:tcW w:w="1928"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20 years</w:t>
            </w:r>
          </w:p>
        </w:tc>
      </w:tr>
      <w:tr>
        <w:trPr/>
        <w:tc>
          <w:tcPr>
            <w:tcW w:w="1927" w:type="dxa"/>
            <w:tcBorders>
              <w:start w:val="single" w:sz="4" w:space="0" w:color="000000"/>
              <w:bottom w:val="single" w:sz="4" w:space="0" w:color="000000"/>
            </w:tcBorders>
          </w:tcPr>
          <w:p>
            <w:pPr>
              <w:pStyle w:val="TableContents"/>
              <w:bidi w:val="0"/>
              <w:jc w:val="start"/>
              <w:rPr/>
            </w:pPr>
            <w:r>
              <w:rPr>
                <w:b/>
              </w:rPr>
              <w:t>Apple</w:t>
            </w:r>
          </w:p>
        </w:tc>
        <w:tc>
          <w:tcPr>
            <w:tcW w:w="1928" w:type="dxa"/>
            <w:tcBorders>
              <w:start w:val="single" w:sz="4" w:space="0" w:color="000000"/>
              <w:bottom w:val="single" w:sz="4" w:space="0" w:color="000000"/>
            </w:tcBorders>
          </w:tcPr>
          <w:p>
            <w:pPr>
              <w:pStyle w:val="TableContents"/>
              <w:bidi w:val="0"/>
              <w:jc w:val="start"/>
              <w:rPr/>
            </w:pPr>
            <w:r>
              <w:rPr/>
              <w:t>~16% to 35% (depending where you sell)</w:t>
            </w:r>
          </w:p>
        </w:tc>
        <w:tc>
          <w:tcPr>
            <w:tcW w:w="1927" w:type="dxa"/>
            <w:tcBorders>
              <w:start w:val="single" w:sz="4" w:space="0" w:color="000000"/>
              <w:bottom w:val="single" w:sz="4" w:space="0" w:color="000000"/>
            </w:tcBorders>
          </w:tcPr>
          <w:p>
            <w:pPr>
              <w:pStyle w:val="TableContents"/>
              <w:bidi w:val="0"/>
              <w:jc w:val="start"/>
              <w:rPr/>
            </w:pPr>
            <w:r>
              <w:rPr>
                <w:b/>
              </w:rPr>
              <w:t>191%</w:t>
            </w:r>
          </w:p>
        </w:tc>
        <w:tc>
          <w:tcPr>
            <w:tcW w:w="1928" w:type="dxa"/>
            <w:tcBorders>
              <w:start w:val="single" w:sz="4" w:space="0" w:color="000000"/>
              <w:bottom w:val="single" w:sz="4" w:space="0" w:color="000000"/>
            </w:tcBorders>
          </w:tcPr>
          <w:p>
            <w:pPr>
              <w:pStyle w:val="TableContents"/>
              <w:bidi w:val="0"/>
              <w:jc w:val="start"/>
              <w:rPr/>
            </w:pPr>
            <w:r>
              <w:rPr>
                <w:b/>
              </w:rPr>
              <w:t>792%</w:t>
            </w:r>
          </w:p>
        </w:tc>
        <w:tc>
          <w:tcPr>
            <w:tcW w:w="1928" w:type="dxa"/>
            <w:tcBorders>
              <w:start w:val="single" w:sz="4" w:space="0" w:color="000000"/>
              <w:bottom w:val="single" w:sz="4" w:space="0" w:color="000000"/>
              <w:end w:val="single" w:sz="4" w:space="0" w:color="000000"/>
            </w:tcBorders>
          </w:tcPr>
          <w:p>
            <w:pPr>
              <w:pStyle w:val="TableContents"/>
              <w:bidi w:val="0"/>
              <w:jc w:val="start"/>
              <w:rPr/>
            </w:pPr>
            <w:r>
              <w:rPr>
                <w:b/>
              </w:rPr>
              <w:t>22,830%</w:t>
            </w:r>
          </w:p>
        </w:tc>
      </w:tr>
      <w:tr>
        <w:trPr/>
        <w:tc>
          <w:tcPr>
            <w:tcW w:w="1927" w:type="dxa"/>
            <w:tcBorders>
              <w:start w:val="single" w:sz="4" w:space="0" w:color="000000"/>
              <w:bottom w:val="single" w:sz="4" w:space="0" w:color="000000"/>
            </w:tcBorders>
          </w:tcPr>
          <w:p>
            <w:pPr>
              <w:pStyle w:val="TableContents"/>
              <w:bidi w:val="0"/>
              <w:jc w:val="start"/>
              <w:rPr/>
            </w:pPr>
            <w:r>
              <w:rPr>
                <w:b/>
              </w:rPr>
              <w:t>MasterCard</w:t>
            </w:r>
          </w:p>
        </w:tc>
        <w:tc>
          <w:tcPr>
            <w:tcW w:w="1928" w:type="dxa"/>
            <w:tcBorders>
              <w:start w:val="single" w:sz="4" w:space="0" w:color="000000"/>
              <w:bottom w:val="single" w:sz="4" w:space="0" w:color="000000"/>
            </w:tcBorders>
          </w:tcPr>
          <w:p>
            <w:pPr>
              <w:pStyle w:val="TableContents"/>
              <w:bidi w:val="0"/>
              <w:jc w:val="start"/>
              <w:rPr/>
            </w:pPr>
            <w:r>
              <w:rPr/>
              <w:t>~20%</w:t>
            </w:r>
          </w:p>
        </w:tc>
        <w:tc>
          <w:tcPr>
            <w:tcW w:w="1927" w:type="dxa"/>
            <w:tcBorders>
              <w:start w:val="single" w:sz="4" w:space="0" w:color="000000"/>
              <w:bottom w:val="single" w:sz="4" w:space="0" w:color="000000"/>
            </w:tcBorders>
          </w:tcPr>
          <w:p>
            <w:pPr>
              <w:pStyle w:val="TableContents"/>
              <w:bidi w:val="0"/>
              <w:jc w:val="start"/>
              <w:rPr/>
            </w:pPr>
            <w:r>
              <w:rPr>
                <w:b/>
              </w:rPr>
              <w:t>68%</w:t>
            </w:r>
          </w:p>
        </w:tc>
        <w:tc>
          <w:tcPr>
            <w:tcW w:w="1928" w:type="dxa"/>
            <w:tcBorders>
              <w:start w:val="single" w:sz="4" w:space="0" w:color="000000"/>
              <w:bottom w:val="single" w:sz="4" w:space="0" w:color="000000"/>
            </w:tcBorders>
          </w:tcPr>
          <w:p>
            <w:pPr>
              <w:pStyle w:val="TableContents"/>
              <w:bidi w:val="0"/>
              <w:jc w:val="start"/>
              <w:rPr/>
            </w:pPr>
            <w:r>
              <w:rPr>
                <w:b/>
              </w:rPr>
              <w:t>563%</w:t>
            </w:r>
            <w:r>
              <w:rPr/>
              <w:t xml:space="preserve"> (despite COVID crash, 2022 bear market, trade war)</w:t>
            </w:r>
          </w:p>
        </w:tc>
        <w:tc>
          <w:tcPr>
            <w:tcW w:w="1928" w:type="dxa"/>
            <w:tcBorders>
              <w:start w:val="single" w:sz="4" w:space="0" w:color="000000"/>
              <w:bottom w:val="single" w:sz="4" w:space="0" w:color="000000"/>
              <w:end w:val="single" w:sz="4" w:space="0" w:color="000000"/>
            </w:tcBorders>
          </w:tcPr>
          <w:p>
            <w:pPr>
              <w:pStyle w:val="TableContents"/>
              <w:bidi w:val="0"/>
              <w:jc w:val="start"/>
              <w:rPr/>
            </w:pPr>
            <w:r>
              <w:rPr>
                <w:b/>
              </w:rPr>
              <w:t>6,000%</w:t>
            </w:r>
            <w:r>
              <w:rPr/>
              <w:t xml:space="preserve"> (despite recessions, crashes, the 08/09 great financial crisis)</w:t>
            </w:r>
          </w:p>
        </w:tc>
      </w:tr>
      <w:tr>
        <w:trPr/>
        <w:tc>
          <w:tcPr>
            <w:tcW w:w="1927" w:type="dxa"/>
            <w:tcBorders>
              <w:start w:val="single" w:sz="4" w:space="0" w:color="000000"/>
              <w:bottom w:val="single" w:sz="4" w:space="0" w:color="000000"/>
            </w:tcBorders>
          </w:tcPr>
          <w:p>
            <w:pPr>
              <w:pStyle w:val="TableContents"/>
              <w:bidi w:val="0"/>
              <w:jc w:val="start"/>
              <w:rPr/>
            </w:pPr>
            <w:r>
              <w:rPr>
                <w:b/>
              </w:rPr>
              <w:t>NVIDIA</w:t>
            </w:r>
            <w:r>
              <w:rPr/>
              <w:t xml:space="preserve"> (leader in the AI revolution, one of his biggest holdings)</w:t>
            </w:r>
          </w:p>
        </w:tc>
        <w:tc>
          <w:tcPr>
            <w:tcW w:w="1928" w:type="dxa"/>
            <w:tcBorders>
              <w:start w:val="single" w:sz="4" w:space="0" w:color="000000"/>
              <w:bottom w:val="single" w:sz="4" w:space="0" w:color="000000"/>
            </w:tcBorders>
          </w:tcPr>
          <w:p>
            <w:pPr>
              <w:pStyle w:val="TableContents"/>
              <w:bidi w:val="0"/>
              <w:jc w:val="start"/>
              <w:rPr/>
            </w:pPr>
            <w:r>
              <w:rPr>
                <w:b/>
              </w:rPr>
              <w:t>144%</w:t>
            </w:r>
          </w:p>
        </w:tc>
        <w:tc>
          <w:tcPr>
            <w:tcW w:w="1927" w:type="dxa"/>
            <w:tcBorders>
              <w:start w:val="single" w:sz="4" w:space="0" w:color="000000"/>
              <w:bottom w:val="single" w:sz="4" w:space="0" w:color="000000"/>
            </w:tcBorders>
          </w:tcPr>
          <w:p>
            <w:pPr>
              <w:pStyle w:val="TableContents"/>
              <w:bidi w:val="0"/>
              <w:jc w:val="start"/>
              <w:rPr/>
            </w:pPr>
            <w:r>
              <w:rPr>
                <w:b/>
              </w:rPr>
              <w:t>2,200%</w:t>
            </w:r>
          </w:p>
        </w:tc>
        <w:tc>
          <w:tcPr>
            <w:tcW w:w="1928" w:type="dxa"/>
            <w:tcBorders>
              <w:start w:val="single" w:sz="4" w:space="0" w:color="000000"/>
              <w:bottom w:val="single" w:sz="4" w:space="0" w:color="000000"/>
            </w:tcBorders>
          </w:tcPr>
          <w:p>
            <w:pPr>
              <w:pStyle w:val="TableContents"/>
              <w:bidi w:val="0"/>
              <w:jc w:val="start"/>
              <w:rPr/>
            </w:pPr>
            <w:r>
              <w:rPr>
                <w:b/>
              </w:rPr>
              <w:t>29,615%</w:t>
            </w:r>
            <w:r>
              <w:rPr/>
              <w:t xml:space="preserve"> (from 2015)</w:t>
            </w:r>
          </w:p>
        </w:tc>
        <w:tc>
          <w:tcPr>
            <w:tcW w:w="1928" w:type="dxa"/>
            <w:tcBorders>
              <w:start w:val="single" w:sz="4" w:space="0" w:color="000000"/>
              <w:bottom w:val="single" w:sz="4" w:space="0" w:color="000000"/>
              <w:end w:val="single" w:sz="4" w:space="0" w:color="000000"/>
            </w:tcBorders>
          </w:tcPr>
          <w:p>
            <w:pPr>
              <w:pStyle w:val="TableContents"/>
              <w:bidi w:val="0"/>
              <w:jc w:val="start"/>
              <w:rPr/>
            </w:pPr>
            <w:r>
              <w:rPr/>
              <w:t>—</w:t>
            </w:r>
          </w:p>
        </w:tc>
      </w:tr>
      <w:tr>
        <w:trPr/>
        <w:tc>
          <w:tcPr>
            <w:tcW w:w="1927" w:type="dxa"/>
            <w:tcBorders>
              <w:start w:val="single" w:sz="4" w:space="0" w:color="000000"/>
              <w:bottom w:val="single" w:sz="4" w:space="0" w:color="000000"/>
            </w:tcBorders>
          </w:tcPr>
          <w:p>
            <w:pPr>
              <w:pStyle w:val="TableContents"/>
              <w:bidi w:val="0"/>
              <w:jc w:val="start"/>
              <w:rPr/>
            </w:pPr>
            <w:r>
              <w:rPr>
                <w:b/>
              </w:rPr>
              <w:t>American Airlines</w:t>
            </w:r>
            <w:r>
              <w:rPr/>
              <w:t xml:space="preserve"> (a lousy business)</w:t>
            </w:r>
          </w:p>
        </w:tc>
        <w:tc>
          <w:tcPr>
            <w:tcW w:w="1928" w:type="dxa"/>
            <w:tcBorders>
              <w:start w:val="single" w:sz="4" w:space="0" w:color="000000"/>
              <w:bottom w:val="single" w:sz="4" w:space="0" w:color="000000"/>
            </w:tcBorders>
          </w:tcPr>
          <w:p>
            <w:pPr>
              <w:pStyle w:val="TableContents"/>
              <w:bidi w:val="0"/>
              <w:jc w:val="start"/>
              <w:rPr/>
            </w:pPr>
            <w:r>
              <w:rPr>
                <w:b/>
              </w:rPr>
              <w:t>+33%</w:t>
            </w:r>
          </w:p>
        </w:tc>
        <w:tc>
          <w:tcPr>
            <w:tcW w:w="1927" w:type="dxa"/>
            <w:tcBorders>
              <w:start w:val="single" w:sz="4" w:space="0" w:color="000000"/>
              <w:bottom w:val="single" w:sz="4" w:space="0" w:color="000000"/>
            </w:tcBorders>
          </w:tcPr>
          <w:p>
            <w:pPr>
              <w:pStyle w:val="TableContents"/>
              <w:bidi w:val="0"/>
              <w:jc w:val="start"/>
              <w:rPr/>
            </w:pPr>
            <w:r>
              <w:rPr>
                <w:b/>
              </w:rPr>
              <w:t>−</w:t>
            </w:r>
            <w:r>
              <w:rPr>
                <w:b/>
              </w:rPr>
              <w:t>33%</w:t>
            </w:r>
          </w:p>
        </w:tc>
        <w:tc>
          <w:tcPr>
            <w:tcW w:w="1928" w:type="dxa"/>
            <w:tcBorders>
              <w:start w:val="single" w:sz="4" w:space="0" w:color="000000"/>
              <w:bottom w:val="single" w:sz="4" w:space="0" w:color="000000"/>
            </w:tcBorders>
          </w:tcPr>
          <w:p>
            <w:pPr>
              <w:pStyle w:val="TableContents"/>
              <w:bidi w:val="0"/>
              <w:jc w:val="start"/>
              <w:rPr/>
            </w:pPr>
            <w:r>
              <w:rPr>
                <w:b/>
              </w:rPr>
              <w:t>−</w:t>
            </w:r>
            <w:r>
              <w:rPr>
                <w:b/>
              </w:rPr>
              <w:t>60%</w:t>
            </w:r>
          </w:p>
        </w:tc>
        <w:tc>
          <w:tcPr>
            <w:tcW w:w="1928" w:type="dxa"/>
            <w:tcBorders>
              <w:start w:val="single" w:sz="4" w:space="0" w:color="000000"/>
              <w:bottom w:val="single" w:sz="4" w:space="0" w:color="000000"/>
              <w:end w:val="single" w:sz="4" w:space="0" w:color="000000"/>
            </w:tcBorders>
          </w:tcPr>
          <w:p>
            <w:pPr>
              <w:pStyle w:val="TableContents"/>
              <w:bidi w:val="0"/>
              <w:jc w:val="start"/>
              <w:rPr/>
            </w:pPr>
            <w:r>
              <w:rPr/>
              <w:t>—</w:t>
            </w:r>
          </w:p>
        </w:tc>
      </w:tr>
    </w:tbl>
    <w:p>
      <w:pPr>
        <w:pStyle w:val="BodyText"/>
        <w:bidi w:val="0"/>
        <w:jc w:val="start"/>
        <w:rPr/>
      </w:pPr>
      <w:r>
        <w:rPr/>
      </w:r>
    </w:p>
    <w:p>
      <w:pPr>
        <w:pStyle w:val="BodyText"/>
        <w:numPr>
          <w:ilvl w:val="0"/>
          <w:numId w:val="99"/>
        </w:numPr>
        <w:tabs>
          <w:tab w:val="clear" w:pos="709"/>
          <w:tab w:val="left" w:pos="709" w:leader="none"/>
        </w:tabs>
        <w:bidi w:val="0"/>
        <w:ind w:hanging="283" w:start="709"/>
        <w:jc w:val="start"/>
        <w:rPr/>
      </w:pPr>
      <w:r>
        <w:rPr>
          <w:b/>
        </w:rPr>
        <w:t>The big money is in staying invested in a great business and letting it compound massively. That's how you make millions and build generational wealth.</w:t>
      </w:r>
    </w:p>
    <w:p>
      <w:pPr>
        <w:pStyle w:val="BodyText"/>
        <w:numPr>
          <w:ilvl w:val="0"/>
          <w:numId w:val="99"/>
        </w:numPr>
        <w:tabs>
          <w:tab w:val="clear" w:pos="709"/>
          <w:tab w:val="left" w:pos="709" w:leader="none"/>
        </w:tabs>
        <w:bidi w:val="0"/>
        <w:ind w:hanging="283" w:start="709"/>
        <w:jc w:val="start"/>
        <w:rPr/>
      </w:pPr>
      <w:r>
        <w:rPr>
          <w:b/>
        </w:rPr>
        <w:t>You do NOT build generational wealth by taking profit at 20%, 30% or 50%. You want a 10x, a 15x, a 20x.</w:t>
      </w:r>
    </w:p>
    <w:p>
      <w:pPr>
        <w:pStyle w:val="BodyText"/>
        <w:numPr>
          <w:ilvl w:val="0"/>
          <w:numId w:val="99"/>
        </w:numPr>
        <w:tabs>
          <w:tab w:val="clear" w:pos="709"/>
          <w:tab w:val="left" w:pos="709" w:leader="none"/>
        </w:tabs>
        <w:bidi w:val="0"/>
        <w:ind w:hanging="283" w:start="709"/>
        <w:jc w:val="start"/>
        <w:rPr/>
      </w:pPr>
      <w:r>
        <w:rPr>
          <w:b/>
        </w:rPr>
        <w:t>With American Airlines, the longer you hold, the worse it gets.</w:t>
      </w:r>
      <w:r>
        <w:rPr/>
        <w:t xml:space="preserve"> Only great businesses compound your wealth over time; mediocre and lousy businesses stagnate or reduce your wealth.</w:t>
      </w:r>
    </w:p>
    <w:p>
      <w:pPr>
        <w:pStyle w:val="Heading4"/>
        <w:numPr>
          <w:ilvl w:val="0"/>
          <w:numId w:val="0"/>
        </w:numPr>
        <w:bidi w:val="0"/>
        <w:ind w:hanging="0" w:start="0"/>
        <w:jc w:val="start"/>
        <w:rPr/>
      </w:pPr>
      <w:r>
        <w:rPr/>
        <w:t>RULE — Whole industries to avoid</w:t>
      </w:r>
    </w:p>
    <w:p>
      <w:pPr>
        <w:pStyle w:val="BodyText"/>
        <w:numPr>
          <w:ilvl w:val="0"/>
          <w:numId w:val="100"/>
        </w:numPr>
        <w:tabs>
          <w:tab w:val="clear" w:pos="709"/>
          <w:tab w:val="left" w:pos="709" w:leader="none"/>
        </w:tabs>
        <w:bidi w:val="0"/>
        <w:ind w:hanging="283" w:start="709"/>
        <w:jc w:val="start"/>
        <w:rPr/>
      </w:pPr>
      <w:r>
        <w:rPr>
          <w:b/>
        </w:rPr>
        <w:t>Write this down: ALL airlines are lousy businesses.</w:t>
      </w:r>
      <w:r>
        <w:rPr/>
        <w:t xml:space="preserve"> It is </w:t>
      </w:r>
      <w:r>
        <w:rPr>
          <w:b/>
        </w:rPr>
        <w:t>not the fault of the management — it is the nature of the industry.</w:t>
      </w:r>
    </w:p>
    <w:p>
      <w:pPr>
        <w:pStyle w:val="BodyText"/>
        <w:numPr>
          <w:ilvl w:val="0"/>
          <w:numId w:val="100"/>
        </w:numPr>
        <w:tabs>
          <w:tab w:val="clear" w:pos="709"/>
          <w:tab w:val="left" w:pos="709" w:leader="none"/>
        </w:tabs>
        <w:bidi w:val="0"/>
        <w:ind w:hanging="283" w:start="709"/>
        <w:jc w:val="start"/>
        <w:rPr/>
      </w:pPr>
      <w:r>
        <w:rPr>
          <w:b/>
        </w:rPr>
        <w:t>The property development industry</w:t>
      </w:r>
      <w:r>
        <w:rPr/>
        <w:t xml:space="preserve"> is likewise not a great business by the nature of the industry.</w:t>
      </w:r>
    </w:p>
    <w:p>
      <w:pPr>
        <w:pStyle w:val="BodyText"/>
        <w:numPr>
          <w:ilvl w:val="0"/>
          <w:numId w:val="100"/>
        </w:numPr>
        <w:tabs>
          <w:tab w:val="clear" w:pos="709"/>
          <w:tab w:val="left" w:pos="709" w:leader="none"/>
        </w:tabs>
        <w:bidi w:val="0"/>
        <w:ind w:hanging="283" w:start="709"/>
        <w:jc w:val="start"/>
        <w:rPr/>
      </w:pPr>
      <w:r>
        <w:rPr/>
        <w:t>Certain industries are simply not very profitable.</w:t>
      </w:r>
    </w:p>
    <w:p>
      <w:pPr>
        <w:pStyle w:val="Heading4"/>
        <w:numPr>
          <w:ilvl w:val="0"/>
          <w:numId w:val="0"/>
        </w:numPr>
        <w:bidi w:val="0"/>
        <w:ind w:hanging="0" w:start="0"/>
        <w:jc w:val="start"/>
        <w:rPr/>
      </w:pPr>
      <w:r>
        <w:rPr/>
        <w:t>The legitimate reasons to sell (broad concept; full detail in the exit-rules lesson)</w:t>
      </w:r>
    </w:p>
    <w:p>
      <w:pPr>
        <w:pStyle w:val="BodyText"/>
        <w:numPr>
          <w:ilvl w:val="0"/>
          <w:numId w:val="101"/>
        </w:numPr>
        <w:tabs>
          <w:tab w:val="clear" w:pos="709"/>
          <w:tab w:val="left" w:pos="709" w:leader="none"/>
        </w:tabs>
        <w:bidi w:val="0"/>
        <w:spacing w:before="0" w:after="0"/>
        <w:ind w:hanging="283" w:start="709"/>
        <w:jc w:val="start"/>
        <w:rPr/>
      </w:pPr>
      <w:r>
        <w:rPr>
          <w:b/>
        </w:rPr>
        <w:t>The fundamentals of the business have deteriorated.</w:t>
      </w:r>
    </w:p>
    <w:p>
      <w:pPr>
        <w:pStyle w:val="BodyText"/>
        <w:numPr>
          <w:ilvl w:val="1"/>
          <w:numId w:val="101"/>
        </w:numPr>
        <w:tabs>
          <w:tab w:val="clear" w:pos="709"/>
          <w:tab w:val="left" w:pos="1418" w:leader="none"/>
        </w:tabs>
        <w:bidi w:val="0"/>
        <w:ind w:hanging="283" w:start="1418"/>
        <w:jc w:val="start"/>
        <w:rPr/>
      </w:pPr>
      <w:r>
        <w:rPr/>
        <w:t xml:space="preserve">This does </w:t>
      </w:r>
      <w:r>
        <w:rPr>
          <w:b/>
        </w:rPr>
        <w:t>NOT</w:t>
      </w:r>
      <w:r>
        <w:rPr/>
        <w:t xml:space="preserve"> mean a short-term drop in profits or sales — that is cyclical and very normal.</w:t>
      </w:r>
    </w:p>
    <w:p>
      <w:pPr>
        <w:pStyle w:val="BodyText"/>
        <w:numPr>
          <w:ilvl w:val="1"/>
          <w:numId w:val="101"/>
        </w:numPr>
        <w:tabs>
          <w:tab w:val="clear" w:pos="709"/>
          <w:tab w:val="left" w:pos="1418" w:leader="none"/>
        </w:tabs>
        <w:bidi w:val="0"/>
        <w:ind w:hanging="283" w:start="1418"/>
        <w:jc w:val="start"/>
        <w:rPr/>
      </w:pPr>
      <w:r>
        <w:rPr/>
        <w:t xml:space="preserve">It means </w:t>
      </w:r>
      <w:r>
        <w:rPr>
          <w:b/>
        </w:rPr>
        <w:t>the long-term business model is disrupted, or the company loses its competitive advantage.</w:t>
      </w:r>
    </w:p>
    <w:p>
      <w:pPr>
        <w:pStyle w:val="BodyText"/>
        <w:numPr>
          <w:ilvl w:val="1"/>
          <w:numId w:val="101"/>
        </w:numPr>
        <w:tabs>
          <w:tab w:val="clear" w:pos="709"/>
          <w:tab w:val="left" w:pos="1418" w:leader="none"/>
        </w:tabs>
        <w:bidi w:val="0"/>
        <w:ind w:hanging="283" w:start="1418"/>
        <w:jc w:val="start"/>
        <w:rPr/>
      </w:pPr>
      <w:r>
        <w:rPr/>
        <w:t xml:space="preserve">Examples of businesses that were once great and no longer are: </w:t>
      </w:r>
      <w:r>
        <w:rPr>
          <w:b/>
        </w:rPr>
        <w:t>Intel</w:t>
      </w:r>
      <w:r>
        <w:rPr/>
        <w:t xml:space="preserve"> and </w:t>
      </w:r>
      <w:r>
        <w:rPr>
          <w:b/>
        </w:rPr>
        <w:t>General Electric</w:t>
      </w:r>
      <w:r>
        <w:rPr/>
        <w:t xml:space="preserve"> — over time they lost their competitive advantage and their business got disrupted.</w:t>
      </w:r>
    </w:p>
    <w:p>
      <w:pPr>
        <w:pStyle w:val="BodyText"/>
        <w:numPr>
          <w:ilvl w:val="1"/>
          <w:numId w:val="101"/>
        </w:numPr>
        <w:tabs>
          <w:tab w:val="clear" w:pos="709"/>
          <w:tab w:val="left" w:pos="1418" w:leader="none"/>
        </w:tabs>
        <w:bidi w:val="0"/>
        <w:ind w:hanging="283" w:start="1418"/>
        <w:jc w:val="start"/>
        <w:rPr/>
      </w:pPr>
      <w:r>
        <w:rPr/>
        <w:t>The moment you see that, get out and reinvest into a great business.</w:t>
      </w:r>
    </w:p>
    <w:p>
      <w:pPr>
        <w:pStyle w:val="BodyText"/>
        <w:numPr>
          <w:ilvl w:val="0"/>
          <w:numId w:val="101"/>
        </w:numPr>
        <w:tabs>
          <w:tab w:val="clear" w:pos="709"/>
          <w:tab w:val="left" w:pos="709" w:leader="none"/>
        </w:tabs>
        <w:bidi w:val="0"/>
        <w:ind w:hanging="283" w:start="709"/>
        <w:jc w:val="start"/>
        <w:rPr/>
      </w:pPr>
      <w:r>
        <w:rPr>
          <w:b/>
        </w:rPr>
        <w:t>You found an even better business</w:t>
      </w:r>
      <w:r>
        <w:rPr/>
        <w:t xml:space="preserve"> → sell and swap into the greater business.</w:t>
      </w:r>
    </w:p>
    <w:p>
      <w:pPr>
        <w:pStyle w:val="BodyText"/>
        <w:numPr>
          <w:ilvl w:val="0"/>
          <w:numId w:val="101"/>
        </w:numPr>
        <w:tabs>
          <w:tab w:val="clear" w:pos="709"/>
          <w:tab w:val="left" w:pos="709" w:leader="none"/>
        </w:tabs>
        <w:bidi w:val="0"/>
        <w:ind w:hanging="283" w:start="709"/>
        <w:jc w:val="start"/>
        <w:rPr/>
      </w:pPr>
      <w:r>
        <w:rPr>
          <w:b/>
        </w:rPr>
        <w:t>The share price has gone crazy / way overvalued / way too expensive</w:t>
      </w:r>
      <w:r>
        <w:rPr/>
        <w:t xml:space="preserve"> → nothing wrong with selling part or all, holding cash and waiting for it to get cheap again, or reinvesting into a more attractively priced great business.</w:t>
      </w:r>
    </w:p>
    <w:p>
      <w:pPr>
        <w:pStyle w:val="Heading3"/>
        <w:numPr>
          <w:ilvl w:val="0"/>
          <w:numId w:val="0"/>
        </w:numPr>
        <w:bidi w:val="0"/>
        <w:ind w:hanging="0" w:start="0"/>
        <w:jc w:val="start"/>
        <w:rPr/>
      </w:pPr>
      <w:r>
        <w:rPr/>
        <w:t>C5. What Makes a Business "Great"</w:t>
      </w:r>
    </w:p>
    <w:p>
      <w:pPr>
        <w:pStyle w:val="BodyText"/>
        <w:numPr>
          <w:ilvl w:val="0"/>
          <w:numId w:val="102"/>
        </w:numPr>
        <w:tabs>
          <w:tab w:val="clear" w:pos="709"/>
          <w:tab w:val="left" w:pos="709" w:leader="none"/>
        </w:tabs>
        <w:bidi w:val="0"/>
        <w:ind w:hanging="283" w:start="709"/>
        <w:jc w:val="start"/>
        <w:rPr/>
      </w:pPr>
      <w:r>
        <w:rPr>
          <w:b/>
        </w:rPr>
        <w:t>Definition:</w:t>
      </w:r>
      <w:r>
        <w:rPr/>
        <w:t xml:space="preserve"> a great business is one where you are </w:t>
      </w:r>
      <w:r>
        <w:rPr>
          <w:b/>
        </w:rPr>
        <w:t>confident that over the next three, five, ten, twenty years the business will consistently increase in value.</w:t>
      </w:r>
    </w:p>
    <w:p>
      <w:pPr>
        <w:pStyle w:val="BodyText"/>
        <w:numPr>
          <w:ilvl w:val="0"/>
          <w:numId w:val="102"/>
        </w:numPr>
        <w:tabs>
          <w:tab w:val="clear" w:pos="709"/>
          <w:tab w:val="left" w:pos="709" w:leader="none"/>
        </w:tabs>
        <w:bidi w:val="0"/>
        <w:ind w:hanging="283" w:start="709"/>
        <w:jc w:val="start"/>
        <w:rPr/>
      </w:pPr>
      <w:r>
        <w:rPr/>
        <w:t xml:space="preserve">The </w:t>
      </w:r>
      <w:r>
        <w:rPr>
          <w:b/>
        </w:rPr>
        <w:t>green line</w:t>
      </w:r>
      <w:r>
        <w:rPr/>
        <w:t xml:space="preserve"> on the charts = </w:t>
      </w:r>
      <w:r>
        <w:rPr>
          <w:b/>
        </w:rPr>
        <w:t>the value of the business = the intrinsic value</w:t>
      </w:r>
      <w:r>
        <w:rPr/>
        <w:t xml:space="preserve"> of the business / of its shares.</w:t>
      </w:r>
    </w:p>
    <w:p>
      <w:pPr>
        <w:pStyle w:val="BodyText"/>
        <w:numPr>
          <w:ilvl w:val="0"/>
          <w:numId w:val="102"/>
        </w:numPr>
        <w:tabs>
          <w:tab w:val="clear" w:pos="709"/>
          <w:tab w:val="left" w:pos="709" w:leader="none"/>
        </w:tabs>
        <w:bidi w:val="0"/>
        <w:ind w:hanging="283" w:start="709"/>
        <w:jc w:val="start"/>
        <w:rPr/>
      </w:pPr>
      <w:r>
        <w:rPr>
          <w:b/>
        </w:rPr>
        <w:t>Mechanism:</w:t>
      </w:r>
      <w:r>
        <w:rPr/>
        <w:t xml:space="preserve"> as the business increases in value over time and is worth more and more, people are willing to pay more for it — and hence the share price rises over time.</w:t>
      </w:r>
    </w:p>
    <w:p>
      <w:pPr>
        <w:pStyle w:val="BodyText"/>
        <w:numPr>
          <w:ilvl w:val="0"/>
          <w:numId w:val="102"/>
        </w:numPr>
        <w:tabs>
          <w:tab w:val="clear" w:pos="709"/>
          <w:tab w:val="left" w:pos="709" w:leader="none"/>
        </w:tabs>
        <w:bidi w:val="0"/>
        <w:ind w:hanging="283" w:start="709"/>
        <w:jc w:val="start"/>
        <w:rPr/>
      </w:pPr>
      <w:r>
        <w:rPr>
          <w:b/>
        </w:rPr>
        <w:t>A business is a money-making machine. The more money it makes, the more it is worth.</w:t>
      </w:r>
    </w:p>
    <w:p>
      <w:pPr>
        <w:pStyle w:val="BodyText"/>
        <w:numPr>
          <w:ilvl w:val="0"/>
          <w:numId w:val="102"/>
        </w:numPr>
        <w:tabs>
          <w:tab w:val="clear" w:pos="709"/>
          <w:tab w:val="left" w:pos="709" w:leader="none"/>
        </w:tabs>
        <w:bidi w:val="0"/>
        <w:ind w:hanging="283" w:start="709"/>
        <w:jc w:val="start"/>
        <w:rPr/>
      </w:pPr>
      <w:r>
        <w:rPr>
          <w:b/>
        </w:rPr>
        <w:t>What makes a business more valuable: consistently making more money</w:t>
      </w:r>
      <w:r>
        <w:rPr/>
        <w:t xml:space="preserve"> — generating </w:t>
      </w:r>
      <w:r>
        <w:rPr>
          <w:b/>
        </w:rPr>
        <w:t>increasing sales revenue, increasing net income (also known as earnings), and increasing cash flow from operations</w:t>
      </w:r>
      <w:r>
        <w:rPr/>
        <w:t>. When these rise, the intrinsic value keeps rising.</w:t>
      </w:r>
    </w:p>
    <w:p>
      <w:pPr>
        <w:pStyle w:val="Heading4"/>
        <w:numPr>
          <w:ilvl w:val="0"/>
          <w:numId w:val="0"/>
        </w:numPr>
        <w:bidi w:val="0"/>
        <w:ind w:hanging="0" w:start="0"/>
        <w:jc w:val="start"/>
        <w:rPr/>
      </w:pPr>
      <w:r>
        <w:rPr/>
        <w:t xml:space="preserve">THE FIVE CRITERIA of a great business (taught in full in </w:t>
      </w:r>
      <w:r>
        <w:rPr>
          <w:b/>
        </w:rPr>
        <w:t>lesson 7</w:t>
      </w:r>
      <w:r>
        <w:rPr/>
        <w:t>)</w:t>
      </w:r>
    </w:p>
    <w:p>
      <w:pPr>
        <w:pStyle w:val="BodyText"/>
        <w:numPr>
          <w:ilvl w:val="0"/>
          <w:numId w:val="103"/>
        </w:numPr>
        <w:tabs>
          <w:tab w:val="clear" w:pos="709"/>
          <w:tab w:val="left" w:pos="709" w:leader="none"/>
        </w:tabs>
        <w:bidi w:val="0"/>
        <w:spacing w:before="0" w:after="0"/>
        <w:ind w:hanging="283" w:start="709"/>
        <w:jc w:val="start"/>
        <w:rPr/>
      </w:pPr>
      <w:r>
        <w:rPr>
          <w:b/>
        </w:rPr>
        <w:t>Track record</w:t>
      </w:r>
      <w:r>
        <w:rPr/>
        <w:t xml:space="preserve"> — at least the </w:t>
      </w:r>
      <w:r>
        <w:rPr>
          <w:b/>
        </w:rPr>
        <w:t>last five to ten years</w:t>
      </w:r>
      <w:r>
        <w:rPr/>
        <w:t xml:space="preserve"> showing the ability to increase </w:t>
      </w:r>
      <w:r>
        <w:rPr>
          <w:b/>
        </w:rPr>
        <w:t>revenue, net income and cash flow from operations consistently.</w:t>
      </w:r>
    </w:p>
    <w:p>
      <w:pPr>
        <w:pStyle w:val="BodyText"/>
        <w:numPr>
          <w:ilvl w:val="1"/>
          <w:numId w:val="103"/>
        </w:numPr>
        <w:tabs>
          <w:tab w:val="clear" w:pos="709"/>
          <w:tab w:val="left" w:pos="1418" w:leader="none"/>
        </w:tabs>
        <w:bidi w:val="0"/>
        <w:ind w:hanging="283" w:start="1418"/>
        <w:jc w:val="start"/>
        <w:rPr/>
      </w:pPr>
      <w:r>
        <w:rPr>
          <w:i/>
        </w:rPr>
        <w:t>But history does not predict the future — this alone is not good enough.</w:t>
      </w:r>
    </w:p>
    <w:p>
      <w:pPr>
        <w:pStyle w:val="BodyText"/>
        <w:numPr>
          <w:ilvl w:val="0"/>
          <w:numId w:val="103"/>
        </w:numPr>
        <w:tabs>
          <w:tab w:val="clear" w:pos="709"/>
          <w:tab w:val="left" w:pos="709" w:leader="none"/>
        </w:tabs>
        <w:bidi w:val="0"/>
        <w:ind w:hanging="283" w:start="709"/>
        <w:jc w:val="start"/>
        <w:rPr/>
      </w:pPr>
      <w:r>
        <w:rPr>
          <w:b/>
        </w:rPr>
        <w:t>A sustainable competitive advantage that protects it from competition — an ECONOMIC MOAT.</w:t>
      </w:r>
    </w:p>
    <w:p>
      <w:pPr>
        <w:pStyle w:val="BodyText"/>
        <w:numPr>
          <w:ilvl w:val="0"/>
          <w:numId w:val="103"/>
        </w:numPr>
        <w:tabs>
          <w:tab w:val="clear" w:pos="709"/>
          <w:tab w:val="left" w:pos="709" w:leader="none"/>
        </w:tabs>
        <w:bidi w:val="0"/>
        <w:ind w:hanging="283" w:start="709"/>
        <w:jc w:val="start"/>
        <w:rPr/>
      </w:pPr>
      <w:r>
        <w:rPr>
          <w:b/>
        </w:rPr>
        <w:t>High return on equity and high return on capital</w:t>
      </w:r>
      <w:r>
        <w:rPr/>
        <w:t xml:space="preserve"> — i.e. the management is extremely efficient.</w:t>
      </w:r>
    </w:p>
    <w:p>
      <w:pPr>
        <w:pStyle w:val="BodyText"/>
        <w:numPr>
          <w:ilvl w:val="0"/>
          <w:numId w:val="103"/>
        </w:numPr>
        <w:tabs>
          <w:tab w:val="clear" w:pos="709"/>
          <w:tab w:val="left" w:pos="709" w:leader="none"/>
        </w:tabs>
        <w:bidi w:val="0"/>
        <w:ind w:hanging="283" w:start="709"/>
        <w:jc w:val="start"/>
        <w:rPr/>
      </w:pPr>
      <w:r>
        <w:rPr>
          <w:b/>
        </w:rPr>
        <w:t>A strong balance sheet</w:t>
      </w:r>
      <w:r>
        <w:rPr/>
        <w:t xml:space="preserve"> — </w:t>
      </w:r>
      <w:r>
        <w:rPr>
          <w:b/>
        </w:rPr>
        <w:t>low, conservative debt structure and high levels of cash.</w:t>
      </w:r>
    </w:p>
    <w:p>
      <w:pPr>
        <w:pStyle w:val="BodyText"/>
        <w:numPr>
          <w:ilvl w:val="0"/>
          <w:numId w:val="103"/>
        </w:numPr>
        <w:tabs>
          <w:tab w:val="clear" w:pos="709"/>
          <w:tab w:val="left" w:pos="709" w:leader="none"/>
        </w:tabs>
        <w:bidi w:val="0"/>
        <w:ind w:hanging="283" w:start="709"/>
        <w:jc w:val="start"/>
        <w:rPr/>
      </w:pPr>
      <w:r>
        <w:rPr>
          <w:b/>
        </w:rPr>
        <w:t>Strong growth catalysts and drivers.</w:t>
      </w:r>
    </w:p>
    <w:p>
      <w:pPr>
        <w:pStyle w:val="BodyText"/>
        <w:numPr>
          <w:ilvl w:val="0"/>
          <w:numId w:val="104"/>
        </w:numPr>
        <w:tabs>
          <w:tab w:val="clear" w:pos="709"/>
          <w:tab w:val="left" w:pos="709" w:leader="none"/>
        </w:tabs>
        <w:bidi w:val="0"/>
        <w:ind w:hanging="283" w:start="709"/>
        <w:jc w:val="start"/>
        <w:rPr/>
      </w:pPr>
      <w:r>
        <w:rPr>
          <w:b/>
        </w:rPr>
        <w:t>Fewer than 1% of businesses in the market meet all five criteria.</w:t>
      </w:r>
      <w:r>
        <w:rPr/>
        <w:t xml:space="preserve"> When a business does meet all five it is highly likely to be a great business that will keep growing in value over time.</w:t>
      </w:r>
    </w:p>
    <w:p>
      <w:pPr>
        <w:pStyle w:val="BodyText"/>
        <w:numPr>
          <w:ilvl w:val="0"/>
          <w:numId w:val="104"/>
        </w:numPr>
        <w:tabs>
          <w:tab w:val="clear" w:pos="709"/>
          <w:tab w:val="left" w:pos="709" w:leader="none"/>
        </w:tabs>
        <w:bidi w:val="0"/>
        <w:ind w:hanging="283" w:start="709"/>
        <w:jc w:val="start"/>
        <w:rPr/>
      </w:pPr>
      <w:r>
        <w:rPr>
          <w:b/>
        </w:rPr>
        <w:t>Fails the criteria:</w:t>
      </w:r>
      <w:r>
        <w:rPr/>
        <w:t xml:space="preserve"> American Airlines.</w:t>
      </w:r>
    </w:p>
    <w:p>
      <w:pPr>
        <w:pStyle w:val="BodyText"/>
        <w:numPr>
          <w:ilvl w:val="0"/>
          <w:numId w:val="104"/>
        </w:numPr>
        <w:tabs>
          <w:tab w:val="clear" w:pos="709"/>
          <w:tab w:val="left" w:pos="709" w:leader="none"/>
        </w:tabs>
        <w:bidi w:val="0"/>
        <w:ind w:hanging="283" w:start="709"/>
        <w:jc w:val="start"/>
        <w:rPr/>
      </w:pPr>
      <w:r>
        <w:rPr>
          <w:b/>
        </w:rPr>
        <w:t>Meets the criteria:</w:t>
      </w:r>
      <w:r>
        <w:rPr/>
        <w:t xml:space="preserve"> Microsoft, NVIDIA, Apple, MasterCard.</w:t>
      </w:r>
    </w:p>
    <w:p>
      <w:pPr>
        <w:pStyle w:val="Heading3"/>
        <w:numPr>
          <w:ilvl w:val="0"/>
          <w:numId w:val="0"/>
        </w:numPr>
        <w:bidi w:val="0"/>
        <w:ind w:hanging="0" w:start="0"/>
        <w:jc w:val="start"/>
        <w:rPr/>
      </w:pPr>
      <w:r>
        <w:rPr/>
        <w:t>C6. Why Price Diverges From Value (Intrinsic Value vs Share Price)</w:t>
      </w:r>
    </w:p>
    <w:p>
      <w:pPr>
        <w:pStyle w:val="BodyText"/>
        <w:numPr>
          <w:ilvl w:val="0"/>
          <w:numId w:val="105"/>
        </w:numPr>
        <w:tabs>
          <w:tab w:val="clear" w:pos="709"/>
          <w:tab w:val="left" w:pos="709" w:leader="none"/>
        </w:tabs>
        <w:bidi w:val="0"/>
        <w:ind w:hanging="283" w:start="709"/>
        <w:jc w:val="start"/>
        <w:rPr/>
      </w:pPr>
      <w:r>
        <w:rPr/>
        <w:t xml:space="preserve">The intrinsic value line rises steadily for a great business (examples shown: </w:t>
      </w:r>
      <w:r>
        <w:rPr>
          <w:b/>
        </w:rPr>
        <w:t>Microsoft</w:t>
      </w:r>
      <w:r>
        <w:rPr/>
        <w:t xml:space="preserve">, </w:t>
      </w:r>
      <w:r>
        <w:rPr>
          <w:b/>
        </w:rPr>
        <w:t>Visa</w:t>
      </w:r>
      <w:r>
        <w:rPr/>
        <w:t xml:space="preserve">) — but </w:t>
      </w:r>
      <w:r>
        <w:rPr>
          <w:b/>
        </w:rPr>
        <w:t>the share price does not go up in a straight line and does not always reflect the value of the business.</w:t>
      </w:r>
    </w:p>
    <w:p>
      <w:pPr>
        <w:pStyle w:val="BodyText"/>
        <w:numPr>
          <w:ilvl w:val="0"/>
          <w:numId w:val="105"/>
        </w:numPr>
        <w:tabs>
          <w:tab w:val="clear" w:pos="709"/>
          <w:tab w:val="left" w:pos="709" w:leader="none"/>
        </w:tabs>
        <w:bidi w:val="0"/>
        <w:ind w:hanging="283" w:start="709"/>
        <w:jc w:val="start"/>
        <w:rPr/>
      </w:pPr>
      <w:r>
        <w:rPr>
          <w:b/>
        </w:rPr>
        <w:t>Why:</w:t>
      </w:r>
      <w:r>
        <w:rPr/>
        <w:t xml:space="preserve"> the share price is determined by </w:t>
      </w:r>
      <w:r>
        <w:rPr>
          <w:b/>
        </w:rPr>
        <w:t>demand and supply in an auction-driven market</w:t>
      </w:r>
      <w:r>
        <w:rPr/>
        <w:t xml:space="preserve">. In the short term the market price </w:t>
      </w:r>
      <w:r>
        <w:rPr>
          <w:b/>
        </w:rPr>
        <w:t>is not driven by logic — it is driven by news and emotions</w:t>
      </w:r>
      <w:r>
        <w:rPr/>
        <w:t xml:space="preserve"> (and manipulation).</w:t>
      </w:r>
    </w:p>
    <w:p>
      <w:pPr>
        <w:pStyle w:val="BodyText"/>
        <w:numPr>
          <w:ilvl w:val="0"/>
          <w:numId w:val="105"/>
        </w:numPr>
        <w:tabs>
          <w:tab w:val="clear" w:pos="709"/>
          <w:tab w:val="left" w:pos="709" w:leader="none"/>
        </w:tabs>
        <w:bidi w:val="0"/>
        <w:spacing w:before="0" w:after="0"/>
        <w:ind w:hanging="283" w:start="709"/>
        <w:jc w:val="start"/>
        <w:rPr/>
      </w:pPr>
      <w:r>
        <w:rPr/>
        <w:t xml:space="preserve">Result: the price behaves like </w:t>
      </w:r>
      <w:r>
        <w:rPr>
          <w:b/>
        </w:rPr>
        <w:t>a pendulum swinging from overvalued to undervalued and back</w:t>
      </w:r>
      <w:r>
        <w:rPr/>
        <w:t>, repeating endlessly.</w:t>
      </w:r>
    </w:p>
    <w:p>
      <w:pPr>
        <w:pStyle w:val="BodyText"/>
        <w:numPr>
          <w:ilvl w:val="1"/>
          <w:numId w:val="105"/>
        </w:numPr>
        <w:tabs>
          <w:tab w:val="clear" w:pos="709"/>
          <w:tab w:val="left" w:pos="1418" w:leader="none"/>
        </w:tabs>
        <w:bidi w:val="0"/>
        <w:ind w:hanging="283" w:start="1418"/>
        <w:jc w:val="start"/>
        <w:rPr/>
      </w:pPr>
      <w:r>
        <w:rPr/>
        <w:t xml:space="preserve">Bad news / pessimism → price drops </w:t>
      </w:r>
      <w:r>
        <w:rPr>
          <w:b/>
        </w:rPr>
        <w:t>below</w:t>
      </w:r>
      <w:r>
        <w:rPr/>
        <w:t xml:space="preserve"> intrinsic value → </w:t>
      </w:r>
      <w:r>
        <w:rPr>
          <w:b/>
        </w:rPr>
        <w:t>undervalued</w:t>
      </w:r>
      <w:r>
        <w:rPr/>
        <w:t>.</w:t>
      </w:r>
    </w:p>
    <w:p>
      <w:pPr>
        <w:pStyle w:val="BodyText"/>
        <w:numPr>
          <w:ilvl w:val="1"/>
          <w:numId w:val="105"/>
        </w:numPr>
        <w:tabs>
          <w:tab w:val="clear" w:pos="709"/>
          <w:tab w:val="left" w:pos="1418" w:leader="none"/>
        </w:tabs>
        <w:bidi w:val="0"/>
        <w:ind w:hanging="283" w:start="1418"/>
        <w:jc w:val="start"/>
        <w:rPr/>
      </w:pPr>
      <w:r>
        <w:rPr/>
        <w:t xml:space="preserve">Good news / euphoria / excitement → price runs </w:t>
      </w:r>
      <w:r>
        <w:rPr>
          <w:b/>
        </w:rPr>
        <w:t>above</w:t>
      </w:r>
      <w:r>
        <w:rPr/>
        <w:t xml:space="preserve"> intrinsic value → </w:t>
      </w:r>
      <w:r>
        <w:rPr>
          <w:b/>
        </w:rPr>
        <w:t>overvalued</w:t>
      </w:r>
      <w:r>
        <w:rPr/>
        <w:t>.</w:t>
      </w:r>
    </w:p>
    <w:p>
      <w:pPr>
        <w:pStyle w:val="BodyText"/>
        <w:numPr>
          <w:ilvl w:val="0"/>
          <w:numId w:val="105"/>
        </w:numPr>
        <w:tabs>
          <w:tab w:val="clear" w:pos="709"/>
          <w:tab w:val="left" w:pos="709" w:leader="none"/>
        </w:tabs>
        <w:bidi w:val="0"/>
        <w:ind w:hanging="283" w:start="709"/>
        <w:jc w:val="start"/>
        <w:rPr/>
      </w:pPr>
      <w:r>
        <w:rPr>
          <w:b/>
        </w:rPr>
        <w:t>When the share price gets very far from the intrinsic value, we have MISPRICING — and taking advantage of the mispricing is how you get really rich in the markets.</w:t>
      </w:r>
    </w:p>
    <w:p>
      <w:pPr>
        <w:pStyle w:val="Heading4"/>
        <w:numPr>
          <w:ilvl w:val="0"/>
          <w:numId w:val="0"/>
        </w:numPr>
        <w:bidi w:val="0"/>
        <w:ind w:hanging="0" w:start="0"/>
        <w:jc w:val="start"/>
        <w:rPr/>
      </w:pPr>
      <w:r>
        <w:rPr/>
        <w:t>The man-and-dog analogy</w:t>
      </w:r>
    </w:p>
    <w:p>
      <w:pPr>
        <w:pStyle w:val="BodyText"/>
        <w:numPr>
          <w:ilvl w:val="0"/>
          <w:numId w:val="106"/>
        </w:numPr>
        <w:tabs>
          <w:tab w:val="clear" w:pos="709"/>
          <w:tab w:val="left" w:pos="709" w:leader="none"/>
        </w:tabs>
        <w:bidi w:val="0"/>
        <w:ind w:hanging="283" w:start="709"/>
        <w:jc w:val="start"/>
        <w:rPr/>
      </w:pPr>
      <w:r>
        <w:rPr/>
        <w:t xml:space="preserve">A man walks in a straight line from his house to his office. He has a dog on a </w:t>
      </w:r>
      <w:r>
        <w:rPr>
          <w:b/>
        </w:rPr>
        <w:t>very long leash</w:t>
      </w:r>
      <w:r>
        <w:rPr/>
        <w:t>.</w:t>
      </w:r>
    </w:p>
    <w:p>
      <w:pPr>
        <w:pStyle w:val="BodyText"/>
        <w:numPr>
          <w:ilvl w:val="0"/>
          <w:numId w:val="106"/>
        </w:numPr>
        <w:tabs>
          <w:tab w:val="clear" w:pos="709"/>
          <w:tab w:val="left" w:pos="709" w:leader="none"/>
        </w:tabs>
        <w:bidi w:val="0"/>
        <w:ind w:hanging="283" w:start="709"/>
        <w:jc w:val="start"/>
        <w:rPr/>
      </w:pPr>
      <w:r>
        <w:rPr/>
        <w:t xml:space="preserve">The dog runs all over the park — far to the right, far to the left — because it's excited by a cat or a tree. </w:t>
      </w:r>
      <w:r>
        <w:rPr>
          <w:b/>
        </w:rPr>
        <w:t>You have no idea where the dog is going.</w:t>
      </w:r>
    </w:p>
    <w:p>
      <w:pPr>
        <w:pStyle w:val="BodyText"/>
        <w:numPr>
          <w:ilvl w:val="0"/>
          <w:numId w:val="106"/>
        </w:numPr>
        <w:tabs>
          <w:tab w:val="clear" w:pos="709"/>
          <w:tab w:val="left" w:pos="709" w:leader="none"/>
        </w:tabs>
        <w:bidi w:val="0"/>
        <w:ind w:hanging="283" w:start="709"/>
        <w:jc w:val="start"/>
        <w:rPr/>
      </w:pPr>
      <w:r>
        <w:rPr/>
        <w:t xml:space="preserve">That's the market in the short term: </w:t>
      </w:r>
      <w:r>
        <w:rPr>
          <w:b/>
        </w:rPr>
        <w:t>very random; you don't know if it's up or down tomorrow.</w:t>
      </w:r>
    </w:p>
    <w:p>
      <w:pPr>
        <w:pStyle w:val="BodyText"/>
        <w:numPr>
          <w:ilvl w:val="0"/>
          <w:numId w:val="106"/>
        </w:numPr>
        <w:tabs>
          <w:tab w:val="clear" w:pos="709"/>
          <w:tab w:val="left" w:pos="709" w:leader="none"/>
        </w:tabs>
        <w:bidi w:val="0"/>
        <w:ind w:hanging="283" w:start="709"/>
        <w:jc w:val="start"/>
        <w:rPr/>
      </w:pPr>
      <w:r>
        <w:rPr>
          <w:b/>
        </w:rPr>
        <w:t>But eventually the dog meets back up with the man when he reaches his office — because the dog is on the leash.</w:t>
      </w:r>
      <w:r>
        <w:rPr/>
        <w:t xml:space="preserve"> Price eventually converges to value.</w:t>
      </w:r>
    </w:p>
    <w:p>
      <w:pPr>
        <w:pStyle w:val="Heading3"/>
        <w:numPr>
          <w:ilvl w:val="0"/>
          <w:numId w:val="0"/>
        </w:numPr>
        <w:bidi w:val="0"/>
        <w:ind w:hanging="0" w:start="0"/>
        <w:jc w:val="start"/>
        <w:rPr/>
      </w:pPr>
      <w:r>
        <w:rPr/>
        <w:t>C7. RULE — How to Buy: Tranching at Support Levels</w:t>
      </w:r>
    </w:p>
    <w:p>
      <w:pPr>
        <w:pStyle w:val="BodyText"/>
        <w:numPr>
          <w:ilvl w:val="0"/>
          <w:numId w:val="107"/>
        </w:numPr>
        <w:tabs>
          <w:tab w:val="clear" w:pos="709"/>
          <w:tab w:val="left" w:pos="709" w:leader="none"/>
        </w:tabs>
        <w:bidi w:val="0"/>
        <w:ind w:hanging="283" w:start="709"/>
        <w:jc w:val="start"/>
        <w:rPr/>
      </w:pPr>
      <w:r>
        <w:rPr>
          <w:b/>
        </w:rPr>
        <w:t>Job: patiently wait for the stock price to go BELOW the intrinsic value (the green line), then start to add — ideally at support levels</w:t>
      </w:r>
      <w:r>
        <w:rPr/>
        <w:t xml:space="preserve"> (support-level drawing is taught in </w:t>
      </w:r>
      <w:r>
        <w:rPr>
          <w:b/>
        </w:rPr>
        <w:t>lesson 6</w:t>
      </w:r>
      <w:r>
        <w:rPr/>
        <w:t xml:space="preserve">, technical analysis; valuation methods in </w:t>
      </w:r>
      <w:r>
        <w:rPr>
          <w:b/>
        </w:rPr>
        <w:t>lesson 5</w:t>
      </w:r>
      <w:r>
        <w:rPr/>
        <w:t>, and different businesses are valued a bit differently).</w:t>
      </w:r>
    </w:p>
    <w:p>
      <w:pPr>
        <w:pStyle w:val="BodyText"/>
        <w:numPr>
          <w:ilvl w:val="0"/>
          <w:numId w:val="107"/>
        </w:numPr>
        <w:tabs>
          <w:tab w:val="clear" w:pos="709"/>
          <w:tab w:val="left" w:pos="709" w:leader="none"/>
        </w:tabs>
        <w:bidi w:val="0"/>
        <w:ind w:hanging="283" w:start="709"/>
        <w:jc w:val="start"/>
        <w:rPr/>
      </w:pPr>
      <w:r>
        <w:rPr>
          <w:b/>
        </w:rPr>
        <w:t>You do not have to buy at the exact bottom of every correction or wave down.</w:t>
      </w:r>
      <w:r>
        <w:rPr/>
        <w:t xml:space="preserve"> No one can predict the exact bottom. </w:t>
      </w:r>
      <w:r>
        <w:rPr>
          <w:b/>
        </w:rPr>
        <w:t>As long as you buy below the intrinsic value, you've done your job.</w:t>
      </w:r>
    </w:p>
    <w:p>
      <w:pPr>
        <w:pStyle w:val="BodyText"/>
        <w:numPr>
          <w:ilvl w:val="0"/>
          <w:numId w:val="107"/>
        </w:numPr>
        <w:tabs>
          <w:tab w:val="clear" w:pos="709"/>
          <w:tab w:val="left" w:pos="709" w:leader="none"/>
        </w:tabs>
        <w:bidi w:val="0"/>
        <w:spacing w:before="0" w:after="0"/>
        <w:ind w:hanging="283" w:start="709"/>
        <w:jc w:val="start"/>
        <w:rPr/>
      </w:pPr>
      <w:r>
        <w:rPr>
          <w:b/>
        </w:rPr>
        <w:t>RULE: never buy at one go. Always buy in three to four — or even five — tranches.</w:t>
      </w:r>
    </w:p>
    <w:p>
      <w:pPr>
        <w:pStyle w:val="BodyText"/>
        <w:numPr>
          <w:ilvl w:val="1"/>
          <w:numId w:val="107"/>
        </w:numPr>
        <w:tabs>
          <w:tab w:val="clear" w:pos="709"/>
          <w:tab w:val="left" w:pos="1418" w:leader="none"/>
        </w:tabs>
        <w:bidi w:val="0"/>
        <w:ind w:hanging="283" w:start="1418"/>
        <w:jc w:val="start"/>
        <w:rPr/>
      </w:pPr>
      <w:r>
        <w:rPr/>
        <w:t xml:space="preserve">Once the price goes below intrinsic value by a </w:t>
      </w:r>
      <w:r>
        <w:rPr>
          <w:b/>
        </w:rPr>
        <w:t>margin of safety of about 10–15%</w:t>
      </w:r>
      <w:r>
        <w:rPr/>
        <w:t xml:space="preserve">, start adding some shares </w:t>
      </w:r>
      <w:r>
        <w:rPr>
          <w:b/>
        </w:rPr>
        <w:t>at the support level</w:t>
      </w:r>
      <w:r>
        <w:rPr/>
        <w:t>.</w:t>
      </w:r>
    </w:p>
    <w:p>
      <w:pPr>
        <w:pStyle w:val="BodyText"/>
        <w:numPr>
          <w:ilvl w:val="1"/>
          <w:numId w:val="107"/>
        </w:numPr>
        <w:tabs>
          <w:tab w:val="clear" w:pos="709"/>
          <w:tab w:val="left" w:pos="1418" w:leader="none"/>
        </w:tabs>
        <w:bidi w:val="0"/>
        <w:ind w:hanging="283" w:start="1418"/>
        <w:jc w:val="start"/>
        <w:rPr/>
      </w:pPr>
      <w:r>
        <w:rPr/>
        <w:t xml:space="preserve">If it goes even lower — say </w:t>
      </w:r>
      <w:r>
        <w:rPr>
          <w:b/>
        </w:rPr>
        <w:t>20% below intrinsic value</w:t>
      </w:r>
      <w:r>
        <w:rPr/>
        <w:t xml:space="preserve"> — add more.</w:t>
      </w:r>
    </w:p>
    <w:p>
      <w:pPr>
        <w:pStyle w:val="BodyText"/>
        <w:numPr>
          <w:ilvl w:val="1"/>
          <w:numId w:val="107"/>
        </w:numPr>
        <w:tabs>
          <w:tab w:val="clear" w:pos="709"/>
          <w:tab w:val="left" w:pos="1418" w:leader="none"/>
        </w:tabs>
        <w:bidi w:val="0"/>
        <w:ind w:hanging="283" w:start="1418"/>
        <w:jc w:val="start"/>
        <w:rPr/>
      </w:pPr>
      <w:r>
        <w:rPr/>
        <w:t>If it goes lower still, add even more.</w:t>
      </w:r>
    </w:p>
    <w:p>
      <w:pPr>
        <w:pStyle w:val="BodyText"/>
        <w:numPr>
          <w:ilvl w:val="1"/>
          <w:numId w:val="107"/>
        </w:numPr>
        <w:tabs>
          <w:tab w:val="clear" w:pos="709"/>
          <w:tab w:val="left" w:pos="1418" w:leader="none"/>
        </w:tabs>
        <w:bidi w:val="0"/>
        <w:ind w:hanging="283" w:start="1418"/>
        <w:jc w:val="start"/>
        <w:rPr/>
      </w:pPr>
      <w:r>
        <w:rPr/>
        <w:t xml:space="preserve">You </w:t>
      </w:r>
      <w:r>
        <w:rPr>
          <w:b/>
        </w:rPr>
        <w:t>slowly average into the position</w:t>
      </w:r>
      <w:r>
        <w:rPr/>
        <w:t xml:space="preserve">. It's like dollar-cost averaging, </w:t>
      </w:r>
      <w:r>
        <w:rPr>
          <w:b/>
        </w:rPr>
        <w:t>except you are adding at support levels</w:t>
      </w:r>
      <w:r>
        <w:rPr/>
        <w:t>.</w:t>
      </w:r>
    </w:p>
    <w:p>
      <w:pPr>
        <w:pStyle w:val="BodyText"/>
        <w:numPr>
          <w:ilvl w:val="1"/>
          <w:numId w:val="107"/>
        </w:numPr>
        <w:tabs>
          <w:tab w:val="clear" w:pos="709"/>
          <w:tab w:val="left" w:pos="1418" w:leader="none"/>
        </w:tabs>
        <w:bidi w:val="0"/>
        <w:ind w:hanging="283" w:start="1418"/>
        <w:jc w:val="start"/>
        <w:rPr/>
      </w:pPr>
      <w:r>
        <w:rPr/>
        <w:t xml:space="preserve">Your average cost ends up somewhere in the middle — </w:t>
      </w:r>
      <w:r>
        <w:rPr>
          <w:b/>
        </w:rPr>
        <w:t>not at the bottom, and it doesn't have to be.</w:t>
      </w:r>
    </w:p>
    <w:p>
      <w:pPr>
        <w:pStyle w:val="BodyText"/>
        <w:numPr>
          <w:ilvl w:val="0"/>
          <w:numId w:val="107"/>
        </w:numPr>
        <w:tabs>
          <w:tab w:val="clear" w:pos="709"/>
          <w:tab w:val="left" w:pos="709" w:leader="none"/>
        </w:tabs>
        <w:bidi w:val="0"/>
        <w:ind w:hanging="283" w:start="709"/>
        <w:jc w:val="start"/>
        <w:rPr/>
      </w:pPr>
      <w:r>
        <w:rPr>
          <w:b/>
        </w:rPr>
        <w:t>Why it works:</w:t>
      </w:r>
      <w:r>
        <w:rPr/>
        <w:t xml:space="preserve"> as long as you buy below intrinsic value, over time the price gets back above intrinsic value — </w:t>
      </w:r>
      <w:r>
        <w:rPr>
          <w:b/>
        </w:rPr>
        <w:t>plus the intrinsic value itself is increasing.</w:t>
      </w:r>
      <w:r>
        <w:rPr/>
        <w:t xml:space="preserve"> That's how you see growth in the value of your shares.</w:t>
      </w:r>
    </w:p>
    <w:p>
      <w:pPr>
        <w:pStyle w:val="BodyText"/>
        <w:numPr>
          <w:ilvl w:val="0"/>
          <w:numId w:val="107"/>
        </w:numPr>
        <w:tabs>
          <w:tab w:val="clear" w:pos="709"/>
          <w:tab w:val="left" w:pos="709" w:leader="none"/>
        </w:tabs>
        <w:bidi w:val="0"/>
        <w:ind w:hanging="283" w:start="709"/>
        <w:jc w:val="start"/>
        <w:rPr/>
      </w:pPr>
      <w:r>
        <w:rPr>
          <w:b/>
        </w:rPr>
        <w:t>Warren Buffett (as quoted in the lesson):</w:t>
      </w:r>
      <w:r>
        <w:rPr/>
        <w:t xml:space="preserve"> the time to be greedy is when others are fearful, and the time to be fearful is when others are greedy.</w:t>
      </w:r>
    </w:p>
    <w:p>
      <w:pPr>
        <w:pStyle w:val="Heading3"/>
        <w:numPr>
          <w:ilvl w:val="0"/>
          <w:numId w:val="0"/>
        </w:numPr>
        <w:bidi w:val="0"/>
        <w:ind w:hanging="0" w:start="0"/>
        <w:jc w:val="start"/>
        <w:rPr/>
      </w:pPr>
      <w:r>
        <w:rPr/>
        <w:t>C8. THE FIVE REASONS A GREAT BUSINESS SELLS BELOW INTRINSIC VALUE</w:t>
      </w:r>
    </w:p>
    <w:p>
      <w:pPr>
        <w:pStyle w:val="BlockQuotation"/>
        <w:bidi w:val="0"/>
        <w:jc w:val="start"/>
        <w:rPr/>
      </w:pPr>
      <w:r>
        <w:rPr/>
        <w:t xml:space="preserve">Reasons 1–3 have </w:t>
      </w:r>
      <w:r>
        <w:rPr>
          <w:b/>
        </w:rPr>
        <w:t>nothing to do with the company itself</w:t>
      </w:r>
      <w:r>
        <w:rPr/>
        <w:t xml:space="preserve"> — the stock is just collateral damage in the short term. Reasons 4–5 are company-specific. Adam explicitly says he does </w:t>
      </w:r>
      <w:r>
        <w:rPr>
          <w:b/>
        </w:rPr>
        <w:t>not care why</w:t>
      </w:r>
      <w:r>
        <w:rPr/>
        <w:t xml:space="preserve"> sellers are desperate (panic, emotions, or being force-sold by a broker because they were on margin) — the job is simply to take advantage of the discount.</w:t>
      </w:r>
    </w:p>
    <w:p>
      <w:pPr>
        <w:pStyle w:val="Heading4"/>
        <w:bidi w:val="0"/>
        <w:ind w:hanging="0" w:start="0"/>
        <w:jc w:val="start"/>
        <w:rPr/>
      </w:pPr>
      <w:r>
        <w:rPr/>
        <w:t>Reason 1 — Overall stock market correction</w:t>
      </w:r>
    </w:p>
    <w:p>
      <w:pPr>
        <w:pStyle w:val="BodyText"/>
        <w:numPr>
          <w:ilvl w:val="0"/>
          <w:numId w:val="108"/>
        </w:numPr>
        <w:tabs>
          <w:tab w:val="clear" w:pos="709"/>
          <w:tab w:val="left" w:pos="709" w:leader="none"/>
        </w:tabs>
        <w:bidi w:val="0"/>
        <w:ind w:hanging="283" w:start="709"/>
        <w:jc w:val="start"/>
        <w:rPr/>
      </w:pPr>
      <w:r>
        <w:rPr>
          <w:b/>
        </w:rPr>
        <w:t>On average, once a year the whole market drops by at least 10%.</w:t>
      </w:r>
    </w:p>
    <w:p>
      <w:pPr>
        <w:pStyle w:val="BodyText"/>
        <w:numPr>
          <w:ilvl w:val="0"/>
          <w:numId w:val="108"/>
        </w:numPr>
        <w:tabs>
          <w:tab w:val="clear" w:pos="709"/>
          <w:tab w:val="left" w:pos="709" w:leader="none"/>
        </w:tabs>
        <w:bidi w:val="0"/>
        <w:ind w:hanging="283" w:start="709"/>
        <w:jc w:val="start"/>
        <w:rPr/>
      </w:pPr>
      <w:r>
        <w:rPr/>
        <w:t xml:space="preserve">There is </w:t>
      </w:r>
      <w:r>
        <w:rPr>
          <w:b/>
        </w:rPr>
        <w:t>always a trigger</w:t>
      </w:r>
      <w:r>
        <w:rPr/>
        <w:t xml:space="preserve"> but you can </w:t>
      </w:r>
      <w:r>
        <w:rPr>
          <w:b/>
        </w:rPr>
        <w:t>never predict</w:t>
      </w:r>
      <w:r>
        <w:rPr/>
        <w:t xml:space="preserve"> it: a war, a disaster, geopolitical tensions, tariffs, weak economic numbers — it doesn't matter.</w:t>
      </w:r>
    </w:p>
    <w:p>
      <w:pPr>
        <w:pStyle w:val="BodyText"/>
        <w:numPr>
          <w:ilvl w:val="0"/>
          <w:numId w:val="108"/>
        </w:numPr>
        <w:tabs>
          <w:tab w:val="clear" w:pos="709"/>
          <w:tab w:val="left" w:pos="709" w:leader="none"/>
        </w:tabs>
        <w:bidi w:val="0"/>
        <w:ind w:hanging="283" w:start="709"/>
        <w:jc w:val="start"/>
        <w:rPr/>
      </w:pPr>
      <w:r>
        <w:rPr/>
        <w:t xml:space="preserve">When the market drops, </w:t>
      </w:r>
      <w:r>
        <w:rPr>
          <w:b/>
        </w:rPr>
        <w:t>most companies go down together — the good, the bad and the ugly.</w:t>
      </w:r>
    </w:p>
    <w:p>
      <w:pPr>
        <w:pStyle w:val="BodyText"/>
        <w:numPr>
          <w:ilvl w:val="0"/>
          <w:numId w:val="108"/>
        </w:numPr>
        <w:tabs>
          <w:tab w:val="clear" w:pos="709"/>
          <w:tab w:val="left" w:pos="709" w:leader="none"/>
        </w:tabs>
        <w:bidi w:val="0"/>
        <w:ind w:hanging="283" w:start="709"/>
        <w:jc w:val="start"/>
        <w:rPr/>
      </w:pPr>
      <w:r>
        <w:rPr>
          <w:b/>
        </w:rPr>
        <w:t>That is a great time to buy the good companies</w:t>
      </w:r>
      <w:r>
        <w:rPr/>
        <w:t>, because the market drop has nothing to do with the company; it's overall market sentiment.</w:t>
      </w:r>
    </w:p>
    <w:p>
      <w:pPr>
        <w:pStyle w:val="Heading4"/>
        <w:numPr>
          <w:ilvl w:val="0"/>
          <w:numId w:val="0"/>
        </w:numPr>
        <w:bidi w:val="0"/>
        <w:ind w:hanging="0" w:start="0"/>
        <w:jc w:val="start"/>
        <w:rPr/>
      </w:pPr>
      <w:r>
        <w:rPr/>
        <w:t>Reason 2 — Bear market</w:t>
      </w:r>
    </w:p>
    <w:p>
      <w:pPr>
        <w:pStyle w:val="BodyText"/>
        <w:numPr>
          <w:ilvl w:val="0"/>
          <w:numId w:val="109"/>
        </w:numPr>
        <w:tabs>
          <w:tab w:val="clear" w:pos="709"/>
          <w:tab w:val="left" w:pos="709" w:leader="none"/>
        </w:tabs>
        <w:bidi w:val="0"/>
        <w:spacing w:before="0" w:after="0"/>
        <w:ind w:hanging="283" w:start="709"/>
        <w:jc w:val="start"/>
        <w:rPr/>
      </w:pPr>
      <w:r>
        <w:rPr>
          <w:b/>
        </w:rPr>
        <w:t>Definitions:</w:t>
      </w:r>
    </w:p>
    <w:p>
      <w:pPr>
        <w:pStyle w:val="BodyText"/>
        <w:numPr>
          <w:ilvl w:val="1"/>
          <w:numId w:val="109"/>
        </w:numPr>
        <w:tabs>
          <w:tab w:val="clear" w:pos="709"/>
          <w:tab w:val="left" w:pos="1418" w:leader="none"/>
        </w:tabs>
        <w:bidi w:val="0"/>
        <w:ind w:hanging="283" w:start="1418"/>
        <w:jc w:val="start"/>
        <w:rPr/>
      </w:pPr>
      <w:r>
        <w:rPr>
          <w:b/>
        </w:rPr>
        <w:t>Correction:</w:t>
      </w:r>
      <w:r>
        <w:rPr/>
        <w:t xml:space="preserve"> the market drops </w:t>
      </w:r>
      <w:r>
        <w:rPr>
          <w:b/>
        </w:rPr>
        <w:t>more than 10% but less than 20%</w:t>
      </w:r>
      <w:r>
        <w:rPr/>
        <w:t xml:space="preserve"> — happens more frequently.</w:t>
      </w:r>
    </w:p>
    <w:p>
      <w:pPr>
        <w:pStyle w:val="BodyText"/>
        <w:numPr>
          <w:ilvl w:val="1"/>
          <w:numId w:val="109"/>
        </w:numPr>
        <w:tabs>
          <w:tab w:val="clear" w:pos="709"/>
          <w:tab w:val="left" w:pos="1418" w:leader="none"/>
        </w:tabs>
        <w:bidi w:val="0"/>
        <w:ind w:hanging="283" w:start="1418"/>
        <w:jc w:val="start"/>
        <w:rPr/>
      </w:pPr>
      <w:r>
        <w:rPr>
          <w:b/>
        </w:rPr>
        <w:t>Bear market:</w:t>
      </w:r>
      <w:r>
        <w:rPr/>
        <w:t xml:space="preserve"> the market drops </w:t>
      </w:r>
      <w:r>
        <w:rPr>
          <w:b/>
        </w:rPr>
        <w:t>more than 20% from the high</w:t>
      </w:r>
      <w:r>
        <w:rPr/>
        <w:t xml:space="preserve"> — usually due to a recession, an economic crisis or a financial crisis.</w:t>
      </w:r>
    </w:p>
    <w:p>
      <w:pPr>
        <w:pStyle w:val="BodyText"/>
        <w:numPr>
          <w:ilvl w:val="0"/>
          <w:numId w:val="109"/>
        </w:numPr>
        <w:tabs>
          <w:tab w:val="clear" w:pos="709"/>
          <w:tab w:val="left" w:pos="709" w:leader="none"/>
        </w:tabs>
        <w:bidi w:val="0"/>
        <w:spacing w:before="0" w:after="0"/>
        <w:ind w:hanging="283" w:start="709"/>
        <w:jc w:val="start"/>
        <w:rPr/>
      </w:pPr>
      <w:r>
        <w:rPr>
          <w:b/>
        </w:rPr>
        <w:t>Frequency:</w:t>
      </w:r>
      <w:r>
        <w:rPr/>
        <w:t xml:space="preserve"> looking at the last 100 years, </w:t>
      </w:r>
      <w:r>
        <w:rPr>
          <w:b/>
        </w:rPr>
        <w:t>on average once every six years</w:t>
      </w:r>
      <w:r>
        <w:rPr/>
        <w:t xml:space="preserve"> — but it is </w:t>
      </w:r>
      <w:r>
        <w:rPr>
          <w:b/>
        </w:rPr>
        <w:t>not</w:t>
      </w:r>
      <w:r>
        <w:rPr/>
        <w:t xml:space="preserve"> a regular occurrence:</w:t>
      </w:r>
    </w:p>
    <w:p>
      <w:pPr>
        <w:pStyle w:val="BodyText"/>
        <w:numPr>
          <w:ilvl w:val="1"/>
          <w:numId w:val="109"/>
        </w:numPr>
        <w:tabs>
          <w:tab w:val="clear" w:pos="709"/>
          <w:tab w:val="left" w:pos="1418" w:leader="none"/>
        </w:tabs>
        <w:bidi w:val="0"/>
        <w:ind w:hanging="283" w:start="1418"/>
        <w:jc w:val="start"/>
        <w:rPr/>
      </w:pPr>
      <w:r>
        <w:rPr>
          <w:b/>
        </w:rPr>
        <w:t>From 2009 to 2019 — ten years — there was no bear market at all.</w:t>
      </w:r>
    </w:p>
    <w:p>
      <w:pPr>
        <w:pStyle w:val="BodyText"/>
        <w:numPr>
          <w:ilvl w:val="1"/>
          <w:numId w:val="109"/>
        </w:numPr>
        <w:tabs>
          <w:tab w:val="clear" w:pos="709"/>
          <w:tab w:val="left" w:pos="1418" w:leader="none"/>
        </w:tabs>
        <w:bidi w:val="0"/>
        <w:ind w:hanging="283" w:start="1418"/>
        <w:jc w:val="start"/>
        <w:rPr/>
      </w:pPr>
      <w:r>
        <w:rPr>
          <w:b/>
        </w:rPr>
        <w:t>Then a bear market in 2020, and another bear market in 2022.</w:t>
      </w:r>
    </w:p>
    <w:p>
      <w:pPr>
        <w:pStyle w:val="BodyText"/>
        <w:numPr>
          <w:ilvl w:val="1"/>
          <w:numId w:val="109"/>
        </w:numPr>
        <w:tabs>
          <w:tab w:val="clear" w:pos="709"/>
          <w:tab w:val="left" w:pos="1418" w:leader="none"/>
        </w:tabs>
        <w:bidi w:val="0"/>
        <w:ind w:hanging="283" w:start="1418"/>
        <w:jc w:val="start"/>
        <w:rPr/>
      </w:pPr>
      <w:r>
        <w:rPr/>
        <w:t>Sometimes they come close together, sometimes very far apart. We don't know.</w:t>
      </w:r>
    </w:p>
    <w:p>
      <w:pPr>
        <w:pStyle w:val="BodyText"/>
        <w:numPr>
          <w:ilvl w:val="0"/>
          <w:numId w:val="109"/>
        </w:numPr>
        <w:tabs>
          <w:tab w:val="clear" w:pos="709"/>
          <w:tab w:val="left" w:pos="709" w:leader="none"/>
        </w:tabs>
        <w:bidi w:val="0"/>
        <w:ind w:hanging="283" w:start="709"/>
        <w:jc w:val="start"/>
        <w:rPr/>
      </w:pPr>
      <w:r>
        <w:rPr/>
        <w:t xml:space="preserve">In a bear market </w:t>
      </w:r>
      <w:r>
        <w:rPr>
          <w:b/>
        </w:rPr>
        <w:t>everyone panics and loses their mind; good companies and bad companies all fall 20, 30, 40%</w:t>
      </w:r>
      <w:r>
        <w:rPr/>
        <w:t xml:space="preserve"> — that's how you buy a great company at a discount when there's maximum fear.</w:t>
      </w:r>
    </w:p>
    <w:p>
      <w:pPr>
        <w:pStyle w:val="BodyText"/>
        <w:numPr>
          <w:ilvl w:val="0"/>
          <w:numId w:val="109"/>
        </w:numPr>
        <w:tabs>
          <w:tab w:val="clear" w:pos="709"/>
          <w:tab w:val="left" w:pos="709" w:leader="none"/>
        </w:tabs>
        <w:bidi w:val="0"/>
        <w:ind w:hanging="283" w:start="709"/>
        <w:jc w:val="start"/>
        <w:rPr/>
      </w:pPr>
      <w:r>
        <w:rPr>
          <w:b/>
        </w:rPr>
        <w:t>"I love bear markets."</w:t>
      </w:r>
      <w:r>
        <w:rPr/>
        <w:t xml:space="preserve"> After every bear market his portfolio grows exponentially because he gets to add shares at huge discounts.</w:t>
      </w:r>
    </w:p>
    <w:p>
      <w:pPr>
        <w:pStyle w:val="Heading4"/>
        <w:numPr>
          <w:ilvl w:val="0"/>
          <w:numId w:val="0"/>
        </w:numPr>
        <w:bidi w:val="0"/>
        <w:ind w:hanging="0" w:start="0"/>
        <w:jc w:val="start"/>
        <w:rPr/>
      </w:pPr>
      <w:r>
        <w:rPr/>
        <w:t>Reason 3 — The sector or industry is unloved / "out of rotation"</w:t>
      </w:r>
    </w:p>
    <w:p>
      <w:pPr>
        <w:pStyle w:val="BodyText"/>
        <w:numPr>
          <w:ilvl w:val="0"/>
          <w:numId w:val="110"/>
        </w:numPr>
        <w:tabs>
          <w:tab w:val="clear" w:pos="709"/>
          <w:tab w:val="left" w:pos="709" w:leader="none"/>
        </w:tabs>
        <w:bidi w:val="0"/>
        <w:ind w:hanging="283" w:start="709"/>
        <w:jc w:val="start"/>
        <w:rPr/>
      </w:pPr>
      <w:r>
        <w:rPr/>
        <w:t xml:space="preserve">There are </w:t>
      </w:r>
      <w:r>
        <w:rPr>
          <w:b/>
        </w:rPr>
        <w:t>11 sectors</w:t>
      </w:r>
      <w:r>
        <w:rPr/>
        <w:t xml:space="preserve"> in the market (technology, financial, healthcare, and so on). Within each sector there are </w:t>
      </w:r>
      <w:r>
        <w:rPr>
          <w:b/>
        </w:rPr>
        <w:t>industries</w:t>
      </w:r>
      <w:r>
        <w:rPr/>
        <w:t xml:space="preserve"> — e.g. within technology: semiconductor, hardware, software.</w:t>
      </w:r>
    </w:p>
    <w:p>
      <w:pPr>
        <w:pStyle w:val="BodyText"/>
        <w:numPr>
          <w:ilvl w:val="0"/>
          <w:numId w:val="110"/>
        </w:numPr>
        <w:tabs>
          <w:tab w:val="clear" w:pos="709"/>
          <w:tab w:val="left" w:pos="709" w:leader="none"/>
        </w:tabs>
        <w:bidi w:val="0"/>
        <w:spacing w:before="0" w:after="0"/>
        <w:ind w:hanging="283" w:start="709"/>
        <w:jc w:val="start"/>
        <w:rPr/>
      </w:pPr>
      <w:r>
        <w:rPr>
          <w:b/>
        </w:rPr>
        <w:t>Sectors take turns being loved and unloved by investors.</w:t>
      </w:r>
    </w:p>
    <w:p>
      <w:pPr>
        <w:pStyle w:val="BodyText"/>
        <w:numPr>
          <w:ilvl w:val="1"/>
          <w:numId w:val="110"/>
        </w:numPr>
        <w:tabs>
          <w:tab w:val="clear" w:pos="709"/>
          <w:tab w:val="left" w:pos="1418" w:leader="none"/>
        </w:tabs>
        <w:bidi w:val="0"/>
        <w:ind w:hanging="283" w:start="1418"/>
        <w:jc w:val="start"/>
        <w:rPr/>
      </w:pPr>
      <w:r>
        <w:rPr/>
        <w:t xml:space="preserve">When a sector is loved, money (especially institutional money) flows in — that sector is </w:t>
      </w:r>
      <w:r>
        <w:rPr>
          <w:b/>
        </w:rPr>
        <w:t>"in rotation"</w:t>
      </w:r>
      <w:r>
        <w:rPr/>
        <w:t xml:space="preserve"> and </w:t>
      </w:r>
      <w:r>
        <w:rPr>
          <w:b/>
        </w:rPr>
        <w:t>most or all of its stocks go up — the good, the bad and the ugly. A rising tide lifts all boats.</w:t>
      </w:r>
    </w:p>
    <w:p>
      <w:pPr>
        <w:pStyle w:val="BodyText"/>
        <w:numPr>
          <w:ilvl w:val="1"/>
          <w:numId w:val="110"/>
        </w:numPr>
        <w:tabs>
          <w:tab w:val="clear" w:pos="709"/>
          <w:tab w:val="left" w:pos="1418" w:leader="none"/>
        </w:tabs>
        <w:bidi w:val="0"/>
        <w:ind w:hanging="283" w:start="1418"/>
        <w:jc w:val="start"/>
        <w:rPr/>
      </w:pPr>
      <w:r>
        <w:rPr>
          <w:b/>
        </w:rPr>
        <w:t>The money has to come out of somewhere</w:t>
      </w:r>
      <w:r>
        <w:rPr/>
        <w:t xml:space="preserve"> — the sector it leaves is </w:t>
      </w:r>
      <w:r>
        <w:rPr>
          <w:b/>
        </w:rPr>
        <w:t>"out of rotation" / unloved</w:t>
      </w:r>
      <w:r>
        <w:rPr/>
        <w:t xml:space="preserve">, and </w:t>
      </w:r>
      <w:r>
        <w:rPr>
          <w:b/>
        </w:rPr>
        <w:t>all its stocks drop</w:t>
      </w:r>
      <w:r>
        <w:rPr/>
        <w:t>, good, bad and ugly.</w:t>
      </w:r>
    </w:p>
    <w:p>
      <w:pPr>
        <w:pStyle w:val="BodyText"/>
        <w:numPr>
          <w:ilvl w:val="0"/>
          <w:numId w:val="110"/>
        </w:numPr>
        <w:tabs>
          <w:tab w:val="clear" w:pos="709"/>
          <w:tab w:val="left" w:pos="709" w:leader="none"/>
        </w:tabs>
        <w:bidi w:val="0"/>
        <w:ind w:hanging="283" w:start="709"/>
        <w:jc w:val="start"/>
        <w:rPr/>
      </w:pPr>
      <w:r>
        <w:rPr>
          <w:b/>
        </w:rPr>
        <w:t>It's almost impossible to predict exactly when a rotation will happen or reverse.</w:t>
      </w:r>
      <w:r>
        <w:rPr/>
        <w:t xml:space="preserve"> "My job is not to predict the rotation. My job is to take advantage of the rotation."</w:t>
      </w:r>
    </w:p>
    <w:p>
      <w:pPr>
        <w:pStyle w:val="BodyText"/>
        <w:bidi w:val="0"/>
        <w:jc w:val="start"/>
        <w:rPr/>
      </w:pPr>
      <w:r>
        <w:rPr>
          <w:b/>
        </w:rPr>
        <w:t>Worked example — Healthcare, 2023 and especially 2024</w:t>
      </w:r>
    </w:p>
    <w:p>
      <w:pPr>
        <w:pStyle w:val="BodyText"/>
        <w:numPr>
          <w:ilvl w:val="0"/>
          <w:numId w:val="111"/>
        </w:numPr>
        <w:tabs>
          <w:tab w:val="clear" w:pos="709"/>
          <w:tab w:val="left" w:pos="709" w:leader="none"/>
        </w:tabs>
        <w:bidi w:val="0"/>
        <w:spacing w:before="0" w:after="0"/>
        <w:ind w:hanging="283" w:start="709"/>
        <w:jc w:val="start"/>
        <w:rPr/>
      </w:pPr>
      <w:r>
        <w:rPr/>
        <w:t>The whole healthcare sector was out of rotation and unloved; money flowed out. Reasons given:</w:t>
      </w:r>
    </w:p>
    <w:p>
      <w:pPr>
        <w:pStyle w:val="BodyText"/>
        <w:numPr>
          <w:ilvl w:val="1"/>
          <w:numId w:val="111"/>
        </w:numPr>
        <w:tabs>
          <w:tab w:val="clear" w:pos="709"/>
          <w:tab w:val="left" w:pos="1418" w:leader="none"/>
        </w:tabs>
        <w:bidi w:val="0"/>
        <w:ind w:hanging="283" w:start="1418"/>
        <w:jc w:val="start"/>
        <w:rPr/>
      </w:pPr>
      <w:r>
        <w:rPr>
          <w:b/>
        </w:rPr>
        <w:t>Politics:</w:t>
      </w:r>
      <w:r>
        <w:rPr/>
        <w:t xml:space="preserve"> usually in an </w:t>
      </w:r>
      <w:r>
        <w:rPr>
          <w:b/>
        </w:rPr>
        <w:t>election year</w:t>
      </w:r>
      <w:r>
        <w:rPr/>
        <w:t xml:space="preserve"> money flows out of healthcare because of </w:t>
      </w:r>
      <w:r>
        <w:rPr>
          <w:b/>
        </w:rPr>
        <w:t>uncertainty over new political regulations</w:t>
      </w:r>
      <w:r>
        <w:rPr/>
        <w:t>.</w:t>
      </w:r>
    </w:p>
    <w:p>
      <w:pPr>
        <w:pStyle w:val="BodyText"/>
        <w:numPr>
          <w:ilvl w:val="1"/>
          <w:numId w:val="111"/>
        </w:numPr>
        <w:tabs>
          <w:tab w:val="clear" w:pos="709"/>
          <w:tab w:val="left" w:pos="1418" w:leader="none"/>
        </w:tabs>
        <w:bidi w:val="0"/>
        <w:ind w:hanging="283" w:start="1418"/>
        <w:jc w:val="start"/>
        <w:rPr/>
      </w:pPr>
      <w:r>
        <w:rPr>
          <w:b/>
        </w:rPr>
        <w:t>Post-COVID surgery backlog:</w:t>
      </w:r>
      <w:r>
        <w:rPr/>
        <w:t xml:space="preserve"> COVID caused people to delay non-essential surgeries; afterwards they all went for them, </w:t>
      </w:r>
      <w:r>
        <w:rPr>
          <w:b/>
        </w:rPr>
        <w:t>increasing insurance companies' claim costs → costs up, profits down</w:t>
      </w:r>
      <w:r>
        <w:rPr/>
        <w:t>.</w:t>
      </w:r>
    </w:p>
    <w:p>
      <w:pPr>
        <w:pStyle w:val="BodyText"/>
        <w:numPr>
          <w:ilvl w:val="0"/>
          <w:numId w:val="111"/>
        </w:numPr>
        <w:tabs>
          <w:tab w:val="clear" w:pos="709"/>
          <w:tab w:val="left" w:pos="709" w:leader="none"/>
        </w:tabs>
        <w:bidi w:val="0"/>
        <w:ind w:hanging="283" w:start="709"/>
        <w:jc w:val="start"/>
        <w:rPr/>
      </w:pPr>
      <w:r>
        <w:rPr/>
        <w:t xml:space="preserve">Healthcare stocks got very, very cheap → </w:t>
      </w:r>
      <w:r>
        <w:rPr>
          <w:b/>
        </w:rPr>
        <w:t>that's when he bought them</w:t>
      </w:r>
      <w:r>
        <w:rPr/>
        <w:t>.</w:t>
      </w:r>
    </w:p>
    <w:p>
      <w:pPr>
        <w:pStyle w:val="BodyText"/>
        <w:numPr>
          <w:ilvl w:val="0"/>
          <w:numId w:val="111"/>
        </w:numPr>
        <w:tabs>
          <w:tab w:val="clear" w:pos="709"/>
          <w:tab w:val="left" w:pos="709" w:leader="none"/>
        </w:tabs>
        <w:bidi w:val="0"/>
        <w:ind w:hanging="283" w:start="709"/>
        <w:jc w:val="start"/>
        <w:rPr/>
      </w:pPr>
      <w:r>
        <w:rPr/>
        <w:t xml:space="preserve">Long-run case: </w:t>
      </w:r>
      <w:r>
        <w:rPr>
          <w:b/>
        </w:rPr>
        <w:t>everyone needs healthcare; healthcare is a recession-proof sector; and the aging population is a long-term growth driver.</w:t>
      </w:r>
      <w:r>
        <w:rPr/>
        <w:t xml:space="preserve"> When people get excited about healthcare again and money flows back, that's how you get </w:t>
      </w:r>
      <w:r>
        <w:rPr>
          <w:b/>
        </w:rPr>
        <w:t>20, 30, 40% returns</w:t>
      </w:r>
      <w:r>
        <w:rPr/>
        <w:t>.</w:t>
      </w:r>
    </w:p>
    <w:p>
      <w:pPr>
        <w:pStyle w:val="BodyText"/>
        <w:bidi w:val="0"/>
        <w:jc w:val="start"/>
        <w:rPr/>
      </w:pPr>
      <w:r>
        <w:rPr>
          <w:b/>
        </w:rPr>
        <w:t>Worked example — Consumer Staples, 2024</w:t>
      </w:r>
    </w:p>
    <w:p>
      <w:pPr>
        <w:pStyle w:val="BodyText"/>
        <w:numPr>
          <w:ilvl w:val="0"/>
          <w:numId w:val="112"/>
        </w:numPr>
        <w:tabs>
          <w:tab w:val="clear" w:pos="709"/>
          <w:tab w:val="left" w:pos="709" w:leader="none"/>
        </w:tabs>
        <w:bidi w:val="0"/>
        <w:ind w:hanging="283" w:start="709"/>
        <w:jc w:val="start"/>
        <w:rPr/>
      </w:pPr>
      <w:r>
        <w:rPr>
          <w:b/>
        </w:rPr>
        <w:t>Consumer staples</w:t>
      </w:r>
      <w:r>
        <w:rPr/>
        <w:t xml:space="preserve"> = companies that sell </w:t>
      </w:r>
      <w:r>
        <w:rPr>
          <w:b/>
        </w:rPr>
        <w:t>low-growth essential goods</w:t>
      </w:r>
      <w:r>
        <w:rPr/>
        <w:t xml:space="preserve"> — e.g. </w:t>
      </w:r>
      <w:r>
        <w:rPr>
          <w:b/>
        </w:rPr>
        <w:t>Coca-Cola, Pepsi, Procter &amp; Gamble, Colgate</w:t>
      </w:r>
      <w:r>
        <w:rPr/>
        <w:t>.</w:t>
      </w:r>
    </w:p>
    <w:p>
      <w:pPr>
        <w:pStyle w:val="BodyText"/>
        <w:numPr>
          <w:ilvl w:val="0"/>
          <w:numId w:val="112"/>
        </w:numPr>
        <w:tabs>
          <w:tab w:val="clear" w:pos="709"/>
          <w:tab w:val="left" w:pos="709" w:leader="none"/>
        </w:tabs>
        <w:bidi w:val="0"/>
        <w:ind w:hanging="283" w:start="709"/>
        <w:jc w:val="start"/>
        <w:rPr/>
      </w:pPr>
      <w:r>
        <w:rPr/>
        <w:t xml:space="preserve">They are very </w:t>
      </w:r>
      <w:r>
        <w:rPr>
          <w:b/>
        </w:rPr>
        <w:t>defensive</w:t>
      </w:r>
      <w:r>
        <w:rPr/>
        <w:t xml:space="preserve"> stocks and </w:t>
      </w:r>
      <w:r>
        <w:rPr>
          <w:b/>
        </w:rPr>
        <w:t>recession-proof</w:t>
      </w:r>
      <w:r>
        <w:rPr/>
        <w:t>.</w:t>
      </w:r>
    </w:p>
    <w:p>
      <w:pPr>
        <w:pStyle w:val="BodyText"/>
        <w:numPr>
          <w:ilvl w:val="0"/>
          <w:numId w:val="112"/>
        </w:numPr>
        <w:tabs>
          <w:tab w:val="clear" w:pos="709"/>
          <w:tab w:val="left" w:pos="709" w:leader="none"/>
        </w:tabs>
        <w:bidi w:val="0"/>
        <w:ind w:hanging="283" w:start="709"/>
        <w:jc w:val="start"/>
        <w:rPr/>
      </w:pPr>
      <w:r>
        <w:rPr>
          <w:b/>
        </w:rPr>
        <w:t>When the economy is doing very well, people don't want these boring companies, so they sell them</w:t>
      </w:r>
      <w:r>
        <w:rPr/>
        <w:t xml:space="preserve"> — that's why they tend to drop during good economic growth. And when they drop, they're cheap.</w:t>
      </w:r>
    </w:p>
    <w:p>
      <w:pPr>
        <w:pStyle w:val="BodyText"/>
        <w:numPr>
          <w:ilvl w:val="0"/>
          <w:numId w:val="112"/>
        </w:numPr>
        <w:tabs>
          <w:tab w:val="clear" w:pos="709"/>
          <w:tab w:val="left" w:pos="709" w:leader="none"/>
        </w:tabs>
        <w:bidi w:val="0"/>
        <w:ind w:hanging="283" w:start="709"/>
        <w:jc w:val="start"/>
        <w:rPr/>
      </w:pPr>
      <w:r>
        <w:rPr>
          <w:b/>
        </w:rPr>
        <w:t>In 2024 he bought a lot of consumer staple stocks — for example Pepsi — and a lot of healthcare stocks.</w:t>
      </w:r>
    </w:p>
    <w:p>
      <w:pPr>
        <w:pStyle w:val="BodyText"/>
        <w:numPr>
          <w:ilvl w:val="0"/>
          <w:numId w:val="112"/>
        </w:numPr>
        <w:tabs>
          <w:tab w:val="clear" w:pos="709"/>
          <w:tab w:val="left" w:pos="709" w:leader="none"/>
        </w:tabs>
        <w:bidi w:val="0"/>
        <w:ind w:hanging="283" w:start="709"/>
        <w:jc w:val="start"/>
        <w:rPr/>
      </w:pPr>
      <w:r>
        <w:rPr/>
        <w:t>Whenever a fear of recession appears (we can't know when), everyone gets scared, they buy healthcare and consumer staples again, and those stocks fly.</w:t>
      </w:r>
    </w:p>
    <w:p>
      <w:pPr>
        <w:pStyle w:val="Heading4"/>
        <w:numPr>
          <w:ilvl w:val="0"/>
          <w:numId w:val="0"/>
        </w:numPr>
        <w:bidi w:val="0"/>
        <w:ind w:hanging="0" w:start="0"/>
        <w:jc w:val="start"/>
        <w:rPr/>
      </w:pPr>
      <w:r>
        <w:rPr/>
        <w:t>Reason 4 — The company is hit by short-term bad news</w:t>
      </w:r>
    </w:p>
    <w:p>
      <w:pPr>
        <w:pStyle w:val="BodyText"/>
        <w:numPr>
          <w:ilvl w:val="0"/>
          <w:numId w:val="113"/>
        </w:numPr>
        <w:tabs>
          <w:tab w:val="clear" w:pos="709"/>
          <w:tab w:val="left" w:pos="709" w:leader="none"/>
        </w:tabs>
        <w:bidi w:val="0"/>
        <w:ind w:hanging="283" w:start="709"/>
        <w:jc w:val="start"/>
        <w:rPr/>
      </w:pPr>
      <w:r>
        <w:rPr>
          <w:b/>
        </w:rPr>
        <w:t>When you buy a great business that meets the five criteria, 99.9% of the time any bad news that hits the company is SHORT TERM.</w:t>
      </w:r>
      <w:r>
        <w:rPr/>
        <w:t xml:space="preserve"> They will sort it out, solve the issue, and the company will do very well again.</w:t>
      </w:r>
    </w:p>
    <w:p>
      <w:pPr>
        <w:pStyle w:val="BodyText"/>
        <w:bidi w:val="0"/>
        <w:jc w:val="start"/>
        <w:rPr/>
      </w:pPr>
      <w:r>
        <w:rPr>
          <w:b/>
        </w:rPr>
        <w:t>(a) Lawsuits.</w:t>
      </w:r>
      <w:r>
        <w:rPr/>
        <w:t xml:space="preserve"> Great companies get sued all the time — by </w:t>
      </w:r>
      <w:r>
        <w:rPr>
          <w:b/>
        </w:rPr>
        <w:t>consumers</w:t>
      </w:r>
      <w:r>
        <w:rPr/>
        <w:t xml:space="preserve">, by </w:t>
      </w:r>
      <w:r>
        <w:rPr>
          <w:b/>
        </w:rPr>
        <w:t>investors</w:t>
      </w:r>
      <w:r>
        <w:rPr/>
        <w:t xml:space="preserve"> (class-action lawsuits after a price drop), and by </w:t>
      </w:r>
      <w:r>
        <w:rPr>
          <w:b/>
        </w:rPr>
        <w:t>the government</w:t>
      </w:r>
      <w:r>
        <w:rPr/>
        <w:t xml:space="preserve"> (e.g. the </w:t>
      </w:r>
      <w:r>
        <w:rPr>
          <w:b/>
        </w:rPr>
        <w:t>Department of Justice</w:t>
      </w:r>
      <w:r>
        <w:rPr/>
        <w:t xml:space="preserve"> suing them for being a monopoly). </w:t>
      </w:r>
      <w:r>
        <w:rPr>
          <w:b/>
        </w:rPr>
        <w:t>Every time a great company gets sued and the share price drops on the bad news, Adam buys</w:t>
      </w:r>
      <w:r>
        <w:rPr/>
        <w:t xml:space="preserve"> — it's always temporary and rebounds very fast.</w:t>
      </w:r>
    </w:p>
    <w:p>
      <w:pPr>
        <w:pStyle w:val="BodyText"/>
        <w:numPr>
          <w:ilvl w:val="0"/>
          <w:numId w:val="114"/>
        </w:numPr>
        <w:tabs>
          <w:tab w:val="clear" w:pos="709"/>
          <w:tab w:val="left" w:pos="709" w:leader="none"/>
        </w:tabs>
        <w:bidi w:val="0"/>
        <w:spacing w:before="0" w:after="0"/>
        <w:ind w:hanging="283" w:start="709"/>
        <w:jc w:val="start"/>
        <w:rPr/>
      </w:pPr>
      <w:r>
        <w:rPr>
          <w:b/>
        </w:rPr>
        <w:t>2024 — three great companies sued by the US DOJ: Google, Apple and Visa.</w:t>
      </w:r>
      <w:r>
        <w:rPr/>
        <w:t xml:space="preserve"> Google actually lost its lawsuit. Each caused a temporary drop that made the stock undervalued — </w:t>
      </w:r>
      <w:r>
        <w:rPr>
          <w:b/>
        </w:rPr>
        <w:t>and by the end of the year all three were back at all-time highs.</w:t>
      </w:r>
    </w:p>
    <w:p>
      <w:pPr>
        <w:pStyle w:val="BodyText"/>
        <w:numPr>
          <w:ilvl w:val="1"/>
          <w:numId w:val="114"/>
        </w:numPr>
        <w:tabs>
          <w:tab w:val="clear" w:pos="709"/>
          <w:tab w:val="left" w:pos="1418" w:leader="none"/>
        </w:tabs>
        <w:bidi w:val="0"/>
        <w:ind w:hanging="283" w:start="1418"/>
        <w:jc w:val="start"/>
        <w:rPr/>
      </w:pPr>
      <w:r>
        <w:rPr>
          <w:b/>
        </w:rPr>
        <w:t>March 2024:</w:t>
      </w:r>
      <w:r>
        <w:rPr/>
        <w:t xml:space="preserve"> the Justice Department sues </w:t>
      </w:r>
      <w:r>
        <w:rPr>
          <w:b/>
        </w:rPr>
        <w:t>Apple</w:t>
      </w:r>
      <w:r>
        <w:rPr/>
        <w:t xml:space="preserve">, alleging it illegally monopolised the smartphone market → </w:t>
      </w:r>
      <w:r>
        <w:rPr>
          <w:b/>
        </w:rPr>
        <w:t>Apple shares dropped about 10%</w:t>
      </w:r>
      <w:r>
        <w:rPr/>
        <w:t xml:space="preserve"> → back to an all-time high by the end of the year.</w:t>
      </w:r>
    </w:p>
    <w:p>
      <w:pPr>
        <w:pStyle w:val="BodyText"/>
        <w:numPr>
          <w:ilvl w:val="1"/>
          <w:numId w:val="114"/>
        </w:numPr>
        <w:tabs>
          <w:tab w:val="clear" w:pos="709"/>
          <w:tab w:val="left" w:pos="1418" w:leader="none"/>
        </w:tabs>
        <w:bidi w:val="0"/>
        <w:ind w:hanging="283" w:start="1418"/>
        <w:jc w:val="start"/>
        <w:rPr/>
      </w:pPr>
      <w:r>
        <w:rPr>
          <w:b/>
        </w:rPr>
        <w:t>5 August:</w:t>
      </w:r>
      <w:r>
        <w:rPr/>
        <w:t xml:space="preserve"> </w:t>
      </w:r>
      <w:r>
        <w:rPr>
          <w:b/>
        </w:rPr>
        <w:t>Google loses its landmark US antitrust case over search dominance</w:t>
      </w:r>
      <w:r>
        <w:rPr/>
        <w:t xml:space="preserve"> → share price plunged → back to all-time highs by the end of the year / the following year.</w:t>
      </w:r>
    </w:p>
    <w:p>
      <w:pPr>
        <w:pStyle w:val="BodyText"/>
        <w:numPr>
          <w:ilvl w:val="1"/>
          <w:numId w:val="114"/>
        </w:numPr>
        <w:tabs>
          <w:tab w:val="clear" w:pos="709"/>
          <w:tab w:val="left" w:pos="1418" w:leader="none"/>
        </w:tabs>
        <w:bidi w:val="0"/>
        <w:ind w:hanging="283" w:start="1418"/>
        <w:jc w:val="start"/>
        <w:rPr/>
      </w:pPr>
      <w:r>
        <w:rPr>
          <w:b/>
        </w:rPr>
        <w:t>24 September:</w:t>
      </w:r>
      <w:r>
        <w:rPr/>
        <w:t xml:space="preserve"> the US DOJ </w:t>
      </w:r>
      <w:r>
        <w:rPr>
          <w:b/>
        </w:rPr>
        <w:t>sues Visa over the debit card market monopoly</w:t>
      </w:r>
      <w:r>
        <w:rPr/>
        <w:t xml:space="preserve"> → Visa's price dropped and was undervalued very briefly → all-time highs again.</w:t>
      </w:r>
    </w:p>
    <w:p>
      <w:pPr>
        <w:pStyle w:val="BodyText"/>
        <w:bidi w:val="0"/>
        <w:jc w:val="start"/>
        <w:rPr/>
      </w:pPr>
      <w:r>
        <w:rPr>
          <w:b/>
        </w:rPr>
        <w:t>(b) The Buffett / American Express archetype (1963).</w:t>
      </w:r>
    </w:p>
    <w:p>
      <w:pPr>
        <w:pStyle w:val="BodyText"/>
        <w:numPr>
          <w:ilvl w:val="0"/>
          <w:numId w:val="115"/>
        </w:numPr>
        <w:tabs>
          <w:tab w:val="clear" w:pos="709"/>
          <w:tab w:val="left" w:pos="709" w:leader="none"/>
        </w:tabs>
        <w:bidi w:val="0"/>
        <w:ind w:hanging="283" w:start="709"/>
        <w:jc w:val="start"/>
        <w:rPr/>
      </w:pPr>
      <w:r>
        <w:rPr/>
        <w:t xml:space="preserve">American Express was </w:t>
      </w:r>
      <w:r>
        <w:rPr>
          <w:b/>
        </w:rPr>
        <w:t>not yet listed on the stock market</w:t>
      </w:r>
      <w:r>
        <w:rPr/>
        <w:t xml:space="preserve"> — it traded </w:t>
      </w:r>
      <w:r>
        <w:rPr>
          <w:b/>
        </w:rPr>
        <w:t>over the counter as a pink sheet</w:t>
      </w:r>
      <w:r>
        <w:rPr/>
        <w:t>.</w:t>
      </w:r>
    </w:p>
    <w:p>
      <w:pPr>
        <w:pStyle w:val="BodyText"/>
        <w:numPr>
          <w:ilvl w:val="0"/>
          <w:numId w:val="115"/>
        </w:numPr>
        <w:tabs>
          <w:tab w:val="clear" w:pos="709"/>
          <w:tab w:val="left" w:pos="709" w:leader="none"/>
        </w:tabs>
        <w:bidi w:val="0"/>
        <w:ind w:hanging="283" w:start="709"/>
        <w:jc w:val="start"/>
        <w:rPr/>
      </w:pPr>
      <w:r>
        <w:rPr/>
        <w:t xml:space="preserve">Buffett wanted the company: it was a great business, but </w:t>
      </w:r>
      <w:r>
        <w:rPr>
          <w:b/>
        </w:rPr>
        <w:t>too expensive at about $60 per share</w:t>
      </w:r>
      <w:r>
        <w:rPr/>
        <w:t xml:space="preserve">, so </w:t>
      </w:r>
      <w:r>
        <w:rPr>
          <w:b/>
        </w:rPr>
        <w:t>he waited patiently for bad news.</w:t>
      </w:r>
    </w:p>
    <w:p>
      <w:pPr>
        <w:pStyle w:val="BodyText"/>
        <w:numPr>
          <w:ilvl w:val="0"/>
          <w:numId w:val="115"/>
        </w:numPr>
        <w:tabs>
          <w:tab w:val="clear" w:pos="709"/>
          <w:tab w:val="left" w:pos="709" w:leader="none"/>
        </w:tabs>
        <w:bidi w:val="0"/>
        <w:ind w:hanging="283" w:start="709"/>
        <w:jc w:val="start"/>
        <w:rPr/>
      </w:pPr>
      <w:r>
        <w:rPr/>
        <w:t xml:space="preserve">In </w:t>
      </w:r>
      <w:r>
        <w:rPr>
          <w:b/>
        </w:rPr>
        <w:t>1963 the "Salad Oil Scandal"</w:t>
      </w:r>
      <w:r>
        <w:rPr/>
        <w:t xml:space="preserve"> hit: American Express was </w:t>
      </w:r>
      <w:r>
        <w:rPr>
          <w:b/>
        </w:rPr>
        <w:t>sued for negligence</w:t>
      </w:r>
      <w:r>
        <w:rPr/>
        <w:t xml:space="preserve"> and lost roughly </w:t>
      </w:r>
      <w:r>
        <w:rPr>
          <w:b/>
        </w:rPr>
        <w:t>$30–50 million</w:t>
      </w:r>
      <w:r>
        <w:rPr/>
        <w:t xml:space="preserve"> because of the lawsuit, causing a short-term drop in profits.</w:t>
      </w:r>
    </w:p>
    <w:p>
      <w:pPr>
        <w:pStyle w:val="BodyText"/>
        <w:numPr>
          <w:ilvl w:val="0"/>
          <w:numId w:val="115"/>
        </w:numPr>
        <w:tabs>
          <w:tab w:val="clear" w:pos="709"/>
          <w:tab w:val="left" w:pos="709" w:leader="none"/>
        </w:tabs>
        <w:bidi w:val="0"/>
        <w:ind w:hanging="283" w:start="709"/>
        <w:jc w:val="start"/>
        <w:rPr/>
      </w:pPr>
      <w:r>
        <w:rPr/>
        <w:t xml:space="preserve">Buffett's insight: the short-term loss didn't matter because </w:t>
      </w:r>
      <w:r>
        <w:rPr>
          <w:b/>
        </w:rPr>
        <w:t>the brand was still very strong</w:t>
      </w:r>
      <w:r>
        <w:rPr/>
        <w:t xml:space="preserve"> — at the time, credit cards and travel both meant American Express; the advertisement said "don't leave home without it."</w:t>
      </w:r>
    </w:p>
    <w:p>
      <w:pPr>
        <w:pStyle w:val="BodyText"/>
        <w:numPr>
          <w:ilvl w:val="0"/>
          <w:numId w:val="115"/>
        </w:numPr>
        <w:tabs>
          <w:tab w:val="clear" w:pos="709"/>
          <w:tab w:val="left" w:pos="709" w:leader="none"/>
        </w:tabs>
        <w:bidi w:val="0"/>
        <w:ind w:hanging="283" w:start="709"/>
        <w:jc w:val="start"/>
        <w:rPr/>
      </w:pPr>
      <w:r>
        <w:rPr>
          <w:b/>
        </w:rPr>
        <w:t>The scandal cut the share price by about 50%, from $60 to $30, and Buffett pounced and bought shares.</w:t>
      </w:r>
    </w:p>
    <w:p>
      <w:pPr>
        <w:pStyle w:val="BodyText"/>
        <w:numPr>
          <w:ilvl w:val="0"/>
          <w:numId w:val="115"/>
        </w:numPr>
        <w:tabs>
          <w:tab w:val="clear" w:pos="709"/>
          <w:tab w:val="left" w:pos="709" w:leader="none"/>
        </w:tabs>
        <w:bidi w:val="0"/>
        <w:ind w:hanging="283" w:start="709"/>
        <w:jc w:val="start"/>
        <w:rPr/>
      </w:pPr>
      <w:r>
        <w:rPr/>
        <w:t xml:space="preserve">Once the scandal was resolved the share price went back to </w:t>
      </w:r>
      <w:r>
        <w:rPr>
          <w:b/>
        </w:rPr>
        <w:t>$60 and a lot higher</w:t>
      </w:r>
      <w:r>
        <w:rPr/>
        <w:t xml:space="preserve">. He bought in </w:t>
      </w:r>
      <w:r>
        <w:rPr>
          <w:b/>
        </w:rPr>
        <w:t>1964 and has never sold</w:t>
      </w:r>
      <w:r>
        <w:rPr/>
        <w:t xml:space="preserve"> — </w:t>
      </w:r>
      <w:r>
        <w:rPr>
          <w:b/>
        </w:rPr>
        <w:t>he has made over US$20 billion on that one great business.</w:t>
      </w:r>
    </w:p>
    <w:p>
      <w:pPr>
        <w:pStyle w:val="BodyText"/>
        <w:bidi w:val="0"/>
        <w:jc w:val="start"/>
        <w:rPr/>
      </w:pPr>
      <w:r>
        <w:rPr>
          <w:b/>
        </w:rPr>
        <w:t>(c) Earnings misses.</w:t>
      </w:r>
      <w:r>
        <w:rPr/>
        <w:t xml:space="preserve"> A great company will have good years and bad years, good quarters and bad quarters. Sometimes when it reports earnings, </w:t>
      </w:r>
      <w:r>
        <w:rPr>
          <w:b/>
        </w:rPr>
        <w:t>earnings or revenue come in lower than expected</w:t>
      </w:r>
      <w:r>
        <w:rPr/>
        <w:t xml:space="preserve">. People panic and sell, the </w:t>
      </w:r>
      <w:r>
        <w:rPr>
          <w:b/>
        </w:rPr>
        <w:t>share price drops 10, 20, 30%</w:t>
      </w:r>
      <w:r>
        <w:rPr/>
        <w:t xml:space="preserve"> — a </w:t>
      </w:r>
      <w:r>
        <w:rPr>
          <w:b/>
        </w:rPr>
        <w:t>great time to buy</w:t>
      </w:r>
      <w:r>
        <w:rPr/>
        <w:t>, because it will rebound very strongly.</w:t>
      </w:r>
    </w:p>
    <w:p>
      <w:pPr>
        <w:pStyle w:val="BodyText"/>
        <w:bidi w:val="0"/>
        <w:jc w:val="start"/>
        <w:rPr/>
      </w:pPr>
      <w:r>
        <w:rPr>
          <w:b/>
        </w:rPr>
        <w:t>(d) Cyclical slowdown.</w:t>
      </w:r>
      <w:r>
        <w:rPr/>
        <w:t xml:space="preserve"> A business can be in a long-term growth industry yet still have a temporary slowdown.</w:t>
      </w:r>
    </w:p>
    <w:p>
      <w:pPr>
        <w:pStyle w:val="BodyText"/>
        <w:numPr>
          <w:ilvl w:val="0"/>
          <w:numId w:val="116"/>
        </w:numPr>
        <w:tabs>
          <w:tab w:val="clear" w:pos="709"/>
          <w:tab w:val="left" w:pos="709" w:leader="none"/>
        </w:tabs>
        <w:bidi w:val="0"/>
        <w:ind w:hanging="283" w:start="709"/>
        <w:jc w:val="start"/>
        <w:rPr/>
      </w:pPr>
      <w:r>
        <w:rPr>
          <w:b/>
        </w:rPr>
        <w:t>Digital advertising</w:t>
      </w:r>
      <w:r>
        <w:rPr/>
        <w:t xml:space="preserve"> is a long-term growth industry — five or ten years from now more companies will be spending on online advertising. </w:t>
      </w:r>
      <w:r>
        <w:rPr>
          <w:b/>
        </w:rPr>
        <w:t>The biggest players are Google, Amazon and Meta.</w:t>
      </w:r>
      <w:r>
        <w:rPr/>
        <w:t xml:space="preserve"> (</w:t>
      </w:r>
      <w:r>
        <w:rPr>
          <w:b/>
        </w:rPr>
        <w:t>Meta owns Facebook, Instagram and WhatsApp.</w:t>
      </w:r>
      <w:r>
        <w:rPr/>
        <w:t>)</w:t>
      </w:r>
    </w:p>
    <w:p>
      <w:pPr>
        <w:pStyle w:val="BodyText"/>
        <w:numPr>
          <w:ilvl w:val="0"/>
          <w:numId w:val="116"/>
        </w:numPr>
        <w:tabs>
          <w:tab w:val="clear" w:pos="709"/>
          <w:tab w:val="left" w:pos="709" w:leader="none"/>
        </w:tabs>
        <w:bidi w:val="0"/>
        <w:ind w:hanging="283" w:start="709"/>
        <w:jc w:val="start"/>
        <w:rPr/>
      </w:pPr>
      <w:r>
        <w:rPr>
          <w:b/>
        </w:rPr>
        <w:t>In 2022 there was a short-term cyclical slowdown in advertising spend.</w:t>
      </w:r>
      <w:r>
        <w:rPr/>
        <w:t xml:space="preserve"> Google's and Meta's revenue slowed, and </w:t>
      </w:r>
      <w:r>
        <w:rPr>
          <w:b/>
        </w:rPr>
        <w:t>the share prices dropped roughly 15–20%.</w:t>
      </w:r>
      <w:r>
        <w:rPr/>
        <w:t xml:space="preserve"> Adam </w:t>
      </w:r>
      <w:r>
        <w:rPr>
          <w:b/>
        </w:rPr>
        <w:t>bought a lot more in 2022</w:t>
      </w:r>
      <w:r>
        <w:rPr/>
        <w:t>, and it has rebounded significantly since as advertising spend re-accelerated.</w:t>
      </w:r>
    </w:p>
    <w:p>
      <w:pPr>
        <w:pStyle w:val="BodyText"/>
        <w:numPr>
          <w:ilvl w:val="0"/>
          <w:numId w:val="116"/>
        </w:numPr>
        <w:tabs>
          <w:tab w:val="clear" w:pos="709"/>
          <w:tab w:val="left" w:pos="709" w:leader="none"/>
        </w:tabs>
        <w:bidi w:val="0"/>
        <w:ind w:hanging="283" w:start="709"/>
        <w:jc w:val="start"/>
        <w:rPr/>
      </w:pPr>
      <w:r>
        <w:rPr>
          <w:b/>
        </w:rPr>
        <w:t>Cybersecurity</w:t>
      </w:r>
      <w:r>
        <w:rPr/>
        <w:t xml:space="preserve"> is the same: in the long run more and more companies will spend on cybersecurity systems. </w:t>
      </w:r>
      <w:r>
        <w:rPr>
          <w:b/>
        </w:rPr>
        <w:t>His favourite cybersecurity companies are Palo Alto and Fortinet.</w:t>
      </w:r>
      <w:r>
        <w:rPr/>
        <w:t xml:space="preserve"> In </w:t>
      </w:r>
      <w:r>
        <w:rPr>
          <w:b/>
        </w:rPr>
        <w:t>2022 and early 2023 there was a short-term slowdown in corporate cybersecurity spending</w:t>
      </w:r>
      <w:r>
        <w:rPr/>
        <w:t xml:space="preserve">, and </w:t>
      </w:r>
      <w:r>
        <w:rPr>
          <w:b/>
        </w:rPr>
        <w:t>Palo Alto and Fortinet dropped 10%, 20%, 30% — way below intrinsic value.</w:t>
      </w:r>
      <w:r>
        <w:rPr/>
        <w:t xml:space="preserve"> He </w:t>
      </w:r>
      <w:r>
        <w:rPr>
          <w:b/>
        </w:rPr>
        <w:t>added a lot of shares</w:t>
      </w:r>
      <w:r>
        <w:rPr/>
        <w:t xml:space="preserve"> and it has produced very nice gains.</w:t>
      </w:r>
    </w:p>
    <w:p>
      <w:pPr>
        <w:pStyle w:val="BodyText"/>
        <w:bidi w:val="0"/>
        <w:jc w:val="start"/>
        <w:rPr/>
      </w:pPr>
      <w:r>
        <w:rPr>
          <w:b/>
        </w:rPr>
        <w:t>(e) Product recalls.</w:t>
      </w:r>
      <w:r>
        <w:rPr/>
        <w:t xml:space="preserve"> Usually affects auto companies — </w:t>
      </w:r>
      <w:r>
        <w:rPr>
          <w:b/>
        </w:rPr>
        <w:t>Adam does not buy auto companies</w:t>
      </w:r>
      <w:r>
        <w:rPr/>
        <w:t xml:space="preserve"> (reasons explained later in the course).</w:t>
      </w:r>
    </w:p>
    <w:p>
      <w:pPr>
        <w:pStyle w:val="BodyText"/>
        <w:bidi w:val="0"/>
        <w:jc w:val="start"/>
        <w:rPr/>
      </w:pPr>
      <w:r>
        <w:rPr>
          <w:b/>
        </w:rPr>
        <w:t>(f) Diseases.</w:t>
      </w:r>
      <w:r>
        <w:rPr/>
        <w:t xml:space="preserve"> Years ago, </w:t>
      </w:r>
      <w:r>
        <w:rPr>
          <w:b/>
        </w:rPr>
        <w:t>mad cow disease</w:t>
      </w:r>
      <w:r>
        <w:rPr/>
        <w:t xml:space="preserve"> meant no one dared eat beef. </w:t>
      </w:r>
      <w:r>
        <w:rPr>
          <w:b/>
        </w:rPr>
        <w:t>McDonald's</w:t>
      </w:r>
      <w:r>
        <w:rPr/>
        <w:t xml:space="preserve">, which sells primarily beef, saw profits fall and </w:t>
      </w:r>
      <w:r>
        <w:rPr>
          <w:b/>
        </w:rPr>
        <w:t>the share price drop 30%.</w:t>
      </w:r>
      <w:r>
        <w:rPr/>
        <w:t xml:space="preserve"> He bought it undervalued knowing it was a short-term problem — "the cow won't be mad forever… one day the cow will be happy again, people eat beef again." </w:t>
      </w:r>
      <w:r>
        <w:rPr>
          <w:b/>
        </w:rPr>
        <w:t>McDonald's went back to all-time highs.</w:t>
      </w:r>
    </w:p>
    <w:p>
      <w:pPr>
        <w:pStyle w:val="Heading4"/>
        <w:bidi w:val="0"/>
        <w:ind w:hanging="0" w:start="0"/>
        <w:jc w:val="start"/>
        <w:rPr/>
      </w:pPr>
      <w:r>
        <w:rPr/>
        <w:t>Reason 5 — Great companies making stupid mistakes</w:t>
      </w:r>
    </w:p>
    <w:p>
      <w:pPr>
        <w:pStyle w:val="BodyText"/>
        <w:numPr>
          <w:ilvl w:val="0"/>
          <w:numId w:val="117"/>
        </w:numPr>
        <w:tabs>
          <w:tab w:val="clear" w:pos="709"/>
          <w:tab w:val="left" w:pos="709" w:leader="none"/>
        </w:tabs>
        <w:bidi w:val="0"/>
        <w:ind w:hanging="283" w:start="709"/>
        <w:jc w:val="start"/>
        <w:rPr/>
      </w:pPr>
      <w:r>
        <w:rPr/>
        <w:t xml:space="preserve">Sometimes even great companies make </w:t>
      </w:r>
      <w:r>
        <w:rPr>
          <w:b/>
        </w:rPr>
        <w:t>stupid mistakes that hit their short-term profits</w:t>
      </w:r>
      <w:r>
        <w:rPr/>
        <w:t xml:space="preserve">, while their </w:t>
      </w:r>
      <w:r>
        <w:rPr>
          <w:b/>
        </w:rPr>
        <w:t>competitive advantage, brand, economies of scale and economic moat remain intact.</w:t>
      </w:r>
    </w:p>
    <w:p>
      <w:pPr>
        <w:pStyle w:val="BodyText"/>
        <w:bidi w:val="0"/>
        <w:jc w:val="start"/>
        <w:rPr/>
      </w:pPr>
      <w:r>
        <w:rPr>
          <w:b/>
        </w:rPr>
        <w:t>Example — American Express, 1963 (as a self-inflicted mistake).</w:t>
      </w:r>
      <w:r>
        <w:rPr/>
        <w:t xml:space="preserve"> They made the mistake of </w:t>
      </w:r>
      <w:r>
        <w:rPr>
          <w:b/>
        </w:rPr>
        <w:t>certifying salad oil for a commodities trader who had falsified the records</w:t>
      </w:r>
      <w:r>
        <w:rPr/>
        <w:t xml:space="preserve">, and were </w:t>
      </w:r>
      <w:r>
        <w:rPr>
          <w:b/>
        </w:rPr>
        <w:t>sued for negligence</w:t>
      </w:r>
      <w:r>
        <w:rPr/>
        <w:t xml:space="preserve">. The </w:t>
      </w:r>
      <w:r>
        <w:rPr>
          <w:b/>
        </w:rPr>
        <w:t>share price dropped 50%.</w:t>
      </w:r>
      <w:r>
        <w:rPr/>
        <w:t xml:space="preserve"> Buffett recognised the brand was still very strong — people used AmEx credit cards and travellers' cheques every day — </w:t>
      </w:r>
      <w:r>
        <w:rPr>
          <w:b/>
        </w:rPr>
        <w:t>bought shares at half price and made billions.</w:t>
      </w:r>
    </w:p>
    <w:p>
      <w:pPr>
        <w:pStyle w:val="BodyText"/>
        <w:bidi w:val="0"/>
        <w:jc w:val="start"/>
        <w:rPr/>
      </w:pPr>
      <w:r>
        <w:rPr>
          <w:b/>
        </w:rPr>
        <w:t>Example — Nike.</w:t>
      </w:r>
      <w:r>
        <w:rPr/>
        <w:t xml:space="preserve"> Nike is a great brand with the </w:t>
      </w:r>
      <w:r>
        <w:rPr>
          <w:b/>
        </w:rPr>
        <w:t>biggest marketing budget among all the athletic footwear companies.</w:t>
      </w:r>
      <w:r>
        <w:rPr/>
        <w:t xml:space="preserve"> But in </w:t>
      </w:r>
      <w:r>
        <w:rPr>
          <w:b/>
        </w:rPr>
        <w:t>2019 they hired a new CEO who made very bad management decisions:</w:t>
      </w:r>
    </w:p>
    <w:p>
      <w:pPr>
        <w:pStyle w:val="BodyText"/>
        <w:numPr>
          <w:ilvl w:val="0"/>
          <w:numId w:val="118"/>
        </w:numPr>
        <w:tabs>
          <w:tab w:val="clear" w:pos="709"/>
          <w:tab w:val="left" w:pos="709" w:leader="none"/>
        </w:tabs>
        <w:bidi w:val="0"/>
        <w:ind w:hanging="283" w:start="709"/>
        <w:jc w:val="start"/>
        <w:rPr/>
      </w:pPr>
      <w:r>
        <w:rPr/>
        <w:t xml:space="preserve">He </w:t>
      </w:r>
      <w:r>
        <w:rPr>
          <w:b/>
        </w:rPr>
        <w:t>cut out all the wholesalers</w:t>
      </w:r>
      <w:r>
        <w:rPr/>
        <w:t xml:space="preserve">, wanting to sell </w:t>
      </w:r>
      <w:r>
        <w:rPr>
          <w:b/>
        </w:rPr>
        <w:t>Nike direct to consumers</w:t>
      </w:r>
      <w:r>
        <w:rPr/>
        <w:t xml:space="preserve"> — a bad mistake.</w:t>
      </w:r>
    </w:p>
    <w:p>
      <w:pPr>
        <w:pStyle w:val="BodyText"/>
        <w:numPr>
          <w:ilvl w:val="0"/>
          <w:numId w:val="118"/>
        </w:numPr>
        <w:tabs>
          <w:tab w:val="clear" w:pos="709"/>
          <w:tab w:val="left" w:pos="709" w:leader="none"/>
        </w:tabs>
        <w:bidi w:val="0"/>
        <w:ind w:hanging="283" w:start="709"/>
        <w:jc w:val="start"/>
        <w:rPr/>
      </w:pPr>
      <w:r>
        <w:rPr/>
        <w:t xml:space="preserve">He </w:t>
      </w:r>
      <w:r>
        <w:rPr>
          <w:b/>
        </w:rPr>
        <w:t>killed a lot of the innovation</w:t>
      </w:r>
      <w:r>
        <w:rPr/>
        <w:t xml:space="preserve">: instead of having a </w:t>
      </w:r>
      <w:r>
        <w:rPr>
          <w:b/>
        </w:rPr>
        <w:t>football department and a running department</w:t>
      </w:r>
      <w:r>
        <w:rPr/>
        <w:t xml:space="preserve"> that built the most innovative shoes, he reorganised Nike into only </w:t>
      </w:r>
      <w:r>
        <w:rPr>
          <w:b/>
        </w:rPr>
        <w:t>men's, women's and children's departments.</w:t>
      </w:r>
    </w:p>
    <w:p>
      <w:pPr>
        <w:pStyle w:val="BodyText"/>
        <w:numPr>
          <w:ilvl w:val="0"/>
          <w:numId w:val="118"/>
        </w:numPr>
        <w:tabs>
          <w:tab w:val="clear" w:pos="709"/>
          <w:tab w:val="left" w:pos="709" w:leader="none"/>
        </w:tabs>
        <w:bidi w:val="0"/>
        <w:ind w:hanging="283" w:start="709"/>
        <w:jc w:val="start"/>
        <w:rPr/>
      </w:pPr>
      <w:r>
        <w:rPr/>
        <w:t xml:space="preserve">Result: </w:t>
      </w:r>
      <w:r>
        <w:rPr>
          <w:b/>
        </w:rPr>
        <w:t>innovation fell, they lost shelf space</w:t>
      </w:r>
      <w:r>
        <w:rPr/>
        <w:t xml:space="preserve">, and </w:t>
      </w:r>
      <w:r>
        <w:rPr>
          <w:b/>
        </w:rPr>
        <w:t>for the first time Nike's revenue growth decelerated and profit decelerated.</w:t>
      </w:r>
      <w:r>
        <w:rPr/>
        <w:t xml:space="preserve"> </w:t>
      </w:r>
      <w:r>
        <w:rPr>
          <w:b/>
        </w:rPr>
        <w:t>The share price dropped 40%.</w:t>
      </w:r>
    </w:p>
    <w:p>
      <w:pPr>
        <w:pStyle w:val="BodyText"/>
        <w:numPr>
          <w:ilvl w:val="0"/>
          <w:numId w:val="118"/>
        </w:numPr>
        <w:tabs>
          <w:tab w:val="clear" w:pos="709"/>
          <w:tab w:val="left" w:pos="709" w:leader="none"/>
        </w:tabs>
        <w:bidi w:val="0"/>
        <w:ind w:hanging="283" w:start="709"/>
        <w:jc w:val="start"/>
        <w:rPr/>
      </w:pPr>
      <w:r>
        <w:rPr>
          <w:b/>
        </w:rPr>
        <w:t>That was when Adam accumulated shares of Nike</w:t>
      </w:r>
      <w:r>
        <w:rPr/>
        <w:t xml:space="preserve"> — the brand is still very strong, there's a long runway, they </w:t>
      </w:r>
      <w:r>
        <w:rPr>
          <w:b/>
        </w:rPr>
        <w:t>fired the old CEO</w:t>
      </w:r>
      <w:r>
        <w:rPr/>
        <w:t xml:space="preserve"> and brought in a CEO to repair everything, and it's on the path of recovery.</w:t>
      </w:r>
    </w:p>
    <w:p>
      <w:pPr>
        <w:pStyle w:val="BodyText"/>
        <w:numPr>
          <w:ilvl w:val="0"/>
          <w:numId w:val="118"/>
        </w:numPr>
        <w:tabs>
          <w:tab w:val="clear" w:pos="709"/>
          <w:tab w:val="left" w:pos="709" w:leader="none"/>
        </w:tabs>
        <w:bidi w:val="0"/>
        <w:ind w:hanging="283" w:start="709"/>
        <w:jc w:val="start"/>
        <w:rPr/>
      </w:pPr>
      <w:r>
        <w:rPr>
          <w:b/>
        </w:rPr>
        <w:t>Caveat stated at the time of recording: Nike shares had NOT yet rebounded to their prior glory — it is in the process of rebounding.</w:t>
      </w:r>
    </w:p>
    <w:p>
      <w:pPr>
        <w:pStyle w:val="Heading3"/>
        <w:numPr>
          <w:ilvl w:val="0"/>
          <w:numId w:val="0"/>
        </w:numPr>
        <w:bidi w:val="0"/>
        <w:ind w:hanging="0" w:start="0"/>
        <w:jc w:val="start"/>
        <w:rPr/>
      </w:pPr>
      <w:r>
        <w:rPr/>
        <w:t>C9. CASE STUDY — Alphabet / Google (GOOGL), two-year chart</w:t>
      </w:r>
    </w:p>
    <w:p>
      <w:pPr>
        <w:pStyle w:val="BodyText"/>
        <w:numPr>
          <w:ilvl w:val="0"/>
          <w:numId w:val="119"/>
        </w:numPr>
        <w:tabs>
          <w:tab w:val="clear" w:pos="709"/>
          <w:tab w:val="left" w:pos="709" w:leader="none"/>
        </w:tabs>
        <w:bidi w:val="0"/>
        <w:ind w:hanging="283" w:start="709"/>
        <w:jc w:val="start"/>
        <w:rPr/>
      </w:pPr>
      <w:r>
        <w:rPr>
          <w:b/>
        </w:rPr>
        <w:t>Share classes:</w:t>
      </w:r>
      <w:r>
        <w:rPr/>
        <w:t xml:space="preserve"> Alphabet has two classes you can buy, </w:t>
      </w:r>
      <w:r>
        <w:rPr>
          <w:b/>
        </w:rPr>
        <w:t>GOOGL and GOOG</w:t>
      </w:r>
      <w:r>
        <w:rPr/>
        <w:t xml:space="preserve">. </w:t>
      </w:r>
      <w:r>
        <w:rPr>
          <w:b/>
        </w:rPr>
        <w:t>There is no difference — you can buy either one.</w:t>
      </w:r>
      <w:r>
        <w:rPr/>
        <w:t xml:space="preserve"> The only difference: </w:t>
      </w:r>
      <w:r>
        <w:rPr>
          <w:b/>
        </w:rPr>
        <w:t>the one with the L has voting rights.</w:t>
      </w:r>
    </w:p>
    <w:p>
      <w:pPr>
        <w:pStyle w:val="BodyText"/>
        <w:numPr>
          <w:ilvl w:val="0"/>
          <w:numId w:val="119"/>
        </w:numPr>
        <w:tabs>
          <w:tab w:val="clear" w:pos="709"/>
          <w:tab w:val="left" w:pos="709" w:leader="none"/>
        </w:tabs>
        <w:bidi w:val="0"/>
        <w:ind w:hanging="283" w:start="709"/>
        <w:jc w:val="start"/>
        <w:rPr/>
      </w:pPr>
      <w:r>
        <w:rPr/>
        <w:t xml:space="preserve">Google is a great business: </w:t>
      </w:r>
      <w:r>
        <w:rPr>
          <w:b/>
        </w:rPr>
        <w:t>revenue and profits keep growing year after year, so intrinsic value keeps rising</w:t>
      </w:r>
      <w:r>
        <w:rPr/>
        <w:t xml:space="preserve"> — but the share price "goes up and down like a crazy yo-yo" between overvalued and undervalued because of the news flow:</w:t>
      </w:r>
    </w:p>
    <w:tbl>
      <w:tblPr>
        <w:tblW w:w="5000" w:type="pct"/>
        <w:jc w:val="start"/>
        <w:tblInd w:w="-5" w:type="dxa"/>
        <w:tblLayout w:type="fixed"/>
        <w:tblCellMar>
          <w:top w:w="55" w:type="dxa"/>
          <w:start w:w="55" w:type="dxa"/>
          <w:bottom w:w="55" w:type="dxa"/>
          <w:end w:w="55" w:type="dxa"/>
        </w:tblCellMar>
      </w:tblPr>
      <w:tblGrid>
        <w:gridCol w:w="3212"/>
        <w:gridCol w:w="3213"/>
        <w:gridCol w:w="3213"/>
      </w:tblGrid>
      <w:tr>
        <w:trPr>
          <w:tblHeader w:val="true"/>
        </w:trPr>
        <w:tc>
          <w:tcPr>
            <w:tcW w:w="3212" w:type="dxa"/>
            <w:tcBorders>
              <w:top w:val="single" w:sz="4" w:space="0" w:color="000000"/>
              <w:start w:val="single" w:sz="4" w:space="0" w:color="000000"/>
              <w:bottom w:val="single" w:sz="4" w:space="0" w:color="000000"/>
            </w:tcBorders>
          </w:tcPr>
          <w:p>
            <w:pPr>
              <w:pStyle w:val="TableHeading"/>
              <w:bidi w:val="0"/>
              <w:jc w:val="start"/>
              <w:rPr/>
            </w:pPr>
            <w:r>
              <w:rPr/>
              <w:t>Date</w:t>
            </w:r>
          </w:p>
        </w:tc>
        <w:tc>
          <w:tcPr>
            <w:tcW w:w="3213" w:type="dxa"/>
            <w:tcBorders>
              <w:top w:val="single" w:sz="4" w:space="0" w:color="000000"/>
              <w:start w:val="single" w:sz="4" w:space="0" w:color="000000"/>
              <w:bottom w:val="single" w:sz="4" w:space="0" w:color="000000"/>
            </w:tcBorders>
          </w:tcPr>
          <w:p>
            <w:pPr>
              <w:pStyle w:val="TableHeading"/>
              <w:bidi w:val="0"/>
              <w:jc w:val="start"/>
              <w:rPr/>
            </w:pPr>
            <w:r>
              <w:rPr/>
              <w:t>News event</w:t>
            </w:r>
          </w:p>
        </w:tc>
        <w:tc>
          <w:tcPr>
            <w:tcW w:w="3213"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Effect</w:t>
            </w:r>
          </w:p>
        </w:tc>
      </w:tr>
      <w:tr>
        <w:trPr/>
        <w:tc>
          <w:tcPr>
            <w:tcW w:w="3212" w:type="dxa"/>
            <w:tcBorders>
              <w:start w:val="single" w:sz="4" w:space="0" w:color="000000"/>
              <w:bottom w:val="single" w:sz="4" w:space="0" w:color="000000"/>
            </w:tcBorders>
          </w:tcPr>
          <w:p>
            <w:pPr>
              <w:pStyle w:val="TableContents"/>
              <w:bidi w:val="0"/>
              <w:jc w:val="start"/>
              <w:rPr/>
            </w:pPr>
            <w:r>
              <w:rPr>
                <w:b/>
              </w:rPr>
              <w:t>February 2023</w:t>
            </w:r>
          </w:p>
        </w:tc>
        <w:tc>
          <w:tcPr>
            <w:tcW w:w="3213" w:type="dxa"/>
            <w:tcBorders>
              <w:start w:val="single" w:sz="4" w:space="0" w:color="000000"/>
              <w:bottom w:val="single" w:sz="4" w:space="0" w:color="000000"/>
            </w:tcBorders>
          </w:tcPr>
          <w:p>
            <w:pPr>
              <w:pStyle w:val="TableContents"/>
              <w:bidi w:val="0"/>
              <w:jc w:val="start"/>
              <w:rPr/>
            </w:pPr>
            <w:r>
              <w:rPr/>
              <w:t xml:space="preserve">Their new </w:t>
            </w:r>
            <w:r>
              <w:rPr>
                <w:b/>
              </w:rPr>
              <w:t>AI chatbot made a mistake</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People panicked and sold; shares became very undervalued, then recovered once people realised everyone still uses Google</w:t>
            </w:r>
          </w:p>
        </w:tc>
      </w:tr>
      <w:tr>
        <w:trPr/>
        <w:tc>
          <w:tcPr>
            <w:tcW w:w="3212" w:type="dxa"/>
            <w:tcBorders>
              <w:start w:val="single" w:sz="4" w:space="0" w:color="000000"/>
              <w:bottom w:val="single" w:sz="4" w:space="0" w:color="000000"/>
            </w:tcBorders>
          </w:tcPr>
          <w:p>
            <w:pPr>
              <w:pStyle w:val="TableContents"/>
              <w:bidi w:val="0"/>
              <w:jc w:val="start"/>
              <w:rPr/>
            </w:pPr>
            <w:r>
              <w:rPr>
                <w:b/>
              </w:rPr>
              <w:t>24 October 2023</w:t>
            </w:r>
          </w:p>
        </w:tc>
        <w:tc>
          <w:tcPr>
            <w:tcW w:w="3213" w:type="dxa"/>
            <w:tcBorders>
              <w:start w:val="single" w:sz="4" w:space="0" w:color="000000"/>
              <w:bottom w:val="single" w:sz="4" w:space="0" w:color="000000"/>
            </w:tcBorders>
          </w:tcPr>
          <w:p>
            <w:pPr>
              <w:pStyle w:val="TableContents"/>
              <w:bidi w:val="0"/>
              <w:jc w:val="start"/>
              <w:rPr/>
            </w:pPr>
            <w:r>
              <w:rPr/>
              <w:t xml:space="preserve">Earnings not as good as expected — </w:t>
            </w:r>
            <w:r>
              <w:rPr>
                <w:b/>
              </w:rPr>
              <w:t>cloud business revenue missed expectations, profit missed expectations</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Share price dropped, then went back to new highs</w:t>
            </w:r>
          </w:p>
        </w:tc>
      </w:tr>
      <w:tr>
        <w:trPr/>
        <w:tc>
          <w:tcPr>
            <w:tcW w:w="3212" w:type="dxa"/>
            <w:tcBorders>
              <w:start w:val="single" w:sz="4" w:space="0" w:color="000000"/>
              <w:bottom w:val="single" w:sz="4" w:space="0" w:color="000000"/>
            </w:tcBorders>
          </w:tcPr>
          <w:p>
            <w:pPr>
              <w:pStyle w:val="TableContents"/>
              <w:bidi w:val="0"/>
              <w:jc w:val="start"/>
              <w:rPr/>
            </w:pPr>
            <w:r>
              <w:rPr>
                <w:b/>
              </w:rPr>
              <w:t>March 2024</w:t>
            </w:r>
          </w:p>
        </w:tc>
        <w:tc>
          <w:tcPr>
            <w:tcW w:w="3213" w:type="dxa"/>
            <w:tcBorders>
              <w:start w:val="single" w:sz="4" w:space="0" w:color="000000"/>
              <w:bottom w:val="single" w:sz="4" w:space="0" w:color="000000"/>
            </w:tcBorders>
          </w:tcPr>
          <w:p>
            <w:pPr>
              <w:pStyle w:val="TableContents"/>
              <w:bidi w:val="0"/>
              <w:jc w:val="start"/>
              <w:rPr/>
            </w:pPr>
            <w:r>
              <w:rPr>
                <w:b/>
              </w:rPr>
              <w:t>Not company-specific</w:t>
            </w:r>
            <w:r>
              <w:rPr/>
              <w:t xml:space="preserve"> — the entire market dropped on </w:t>
            </w:r>
            <w:r>
              <w:rPr>
                <w:b/>
              </w:rPr>
              <w:t>fears of inflation coming back</w:t>
            </w:r>
            <w:r>
              <w:rPr/>
              <w:t xml:space="preserve">; the </w:t>
            </w:r>
            <w:r>
              <w:rPr>
                <w:b/>
              </w:rPr>
              <w:t>Dow Jones dropped 475 points</w:t>
            </w:r>
            <w:r>
              <w:rPr/>
              <w:t xml:space="preserve"> and the </w:t>
            </w:r>
            <w:r>
              <w:rPr>
                <w:b/>
              </w:rPr>
              <w:t>S&amp;P 500 suffered its worst day since January</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Google fell with everything ("the good, the bad and the ugly"), became really undervalued, then back to all-time highs</w:t>
            </w:r>
          </w:p>
        </w:tc>
      </w:tr>
      <w:tr>
        <w:trPr/>
        <w:tc>
          <w:tcPr>
            <w:tcW w:w="3212" w:type="dxa"/>
            <w:tcBorders>
              <w:start w:val="single" w:sz="4" w:space="0" w:color="000000"/>
              <w:bottom w:val="single" w:sz="4" w:space="0" w:color="000000"/>
            </w:tcBorders>
          </w:tcPr>
          <w:p>
            <w:pPr>
              <w:pStyle w:val="TableContents"/>
              <w:bidi w:val="0"/>
              <w:jc w:val="start"/>
              <w:rPr/>
            </w:pPr>
            <w:r>
              <w:rPr>
                <w:b/>
              </w:rPr>
              <w:t>September 2024</w:t>
            </w:r>
          </w:p>
        </w:tc>
        <w:tc>
          <w:tcPr>
            <w:tcW w:w="3213" w:type="dxa"/>
            <w:tcBorders>
              <w:start w:val="single" w:sz="4" w:space="0" w:color="000000"/>
              <w:bottom w:val="single" w:sz="4" w:space="0" w:color="000000"/>
            </w:tcBorders>
          </w:tcPr>
          <w:p>
            <w:pPr>
              <w:pStyle w:val="TableContents"/>
              <w:bidi w:val="0"/>
              <w:jc w:val="start"/>
              <w:rPr/>
            </w:pPr>
            <w:r>
              <w:rPr/>
              <w:t xml:space="preserve">Google </w:t>
            </w:r>
            <w:r>
              <w:rPr>
                <w:b/>
              </w:rPr>
              <w:t>lost its fight against a $2.7 billion EU antitrust fine</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 xml:space="preserve">Share price really undervalued — </w:t>
            </w:r>
            <w:r>
              <w:rPr>
                <w:b/>
              </w:rPr>
              <w:t>Adam added more shares</w:t>
            </w:r>
            <w:r>
              <w:rPr/>
              <w:t xml:space="preserve"> — then rebounded</w:t>
            </w:r>
          </w:p>
        </w:tc>
      </w:tr>
      <w:tr>
        <w:trPr/>
        <w:tc>
          <w:tcPr>
            <w:tcW w:w="3212" w:type="dxa"/>
            <w:tcBorders>
              <w:start w:val="single" w:sz="4" w:space="0" w:color="000000"/>
              <w:bottom w:val="single" w:sz="4" w:space="0" w:color="000000"/>
            </w:tcBorders>
          </w:tcPr>
          <w:p>
            <w:pPr>
              <w:pStyle w:val="TableContents"/>
              <w:bidi w:val="0"/>
              <w:jc w:val="start"/>
              <w:rPr/>
            </w:pPr>
            <w:r>
              <w:rPr>
                <w:b/>
              </w:rPr>
              <w:t>October 2024</w:t>
            </w:r>
          </w:p>
        </w:tc>
        <w:tc>
          <w:tcPr>
            <w:tcW w:w="3213" w:type="dxa"/>
            <w:tcBorders>
              <w:start w:val="single" w:sz="4" w:space="0" w:color="000000"/>
              <w:bottom w:val="single" w:sz="4" w:space="0" w:color="000000"/>
            </w:tcBorders>
          </w:tcPr>
          <w:p>
            <w:pPr>
              <w:pStyle w:val="TableContents"/>
              <w:bidi w:val="0"/>
              <w:jc w:val="start"/>
              <w:rPr/>
            </w:pPr>
            <w:r>
              <w:rPr>
                <w:b/>
              </w:rPr>
              <w:t>Google faces a US government attempt to break it up</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Panic, then recovery</w:t>
            </w:r>
          </w:p>
        </w:tc>
      </w:tr>
    </w:tbl>
    <w:p>
      <w:pPr>
        <w:pStyle w:val="BodyText"/>
        <w:bidi w:val="0"/>
        <w:jc w:val="start"/>
        <w:rPr/>
      </w:pPr>
      <w:r>
        <w:rPr/>
      </w:r>
    </w:p>
    <w:p>
      <w:pPr>
        <w:pStyle w:val="BodyText"/>
        <w:numPr>
          <w:ilvl w:val="0"/>
          <w:numId w:val="120"/>
        </w:numPr>
        <w:tabs>
          <w:tab w:val="clear" w:pos="709"/>
          <w:tab w:val="left" w:pos="709" w:leader="none"/>
        </w:tabs>
        <w:bidi w:val="0"/>
        <w:ind w:hanging="283" w:start="709"/>
        <w:jc w:val="start"/>
        <w:rPr/>
      </w:pPr>
      <w:r>
        <w:rPr/>
        <w:t xml:space="preserve">At the time of speaking, </w:t>
      </w:r>
      <w:r>
        <w:rPr>
          <w:b/>
        </w:rPr>
        <w:t>Google is near intrinsic value — slightly below it</w:t>
      </w:r>
      <w:r>
        <w:rPr/>
        <w:t>; be patient and you'll get a chance to buy soon.</w:t>
      </w:r>
    </w:p>
    <w:p>
      <w:pPr>
        <w:pStyle w:val="Heading3"/>
        <w:numPr>
          <w:ilvl w:val="0"/>
          <w:numId w:val="0"/>
        </w:numPr>
        <w:bidi w:val="0"/>
        <w:ind w:hanging="0" w:start="0"/>
        <w:jc w:val="start"/>
        <w:rPr/>
      </w:pPr>
      <w:r>
        <w:rPr/>
        <w:t>C10. CASE STUDY — Johnson &amp; Johnson</w:t>
      </w:r>
    </w:p>
    <w:p>
      <w:pPr>
        <w:pStyle w:val="BodyText"/>
        <w:numPr>
          <w:ilvl w:val="0"/>
          <w:numId w:val="121"/>
        </w:numPr>
        <w:tabs>
          <w:tab w:val="clear" w:pos="709"/>
          <w:tab w:val="left" w:pos="709" w:leader="none"/>
        </w:tabs>
        <w:bidi w:val="0"/>
        <w:ind w:hanging="283" w:start="709"/>
        <w:jc w:val="start"/>
        <w:rPr/>
      </w:pPr>
      <w:r>
        <w:rPr>
          <w:b/>
        </w:rPr>
        <w:t>He no longer owns J&amp;J.</w:t>
      </w:r>
      <w:r>
        <w:rPr/>
        <w:t xml:space="preserve"> He owned it </w:t>
      </w:r>
      <w:r>
        <w:rPr>
          <w:b/>
        </w:rPr>
        <w:t>before they spun off their consumer health division</w:t>
      </w:r>
      <w:r>
        <w:rPr/>
        <w:t xml:space="preserve">, when J&amp;J was a very diversified healthcare company. After the spin-off they became a </w:t>
      </w:r>
      <w:r>
        <w:rPr>
          <w:b/>
        </w:rPr>
        <w:t>pure pharma stock, which he does not invest in.</w:t>
      </w:r>
    </w:p>
    <w:p>
      <w:pPr>
        <w:pStyle w:val="BodyText"/>
        <w:numPr>
          <w:ilvl w:val="0"/>
          <w:numId w:val="121"/>
        </w:numPr>
        <w:tabs>
          <w:tab w:val="clear" w:pos="709"/>
          <w:tab w:val="left" w:pos="709" w:leader="none"/>
        </w:tabs>
        <w:bidi w:val="0"/>
        <w:ind w:hanging="283" w:start="709"/>
        <w:jc w:val="start"/>
        <w:rPr/>
      </w:pPr>
      <w:r>
        <w:rPr/>
        <w:t xml:space="preserve">While he owned it: </w:t>
      </w:r>
      <w:r>
        <w:rPr>
          <w:b/>
        </w:rPr>
        <w:t>revenue and profit grew year after year, so intrinsic value kept growing</w:t>
      </w:r>
      <w:r>
        <w:rPr/>
        <w:t>, while the share price swung on litigation news.</w:t>
      </w:r>
    </w:p>
    <w:tbl>
      <w:tblPr>
        <w:tblW w:w="5000" w:type="pct"/>
        <w:jc w:val="start"/>
        <w:tblInd w:w="-5" w:type="dxa"/>
        <w:tblLayout w:type="fixed"/>
        <w:tblCellMar>
          <w:top w:w="55" w:type="dxa"/>
          <w:start w:w="55" w:type="dxa"/>
          <w:bottom w:w="55" w:type="dxa"/>
          <w:end w:w="55" w:type="dxa"/>
        </w:tblCellMar>
      </w:tblPr>
      <w:tblGrid>
        <w:gridCol w:w="4819"/>
        <w:gridCol w:w="4819"/>
      </w:tblGrid>
      <w:tr>
        <w:trPr>
          <w:tblHeader w:val="true"/>
        </w:trPr>
        <w:tc>
          <w:tcPr>
            <w:tcW w:w="4819" w:type="dxa"/>
            <w:tcBorders>
              <w:top w:val="single" w:sz="4" w:space="0" w:color="000000"/>
              <w:start w:val="single" w:sz="4" w:space="0" w:color="000000"/>
              <w:bottom w:val="single" w:sz="4" w:space="0" w:color="000000"/>
            </w:tcBorders>
          </w:tcPr>
          <w:p>
            <w:pPr>
              <w:pStyle w:val="TableHeading"/>
              <w:bidi w:val="0"/>
              <w:jc w:val="start"/>
              <w:rPr/>
            </w:pPr>
            <w:r>
              <w:rPr/>
              <w:t>Event</w:t>
            </w:r>
          </w:p>
        </w:tc>
        <w:tc>
          <w:tcPr>
            <w:tcW w:w="4819"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Effect</w:t>
            </w:r>
          </w:p>
        </w:tc>
      </w:tr>
      <w:tr>
        <w:trPr/>
        <w:tc>
          <w:tcPr>
            <w:tcW w:w="4819" w:type="dxa"/>
            <w:tcBorders>
              <w:start w:val="single" w:sz="4" w:space="0" w:color="000000"/>
              <w:bottom w:val="single" w:sz="4" w:space="0" w:color="000000"/>
            </w:tcBorders>
          </w:tcPr>
          <w:p>
            <w:pPr>
              <w:pStyle w:val="TableContents"/>
              <w:bidi w:val="0"/>
              <w:jc w:val="start"/>
              <w:rPr/>
            </w:pPr>
            <w:r>
              <w:rPr>
                <w:b/>
              </w:rPr>
              <w:t>Failed to overturn a $2.12 billion baby powder verdict</w:t>
            </w:r>
            <w:r>
              <w:rPr/>
              <w:t>, planned a Supreme Court appeal (the baby powder was alleged to contain carcinogenic, cancer-causing material)</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 xml:space="preserve">Price dropped a lot, got really undervalued — </w:t>
            </w:r>
            <w:r>
              <w:rPr>
                <w:b/>
              </w:rPr>
              <w:t>Adam was adding more shares here</w:t>
            </w:r>
            <w:r>
              <w:rPr/>
              <w:t xml:space="preserve"> — then recovered</w:t>
            </w:r>
          </w:p>
        </w:tc>
      </w:tr>
      <w:tr>
        <w:trPr/>
        <w:tc>
          <w:tcPr>
            <w:tcW w:w="4819" w:type="dxa"/>
            <w:tcBorders>
              <w:start w:val="single" w:sz="4" w:space="0" w:color="000000"/>
              <w:bottom w:val="single" w:sz="4" w:space="0" w:color="000000"/>
            </w:tcBorders>
          </w:tcPr>
          <w:p>
            <w:pPr>
              <w:pStyle w:val="TableContents"/>
              <w:bidi w:val="0"/>
              <w:jc w:val="start"/>
              <w:rPr/>
            </w:pPr>
            <w:r>
              <w:rPr>
                <w:b/>
              </w:rPr>
              <w:t>23 February</w:t>
            </w:r>
            <w:r>
              <w:rPr/>
              <w:t xml:space="preserve"> — faces another </w:t>
            </w:r>
            <w:r>
              <w:rPr>
                <w:b/>
              </w:rPr>
              <w:t>25,000 baby powder lawsuits</w:t>
            </w:r>
            <w:r>
              <w:rPr/>
              <w:t xml:space="preserve">; assigns </w:t>
            </w:r>
            <w:r>
              <w:rPr>
                <w:b/>
              </w:rPr>
              <w:t>$4 billion in litigation expenses and lawyer's fees</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Price dropped, then rose again</w:t>
            </w:r>
          </w:p>
        </w:tc>
      </w:tr>
      <w:tr>
        <w:trPr/>
        <w:tc>
          <w:tcPr>
            <w:tcW w:w="4819" w:type="dxa"/>
            <w:tcBorders>
              <w:start w:val="single" w:sz="4" w:space="0" w:color="000000"/>
              <w:bottom w:val="single" w:sz="4" w:space="0" w:color="000000"/>
            </w:tcBorders>
          </w:tcPr>
          <w:p>
            <w:pPr>
              <w:pStyle w:val="TableContents"/>
              <w:bidi w:val="0"/>
              <w:jc w:val="start"/>
              <w:rPr/>
            </w:pPr>
            <w:r>
              <w:rPr>
                <w:b/>
              </w:rPr>
              <w:t>The Supreme Court rejects J&amp;J's appeal</w:t>
            </w:r>
            <w:r>
              <w:rPr/>
              <w:t xml:space="preserve"> against the </w:t>
            </w:r>
            <w:r>
              <w:rPr>
                <w:b/>
              </w:rPr>
              <w:t>$2 billion penalty</w:t>
            </w:r>
            <w:r>
              <w:rPr/>
              <w:t xml:space="preserve"> in the baby powder case</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Price dropped again, then rose again</w:t>
            </w:r>
          </w:p>
        </w:tc>
      </w:tr>
    </w:tbl>
    <w:p>
      <w:pPr>
        <w:pStyle w:val="BodyText"/>
        <w:bidi w:val="0"/>
        <w:jc w:val="start"/>
        <w:rPr/>
      </w:pPr>
      <w:r>
        <w:rPr/>
      </w:r>
    </w:p>
    <w:p>
      <w:pPr>
        <w:pStyle w:val="Heading3"/>
        <w:bidi w:val="0"/>
        <w:ind w:hanging="0" w:start="0"/>
        <w:jc w:val="start"/>
        <w:rPr/>
      </w:pPr>
      <w:r>
        <w:rPr/>
        <w:t>C11. CRITICAL CAVEAT — Only Do This On Great Businesses</w:t>
      </w:r>
    </w:p>
    <w:p>
      <w:pPr>
        <w:pStyle w:val="BodyText"/>
        <w:numPr>
          <w:ilvl w:val="0"/>
          <w:numId w:val="122"/>
        </w:numPr>
        <w:tabs>
          <w:tab w:val="clear" w:pos="709"/>
          <w:tab w:val="left" w:pos="709" w:leader="none"/>
        </w:tabs>
        <w:bidi w:val="0"/>
        <w:spacing w:before="0" w:after="0"/>
        <w:ind w:hanging="283" w:start="709"/>
        <w:jc w:val="start"/>
        <w:rPr/>
      </w:pPr>
      <w:r>
        <w:rPr>
          <w:b/>
        </w:rPr>
        <w:t>All of the buy-the-bad-news examples apply ONLY to great businesses / high-quality companies.</w:t>
      </w:r>
    </w:p>
    <w:p>
      <w:pPr>
        <w:pStyle w:val="BodyText"/>
        <w:numPr>
          <w:ilvl w:val="1"/>
          <w:numId w:val="122"/>
        </w:numPr>
        <w:tabs>
          <w:tab w:val="clear" w:pos="709"/>
          <w:tab w:val="left" w:pos="1418" w:leader="none"/>
        </w:tabs>
        <w:bidi w:val="0"/>
        <w:ind w:hanging="283" w:start="1418"/>
        <w:jc w:val="start"/>
        <w:rPr/>
      </w:pPr>
      <w:r>
        <w:rPr/>
        <w:t xml:space="preserve">Great businesses: bad news + pessimism → share price drops → </w:t>
      </w:r>
      <w:r>
        <w:rPr>
          <w:b/>
        </w:rPr>
        <w:t>great time to buy — it will rebound higher, because the company makes way more money over time.</w:t>
      </w:r>
    </w:p>
    <w:p>
      <w:pPr>
        <w:pStyle w:val="BodyText"/>
        <w:numPr>
          <w:ilvl w:val="0"/>
          <w:numId w:val="122"/>
        </w:numPr>
        <w:tabs>
          <w:tab w:val="clear" w:pos="709"/>
          <w:tab w:val="left" w:pos="709" w:leader="none"/>
        </w:tabs>
        <w:bidi w:val="0"/>
        <w:spacing w:before="0" w:after="0"/>
        <w:ind w:hanging="283" w:start="709"/>
        <w:jc w:val="start"/>
        <w:rPr/>
      </w:pPr>
      <w:r>
        <w:rPr>
          <w:b/>
        </w:rPr>
        <w:t>DO NOT do this on low-quality companies.</w:t>
      </w:r>
    </w:p>
    <w:p>
      <w:pPr>
        <w:pStyle w:val="BodyText"/>
        <w:numPr>
          <w:ilvl w:val="1"/>
          <w:numId w:val="122"/>
        </w:numPr>
        <w:tabs>
          <w:tab w:val="clear" w:pos="709"/>
          <w:tab w:val="left" w:pos="1418" w:leader="none"/>
        </w:tabs>
        <w:bidi w:val="0"/>
        <w:ind w:hanging="283" w:start="1418"/>
        <w:jc w:val="start"/>
        <w:rPr/>
      </w:pPr>
      <w:r>
        <w:rPr/>
        <w:t xml:space="preserve">Low-quality = companies that </w:t>
      </w:r>
      <w:r>
        <w:rPr>
          <w:b/>
        </w:rPr>
        <w:t>don't make profits</w:t>
      </w:r>
      <w:r>
        <w:rPr/>
        <w:t xml:space="preserve">, or whose </w:t>
      </w:r>
      <w:r>
        <w:rPr>
          <w:b/>
        </w:rPr>
        <w:t>profits are inconsistent</w:t>
      </w:r>
      <w:r>
        <w:rPr/>
        <w:t xml:space="preserve">, or whose </w:t>
      </w:r>
      <w:r>
        <w:rPr>
          <w:b/>
        </w:rPr>
        <w:t>revenue, profits and cash flow are not growing consistently.</w:t>
      </w:r>
    </w:p>
    <w:p>
      <w:pPr>
        <w:pStyle w:val="BodyText"/>
        <w:numPr>
          <w:ilvl w:val="1"/>
          <w:numId w:val="122"/>
        </w:numPr>
        <w:tabs>
          <w:tab w:val="clear" w:pos="709"/>
          <w:tab w:val="left" w:pos="1418" w:leader="none"/>
        </w:tabs>
        <w:bidi w:val="0"/>
        <w:ind w:hanging="283" w:start="1418"/>
        <w:jc w:val="start"/>
        <w:rPr/>
      </w:pPr>
      <w:r>
        <w:rPr>
          <w:b/>
        </w:rPr>
        <w:t>For those companies, when bad news hits and the share price drops, it may NEVER come back.</w:t>
      </w:r>
    </w:p>
    <w:p>
      <w:pPr>
        <w:pStyle w:val="BodyText"/>
        <w:numPr>
          <w:ilvl w:val="0"/>
          <w:numId w:val="122"/>
        </w:numPr>
        <w:tabs>
          <w:tab w:val="clear" w:pos="709"/>
          <w:tab w:val="left" w:pos="709" w:leader="none"/>
        </w:tabs>
        <w:bidi w:val="0"/>
        <w:ind w:hanging="283" w:start="709"/>
        <w:jc w:val="start"/>
        <w:rPr/>
      </w:pPr>
      <w:r>
        <w:rPr/>
        <w:t>"Please remember that."</w:t>
      </w:r>
    </w:p>
    <w:p>
      <w:pPr>
        <w:pStyle w:val="Heading3"/>
        <w:numPr>
          <w:ilvl w:val="0"/>
          <w:numId w:val="0"/>
        </w:numPr>
        <w:bidi w:val="0"/>
        <w:ind w:hanging="0" w:start="0"/>
        <w:jc w:val="start"/>
        <w:rPr/>
      </w:pPr>
      <w:r>
        <w:rPr/>
        <w:t>C12. THE FINAL STEP — Selling to Take Profits</w:t>
      </w:r>
    </w:p>
    <w:p>
      <w:pPr>
        <w:pStyle w:val="BodyText"/>
        <w:numPr>
          <w:ilvl w:val="0"/>
          <w:numId w:val="123"/>
        </w:numPr>
        <w:tabs>
          <w:tab w:val="clear" w:pos="709"/>
          <w:tab w:val="left" w:pos="709" w:leader="none"/>
        </w:tabs>
        <w:bidi w:val="0"/>
        <w:ind w:hanging="283" w:start="709"/>
        <w:jc w:val="start"/>
        <w:rPr/>
      </w:pPr>
      <w:r>
        <w:rPr/>
        <w:t xml:space="preserve">Full exit rules come in </w:t>
      </w:r>
      <w:r>
        <w:rPr>
          <w:b/>
        </w:rPr>
        <w:t>lesson 9</w:t>
      </w:r>
      <w:r>
        <w:rPr/>
        <w:t xml:space="preserve"> (portfolio management and exit rules). The broad concept:</w:t>
      </w:r>
    </w:p>
    <w:p>
      <w:pPr>
        <w:pStyle w:val="BodyText"/>
        <w:numPr>
          <w:ilvl w:val="0"/>
          <w:numId w:val="123"/>
        </w:numPr>
        <w:tabs>
          <w:tab w:val="clear" w:pos="709"/>
          <w:tab w:val="left" w:pos="709" w:leader="none"/>
        </w:tabs>
        <w:bidi w:val="0"/>
        <w:ind w:hanging="283" w:start="709"/>
        <w:jc w:val="start"/>
        <w:rPr/>
      </w:pPr>
      <w:r>
        <w:rPr>
          <w:b/>
        </w:rPr>
        <w:t>If you really did a good job of buying a great business that keeps growing year after year, there is no reason to sell it — unless you need the money to buy something</w:t>
      </w:r>
      <w:r>
        <w:rPr/>
        <w:t xml:space="preserve"> (a new car, a new house). Otherwise, </w:t>
      </w:r>
      <w:r>
        <w:rPr>
          <w:b/>
        </w:rPr>
        <w:t>stay invested.</w:t>
      </w:r>
    </w:p>
    <w:p>
      <w:pPr>
        <w:pStyle w:val="Heading4"/>
        <w:numPr>
          <w:ilvl w:val="0"/>
          <w:numId w:val="0"/>
        </w:numPr>
        <w:bidi w:val="0"/>
        <w:ind w:hanging="0" w:start="0"/>
        <w:jc w:val="start"/>
        <w:rPr/>
      </w:pPr>
      <w:r>
        <w:rPr/>
        <w:t>Reason to sell 1 — Long-term fundamentals / competitive advantage have deteriorated</w:t>
      </w:r>
    </w:p>
    <w:p>
      <w:pPr>
        <w:pStyle w:val="BodyText"/>
        <w:numPr>
          <w:ilvl w:val="0"/>
          <w:numId w:val="124"/>
        </w:numPr>
        <w:tabs>
          <w:tab w:val="clear" w:pos="709"/>
          <w:tab w:val="left" w:pos="709" w:leader="none"/>
        </w:tabs>
        <w:bidi w:val="0"/>
        <w:spacing w:before="0" w:after="0"/>
        <w:ind w:hanging="283" w:start="709"/>
        <w:jc w:val="start"/>
        <w:rPr/>
      </w:pPr>
      <w:r>
        <w:rPr/>
        <w:t xml:space="preserve">Stocks he actually sold for this reason: </w:t>
      </w:r>
      <w:r>
        <w:rPr>
          <w:b/>
        </w:rPr>
        <w:t>Estée Lauder</w:t>
      </w:r>
      <w:r>
        <w:rPr/>
        <w:t xml:space="preserve"> and </w:t>
      </w:r>
      <w:r>
        <w:rPr>
          <w:b/>
        </w:rPr>
        <w:t>Disney</w:t>
      </w:r>
      <w:r>
        <w:rPr/>
        <w:t>.</w:t>
      </w:r>
    </w:p>
    <w:p>
      <w:pPr>
        <w:pStyle w:val="BodyText"/>
        <w:numPr>
          <w:ilvl w:val="1"/>
          <w:numId w:val="124"/>
        </w:numPr>
        <w:tabs>
          <w:tab w:val="clear" w:pos="709"/>
          <w:tab w:val="left" w:pos="1418" w:leader="none"/>
        </w:tabs>
        <w:bidi w:val="0"/>
        <w:ind w:hanging="283" w:start="1418"/>
        <w:jc w:val="start"/>
        <w:rPr/>
      </w:pPr>
      <w:r>
        <w:rPr/>
        <w:t xml:space="preserve">They were great businesses but he doesn't think they're great anymore — </w:t>
      </w:r>
      <w:r>
        <w:rPr>
          <w:b/>
        </w:rPr>
        <w:t>they lost their competitive advantage; the long-term moat is not as strong as it once was.</w:t>
      </w:r>
    </w:p>
    <w:p>
      <w:pPr>
        <w:pStyle w:val="BodyText"/>
        <w:numPr>
          <w:ilvl w:val="1"/>
          <w:numId w:val="124"/>
        </w:numPr>
        <w:tabs>
          <w:tab w:val="clear" w:pos="709"/>
          <w:tab w:val="left" w:pos="1418" w:leader="none"/>
        </w:tabs>
        <w:bidi w:val="0"/>
        <w:ind w:hanging="283" w:start="1418"/>
        <w:jc w:val="start"/>
        <w:rPr/>
      </w:pPr>
      <w:r>
        <w:rPr/>
        <w:t xml:space="preserve">He </w:t>
      </w:r>
      <w:r>
        <w:rPr>
          <w:b/>
        </w:rPr>
        <w:t>sold and reinvested into another company with a very, very strong moat.</w:t>
      </w:r>
    </w:p>
    <w:p>
      <w:pPr>
        <w:pStyle w:val="Heading4"/>
        <w:numPr>
          <w:ilvl w:val="0"/>
          <w:numId w:val="0"/>
        </w:numPr>
        <w:bidi w:val="0"/>
        <w:ind w:hanging="0" w:start="0"/>
        <w:jc w:val="start"/>
        <w:rPr/>
      </w:pPr>
      <w:r>
        <w:rPr/>
        <w:t>Reason to sell 2 — He found an even better business</w:t>
      </w:r>
    </w:p>
    <w:p>
      <w:pPr>
        <w:pStyle w:val="BodyText"/>
        <w:numPr>
          <w:ilvl w:val="0"/>
          <w:numId w:val="125"/>
        </w:numPr>
        <w:tabs>
          <w:tab w:val="clear" w:pos="709"/>
          <w:tab w:val="left" w:pos="709" w:leader="none"/>
        </w:tabs>
        <w:bidi w:val="0"/>
        <w:ind w:hanging="283" w:start="709"/>
        <w:jc w:val="start"/>
        <w:rPr/>
      </w:pPr>
      <w:r>
        <w:rPr/>
        <w:t xml:space="preserve">Nothing wrong with the business, but a </w:t>
      </w:r>
      <w:r>
        <w:rPr>
          <w:b/>
        </w:rPr>
        <w:t>greater business exists</w:t>
      </w:r>
      <w:r>
        <w:rPr/>
        <w:t xml:space="preserve"> → </w:t>
      </w:r>
      <w:r>
        <w:rPr>
          <w:b/>
        </w:rPr>
        <w:t>do a swap</w:t>
      </w:r>
      <w:r>
        <w:rPr/>
        <w:t>: sell this, reinvest in that one.</w:t>
      </w:r>
    </w:p>
    <w:p>
      <w:pPr>
        <w:pStyle w:val="Heading4"/>
        <w:numPr>
          <w:ilvl w:val="0"/>
          <w:numId w:val="0"/>
        </w:numPr>
        <w:bidi w:val="0"/>
        <w:ind w:hanging="0" w:start="0"/>
        <w:jc w:val="start"/>
        <w:rPr/>
      </w:pPr>
      <w:r>
        <w:rPr/>
        <w:t>Reason to sell 3 — The share price is overvalued (way above intrinsic value)</w:t>
      </w:r>
    </w:p>
    <w:p>
      <w:pPr>
        <w:pStyle w:val="BodyText"/>
        <w:numPr>
          <w:ilvl w:val="0"/>
          <w:numId w:val="126"/>
        </w:numPr>
        <w:tabs>
          <w:tab w:val="clear" w:pos="709"/>
          <w:tab w:val="left" w:pos="709" w:leader="none"/>
        </w:tabs>
        <w:bidi w:val="0"/>
        <w:ind w:hanging="283" w:start="709"/>
        <w:jc w:val="start"/>
        <w:rPr/>
      </w:pPr>
      <w:r>
        <w:rPr>
          <w:b/>
        </w:rPr>
        <w:t>How much is "way above" depends on the KIND of stock:</w:t>
      </w:r>
    </w:p>
    <w:p>
      <w:pPr>
        <w:pStyle w:val="BodyText"/>
        <w:bidi w:val="0"/>
        <w:jc w:val="start"/>
        <w:rPr/>
      </w:pPr>
      <w:r>
        <w:rPr>
          <w:b/>
        </w:rPr>
        <w:t>(i) Mid-to-lower-growth, very predictable companies</w:t>
      </w:r>
    </w:p>
    <w:p>
      <w:pPr>
        <w:pStyle w:val="BodyText"/>
        <w:numPr>
          <w:ilvl w:val="0"/>
          <w:numId w:val="127"/>
        </w:numPr>
        <w:tabs>
          <w:tab w:val="clear" w:pos="709"/>
          <w:tab w:val="left" w:pos="709" w:leader="none"/>
        </w:tabs>
        <w:bidi w:val="0"/>
        <w:ind w:hanging="283" w:start="709"/>
        <w:jc w:val="start"/>
        <w:rPr/>
      </w:pPr>
      <w:r>
        <w:rPr/>
        <w:t xml:space="preserve">Examples: </w:t>
      </w:r>
      <w:r>
        <w:rPr>
          <w:b/>
        </w:rPr>
        <w:t>Pepsi, Procter &amp; Gamble, McDonald's, Yum Brands, Lockheed Martin.</w:t>
      </w:r>
    </w:p>
    <w:p>
      <w:pPr>
        <w:pStyle w:val="BodyText"/>
        <w:numPr>
          <w:ilvl w:val="0"/>
          <w:numId w:val="127"/>
        </w:numPr>
        <w:tabs>
          <w:tab w:val="clear" w:pos="709"/>
          <w:tab w:val="left" w:pos="709" w:leader="none"/>
        </w:tabs>
        <w:bidi w:val="0"/>
        <w:ind w:hanging="283" w:start="709"/>
        <w:jc w:val="start"/>
        <w:rPr/>
      </w:pPr>
      <w:r>
        <w:rPr/>
        <w:t xml:space="preserve">They are great companies and they grow, </w:t>
      </w:r>
      <w:r>
        <w:rPr>
          <w:b/>
        </w:rPr>
        <w:t>but not super high growth — they grow at maybe 10% or 12%.</w:t>
      </w:r>
    </w:p>
    <w:p>
      <w:pPr>
        <w:pStyle w:val="BodyText"/>
        <w:numPr>
          <w:ilvl w:val="0"/>
          <w:numId w:val="127"/>
        </w:numPr>
        <w:tabs>
          <w:tab w:val="clear" w:pos="709"/>
          <w:tab w:val="left" w:pos="709" w:leader="none"/>
        </w:tabs>
        <w:bidi w:val="0"/>
        <w:ind w:hanging="283" w:start="709"/>
        <w:jc w:val="start"/>
        <w:rPr/>
      </w:pPr>
      <w:r>
        <w:rPr>
          <w:b/>
        </w:rPr>
        <w:t>RULE: once the share price gets about 20% or more above intrinsic value, he may start to sell some of it, or even all of it.</w:t>
      </w:r>
    </w:p>
    <w:p>
      <w:pPr>
        <w:pStyle w:val="BodyText"/>
        <w:bidi w:val="0"/>
        <w:jc w:val="start"/>
        <w:rPr/>
      </w:pPr>
      <w:r>
        <w:rPr>
          <w:b/>
        </w:rPr>
        <w:t>Worked example — McDonald's</w:t>
      </w:r>
    </w:p>
    <w:p>
      <w:pPr>
        <w:pStyle w:val="BodyText"/>
        <w:numPr>
          <w:ilvl w:val="0"/>
          <w:numId w:val="128"/>
        </w:numPr>
        <w:tabs>
          <w:tab w:val="clear" w:pos="709"/>
          <w:tab w:val="left" w:pos="709" w:leader="none"/>
        </w:tabs>
        <w:bidi w:val="0"/>
        <w:ind w:hanging="283" w:start="709"/>
        <w:jc w:val="start"/>
        <w:rPr/>
      </w:pPr>
      <w:r>
        <w:rPr>
          <w:b/>
        </w:rPr>
        <w:t>Intrinsic value at the time of recording: $273.</w:t>
      </w:r>
    </w:p>
    <w:p>
      <w:pPr>
        <w:pStyle w:val="BodyText"/>
        <w:numPr>
          <w:ilvl w:val="0"/>
          <w:numId w:val="128"/>
        </w:numPr>
        <w:tabs>
          <w:tab w:val="clear" w:pos="709"/>
          <w:tab w:val="left" w:pos="709" w:leader="none"/>
        </w:tabs>
        <w:bidi w:val="0"/>
        <w:ind w:hanging="283" w:start="709"/>
        <w:jc w:val="start"/>
        <w:rPr/>
      </w:pPr>
      <w:r>
        <w:rPr/>
        <w:t xml:space="preserve">He </w:t>
      </w:r>
      <w:r>
        <w:rPr>
          <w:b/>
        </w:rPr>
        <w:t>added shares at about $252</w:t>
      </w:r>
      <w:r>
        <w:rPr/>
        <w:t xml:space="preserve"> — a pretty good discount.</w:t>
      </w:r>
    </w:p>
    <w:p>
      <w:pPr>
        <w:pStyle w:val="BodyText"/>
        <w:numPr>
          <w:ilvl w:val="0"/>
          <w:numId w:val="128"/>
        </w:numPr>
        <w:tabs>
          <w:tab w:val="clear" w:pos="709"/>
          <w:tab w:val="left" w:pos="709" w:leader="none"/>
        </w:tabs>
        <w:bidi w:val="0"/>
        <w:ind w:hanging="283" w:start="709"/>
        <w:jc w:val="start"/>
        <w:rPr/>
      </w:pPr>
      <w:r>
        <w:rPr/>
        <w:t xml:space="preserve">The share price then made a </w:t>
      </w:r>
      <w:r>
        <w:rPr>
          <w:b/>
        </w:rPr>
        <w:t>parabolic move</w:t>
      </w:r>
      <w:r>
        <w:rPr/>
        <w:t xml:space="preserve"> — going up 90 degrees. (</w:t>
      </w:r>
      <w:r>
        <w:rPr>
          <w:b/>
        </w:rPr>
        <w:t>Parabolic = a 90-degree move; covered further in the technical analysis lesson, lesson 6.</w:t>
      </w:r>
      <w:r>
        <w:rPr/>
        <w:t>)</w:t>
      </w:r>
    </w:p>
    <w:p>
      <w:pPr>
        <w:pStyle w:val="BodyText"/>
        <w:numPr>
          <w:ilvl w:val="0"/>
          <w:numId w:val="128"/>
        </w:numPr>
        <w:tabs>
          <w:tab w:val="clear" w:pos="709"/>
          <w:tab w:val="left" w:pos="709" w:leader="none"/>
        </w:tabs>
        <w:bidi w:val="0"/>
        <w:ind w:hanging="283" w:start="709"/>
        <w:jc w:val="start"/>
        <w:rPr/>
      </w:pPr>
      <w:r>
        <w:rPr/>
        <w:t xml:space="preserve">Price reached about </w:t>
      </w:r>
      <w:r>
        <w:rPr>
          <w:b/>
        </w:rPr>
        <w:t>$300</w:t>
      </w:r>
      <w:r>
        <w:rPr/>
        <w:t xml:space="preserve">, roughly </w:t>
      </w:r>
      <w:r>
        <w:rPr>
          <w:b/>
        </w:rPr>
        <w:t>15–20% overvalued</w:t>
      </w:r>
      <w:r>
        <w:rPr/>
        <w:t xml:space="preserve">. He felt it was </w:t>
      </w:r>
      <w:r>
        <w:rPr>
          <w:b/>
        </w:rPr>
        <w:t>overextended — "like a rubber band, once it goes up too much it tends to snap back"</w:t>
      </w:r>
      <w:r>
        <w:rPr/>
        <w:t xml:space="preserve"> — and he needed cash to buy something else, so </w:t>
      </w:r>
      <w:r>
        <w:rPr>
          <w:b/>
        </w:rPr>
        <w:t>he sold near the top (not at the top).</w:t>
      </w:r>
    </w:p>
    <w:p>
      <w:pPr>
        <w:pStyle w:val="BodyText"/>
        <w:numPr>
          <w:ilvl w:val="0"/>
          <w:numId w:val="128"/>
        </w:numPr>
        <w:tabs>
          <w:tab w:val="clear" w:pos="709"/>
          <w:tab w:val="left" w:pos="709" w:leader="none"/>
        </w:tabs>
        <w:bidi w:val="0"/>
        <w:ind w:hanging="283" w:start="709"/>
        <w:jc w:val="start"/>
        <w:rPr/>
      </w:pPr>
      <w:r>
        <w:rPr/>
        <w:t xml:space="preserve">It has since come back down, </w:t>
      </w:r>
      <w:r>
        <w:rPr>
          <w:b/>
        </w:rPr>
        <w:t>but he has NOT bought it back — because it is still not below his intrinsic value; it's still above the valuation.</w:t>
      </w:r>
    </w:p>
    <w:p>
      <w:pPr>
        <w:pStyle w:val="BodyText"/>
        <w:numPr>
          <w:ilvl w:val="0"/>
          <w:numId w:val="128"/>
        </w:numPr>
        <w:tabs>
          <w:tab w:val="clear" w:pos="709"/>
          <w:tab w:val="left" w:pos="709" w:leader="none"/>
        </w:tabs>
        <w:bidi w:val="0"/>
        <w:ind w:hanging="283" w:start="709"/>
        <w:jc w:val="start"/>
        <w:rPr/>
      </w:pPr>
      <w:r>
        <w:rPr>
          <w:b/>
        </w:rPr>
        <w:t>If it drops back to about $265 or $259, he'll add it back.</w:t>
      </w:r>
    </w:p>
    <w:p>
      <w:pPr>
        <w:pStyle w:val="BodyText"/>
        <w:bidi w:val="0"/>
        <w:jc w:val="start"/>
        <w:rPr/>
      </w:pPr>
      <w:r>
        <w:rPr>
          <w:b/>
        </w:rPr>
        <w:t>(ii) High-growth companies</w:t>
      </w:r>
    </w:p>
    <w:p>
      <w:pPr>
        <w:pStyle w:val="BodyText"/>
        <w:numPr>
          <w:ilvl w:val="0"/>
          <w:numId w:val="129"/>
        </w:numPr>
        <w:tabs>
          <w:tab w:val="clear" w:pos="709"/>
          <w:tab w:val="left" w:pos="709" w:leader="none"/>
        </w:tabs>
        <w:bidi w:val="0"/>
        <w:ind w:hanging="283" w:start="709"/>
        <w:jc w:val="start"/>
        <w:rPr/>
      </w:pPr>
      <w:r>
        <w:rPr/>
        <w:t xml:space="preserve">Examples: </w:t>
      </w:r>
      <w:r>
        <w:rPr>
          <w:b/>
        </w:rPr>
        <w:t>NVIDIA, Palantir, Amazon, Meta, Microsoft, Salesforce</w:t>
      </w:r>
      <w:r>
        <w:rPr/>
        <w:t xml:space="preserve"> — these </w:t>
      </w:r>
      <w:r>
        <w:rPr>
          <w:b/>
        </w:rPr>
        <w:t>make up the bulk of his portfolio.</w:t>
      </w:r>
    </w:p>
    <w:p>
      <w:pPr>
        <w:pStyle w:val="BodyText"/>
        <w:numPr>
          <w:ilvl w:val="0"/>
          <w:numId w:val="129"/>
        </w:numPr>
        <w:tabs>
          <w:tab w:val="clear" w:pos="709"/>
          <w:tab w:val="left" w:pos="709" w:leader="none"/>
        </w:tabs>
        <w:bidi w:val="0"/>
        <w:ind w:hanging="283" w:start="709"/>
        <w:jc w:val="start"/>
        <w:rPr/>
      </w:pPr>
      <w:r>
        <w:rPr>
          <w:b/>
        </w:rPr>
        <w:t>In the past he bought them undervalued, sold them when overvalued — and that was one of the biggest mistakes he made.</w:t>
      </w:r>
      <w:r>
        <w:rPr/>
        <w:t xml:space="preserve"> After he sold, they'd dip a bit, but </w:t>
      </w:r>
      <w:r>
        <w:rPr>
          <w:b/>
        </w:rPr>
        <w:t>before he could buy back they zoomed even higher and he missed out on a lot of returns.</w:t>
      </w:r>
    </w:p>
    <w:p>
      <w:pPr>
        <w:pStyle w:val="BodyText"/>
        <w:numPr>
          <w:ilvl w:val="0"/>
          <w:numId w:val="129"/>
        </w:numPr>
        <w:tabs>
          <w:tab w:val="clear" w:pos="709"/>
          <w:tab w:val="left" w:pos="709" w:leader="none"/>
        </w:tabs>
        <w:bidi w:val="0"/>
        <w:ind w:hanging="283" w:start="709"/>
        <w:jc w:val="start"/>
        <w:rPr/>
      </w:pPr>
      <w:r>
        <w:rPr>
          <w:b/>
        </w:rPr>
        <w:t>Apple and Microsoft:</w:t>
      </w:r>
      <w:r>
        <w:rPr/>
        <w:t xml:space="preserve"> he bought them </w:t>
      </w:r>
      <w:r>
        <w:rPr>
          <w:b/>
        </w:rPr>
        <w:t>over 15, 16, 18 years ago</w:t>
      </w:r>
      <w:r>
        <w:rPr/>
        <w:t xml:space="preserve"> and jumped in and out many, many times, making "okay money." </w:t>
      </w:r>
      <w:r>
        <w:rPr>
          <w:b/>
        </w:rPr>
        <w:t>Looking back, if he had simply bought and stayed invested through the ups and downs, he would have compounded his wealth probably FIVE TO TEN TIMES MORE.</w:t>
      </w:r>
      <w:r>
        <w:rPr/>
        <w:t xml:space="preserve"> "It's a lesson I learned as I became more experienced."</w:t>
      </w:r>
    </w:p>
    <w:p>
      <w:pPr>
        <w:pStyle w:val="BodyText"/>
        <w:numPr>
          <w:ilvl w:val="0"/>
          <w:numId w:val="129"/>
        </w:numPr>
        <w:tabs>
          <w:tab w:val="clear" w:pos="709"/>
          <w:tab w:val="left" w:pos="709" w:leader="none"/>
        </w:tabs>
        <w:bidi w:val="0"/>
        <w:ind w:hanging="283" w:start="709"/>
        <w:jc w:val="start"/>
        <w:rPr/>
      </w:pPr>
      <w:r>
        <w:rPr>
          <w:b/>
        </w:rPr>
        <w:t>RULE TODAY: for great high-growth companies (NVIDIA, Palantir, Microsoft), even if it gets overvalued, he WON'T sell it.</w:t>
      </w:r>
      <w:r>
        <w:rPr/>
        <w:t xml:space="preserve"> Short term it may be overvalued and come down a bit, but long run the intrinsic value continues to compound — it makes more sense to just stay invested.</w:t>
      </w:r>
    </w:p>
    <w:p>
      <w:pPr>
        <w:pStyle w:val="BodyText"/>
        <w:numPr>
          <w:ilvl w:val="0"/>
          <w:numId w:val="129"/>
        </w:numPr>
        <w:tabs>
          <w:tab w:val="clear" w:pos="709"/>
          <w:tab w:val="left" w:pos="709" w:leader="none"/>
        </w:tabs>
        <w:bidi w:val="0"/>
        <w:ind w:hanging="283" w:start="709"/>
        <w:jc w:val="start"/>
        <w:rPr/>
      </w:pPr>
      <w:r>
        <w:rPr>
          <w:b/>
        </w:rPr>
        <w:t>Exception: if it gets CRAZY overvalued — more than 100% above intrinsic value — he may sell PART of it.</w:t>
      </w:r>
      <w:r>
        <w:rPr/>
        <w:t xml:space="preserve"> Especially if it has taken </w:t>
      </w:r>
      <w:r>
        <w:rPr>
          <w:b/>
        </w:rPr>
        <w:t>too big an allocation in the portfolio.</w:t>
      </w:r>
    </w:p>
    <w:p>
      <w:pPr>
        <w:pStyle w:val="BodyText"/>
        <w:numPr>
          <w:ilvl w:val="0"/>
          <w:numId w:val="129"/>
        </w:numPr>
        <w:tabs>
          <w:tab w:val="clear" w:pos="709"/>
          <w:tab w:val="left" w:pos="709" w:leader="none"/>
        </w:tabs>
        <w:bidi w:val="0"/>
        <w:ind w:hanging="283" w:start="709"/>
        <w:jc w:val="start"/>
        <w:rPr/>
      </w:pPr>
      <w:r>
        <w:rPr>
          <w:b/>
        </w:rPr>
        <w:t>At 30, 40, 50% overvalued for a high-growth company, he stays invested and does not sell.</w:t>
      </w:r>
    </w:p>
    <w:p>
      <w:pPr>
        <w:pStyle w:val="Heading3"/>
        <w:numPr>
          <w:ilvl w:val="0"/>
          <w:numId w:val="0"/>
        </w:numPr>
        <w:bidi w:val="0"/>
        <w:ind w:hanging="0" w:start="0"/>
        <w:jc w:val="start"/>
        <w:rPr/>
      </w:pPr>
      <w:r>
        <w:rPr/>
        <w:t>C13. Course Roadmap References Made in Lesson 3</w:t>
      </w:r>
    </w:p>
    <w:tbl>
      <w:tblPr>
        <w:tblW w:w="5000" w:type="pct"/>
        <w:jc w:val="start"/>
        <w:tblInd w:w="-5" w:type="dxa"/>
        <w:tblLayout w:type="fixed"/>
        <w:tblCellMar>
          <w:top w:w="55" w:type="dxa"/>
          <w:start w:w="55" w:type="dxa"/>
          <w:bottom w:w="55" w:type="dxa"/>
          <w:end w:w="55" w:type="dxa"/>
        </w:tblCellMar>
      </w:tblPr>
      <w:tblGrid>
        <w:gridCol w:w="4819"/>
        <w:gridCol w:w="4819"/>
      </w:tblGrid>
      <w:tr>
        <w:trPr>
          <w:tblHeader w:val="true"/>
        </w:trPr>
        <w:tc>
          <w:tcPr>
            <w:tcW w:w="4819" w:type="dxa"/>
            <w:tcBorders>
              <w:top w:val="single" w:sz="4" w:space="0" w:color="000000"/>
              <w:start w:val="single" w:sz="4" w:space="0" w:color="000000"/>
              <w:bottom w:val="single" w:sz="4" w:space="0" w:color="000000"/>
            </w:tcBorders>
          </w:tcPr>
          <w:p>
            <w:pPr>
              <w:pStyle w:val="TableHeading"/>
              <w:bidi w:val="0"/>
              <w:jc w:val="start"/>
              <w:rPr/>
            </w:pPr>
            <w:r>
              <w:rPr/>
              <w:t>Lesson</w:t>
            </w:r>
          </w:p>
        </w:tc>
        <w:tc>
          <w:tcPr>
            <w:tcW w:w="4819"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Content promised</w:t>
            </w:r>
          </w:p>
        </w:tc>
      </w:tr>
      <w:tr>
        <w:trPr/>
        <w:tc>
          <w:tcPr>
            <w:tcW w:w="4819" w:type="dxa"/>
            <w:tcBorders>
              <w:start w:val="single" w:sz="4" w:space="0" w:color="000000"/>
              <w:bottom w:val="single" w:sz="4" w:space="0" w:color="000000"/>
            </w:tcBorders>
          </w:tcPr>
          <w:p>
            <w:pPr>
              <w:pStyle w:val="TableContents"/>
              <w:bidi w:val="0"/>
              <w:jc w:val="start"/>
              <w:rPr/>
            </w:pPr>
            <w:r>
              <w:rPr/>
              <w:t>Lesson 4</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Fundamental analysis — reading a business inside out to judge great / mediocre / lousy</w:t>
            </w:r>
          </w:p>
        </w:tc>
      </w:tr>
      <w:tr>
        <w:trPr/>
        <w:tc>
          <w:tcPr>
            <w:tcW w:w="4819" w:type="dxa"/>
            <w:tcBorders>
              <w:start w:val="single" w:sz="4" w:space="0" w:color="000000"/>
              <w:bottom w:val="single" w:sz="4" w:space="0" w:color="000000"/>
            </w:tcBorders>
          </w:tcPr>
          <w:p>
            <w:pPr>
              <w:pStyle w:val="TableContents"/>
              <w:bidi w:val="0"/>
              <w:jc w:val="start"/>
              <w:rPr/>
            </w:pPr>
            <w:r>
              <w:rPr/>
              <w:t>Lesson 5</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How to value stocks of businesses (different businesses valued differently)</w:t>
            </w:r>
          </w:p>
        </w:tc>
      </w:tr>
      <w:tr>
        <w:trPr/>
        <w:tc>
          <w:tcPr>
            <w:tcW w:w="4819" w:type="dxa"/>
            <w:tcBorders>
              <w:start w:val="single" w:sz="4" w:space="0" w:color="000000"/>
              <w:bottom w:val="single" w:sz="4" w:space="0" w:color="000000"/>
            </w:tcBorders>
          </w:tcPr>
          <w:p>
            <w:pPr>
              <w:pStyle w:val="TableContents"/>
              <w:bidi w:val="0"/>
              <w:jc w:val="start"/>
              <w:rPr/>
            </w:pPr>
            <w:r>
              <w:rPr/>
              <w:t>Lesson 6</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Technical analysis — support levels, resistance, parabolic moves</w:t>
            </w:r>
          </w:p>
        </w:tc>
      </w:tr>
      <w:tr>
        <w:trPr/>
        <w:tc>
          <w:tcPr>
            <w:tcW w:w="4819" w:type="dxa"/>
            <w:tcBorders>
              <w:start w:val="single" w:sz="4" w:space="0" w:color="000000"/>
              <w:bottom w:val="single" w:sz="4" w:space="0" w:color="000000"/>
            </w:tcBorders>
          </w:tcPr>
          <w:p>
            <w:pPr>
              <w:pStyle w:val="TableContents"/>
              <w:bidi w:val="0"/>
              <w:jc w:val="start"/>
              <w:rPr/>
            </w:pPr>
            <w:r>
              <w:rPr/>
              <w:t>Lesson 7</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The five criteria of a great business, in detail</w:t>
            </w:r>
          </w:p>
        </w:tc>
      </w:tr>
      <w:tr>
        <w:trPr/>
        <w:tc>
          <w:tcPr>
            <w:tcW w:w="4819" w:type="dxa"/>
            <w:tcBorders>
              <w:start w:val="single" w:sz="4" w:space="0" w:color="000000"/>
              <w:bottom w:val="single" w:sz="4" w:space="0" w:color="000000"/>
            </w:tcBorders>
          </w:tcPr>
          <w:p>
            <w:pPr>
              <w:pStyle w:val="TableContents"/>
              <w:bidi w:val="0"/>
              <w:jc w:val="start"/>
              <w:rPr/>
            </w:pPr>
            <w:r>
              <w:rPr/>
              <w:t>Lesson 9</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Portfolio management and exit rules, in detail</w:t>
            </w:r>
          </w:p>
        </w:tc>
      </w:tr>
    </w:tbl>
    <w:p>
      <w:pPr>
        <w:pStyle w:val="BodyText"/>
        <w:bidi w:val="0"/>
        <w:jc w:val="start"/>
        <w:rPr/>
      </w:pPr>
      <w:r>
        <w:rPr/>
      </w:r>
    </w:p>
    <w:p>
      <w:pPr>
        <w:pStyle w:val="HorizontalLine"/>
        <w:bidi w:val="0"/>
        <w:jc w:val="start"/>
        <w:rPr/>
      </w:pPr>
      <w:r>
        <w:rPr/>
      </w:r>
    </w:p>
    <w:p>
      <w:pPr>
        <w:pStyle w:val="Heading2"/>
        <w:bidi w:val="0"/>
        <w:ind w:hanging="0" w:start="0"/>
        <w:jc w:val="start"/>
        <w:rPr/>
      </w:pPr>
      <w:r>
        <w:rPr/>
        <w:t>KEY TAKEAWAYS</w:t>
      </w:r>
    </w:p>
    <w:p>
      <w:pPr>
        <w:pStyle w:val="BodyText"/>
        <w:numPr>
          <w:ilvl w:val="0"/>
          <w:numId w:val="130"/>
        </w:numPr>
        <w:tabs>
          <w:tab w:val="clear" w:pos="709"/>
          <w:tab w:val="left" w:pos="709" w:leader="none"/>
        </w:tabs>
        <w:bidi w:val="0"/>
        <w:ind w:hanging="283" w:start="709"/>
        <w:jc w:val="start"/>
        <w:rPr/>
      </w:pPr>
      <w:r>
        <w:rPr>
          <w:b/>
        </w:rPr>
        <w:t>Trend following = two moving-average tests, and the SLOPE matters more than the crossover.</w:t>
      </w:r>
      <w:r>
        <w:rPr/>
        <w:t xml:space="preserve"> Uptrend confirmed when the 50 (blue) crosses above the 150 (green) </w:t>
      </w:r>
      <w:r>
        <w:rPr>
          <w:b/>
        </w:rPr>
        <w:t>and</w:t>
      </w:r>
      <w:r>
        <w:rPr/>
        <w:t xml:space="preserve"> both lines have flattened or turned up; downtrend confirmed when the 50 crosses below the 150 </w:t>
      </w:r>
      <w:r>
        <w:rPr>
          <w:b/>
        </w:rPr>
        <w:t>and</w:t>
      </w:r>
      <w:r>
        <w:rPr/>
        <w:t xml:space="preserve"> both have flattened or turned down. A crossover without a slope change is a fake-out. Daily candles only.</w:t>
      </w:r>
    </w:p>
    <w:p>
      <w:pPr>
        <w:pStyle w:val="BodyText"/>
        <w:numPr>
          <w:ilvl w:val="0"/>
          <w:numId w:val="130"/>
        </w:numPr>
        <w:tabs>
          <w:tab w:val="clear" w:pos="709"/>
          <w:tab w:val="left" w:pos="709" w:leader="none"/>
        </w:tabs>
        <w:bidi w:val="0"/>
        <w:ind w:hanging="283" w:start="709"/>
        <w:jc w:val="start"/>
        <w:rPr/>
      </w:pPr>
      <w:r>
        <w:rPr>
          <w:b/>
        </w:rPr>
        <w:t>The 200 MA (red) is a stricter, standalone confirmation:</w:t>
      </w:r>
      <w:r>
        <w:rPr/>
        <w:t xml:space="preserve"> price above a </w:t>
      </w:r>
      <w:r>
        <w:rPr>
          <w:b/>
        </w:rPr>
        <w:t>rising</w:t>
      </w:r>
      <w:r>
        <w:rPr/>
        <w:t xml:space="preserve"> 200 = uptrend; price below a </w:t>
      </w:r>
      <w:r>
        <w:rPr>
          <w:b/>
        </w:rPr>
        <w:t>falling</w:t>
      </w:r>
      <w:r>
        <w:rPr/>
        <w:t xml:space="preserve"> 200 = downtrend. Combine all three MAs and </w:t>
      </w:r>
      <w:r>
        <w:rPr>
          <w:b/>
        </w:rPr>
        <w:t>act on whichever signal comes first</w:t>
      </w:r>
      <w:r>
        <w:rPr/>
        <w:t>.</w:t>
      </w:r>
    </w:p>
    <w:p>
      <w:pPr>
        <w:pStyle w:val="BodyText"/>
        <w:numPr>
          <w:ilvl w:val="0"/>
          <w:numId w:val="130"/>
        </w:numPr>
        <w:tabs>
          <w:tab w:val="clear" w:pos="709"/>
          <w:tab w:val="left" w:pos="709" w:leader="none"/>
        </w:tabs>
        <w:bidi w:val="0"/>
        <w:ind w:hanging="283" w:start="709"/>
        <w:jc w:val="start"/>
        <w:rPr/>
      </w:pPr>
      <w:r>
        <w:rPr>
          <w:b/>
        </w:rPr>
        <w:t>The method's one failure mode is the 90-degree parabolic drop.</w:t>
      </w:r>
      <w:r>
        <w:rPr/>
        <w:t xml:space="preserve"> By the time the MAs cross you'd be selling at the bottom — so don't sell; hold, and instead </w:t>
      </w:r>
      <w:r>
        <w:rPr>
          <w:b/>
        </w:rPr>
        <w:t>ladder in at −25%, −35%, −45% and −55%</w:t>
      </w:r>
      <w:r>
        <w:rPr/>
        <w:t xml:space="preserve"> (bear market = &gt;20% drop; average bear = −36%; worst ever = −55%).</w:t>
      </w:r>
    </w:p>
    <w:p>
      <w:pPr>
        <w:pStyle w:val="BodyText"/>
        <w:numPr>
          <w:ilvl w:val="0"/>
          <w:numId w:val="130"/>
        </w:numPr>
        <w:tabs>
          <w:tab w:val="clear" w:pos="709"/>
          <w:tab w:val="left" w:pos="709" w:leader="none"/>
        </w:tabs>
        <w:bidi w:val="0"/>
        <w:ind w:hanging="283" w:start="709"/>
        <w:jc w:val="start"/>
        <w:rPr/>
      </w:pPr>
      <w:r>
        <w:rPr>
          <w:b/>
        </w:rPr>
        <w:t>Over 26 years, buy-and-hold returned 644% vs trend following's 696% — essentially the same.</w:t>
      </w:r>
      <w:r>
        <w:rPr/>
        <w:t xml:space="preserve"> Getting started matters far more than which method you choose: the $2,000/year study showed perfect timing $151k, start-of-year $135k, DCA $134,856, worst timing $121k — and staying in cash only $44k. </w:t>
      </w:r>
      <w:r>
        <w:rPr>
          <w:b/>
        </w:rPr>
        <w:t>Bad timing beats procrastination.</w:t>
      </w:r>
    </w:p>
    <w:p>
      <w:pPr>
        <w:pStyle w:val="BodyText"/>
        <w:numPr>
          <w:ilvl w:val="0"/>
          <w:numId w:val="130"/>
        </w:numPr>
        <w:tabs>
          <w:tab w:val="clear" w:pos="709"/>
          <w:tab w:val="left" w:pos="709" w:leader="none"/>
        </w:tabs>
        <w:bidi w:val="0"/>
        <w:ind w:hanging="283" w:start="709"/>
        <w:jc w:val="start"/>
        <w:rPr/>
      </w:pPr>
      <w:r>
        <w:rPr>
          <w:b/>
        </w:rPr>
        <w:t>Ignore all macroeconomics.</w:t>
      </w:r>
      <w:r>
        <w:rPr/>
        <w:t xml:space="preserve"> The stock market is not the economy — it </w:t>
      </w:r>
      <w:r>
        <w:rPr>
          <w:b/>
        </w:rPr>
        <w:t>leads</w:t>
      </w:r>
      <w:r>
        <w:rPr/>
        <w:t xml:space="preserve"> the economy by six to nine months, so trading off GDP, inflation, rates or employment guarantees you buy near tops and sell near bottoms. Price action only. Adam's proof: buying MasterCard at $236.40 and Facebook at $159.43 in late March 2020 while headlines predicted 32% unemployment — producing 44% and 41.37% portfolio gains and </w:t>
      </w:r>
      <w:r>
        <w:rPr>
          <w:b/>
        </w:rPr>
        <w:t>$791,000 in profit</w:t>
      </w:r>
      <w:r>
        <w:rPr/>
        <w:t xml:space="preserve"> in a bear-market year.</w:t>
      </w:r>
    </w:p>
    <w:p>
      <w:pPr>
        <w:pStyle w:val="BodyText"/>
        <w:numPr>
          <w:ilvl w:val="0"/>
          <w:numId w:val="130"/>
        </w:numPr>
        <w:tabs>
          <w:tab w:val="clear" w:pos="709"/>
          <w:tab w:val="left" w:pos="709" w:leader="none"/>
        </w:tabs>
        <w:bidi w:val="0"/>
        <w:ind w:hanging="283" w:start="709"/>
        <w:jc w:val="start"/>
        <w:rPr/>
      </w:pPr>
      <w:r>
        <w:rPr>
          <w:b/>
        </w:rPr>
        <w:t>Three steps to successful investing: (1) identify great businesses — only the top 1%; (2) buy only below intrinsic value, ideally at a support level; (3) don't sell</w:t>
      </w:r>
      <w:r>
        <w:rPr/>
        <w:t xml:space="preserve"> unless fundamentals deteriorate, you find a better business, or it becomes extremely overvalued.</w:t>
      </w:r>
    </w:p>
    <w:p>
      <w:pPr>
        <w:pStyle w:val="BodyText"/>
        <w:numPr>
          <w:ilvl w:val="0"/>
          <w:numId w:val="130"/>
        </w:numPr>
        <w:tabs>
          <w:tab w:val="clear" w:pos="709"/>
          <w:tab w:val="left" w:pos="709" w:leader="none"/>
        </w:tabs>
        <w:bidi w:val="0"/>
        <w:ind w:hanging="283" w:start="709"/>
        <w:jc w:val="start"/>
        <w:rPr/>
      </w:pPr>
      <w:r>
        <w:rPr>
          <w:b/>
        </w:rPr>
        <w:t>Five criteria for a great business:</w:t>
      </w:r>
      <w:r>
        <w:rPr/>
        <w:t xml:space="preserve"> 5–10 year track record of rising revenue/net income/operating cash flow; a sustainable competitive advantage (economic moat); high ROE and return on capital; a strong balance sheet with low debt and high cash; strong growth catalysts. </w:t>
      </w:r>
      <w:r>
        <w:rPr>
          <w:b/>
        </w:rPr>
        <w:t>Fewer than 1% of companies qualify.</w:t>
      </w:r>
    </w:p>
    <w:p>
      <w:pPr>
        <w:pStyle w:val="BodyText"/>
        <w:numPr>
          <w:ilvl w:val="0"/>
          <w:numId w:val="130"/>
        </w:numPr>
        <w:tabs>
          <w:tab w:val="clear" w:pos="709"/>
          <w:tab w:val="left" w:pos="709" w:leader="none"/>
        </w:tabs>
        <w:bidi w:val="0"/>
        <w:ind w:hanging="283" w:start="709"/>
        <w:jc w:val="start"/>
        <w:rPr/>
      </w:pPr>
      <w:r>
        <w:rPr>
          <w:b/>
        </w:rPr>
        <w:t>Value compounds in a straight line; price yo-yos on news and emotion</w:t>
      </w:r>
      <w:r>
        <w:rPr/>
        <w:t xml:space="preserve"> (the man walking his dog on a long leash). </w:t>
      </w:r>
      <w:r>
        <w:rPr>
          <w:b/>
        </w:rPr>
        <w:t>Mispricing is the source of outsized returns</w:t>
      </w:r>
      <w:r>
        <w:rPr/>
        <w:t xml:space="preserve"> — and great businesses go on sale for five reasons: market corrections (~10% drop once a year), bear markets (&gt;20%, roughly once every six years), sector rotation, short-term company bad news, and self-inflicted management mistakes.</w:t>
      </w:r>
    </w:p>
    <w:p>
      <w:pPr>
        <w:pStyle w:val="BodyText"/>
        <w:numPr>
          <w:ilvl w:val="0"/>
          <w:numId w:val="130"/>
        </w:numPr>
        <w:tabs>
          <w:tab w:val="clear" w:pos="709"/>
          <w:tab w:val="left" w:pos="709" w:leader="none"/>
        </w:tabs>
        <w:bidi w:val="0"/>
        <w:ind w:hanging="283" w:start="709"/>
        <w:jc w:val="start"/>
        <w:rPr/>
      </w:pPr>
      <w:r>
        <w:rPr>
          <w:b/>
        </w:rPr>
        <w:t>Never buy in one go — always tranche into 3–5 buys at support levels</w:t>
      </w:r>
      <w:r>
        <w:rPr/>
        <w:t>, starting at roughly 10–15% below intrinsic value and adding more at ~20% below and lower.</w:t>
      </w:r>
    </w:p>
    <w:p>
      <w:pPr>
        <w:pStyle w:val="BodyText"/>
        <w:numPr>
          <w:ilvl w:val="0"/>
          <w:numId w:val="130"/>
        </w:numPr>
        <w:tabs>
          <w:tab w:val="clear" w:pos="709"/>
          <w:tab w:val="left" w:pos="709" w:leader="none"/>
        </w:tabs>
        <w:bidi w:val="0"/>
        <w:ind w:hanging="283" w:start="709"/>
        <w:jc w:val="start"/>
        <w:rPr/>
      </w:pPr>
      <w:r>
        <w:rPr>
          <w:b/>
        </w:rPr>
        <w:t>Sell discipline scales with growth rate:</w:t>
      </w:r>
      <w:r>
        <w:rPr/>
        <w:t xml:space="preserve"> predictable 10–12% growers (Pepsi, P&amp;G, McDonald's, Yum, Lockheed) get sold at ~20%+ overvaluation; high-growth compounders (NVIDIA, Palantir, Amazon, Meta, Microsoft, Salesforce) are held even when 30–50% overvalued, trimmed only above </w:t>
      </w:r>
      <w:r>
        <w:rPr>
          <w:b/>
        </w:rPr>
        <w:t>100% overvalued</w:t>
      </w:r>
      <w:r>
        <w:rPr/>
        <w:t xml:space="preserve"> — because selling Apple and Microsoft in and out cost Adam an estimated 5–10x of compounded wealth.</w:t>
      </w:r>
    </w:p>
    <w:p>
      <w:pPr>
        <w:pStyle w:val="HorizontalLine"/>
        <w:bidi w:val="0"/>
        <w:jc w:val="start"/>
        <w:rPr/>
      </w:pPr>
      <w:r>
        <w:rPr/>
      </w:r>
    </w:p>
    <w:p>
      <w:pPr>
        <w:pStyle w:val="Heading1"/>
        <w:bidi w:val="0"/>
        <w:ind w:hanging="0" w:start="0"/>
        <w:jc w:val="start"/>
        <w:rPr/>
      </w:pPr>
      <w:r>
        <w:rPr/>
        <w:t>Part III — Fundamental Analysis: Reading the Financial Statements</w:t>
      </w:r>
    </w:p>
    <w:p>
      <w:pPr>
        <w:pStyle w:val="Heading2"/>
        <w:bidi w:val="0"/>
        <w:ind w:hanging="0" w:start="0"/>
        <w:jc w:val="start"/>
        <w:rPr/>
      </w:pPr>
      <w:r>
        <w:rPr/>
        <w:t>Lesson 4 — Fundamental Analysis (Financial Statements)</w:t>
      </w:r>
    </w:p>
    <w:p>
      <w:pPr>
        <w:pStyle w:val="BlockQuotation"/>
        <w:bidi w:val="0"/>
        <w:jc w:val="start"/>
        <w:rPr/>
      </w:pPr>
      <w:r>
        <w:rPr/>
        <w:t xml:space="preserve">Adam Khoo, Value Momentum Investing (Whale Investor). Videos 28–34. Adam's own framing: </w:t>
      </w:r>
      <w:r>
        <w:rPr>
          <w:i/>
        </w:rPr>
        <w:t>"This is probably the heaviest, most technical lesson in the entire course."</w:t>
      </w:r>
      <w:r>
        <w:rPr/>
        <w:t> Everything below is drawn only from the lesson transcripts.</w:t>
      </w:r>
    </w:p>
    <w:p>
      <w:pPr>
        <w:pStyle w:val="HorizontalLine"/>
        <w:bidi w:val="0"/>
        <w:jc w:val="start"/>
        <w:rPr/>
      </w:pPr>
      <w:r>
        <w:rPr/>
      </w:r>
    </w:p>
    <w:p>
      <w:pPr>
        <w:pStyle w:val="Heading3"/>
        <w:bidi w:val="0"/>
        <w:ind w:hanging="0" w:start="0"/>
        <w:jc w:val="start"/>
        <w:rPr/>
      </w:pPr>
      <w:r>
        <w:rPr/>
        <w:t>0. Introduction — Why Fundamental Analysis Matters</w:t>
      </w:r>
    </w:p>
    <w:p>
      <w:pPr>
        <w:pStyle w:val="Heading4"/>
        <w:bidi w:val="0"/>
        <w:ind w:hanging="0" w:start="0"/>
        <w:jc w:val="start"/>
        <w:rPr/>
      </w:pPr>
      <w:r>
        <w:rPr/>
        <w:t>0.1 The core claim</w:t>
      </w:r>
    </w:p>
    <w:p>
      <w:pPr>
        <w:pStyle w:val="BodyText"/>
        <w:numPr>
          <w:ilvl w:val="0"/>
          <w:numId w:val="131"/>
        </w:numPr>
        <w:tabs>
          <w:tab w:val="clear" w:pos="709"/>
          <w:tab w:val="left" w:pos="709" w:leader="none"/>
        </w:tabs>
        <w:bidi w:val="0"/>
        <w:ind w:hanging="283" w:start="709"/>
        <w:jc w:val="start"/>
        <w:rPr/>
      </w:pPr>
      <w:r>
        <w:rPr/>
        <w:t xml:space="preserve">Fundamental analysis = </w:t>
      </w:r>
      <w:r>
        <w:rPr>
          <w:b/>
        </w:rPr>
        <w:t>"the art of learning how to analyze a business"</w:t>
      </w:r>
      <w:r>
        <w:rPr/>
        <w:t xml:space="preserve"> — reading a business inside out to decide whether it is a </w:t>
      </w:r>
      <w:r>
        <w:rPr>
          <w:b/>
        </w:rPr>
        <w:t>good</w:t>
      </w:r>
      <w:r>
        <w:rPr/>
        <w:t xml:space="preserve">, </w:t>
      </w:r>
      <w:r>
        <w:rPr>
          <w:b/>
        </w:rPr>
        <w:t>mediocre</w:t>
      </w:r>
      <w:r>
        <w:rPr/>
        <w:t xml:space="preserve">, or </w:t>
      </w:r>
      <w:r>
        <w:rPr>
          <w:b/>
        </w:rPr>
        <w:t>lousy</w:t>
      </w:r>
      <w:r>
        <w:rPr/>
        <w:t xml:space="preserve"> business.</w:t>
      </w:r>
    </w:p>
    <w:p>
      <w:pPr>
        <w:pStyle w:val="BodyText"/>
        <w:numPr>
          <w:ilvl w:val="0"/>
          <w:numId w:val="131"/>
        </w:numPr>
        <w:tabs>
          <w:tab w:val="clear" w:pos="709"/>
          <w:tab w:val="left" w:pos="709" w:leader="none"/>
        </w:tabs>
        <w:bidi w:val="0"/>
        <w:ind w:hanging="283" w:start="709"/>
        <w:jc w:val="start"/>
        <w:rPr/>
      </w:pPr>
      <w:r>
        <w:rPr>
          <w:b/>
        </w:rPr>
        <w:t>70% of your investment decisions are based on the fundamentals of the business.</w:t>
      </w:r>
    </w:p>
    <w:p>
      <w:pPr>
        <w:pStyle w:val="BodyText"/>
        <w:numPr>
          <w:ilvl w:val="0"/>
          <w:numId w:val="131"/>
        </w:numPr>
        <w:tabs>
          <w:tab w:val="clear" w:pos="709"/>
          <w:tab w:val="left" w:pos="709" w:leader="none"/>
        </w:tabs>
        <w:bidi w:val="0"/>
        <w:ind w:hanging="283" w:start="709"/>
        <w:jc w:val="start"/>
        <w:rPr/>
      </w:pPr>
      <w:r>
        <w:rPr/>
        <w:t xml:space="preserve">When you buy a stock, </w:t>
      </w:r>
      <w:r>
        <w:rPr>
          <w:b/>
        </w:rPr>
        <w:t>you are not buying a ticker that goes up and down — you are buying a piece of an underlying business.</w:t>
      </w:r>
      <w:r>
        <w:rPr/>
        <w:t xml:space="preserve"> If the business does well, the stock will do well over time.</w:t>
      </w:r>
    </w:p>
    <w:p>
      <w:pPr>
        <w:pStyle w:val="Heading4"/>
        <w:numPr>
          <w:ilvl w:val="0"/>
          <w:numId w:val="0"/>
        </w:numPr>
        <w:bidi w:val="0"/>
        <w:ind w:hanging="0" w:start="0"/>
        <w:jc w:val="start"/>
        <w:rPr/>
      </w:pPr>
      <w:r>
        <w:rPr/>
        <w:t>0.2 Why great businesses give you "no worries"</w:t>
      </w:r>
    </w:p>
    <w:p>
      <w:pPr>
        <w:pStyle w:val="BodyText"/>
        <w:numPr>
          <w:ilvl w:val="0"/>
          <w:numId w:val="132"/>
        </w:numPr>
        <w:tabs>
          <w:tab w:val="clear" w:pos="709"/>
          <w:tab w:val="left" w:pos="709" w:leader="none"/>
        </w:tabs>
        <w:bidi w:val="0"/>
        <w:ind w:hanging="283" w:start="709"/>
        <w:jc w:val="start"/>
        <w:rPr/>
      </w:pPr>
      <w:r>
        <w:rPr/>
        <w:t xml:space="preserve">If you own a great business and the price falls 20%, 30%, 40% on emotion or manipulation, you don't sweat it — you know it will eventually bounce back higher. In fact you </w:t>
      </w:r>
      <w:r>
        <w:rPr>
          <w:b/>
        </w:rPr>
        <w:t>use the correction to add more shares</w:t>
      </w:r>
      <w:r>
        <w:rPr/>
        <w:t>.</w:t>
      </w:r>
    </w:p>
    <w:p>
      <w:pPr>
        <w:pStyle w:val="BodyText"/>
        <w:numPr>
          <w:ilvl w:val="0"/>
          <w:numId w:val="132"/>
        </w:numPr>
        <w:tabs>
          <w:tab w:val="clear" w:pos="709"/>
          <w:tab w:val="left" w:pos="709" w:leader="none"/>
        </w:tabs>
        <w:bidi w:val="0"/>
        <w:ind w:hanging="283" w:start="709"/>
        <w:jc w:val="start"/>
        <w:rPr/>
      </w:pPr>
      <w:r>
        <w:rPr/>
        <w:t xml:space="preserve">If you own a lousy or average business and the price drops, you have </w:t>
      </w:r>
      <w:r>
        <w:rPr>
          <w:b/>
        </w:rPr>
        <w:t>every reason to panic</w:t>
      </w:r>
      <w:r>
        <w:rPr/>
        <w:t>, because you don't know if it will come back.</w:t>
      </w:r>
    </w:p>
    <w:p>
      <w:pPr>
        <w:pStyle w:val="Heading4"/>
        <w:numPr>
          <w:ilvl w:val="0"/>
          <w:numId w:val="0"/>
        </w:numPr>
        <w:bidi w:val="0"/>
        <w:ind w:hanging="0" w:start="0"/>
        <w:jc w:val="start"/>
        <w:rPr/>
      </w:pPr>
      <w:r>
        <w:rPr/>
        <w:t>0.3 The real purpose: avoiding disasters</w:t>
      </w:r>
    </w:p>
    <w:p>
      <w:pPr>
        <w:pStyle w:val="BodyText"/>
        <w:numPr>
          <w:ilvl w:val="0"/>
          <w:numId w:val="133"/>
        </w:numPr>
        <w:tabs>
          <w:tab w:val="clear" w:pos="709"/>
          <w:tab w:val="left" w:pos="709" w:leader="none"/>
        </w:tabs>
        <w:bidi w:val="0"/>
        <w:ind w:hanging="283" w:start="709"/>
        <w:jc w:val="start"/>
        <w:rPr/>
      </w:pPr>
      <w:r>
        <w:rPr/>
        <w:t xml:space="preserve">Fundamental analysis is </w:t>
      </w:r>
      <w:r>
        <w:rPr>
          <w:b/>
        </w:rPr>
        <w:t>not just about finding great companies — more importantly it is about identifying and avoiding lousy businesses.</w:t>
      </w:r>
    </w:p>
    <w:p>
      <w:pPr>
        <w:pStyle w:val="BodyText"/>
        <w:numPr>
          <w:ilvl w:val="0"/>
          <w:numId w:val="133"/>
        </w:numPr>
        <w:tabs>
          <w:tab w:val="clear" w:pos="709"/>
          <w:tab w:val="left" w:pos="709" w:leader="none"/>
        </w:tabs>
        <w:bidi w:val="0"/>
        <w:ind w:hanging="283" w:start="709"/>
        <w:jc w:val="start"/>
        <w:rPr/>
      </w:pPr>
      <w:r>
        <w:rPr>
          <w:b/>
        </w:rPr>
        <w:t>The main reason investors lose money is that they buy stocks of lousy businesses.</w:t>
      </w:r>
      <w:r>
        <w:rPr/>
        <w:t xml:space="preserve"> They get seduced by short-term speculation/hype, buy in, the bubble bursts, the price crashes and </w:t>
      </w:r>
      <w:r>
        <w:rPr>
          <w:b/>
        </w:rPr>
        <w:t>never comes back</w:t>
      </w:r>
      <w:r>
        <w:rPr/>
        <w:t xml:space="preserve"> because the underlying business was never great.</w:t>
      </w:r>
    </w:p>
    <w:p>
      <w:pPr>
        <w:pStyle w:val="Heading4"/>
        <w:numPr>
          <w:ilvl w:val="0"/>
          <w:numId w:val="0"/>
        </w:numPr>
        <w:bidi w:val="0"/>
        <w:ind w:hanging="0" w:start="0"/>
        <w:jc w:val="start"/>
        <w:rPr/>
      </w:pPr>
      <w:r>
        <w:rPr/>
        <w:t>0.4 Our job as investors</w:t>
      </w:r>
    </w:p>
    <w:p>
      <w:pPr>
        <w:pStyle w:val="BodyText"/>
        <w:numPr>
          <w:ilvl w:val="0"/>
          <w:numId w:val="134"/>
        </w:numPr>
        <w:tabs>
          <w:tab w:val="clear" w:pos="709"/>
          <w:tab w:val="left" w:pos="709" w:leader="none"/>
        </w:tabs>
        <w:bidi w:val="0"/>
        <w:ind w:hanging="283" w:start="709"/>
        <w:jc w:val="start"/>
        <w:rPr/>
      </w:pPr>
      <w:r>
        <w:rPr>
          <w:b/>
        </w:rPr>
        <w:t>Not</w:t>
      </w:r>
      <w:r>
        <w:rPr/>
        <w:t xml:space="preserve"> to predict where the market goes next week / next month / next year — short-term price movement is impossible to predict with certainty.</w:t>
      </w:r>
    </w:p>
    <w:p>
      <w:pPr>
        <w:pStyle w:val="BodyText"/>
        <w:numPr>
          <w:ilvl w:val="0"/>
          <w:numId w:val="134"/>
        </w:numPr>
        <w:tabs>
          <w:tab w:val="clear" w:pos="709"/>
          <w:tab w:val="left" w:pos="709" w:leader="none"/>
        </w:tabs>
        <w:bidi w:val="0"/>
        <w:ind w:hanging="283" w:start="709"/>
        <w:jc w:val="start"/>
        <w:rPr/>
      </w:pPr>
      <w:r>
        <w:rPr>
          <w:b/>
        </w:rPr>
        <w:t>Our job is to invest into a portfolio of great businesses that will thrive and grow under all economic conditions.</w:t>
      </w:r>
    </w:p>
    <w:p>
      <w:pPr>
        <w:pStyle w:val="BodyText"/>
        <w:numPr>
          <w:ilvl w:val="0"/>
          <w:numId w:val="134"/>
        </w:numPr>
        <w:tabs>
          <w:tab w:val="clear" w:pos="709"/>
          <w:tab w:val="left" w:pos="709" w:leader="none"/>
        </w:tabs>
        <w:bidi w:val="0"/>
        <w:ind w:hanging="283" w:start="709"/>
        <w:jc w:val="start"/>
        <w:rPr/>
      </w:pPr>
      <w:r>
        <w:rPr/>
        <w:t xml:space="preserve">We cannot predict interest rates, inflation or GDP — </w:t>
      </w:r>
      <w:r>
        <w:rPr>
          <w:b/>
        </w:rPr>
        <w:t>and we don't have to.</w:t>
      </w:r>
      <w:r>
        <w:rPr/>
        <w:t xml:space="preserve"> Rain or shine, recession or no recession, high or low inflation, high or low rates, a portfolio of great businesses will grow consistently and grow our wealth over time.</w:t>
      </w:r>
    </w:p>
    <w:p>
      <w:pPr>
        <w:pStyle w:val="Heading4"/>
        <w:numPr>
          <w:ilvl w:val="0"/>
          <w:numId w:val="0"/>
        </w:numPr>
        <w:bidi w:val="0"/>
        <w:ind w:hanging="0" w:start="0"/>
        <w:jc w:val="start"/>
        <w:rPr/>
      </w:pPr>
      <w:r>
        <w:rPr/>
        <w:t>0.5 "Blue chip can get blue black" — the collapse case files</w:t>
      </w:r>
    </w:p>
    <w:tbl>
      <w:tblPr>
        <w:tblW w:w="5000" w:type="pct"/>
        <w:jc w:val="start"/>
        <w:tblInd w:w="-5" w:type="dxa"/>
        <w:tblLayout w:type="fixed"/>
        <w:tblCellMar>
          <w:top w:w="55" w:type="dxa"/>
          <w:start w:w="55" w:type="dxa"/>
          <w:bottom w:w="55" w:type="dxa"/>
          <w:end w:w="55" w:type="dxa"/>
        </w:tblCellMar>
      </w:tblPr>
      <w:tblGrid>
        <w:gridCol w:w="3212"/>
        <w:gridCol w:w="3213"/>
        <w:gridCol w:w="3213"/>
      </w:tblGrid>
      <w:tr>
        <w:trPr>
          <w:tblHeader w:val="true"/>
        </w:trPr>
        <w:tc>
          <w:tcPr>
            <w:tcW w:w="3212" w:type="dxa"/>
            <w:tcBorders>
              <w:top w:val="single" w:sz="4" w:space="0" w:color="000000"/>
              <w:start w:val="single" w:sz="4" w:space="0" w:color="000000"/>
              <w:bottom w:val="single" w:sz="4" w:space="0" w:color="000000"/>
            </w:tcBorders>
          </w:tcPr>
          <w:p>
            <w:pPr>
              <w:pStyle w:val="TableHeading"/>
              <w:bidi w:val="0"/>
              <w:jc w:val="start"/>
              <w:rPr/>
            </w:pPr>
            <w:r>
              <w:rPr/>
              <w:t>Company</w:t>
            </w:r>
          </w:p>
        </w:tc>
        <w:tc>
          <w:tcPr>
            <w:tcW w:w="3213" w:type="dxa"/>
            <w:tcBorders>
              <w:top w:val="single" w:sz="4" w:space="0" w:color="000000"/>
              <w:start w:val="single" w:sz="4" w:space="0" w:color="000000"/>
              <w:bottom w:val="single" w:sz="4" w:space="0" w:color="000000"/>
            </w:tcBorders>
          </w:tcPr>
          <w:p>
            <w:pPr>
              <w:pStyle w:val="TableHeading"/>
              <w:bidi w:val="0"/>
              <w:jc w:val="start"/>
              <w:rPr/>
            </w:pPr>
            <w:r>
              <w:rPr/>
              <w:t>Market / Sector</w:t>
            </w:r>
          </w:p>
        </w:tc>
        <w:tc>
          <w:tcPr>
            <w:tcW w:w="3213"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What happened</w:t>
            </w:r>
          </w:p>
        </w:tc>
      </w:tr>
      <w:tr>
        <w:trPr/>
        <w:tc>
          <w:tcPr>
            <w:tcW w:w="3212" w:type="dxa"/>
            <w:tcBorders>
              <w:start w:val="single" w:sz="4" w:space="0" w:color="000000"/>
              <w:bottom w:val="single" w:sz="4" w:space="0" w:color="000000"/>
            </w:tcBorders>
          </w:tcPr>
          <w:p>
            <w:pPr>
              <w:pStyle w:val="TableContents"/>
              <w:bidi w:val="0"/>
              <w:jc w:val="start"/>
              <w:rPr/>
            </w:pPr>
            <w:r>
              <w:rPr>
                <w:b/>
              </w:rPr>
              <w:t>Noble Group</w:t>
            </w:r>
          </w:p>
        </w:tc>
        <w:tc>
          <w:tcPr>
            <w:tcW w:w="3213" w:type="dxa"/>
            <w:tcBorders>
              <w:start w:val="single" w:sz="4" w:space="0" w:color="000000"/>
              <w:bottom w:val="single" w:sz="4" w:space="0" w:color="000000"/>
            </w:tcBorders>
          </w:tcPr>
          <w:p>
            <w:pPr>
              <w:pStyle w:val="TableContents"/>
              <w:bidi w:val="0"/>
              <w:jc w:val="start"/>
              <w:rPr/>
            </w:pPr>
            <w:r>
              <w:rPr/>
              <w:t xml:space="preserve">SGX blue chip, component of the </w:t>
            </w:r>
            <w:r>
              <w:rPr>
                <w:b/>
              </w:rPr>
              <w:t>Straits Times Index</w:t>
            </w:r>
            <w:r>
              <w:rPr/>
              <w:t>, one of the biggest companies in Singapore and Asia</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 xml:space="preserve">Collapsed. Investors said "I was cheated, all my money's gone." </w:t>
            </w:r>
            <w:r>
              <w:rPr>
                <w:b/>
              </w:rPr>
              <w:t>Many analysts had recommended the stock.</w:t>
            </w:r>
          </w:p>
        </w:tc>
      </w:tr>
      <w:tr>
        <w:trPr/>
        <w:tc>
          <w:tcPr>
            <w:tcW w:w="3212" w:type="dxa"/>
            <w:tcBorders>
              <w:start w:val="single" w:sz="4" w:space="0" w:color="000000"/>
              <w:bottom w:val="single" w:sz="4" w:space="0" w:color="000000"/>
            </w:tcBorders>
          </w:tcPr>
          <w:p>
            <w:pPr>
              <w:pStyle w:val="TableContents"/>
              <w:bidi w:val="0"/>
              <w:jc w:val="start"/>
              <w:rPr/>
            </w:pPr>
            <w:r>
              <w:rPr>
                <w:b/>
              </w:rPr>
              <w:t>Hyflux</w:t>
            </w:r>
          </w:p>
        </w:tc>
        <w:tc>
          <w:tcPr>
            <w:tcW w:w="3213" w:type="dxa"/>
            <w:tcBorders>
              <w:start w:val="single" w:sz="4" w:space="0" w:color="000000"/>
              <w:bottom w:val="single" w:sz="4" w:space="0" w:color="000000"/>
            </w:tcBorders>
          </w:tcPr>
          <w:p>
            <w:pPr>
              <w:pStyle w:val="TableContents"/>
              <w:bidi w:val="0"/>
              <w:jc w:val="start"/>
              <w:rPr/>
            </w:pPr>
            <w:r>
              <w:rPr/>
              <w:t>Singapore water treatment company, blue chip</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 xml:space="preserve">Collapsed. </w:t>
            </w:r>
            <w:r>
              <w:rPr>
                <w:b/>
              </w:rPr>
              <w:t>Both share investors and bondholders lost most of their money.</w:t>
            </w:r>
            <w:r>
              <w:rPr/>
              <w:t xml:space="preserve"> (Full case study in §7.)</w:t>
            </w:r>
          </w:p>
        </w:tc>
      </w:tr>
      <w:tr>
        <w:trPr/>
        <w:tc>
          <w:tcPr>
            <w:tcW w:w="3212" w:type="dxa"/>
            <w:tcBorders>
              <w:start w:val="single" w:sz="4" w:space="0" w:color="000000"/>
              <w:bottom w:val="single" w:sz="4" w:space="0" w:color="000000"/>
            </w:tcBorders>
          </w:tcPr>
          <w:p>
            <w:pPr>
              <w:pStyle w:val="TableContents"/>
              <w:bidi w:val="0"/>
              <w:jc w:val="start"/>
              <w:rPr/>
            </w:pPr>
            <w:r>
              <w:rPr>
                <w:b/>
              </w:rPr>
              <w:t>China Evergrande</w:t>
            </w:r>
          </w:p>
        </w:tc>
        <w:tc>
          <w:tcPr>
            <w:tcW w:w="3213" w:type="dxa"/>
            <w:tcBorders>
              <w:start w:val="single" w:sz="4" w:space="0" w:color="000000"/>
              <w:bottom w:val="single" w:sz="4" w:space="0" w:color="000000"/>
            </w:tcBorders>
          </w:tcPr>
          <w:p>
            <w:pPr>
              <w:pStyle w:val="TableContents"/>
              <w:bidi w:val="0"/>
              <w:jc w:val="start"/>
              <w:rPr/>
            </w:pPr>
            <w:r>
              <w:rPr/>
              <w:t>One of the biggest real estate developers in China, blue chip</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 xml:space="preserve">On the verge of collapse, </w:t>
            </w:r>
            <w:r>
              <w:rPr>
                <w:b/>
              </w:rPr>
              <w:t>defaulting on its debt.</w:t>
            </w:r>
          </w:p>
        </w:tc>
      </w:tr>
    </w:tbl>
    <w:p>
      <w:pPr>
        <w:pStyle w:val="BodyText"/>
        <w:bidi w:val="0"/>
        <w:jc w:val="start"/>
        <w:rPr/>
      </w:pPr>
      <w:r>
        <w:rPr/>
      </w:r>
    </w:p>
    <w:p>
      <w:pPr>
        <w:pStyle w:val="BodyText"/>
        <w:numPr>
          <w:ilvl w:val="0"/>
          <w:numId w:val="135"/>
        </w:numPr>
        <w:tabs>
          <w:tab w:val="clear" w:pos="709"/>
          <w:tab w:val="left" w:pos="709" w:leader="none"/>
        </w:tabs>
        <w:bidi w:val="0"/>
        <w:ind w:hanging="283" w:start="709"/>
        <w:jc w:val="start"/>
        <w:rPr/>
      </w:pPr>
      <w:r>
        <w:rPr/>
        <w:t xml:space="preserve">Adam: </w:t>
      </w:r>
      <w:r>
        <w:rPr>
          <w:i/>
        </w:rPr>
        <w:t>"Blue chip can get blue black if you invest in the wrong ones."</w:t>
      </w:r>
      <w:r>
        <w:rPr/>
        <w:t xml:space="preserve"> Don't be deceived by the word "blue chip."</w:t>
      </w:r>
    </w:p>
    <w:p>
      <w:pPr>
        <w:pStyle w:val="BodyText"/>
        <w:numPr>
          <w:ilvl w:val="0"/>
          <w:numId w:val="135"/>
        </w:numPr>
        <w:tabs>
          <w:tab w:val="clear" w:pos="709"/>
          <w:tab w:val="left" w:pos="709" w:leader="none"/>
        </w:tabs>
        <w:bidi w:val="0"/>
        <w:ind w:hanging="283" w:start="709"/>
        <w:jc w:val="start"/>
        <w:rPr/>
      </w:pPr>
      <w:r>
        <w:rPr/>
        <w:t xml:space="preserve">Adam has </w:t>
      </w:r>
      <w:r>
        <w:rPr>
          <w:b/>
        </w:rPr>
        <w:t>never invested in any of these companies</w:t>
      </w:r>
      <w:r>
        <w:rPr/>
        <w:t xml:space="preserve">, because he studies the financial statements and does a fundamental deep-dive. </w:t>
      </w:r>
      <w:r>
        <w:rPr>
          <w:b/>
        </w:rPr>
        <w:t>All of these companies failed his fundamental criteria.</w:t>
      </w:r>
    </w:p>
    <w:p>
      <w:pPr>
        <w:pStyle w:val="Heading4"/>
        <w:numPr>
          <w:ilvl w:val="0"/>
          <w:numId w:val="0"/>
        </w:numPr>
        <w:bidi w:val="0"/>
        <w:ind w:hanging="0" w:start="0"/>
        <w:jc w:val="start"/>
        <w:rPr/>
      </w:pPr>
      <w:r>
        <w:rPr/>
        <w:t>0.6 Great businesses can decay — but slowly</w:t>
      </w:r>
    </w:p>
    <w:p>
      <w:pPr>
        <w:pStyle w:val="BodyText"/>
        <w:numPr>
          <w:ilvl w:val="0"/>
          <w:numId w:val="136"/>
        </w:numPr>
        <w:tabs>
          <w:tab w:val="clear" w:pos="709"/>
          <w:tab w:val="left" w:pos="709" w:leader="none"/>
        </w:tabs>
        <w:bidi w:val="0"/>
        <w:ind w:hanging="283" w:start="709"/>
        <w:jc w:val="start"/>
        <w:rPr/>
      </w:pPr>
      <w:r>
        <w:rPr/>
        <w:t xml:space="preserve">Does a great business become a lousy business? </w:t>
      </w:r>
      <w:r>
        <w:rPr>
          <w:b/>
        </w:rPr>
        <w:t>Yes, it happens</w:t>
      </w:r>
      <w:r>
        <w:rPr/>
        <w:t xml:space="preserve"> — but it does </w:t>
      </w:r>
      <w:r>
        <w:rPr>
          <w:b/>
        </w:rPr>
        <w:t>not</w:t>
      </w:r>
      <w:r>
        <w:rPr/>
        <w:t xml:space="preserve"> happen overnight, over one quarter or one year. </w:t>
      </w:r>
      <w:r>
        <w:rPr>
          <w:b/>
        </w:rPr>
        <w:t>It takes years.</w:t>
      </w:r>
    </w:p>
    <w:p>
      <w:pPr>
        <w:pStyle w:val="BodyText"/>
        <w:numPr>
          <w:ilvl w:val="0"/>
          <w:numId w:val="136"/>
        </w:numPr>
        <w:tabs>
          <w:tab w:val="clear" w:pos="709"/>
          <w:tab w:val="left" w:pos="709" w:leader="none"/>
        </w:tabs>
        <w:bidi w:val="0"/>
        <w:ind w:hanging="283" w:start="709"/>
        <w:jc w:val="start"/>
        <w:rPr/>
      </w:pPr>
      <w:r>
        <w:rPr>
          <w:b/>
        </w:rPr>
        <w:t>Intel</w:t>
      </w:r>
      <w:r>
        <w:rPr/>
        <w:t xml:space="preserve"> — was a great business with a strong economic moat, but over time </w:t>
      </w:r>
      <w:r>
        <w:rPr>
          <w:b/>
        </w:rPr>
        <w:t>lost its competitive advantage to Nvidia and to AMD</w:t>
      </w:r>
      <w:r>
        <w:rPr/>
        <w:t>.</w:t>
      </w:r>
    </w:p>
    <w:p>
      <w:pPr>
        <w:pStyle w:val="BodyText"/>
        <w:numPr>
          <w:ilvl w:val="0"/>
          <w:numId w:val="136"/>
        </w:numPr>
        <w:tabs>
          <w:tab w:val="clear" w:pos="709"/>
          <w:tab w:val="left" w:pos="709" w:leader="none"/>
        </w:tabs>
        <w:bidi w:val="0"/>
        <w:ind w:hanging="283" w:start="709"/>
        <w:jc w:val="start"/>
        <w:rPr/>
      </w:pPr>
      <w:r>
        <w:rPr>
          <w:b/>
        </w:rPr>
        <w:t>Boeing</w:t>
      </w:r>
      <w:r>
        <w:rPr/>
        <w:t xml:space="preserve"> — was a great business, but </w:t>
      </w:r>
      <w:r>
        <w:rPr>
          <w:b/>
        </w:rPr>
        <w:t>management missteps</w:t>
      </w:r>
      <w:r>
        <w:rPr/>
        <w:t xml:space="preserve"> destroyed a lot of its reputation.</w:t>
      </w:r>
    </w:p>
    <w:p>
      <w:pPr>
        <w:pStyle w:val="BodyText"/>
        <w:numPr>
          <w:ilvl w:val="0"/>
          <w:numId w:val="136"/>
        </w:numPr>
        <w:tabs>
          <w:tab w:val="clear" w:pos="709"/>
          <w:tab w:val="left" w:pos="709" w:leader="none"/>
        </w:tabs>
        <w:bidi w:val="0"/>
        <w:ind w:hanging="283" w:start="709"/>
        <w:jc w:val="start"/>
        <w:rPr/>
      </w:pPr>
      <w:r>
        <w:rPr/>
        <w:t xml:space="preserve">Therefore: ignore short-term performance; look at the </w:t>
      </w:r>
      <w:r>
        <w:rPr>
          <w:b/>
        </w:rPr>
        <w:t>long-term year-on-year trends</w:t>
      </w:r>
      <w:r>
        <w:rPr/>
        <w:t xml:space="preserve"> of revenue, profits and cash flow.</w:t>
      </w:r>
    </w:p>
    <w:p>
      <w:pPr>
        <w:pStyle w:val="HorizontalLine"/>
        <w:bidi w:val="0"/>
        <w:jc w:val="start"/>
        <w:rPr/>
      </w:pPr>
      <w:r>
        <w:rPr/>
      </w:r>
    </w:p>
    <w:p>
      <w:pPr>
        <w:pStyle w:val="Heading3"/>
        <w:bidi w:val="0"/>
        <w:ind w:hanging="0" w:start="0"/>
        <w:jc w:val="start"/>
        <w:rPr/>
      </w:pPr>
      <w:r>
        <w:rPr/>
        <w:t>1. Reporting Cadence, Earnings Dates, and Where to Get the Data</w:t>
      </w:r>
    </w:p>
    <w:p>
      <w:pPr>
        <w:pStyle w:val="Heading4"/>
        <w:bidi w:val="0"/>
        <w:ind w:hanging="0" w:start="0"/>
        <w:jc w:val="start"/>
        <w:rPr/>
      </w:pPr>
      <w:r>
        <w:rPr/>
        <w:t>1.1 How often companies report</w:t>
      </w:r>
    </w:p>
    <w:p>
      <w:pPr>
        <w:pStyle w:val="BodyText"/>
        <w:numPr>
          <w:ilvl w:val="0"/>
          <w:numId w:val="137"/>
        </w:numPr>
        <w:tabs>
          <w:tab w:val="clear" w:pos="709"/>
          <w:tab w:val="left" w:pos="709" w:leader="none"/>
        </w:tabs>
        <w:bidi w:val="0"/>
        <w:ind w:hanging="283" w:start="709"/>
        <w:jc w:val="start"/>
        <w:rPr/>
      </w:pPr>
      <w:r>
        <w:rPr/>
        <w:t xml:space="preserve">Companies report </w:t>
      </w:r>
      <w:r>
        <w:rPr>
          <w:b/>
        </w:rPr>
        <w:t>four times a year</w:t>
      </w:r>
      <w:r>
        <w:rPr/>
        <w:t xml:space="preserve">: a </w:t>
      </w:r>
      <w:r>
        <w:rPr>
          <w:b/>
        </w:rPr>
        <w:t>quarterly report</w:t>
      </w:r>
      <w:r>
        <w:rPr/>
        <w:t xml:space="preserve"> every quarter, and an </w:t>
      </w:r>
      <w:r>
        <w:rPr>
          <w:b/>
        </w:rPr>
        <w:t>annual report</w:t>
      </w:r>
      <w:r>
        <w:rPr/>
        <w:t xml:space="preserve"> at the end of every financial year.</w:t>
      </w:r>
    </w:p>
    <w:p>
      <w:pPr>
        <w:pStyle w:val="BodyText"/>
        <w:numPr>
          <w:ilvl w:val="0"/>
          <w:numId w:val="137"/>
        </w:numPr>
        <w:tabs>
          <w:tab w:val="clear" w:pos="709"/>
          <w:tab w:val="left" w:pos="709" w:leader="none"/>
        </w:tabs>
        <w:bidi w:val="0"/>
        <w:spacing w:before="0" w:after="0"/>
        <w:ind w:hanging="283" w:start="709"/>
        <w:jc w:val="start"/>
        <w:rPr/>
      </w:pPr>
      <w:r>
        <w:rPr/>
        <w:t xml:space="preserve">They report </w:t>
      </w:r>
      <w:r>
        <w:rPr>
          <w:b/>
        </w:rPr>
        <w:t>three things</w:t>
      </w:r>
      <w:r>
        <w:rPr/>
        <w:t>:</w:t>
      </w:r>
    </w:p>
    <w:p>
      <w:pPr>
        <w:pStyle w:val="BodyText"/>
        <w:numPr>
          <w:ilvl w:val="1"/>
          <w:numId w:val="137"/>
        </w:numPr>
        <w:tabs>
          <w:tab w:val="clear" w:pos="709"/>
          <w:tab w:val="left" w:pos="1418" w:leader="none"/>
        </w:tabs>
        <w:bidi w:val="0"/>
        <w:ind w:hanging="283" w:start="1418"/>
        <w:jc w:val="start"/>
        <w:rPr/>
      </w:pPr>
      <w:r>
        <w:rPr>
          <w:b/>
        </w:rPr>
        <w:t>Income statement</w:t>
      </w:r>
      <w:r>
        <w:rPr/>
        <w:t xml:space="preserve"> — how much money they made, how much they spent, what's the profit at the end of the day.</w:t>
      </w:r>
    </w:p>
    <w:p>
      <w:pPr>
        <w:pStyle w:val="BodyText"/>
        <w:numPr>
          <w:ilvl w:val="1"/>
          <w:numId w:val="137"/>
        </w:numPr>
        <w:tabs>
          <w:tab w:val="clear" w:pos="709"/>
          <w:tab w:val="left" w:pos="1418" w:leader="none"/>
        </w:tabs>
        <w:bidi w:val="0"/>
        <w:ind w:hanging="283" w:start="1418"/>
        <w:jc w:val="start"/>
        <w:rPr/>
      </w:pPr>
      <w:r>
        <w:rPr>
          <w:b/>
        </w:rPr>
        <w:t>Balance sheet</w:t>
      </w:r>
      <w:r>
        <w:rPr/>
        <w:t xml:space="preserve"> — how financially strong the business is: assets minus liabilities = shareholders' equity.</w:t>
      </w:r>
    </w:p>
    <w:p>
      <w:pPr>
        <w:pStyle w:val="BodyText"/>
        <w:numPr>
          <w:ilvl w:val="1"/>
          <w:numId w:val="137"/>
        </w:numPr>
        <w:tabs>
          <w:tab w:val="clear" w:pos="709"/>
          <w:tab w:val="left" w:pos="1418" w:leader="none"/>
        </w:tabs>
        <w:bidi w:val="0"/>
        <w:ind w:hanging="283" w:start="1418"/>
        <w:jc w:val="start"/>
        <w:rPr/>
      </w:pPr>
      <w:r>
        <w:rPr>
          <w:b/>
        </w:rPr>
        <w:t>Statement of cash flows</w:t>
      </w:r>
      <w:r>
        <w:rPr/>
        <w:t xml:space="preserve"> — </w:t>
      </w:r>
      <w:r>
        <w:rPr>
          <w:b/>
        </w:rPr>
        <w:t>the most important</w:t>
      </w:r>
      <w:r>
        <w:rPr/>
        <w:t xml:space="preserve"> — how much cash was generated from the business, how much was paid out, how much was borrowed or repaid.</w:t>
      </w:r>
    </w:p>
    <w:p>
      <w:pPr>
        <w:pStyle w:val="Heading4"/>
        <w:numPr>
          <w:ilvl w:val="0"/>
          <w:numId w:val="0"/>
        </w:numPr>
        <w:bidi w:val="0"/>
        <w:ind w:hanging="0" w:start="0"/>
        <w:jc w:val="start"/>
        <w:rPr/>
      </w:pPr>
      <w:r>
        <w:rPr/>
        <w:t>1.2 You don't need to read the raw reports</w:t>
      </w:r>
    </w:p>
    <w:p>
      <w:pPr>
        <w:pStyle w:val="BodyText"/>
        <w:numPr>
          <w:ilvl w:val="0"/>
          <w:numId w:val="138"/>
        </w:numPr>
        <w:tabs>
          <w:tab w:val="clear" w:pos="709"/>
          <w:tab w:val="left" w:pos="709" w:leader="none"/>
        </w:tabs>
        <w:bidi w:val="0"/>
        <w:ind w:hanging="283" w:start="709"/>
        <w:jc w:val="start"/>
        <w:rPr/>
      </w:pPr>
      <w:r>
        <w:rPr/>
        <w:t xml:space="preserve">You </w:t>
      </w:r>
      <w:r>
        <w:rPr>
          <w:i/>
        </w:rPr>
        <w:t>can</w:t>
      </w:r>
      <w:r>
        <w:rPr/>
        <w:t xml:space="preserve"> download quarterly and annual reports from the company's website, but modern financial websites already </w:t>
      </w:r>
      <w:r>
        <w:rPr>
          <w:b/>
        </w:rPr>
        <w:t>compile and collate the data and pre-calculate most of the ratios</w:t>
      </w:r>
      <w:r>
        <w:rPr/>
        <w:t>.</w:t>
      </w:r>
    </w:p>
    <w:p>
      <w:pPr>
        <w:pStyle w:val="Heading4"/>
        <w:numPr>
          <w:ilvl w:val="0"/>
          <w:numId w:val="0"/>
        </w:numPr>
        <w:bidi w:val="0"/>
        <w:ind w:hanging="0" w:start="0"/>
        <w:jc w:val="start"/>
        <w:rPr/>
      </w:pPr>
      <w:r>
        <w:rPr/>
        <w:t>1.3 Finding the next earnings date</w:t>
      </w:r>
    </w:p>
    <w:p>
      <w:pPr>
        <w:pStyle w:val="BodyText"/>
        <w:bidi w:val="0"/>
        <w:jc w:val="start"/>
        <w:rPr/>
      </w:pPr>
      <w:r>
        <w:rPr>
          <w:b/>
        </w:rPr>
        <w:t>TradingView (charting software)</w:t>
      </w:r>
    </w:p>
    <w:p>
      <w:pPr>
        <w:pStyle w:val="BodyText"/>
        <w:numPr>
          <w:ilvl w:val="0"/>
          <w:numId w:val="139"/>
        </w:numPr>
        <w:tabs>
          <w:tab w:val="clear" w:pos="709"/>
          <w:tab w:val="left" w:pos="709" w:leader="none"/>
        </w:tabs>
        <w:bidi w:val="0"/>
        <w:ind w:hanging="283" w:start="709"/>
        <w:jc w:val="start"/>
        <w:rPr/>
      </w:pPr>
      <w:r>
        <w:rPr/>
        <w:t xml:space="preserve">Enter the ticker; an </w:t>
      </w:r>
      <w:r>
        <w:rPr>
          <w:b/>
        </w:rPr>
        <w:t>"E" icon</w:t>
      </w:r>
      <w:r>
        <w:rPr/>
        <w:t xml:space="preserve"> appears on the chart marking earnings.</w:t>
      </w:r>
    </w:p>
    <w:p>
      <w:pPr>
        <w:pStyle w:val="BodyText"/>
        <w:numPr>
          <w:ilvl w:val="0"/>
          <w:numId w:val="139"/>
        </w:numPr>
        <w:tabs>
          <w:tab w:val="clear" w:pos="709"/>
          <w:tab w:val="left" w:pos="709" w:leader="none"/>
        </w:tabs>
        <w:bidi w:val="0"/>
        <w:ind w:hanging="283" w:start="709"/>
        <w:jc w:val="start"/>
        <w:rPr/>
      </w:pPr>
      <w:r>
        <w:rPr/>
        <w:t xml:space="preserve">Example shown: </w:t>
      </w:r>
      <w:r>
        <w:rPr>
          <w:b/>
        </w:rPr>
        <w:t>Apple — earnings to be announced Thursday, 30 January 2025</w:t>
      </w:r>
      <w:r>
        <w:rPr/>
        <w:t xml:space="preserve"> (recording date 28 January, so two days away).</w:t>
      </w:r>
    </w:p>
    <w:p>
      <w:pPr>
        <w:pStyle w:val="BodyText"/>
        <w:numPr>
          <w:ilvl w:val="0"/>
          <w:numId w:val="139"/>
        </w:numPr>
        <w:tabs>
          <w:tab w:val="clear" w:pos="709"/>
          <w:tab w:val="left" w:pos="709" w:leader="none"/>
        </w:tabs>
        <w:bidi w:val="0"/>
        <w:ind w:hanging="283" w:start="709"/>
        <w:jc w:val="start"/>
        <w:rPr/>
      </w:pPr>
      <w:r>
        <w:rPr/>
        <w:t xml:space="preserve">Companies announce either </w:t>
      </w:r>
      <w:r>
        <w:rPr>
          <w:b/>
        </w:rPr>
        <w:t>before the market opens ("BFO")</w:t>
      </w:r>
      <w:r>
        <w:rPr/>
        <w:t xml:space="preserve"> or </w:t>
      </w:r>
      <w:r>
        <w:rPr>
          <w:b/>
        </w:rPr>
        <w:t>after the market closes</w:t>
      </w:r>
      <w:r>
        <w:rPr/>
        <w:t xml:space="preserve"> — Apple's example showed </w:t>
      </w:r>
      <w:r>
        <w:rPr>
          <w:i/>
        </w:rPr>
        <w:t>after market close, 4pm Eastern Time</w:t>
      </w:r>
      <w:r>
        <w:rPr/>
        <w:t>.</w:t>
      </w:r>
    </w:p>
    <w:p>
      <w:pPr>
        <w:pStyle w:val="BodyText"/>
        <w:numPr>
          <w:ilvl w:val="0"/>
          <w:numId w:val="139"/>
        </w:numPr>
        <w:tabs>
          <w:tab w:val="clear" w:pos="709"/>
          <w:tab w:val="left" w:pos="709" w:leader="none"/>
        </w:tabs>
        <w:bidi w:val="0"/>
        <w:ind w:hanging="283" w:start="709"/>
        <w:jc w:val="start"/>
        <w:rPr/>
      </w:pPr>
      <w:r>
        <w:rPr/>
        <w:t xml:space="preserve">Historical earnings markers show beats/misses. Example quarter shown: analysts expected </w:t>
      </w:r>
      <w:r>
        <w:rPr>
          <w:b/>
        </w:rPr>
        <w:t>$1.60 EPS</w:t>
      </w:r>
      <w:r>
        <w:rPr/>
        <w:t xml:space="preserve">, company reported </w:t>
      </w:r>
      <w:r>
        <w:rPr>
          <w:b/>
        </w:rPr>
        <w:t>$0.97 — 39% below expectations</w:t>
      </w:r>
      <w:r>
        <w:rPr/>
        <w:t xml:space="preserve">; </w:t>
      </w:r>
      <w:r>
        <w:rPr>
          <w:b/>
        </w:rPr>
        <w:t>revenue was above expectations by 0.44%</w:t>
      </w:r>
      <w:r>
        <w:rPr/>
        <w:t xml:space="preserve">. Stock dropped a bit, then eventually went up again. Another marker showed earnings and revenue </w:t>
      </w:r>
      <w:r>
        <w:rPr>
          <w:b/>
        </w:rPr>
        <w:t>both better than expected</w:t>
      </w:r>
      <w:r>
        <w:rPr/>
        <w:t xml:space="preserve">, and the stock </w:t>
      </w:r>
      <w:r>
        <w:rPr>
          <w:b/>
        </w:rPr>
        <w:t>initially dropped, then went up again</w:t>
      </w:r>
      <w:r>
        <w:rPr/>
        <w:t>.</w:t>
      </w:r>
    </w:p>
    <w:p>
      <w:pPr>
        <w:pStyle w:val="BodyText"/>
        <w:bidi w:val="0"/>
        <w:jc w:val="start"/>
        <w:rPr/>
      </w:pPr>
      <w:r>
        <w:rPr>
          <w:b/>
        </w:rPr>
        <w:t>Yahoo Finance earnings calendar</w:t>
      </w:r>
    </w:p>
    <w:p>
      <w:pPr>
        <w:pStyle w:val="BodyText"/>
        <w:numPr>
          <w:ilvl w:val="0"/>
          <w:numId w:val="140"/>
        </w:numPr>
        <w:tabs>
          <w:tab w:val="clear" w:pos="709"/>
          <w:tab w:val="left" w:pos="709" w:leader="none"/>
        </w:tabs>
        <w:bidi w:val="0"/>
        <w:ind w:hanging="283" w:start="709"/>
        <w:jc w:val="start"/>
        <w:rPr/>
      </w:pPr>
      <w:r>
        <w:rPr>
          <w:rFonts w:ascii="Liberation Mono" w:hAnsi="Liberation Mono"/>
        </w:rPr>
        <w:t>finance.yahoo.com/calendar/earnings</w:t>
      </w:r>
    </w:p>
    <w:p>
      <w:pPr>
        <w:pStyle w:val="BodyText"/>
        <w:numPr>
          <w:ilvl w:val="0"/>
          <w:numId w:val="140"/>
        </w:numPr>
        <w:tabs>
          <w:tab w:val="clear" w:pos="709"/>
          <w:tab w:val="left" w:pos="709" w:leader="none"/>
        </w:tabs>
        <w:bidi w:val="0"/>
        <w:ind w:hanging="283" w:start="709"/>
        <w:jc w:val="start"/>
        <w:rPr/>
      </w:pPr>
      <w:r>
        <w:rPr/>
        <w:t xml:space="preserve">Shows all companies reporting in a chosen period; search a ticker (e.g. </w:t>
      </w:r>
      <w:r>
        <w:rPr>
          <w:b/>
        </w:rPr>
        <w:t>MSFT</w:t>
      </w:r>
      <w:r>
        <w:rPr/>
        <w:t xml:space="preserve">) to get its next date. Example shown: </w:t>
      </w:r>
      <w:r>
        <w:rPr>
          <w:b/>
        </w:rPr>
        <w:t>next earnings 25 April 2022</w:t>
      </w:r>
      <w:r>
        <w:rPr/>
        <w:t>.</w:t>
      </w:r>
    </w:p>
    <w:p>
      <w:pPr>
        <w:pStyle w:val="Heading4"/>
        <w:numPr>
          <w:ilvl w:val="0"/>
          <w:numId w:val="0"/>
        </w:numPr>
        <w:bidi w:val="0"/>
        <w:ind w:hanging="0" w:start="0"/>
        <w:jc w:val="start"/>
        <w:rPr/>
      </w:pPr>
      <w:r>
        <w:rPr/>
        <w:t>1.4 Should you buy before or after earnings?</w:t>
      </w:r>
    </w:p>
    <w:p>
      <w:pPr>
        <w:pStyle w:val="BodyText"/>
        <w:numPr>
          <w:ilvl w:val="0"/>
          <w:numId w:val="141"/>
        </w:numPr>
        <w:tabs>
          <w:tab w:val="clear" w:pos="709"/>
          <w:tab w:val="left" w:pos="709" w:leader="none"/>
        </w:tabs>
        <w:bidi w:val="0"/>
        <w:ind w:hanging="283" w:start="709"/>
        <w:jc w:val="start"/>
        <w:rPr/>
      </w:pPr>
      <w:r>
        <w:rPr>
          <w:b/>
        </w:rPr>
        <w:t>"It is totally unimportant."</w:t>
      </w:r>
    </w:p>
    <w:p>
      <w:pPr>
        <w:pStyle w:val="BodyText"/>
        <w:numPr>
          <w:ilvl w:val="0"/>
          <w:numId w:val="141"/>
        </w:numPr>
        <w:tabs>
          <w:tab w:val="clear" w:pos="709"/>
          <w:tab w:val="left" w:pos="709" w:leader="none"/>
        </w:tabs>
        <w:bidi w:val="0"/>
        <w:ind w:hanging="283" w:start="709"/>
        <w:jc w:val="start"/>
        <w:rPr/>
      </w:pPr>
      <w:r>
        <w:rPr/>
        <w:t xml:space="preserve">Reason: </w:t>
      </w:r>
      <w:r>
        <w:rPr>
          <w:b/>
        </w:rPr>
        <w:t>a great business will have good quarters and bad quarters, good years and bad years. There is no great company that has a good quarter every quarter.</w:t>
      </w:r>
    </w:p>
    <w:p>
      <w:pPr>
        <w:pStyle w:val="BodyText"/>
        <w:numPr>
          <w:ilvl w:val="0"/>
          <w:numId w:val="141"/>
        </w:numPr>
        <w:tabs>
          <w:tab w:val="clear" w:pos="709"/>
          <w:tab w:val="left" w:pos="709" w:leader="none"/>
        </w:tabs>
        <w:bidi w:val="0"/>
        <w:ind w:hanging="283" w:start="709"/>
        <w:jc w:val="start"/>
        <w:rPr/>
      </w:pPr>
      <w:r>
        <w:rPr/>
        <w:t xml:space="preserve">In the short term the market is </w:t>
      </w:r>
      <w:r>
        <w:rPr>
          <w:b/>
        </w:rPr>
        <w:t>often manipulated / illogical</w:t>
      </w:r>
      <w:r>
        <w:rPr/>
        <w:t xml:space="preserve"> — a company can beat on earnings </w:t>
      </w:r>
      <w:r>
        <w:rPr>
          <w:i/>
        </w:rPr>
        <w:t>and</w:t>
      </w:r>
      <w:r>
        <w:rPr/>
        <w:t xml:space="preserve"> revenue and the share price still drops; it can report bad results and the price goes up. </w:t>
      </w:r>
      <w:r>
        <w:rPr>
          <w:b/>
        </w:rPr>
        <w:t>On an earnings announcement, anything can happen — it's a coin flip.</w:t>
      </w:r>
    </w:p>
    <w:p>
      <w:pPr>
        <w:pStyle w:val="BodyText"/>
        <w:numPr>
          <w:ilvl w:val="0"/>
          <w:numId w:val="141"/>
        </w:numPr>
        <w:tabs>
          <w:tab w:val="clear" w:pos="709"/>
          <w:tab w:val="left" w:pos="709" w:leader="none"/>
        </w:tabs>
        <w:bidi w:val="0"/>
        <w:ind w:hanging="283" w:start="709"/>
        <w:jc w:val="start"/>
        <w:rPr/>
      </w:pPr>
      <w:r>
        <w:rPr/>
        <w:t xml:space="preserve">What matters: over the years, </w:t>
      </w:r>
      <w:r>
        <w:rPr>
          <w:b/>
        </w:rPr>
        <w:t>revenue, profits and cash flow from operations trend upward</w:t>
      </w:r>
      <w:r>
        <w:rPr/>
        <w:t>.</w:t>
      </w:r>
    </w:p>
    <w:p>
      <w:pPr>
        <w:pStyle w:val="BodyText"/>
        <w:numPr>
          <w:ilvl w:val="0"/>
          <w:numId w:val="141"/>
        </w:numPr>
        <w:tabs>
          <w:tab w:val="clear" w:pos="709"/>
          <w:tab w:val="left" w:pos="709" w:leader="none"/>
        </w:tabs>
        <w:bidi w:val="0"/>
        <w:ind w:hanging="283" w:start="709"/>
        <w:jc w:val="start"/>
        <w:rPr/>
      </w:pPr>
      <w:r>
        <w:rPr/>
        <w:t xml:space="preserve">Once you </w:t>
      </w:r>
      <w:r>
        <w:rPr>
          <w:i/>
        </w:rPr>
        <w:t>own</w:t>
      </w:r>
      <w:r>
        <w:rPr/>
        <w:t xml:space="preserve"> a company it </w:t>
      </w:r>
      <w:r>
        <w:rPr>
          <w:i/>
        </w:rPr>
        <w:t>is</w:t>
      </w:r>
      <w:r>
        <w:rPr/>
        <w:t xml:space="preserve"> useful to read the quarterly results and the </w:t>
      </w:r>
      <w:r>
        <w:rPr>
          <w:b/>
        </w:rPr>
        <w:t>CEO conference call transcript</w:t>
      </w:r>
      <w:r>
        <w:rPr/>
        <w:t xml:space="preserve"> to confirm the company is following its plan and roughly delivering on projected revenues and profits.</w:t>
      </w:r>
    </w:p>
    <w:p>
      <w:pPr>
        <w:pStyle w:val="Heading4"/>
        <w:numPr>
          <w:ilvl w:val="0"/>
          <w:numId w:val="0"/>
        </w:numPr>
        <w:bidi w:val="0"/>
        <w:ind w:hanging="0" w:start="0"/>
        <w:jc w:val="start"/>
        <w:rPr/>
      </w:pPr>
      <w:r>
        <w:rPr/>
        <w:t>1.5 Where to pull financial statements</w:t>
      </w:r>
    </w:p>
    <w:p>
      <w:pPr>
        <w:pStyle w:val="BodyText"/>
        <w:bidi w:val="0"/>
        <w:jc w:val="start"/>
        <w:rPr/>
      </w:pPr>
      <w:r>
        <w:rPr>
          <w:b/>
        </w:rPr>
        <w:t>Website 1 — StockOracle (preferred; presents data very visually)</w:t>
      </w:r>
    </w:p>
    <w:p>
      <w:pPr>
        <w:pStyle w:val="BodyText"/>
        <w:numPr>
          <w:ilvl w:val="0"/>
          <w:numId w:val="142"/>
        </w:numPr>
        <w:tabs>
          <w:tab w:val="clear" w:pos="709"/>
          <w:tab w:val="left" w:pos="709" w:leader="none"/>
        </w:tabs>
        <w:bidi w:val="0"/>
        <w:ind w:hanging="283" w:start="709"/>
        <w:jc w:val="start"/>
        <w:rPr/>
      </w:pPr>
      <w:r>
        <w:rPr/>
        <w:t xml:space="preserve">Enter the ticker in the </w:t>
      </w:r>
      <w:r>
        <w:rPr>
          <w:b/>
        </w:rPr>
        <w:t>top right</w:t>
      </w:r>
      <w:r>
        <w:rPr/>
        <w:t xml:space="preserve"> search (e.g. Apple = </w:t>
      </w:r>
      <w:r>
        <w:rPr>
          <w:b/>
        </w:rPr>
        <w:t>AAPL</w:t>
      </w:r>
      <w:r>
        <w:rPr/>
        <w:t>).</w:t>
      </w:r>
    </w:p>
    <w:p>
      <w:pPr>
        <w:pStyle w:val="BodyText"/>
        <w:numPr>
          <w:ilvl w:val="0"/>
          <w:numId w:val="142"/>
        </w:numPr>
        <w:tabs>
          <w:tab w:val="clear" w:pos="709"/>
          <w:tab w:val="left" w:pos="709" w:leader="none"/>
        </w:tabs>
        <w:bidi w:val="0"/>
        <w:ind w:hanging="283" w:start="709"/>
        <w:jc w:val="start"/>
        <w:rPr/>
      </w:pPr>
      <w:r>
        <w:rPr/>
        <w:t xml:space="preserve">The company page shows the </w:t>
      </w:r>
      <w:r>
        <w:rPr>
          <w:b/>
        </w:rPr>
        <w:t>next earnings date</w:t>
      </w:r>
      <w:r>
        <w:rPr/>
        <w:t xml:space="preserve"> immediately. (Example: Apple next earnings </w:t>
      </w:r>
      <w:r>
        <w:rPr>
          <w:b/>
        </w:rPr>
        <w:t>30 April 2026</w:t>
      </w:r>
      <w:r>
        <w:rPr/>
        <w:t xml:space="preserve">; recording made </w:t>
      </w:r>
      <w:r>
        <w:rPr>
          <w:b/>
        </w:rPr>
        <w:t>February 2026</w:t>
      </w:r>
      <w:r>
        <w:rPr/>
        <w:t>.)</w:t>
      </w:r>
    </w:p>
    <w:p>
      <w:pPr>
        <w:pStyle w:val="BodyText"/>
        <w:numPr>
          <w:ilvl w:val="0"/>
          <w:numId w:val="142"/>
        </w:numPr>
        <w:tabs>
          <w:tab w:val="clear" w:pos="709"/>
          <w:tab w:val="left" w:pos="709" w:leader="none"/>
        </w:tabs>
        <w:bidi w:val="0"/>
        <w:ind w:hanging="283" w:start="709"/>
        <w:jc w:val="start"/>
        <w:rPr/>
      </w:pPr>
      <w:r>
        <w:rPr/>
        <w:t xml:space="preserve">Go to </w:t>
      </w:r>
      <w:r>
        <w:rPr>
          <w:b/>
        </w:rPr>
        <w:t>Financials → financial statements</w:t>
      </w:r>
      <w:r>
        <w:rPr/>
        <w:t>.</w:t>
      </w:r>
    </w:p>
    <w:p>
      <w:pPr>
        <w:pStyle w:val="BodyText"/>
        <w:numPr>
          <w:ilvl w:val="0"/>
          <w:numId w:val="142"/>
        </w:numPr>
        <w:tabs>
          <w:tab w:val="clear" w:pos="709"/>
          <w:tab w:val="left" w:pos="709" w:leader="none"/>
        </w:tabs>
        <w:bidi w:val="0"/>
        <w:ind w:hanging="283" w:start="709"/>
        <w:jc w:val="start"/>
        <w:rPr/>
      </w:pPr>
      <w:r>
        <w:rPr/>
        <w:t xml:space="preserve">Data can be displayed as a </w:t>
      </w:r>
      <w:r>
        <w:rPr>
          <w:b/>
        </w:rPr>
        <w:t>line chart or bar chart</w:t>
      </w:r>
      <w:r>
        <w:rPr/>
        <w:t xml:space="preserve">. Charts show, in one view: </w:t>
      </w:r>
      <w:r>
        <w:rPr>
          <w:b/>
        </w:rPr>
        <w:t>sales revenue</w:t>
      </w:r>
      <w:r>
        <w:rPr/>
        <w:t xml:space="preserve">, </w:t>
      </w:r>
      <w:r>
        <w:rPr>
          <w:b/>
        </w:rPr>
        <w:t>operating income (orange)</w:t>
      </w:r>
      <w:r>
        <w:rPr/>
        <w:t xml:space="preserve">, </w:t>
      </w:r>
      <w:r>
        <w:rPr>
          <w:b/>
        </w:rPr>
        <w:t>net income</w:t>
      </w:r>
      <w:r>
        <w:rPr/>
        <w:t xml:space="preserve">, and on the right the cash flow data — </w:t>
      </w:r>
      <w:r>
        <w:rPr>
          <w:b/>
        </w:rPr>
        <w:t>operating cash flow (orange)</w:t>
      </w:r>
      <w:r>
        <w:rPr/>
        <w:t xml:space="preserve"> and </w:t>
      </w:r>
      <w:r>
        <w:rPr>
          <w:b/>
        </w:rPr>
        <w:t>free cash flow (dark green)</w:t>
      </w:r>
      <w:r>
        <w:rPr/>
        <w:t>.</w:t>
      </w:r>
    </w:p>
    <w:p>
      <w:pPr>
        <w:pStyle w:val="BodyText"/>
        <w:numPr>
          <w:ilvl w:val="0"/>
          <w:numId w:val="142"/>
        </w:numPr>
        <w:tabs>
          <w:tab w:val="clear" w:pos="709"/>
          <w:tab w:val="left" w:pos="709" w:leader="none"/>
        </w:tabs>
        <w:bidi w:val="0"/>
        <w:ind w:hanging="283" w:start="709"/>
        <w:jc w:val="start"/>
        <w:rPr/>
      </w:pPr>
      <w:r>
        <w:rPr/>
        <w:t xml:space="preserve">Scroll down for the three statements in order: </w:t>
      </w:r>
      <w:r>
        <w:rPr>
          <w:b/>
        </w:rPr>
        <w:t>income statement → balance sheet → cash flow statement (statement of cash flows)</w:t>
      </w:r>
      <w:r>
        <w:rPr/>
        <w:t>.</w:t>
      </w:r>
    </w:p>
    <w:p>
      <w:pPr>
        <w:pStyle w:val="BodyText"/>
        <w:numPr>
          <w:ilvl w:val="0"/>
          <w:numId w:val="142"/>
        </w:numPr>
        <w:tabs>
          <w:tab w:val="clear" w:pos="709"/>
          <w:tab w:val="left" w:pos="709" w:leader="none"/>
        </w:tabs>
        <w:bidi w:val="0"/>
        <w:ind w:hanging="283" w:start="709"/>
        <w:jc w:val="start"/>
        <w:rPr/>
      </w:pPr>
      <w:r>
        <w:rPr>
          <w:b/>
        </w:rPr>
        <w:t>Free / basic account = last 5 years of data. Paid account = 10 years of data.</w:t>
      </w:r>
      <w:r>
        <w:rPr/>
        <w:t xml:space="preserve"> (Visual trend charts of margins and ROE/ROIC require the paid/Pro account.)</w:t>
      </w:r>
    </w:p>
    <w:p>
      <w:pPr>
        <w:pStyle w:val="BodyText"/>
        <w:numPr>
          <w:ilvl w:val="0"/>
          <w:numId w:val="142"/>
        </w:numPr>
        <w:tabs>
          <w:tab w:val="clear" w:pos="709"/>
          <w:tab w:val="left" w:pos="709" w:leader="none"/>
        </w:tabs>
        <w:bidi w:val="0"/>
        <w:ind w:hanging="283" w:start="709"/>
        <w:jc w:val="start"/>
        <w:rPr/>
      </w:pPr>
      <w:r>
        <w:rPr/>
        <w:t xml:space="preserve">Toggle </w:t>
      </w:r>
      <w:r>
        <w:rPr>
          <w:b/>
        </w:rPr>
        <w:t>annual</w:t>
      </w:r>
      <w:r>
        <w:rPr/>
        <w:t xml:space="preserve"> or </w:t>
      </w:r>
      <w:r>
        <w:rPr>
          <w:b/>
        </w:rPr>
        <w:t>quarterly</w:t>
      </w:r>
      <w:r>
        <w:rPr/>
        <w:t>.</w:t>
      </w:r>
    </w:p>
    <w:p>
      <w:pPr>
        <w:pStyle w:val="BodyText"/>
        <w:numPr>
          <w:ilvl w:val="0"/>
          <w:numId w:val="142"/>
        </w:numPr>
        <w:tabs>
          <w:tab w:val="clear" w:pos="709"/>
          <w:tab w:val="left" w:pos="709" w:leader="none"/>
        </w:tabs>
        <w:bidi w:val="0"/>
        <w:ind w:hanging="283" w:start="709"/>
        <w:jc w:val="start"/>
        <w:rPr/>
      </w:pPr>
      <w:r>
        <w:rPr/>
        <w:t xml:space="preserve">Additional locations for ratios: </w:t>
      </w:r>
      <w:r>
        <w:rPr>
          <w:b/>
        </w:rPr>
        <w:t>Company Metrics</w:t>
      </w:r>
      <w:r>
        <w:rPr/>
        <w:t xml:space="preserve"> page (profitability ratios, debt ratios, efficiency ratios) — the basic free account also carries roughly the last 5 years there.</w:t>
      </w:r>
    </w:p>
    <w:p>
      <w:pPr>
        <w:pStyle w:val="BodyText"/>
        <w:numPr>
          <w:ilvl w:val="0"/>
          <w:numId w:val="142"/>
        </w:numPr>
        <w:tabs>
          <w:tab w:val="clear" w:pos="709"/>
          <w:tab w:val="left" w:pos="709" w:leader="none"/>
        </w:tabs>
        <w:bidi w:val="0"/>
        <w:ind w:hanging="283" w:start="709"/>
        <w:jc w:val="start"/>
        <w:rPr/>
      </w:pPr>
      <w:r>
        <w:rPr>
          <w:b/>
        </w:rPr>
        <w:t>Coverage limitation:</w:t>
      </w:r>
      <w:r>
        <w:rPr/>
        <w:t xml:space="preserve"> StockOracle covers </w:t>
      </w:r>
      <w:r>
        <w:rPr>
          <w:b/>
        </w:rPr>
        <w:t>all US-listed stocks</w:t>
      </w:r>
      <w:r>
        <w:rPr/>
        <w:t xml:space="preserve"> only. Stocks listed in India, South Korea, Malaysia, Singapore, China are </w:t>
      </w:r>
      <w:r>
        <w:rPr>
          <w:b/>
        </w:rPr>
        <w:t>not yet available</w:t>
      </w:r>
      <w:r>
        <w:rPr/>
        <w:t xml:space="preserve">. </w:t>
      </w:r>
      <w:r>
        <w:rPr>
          <w:b/>
        </w:rPr>
        <w:t>By end of 2026, Singapore and China–Hong Kong listed stocks will be added.</w:t>
      </w:r>
    </w:p>
    <w:p>
      <w:pPr>
        <w:pStyle w:val="BodyText"/>
        <w:bidi w:val="0"/>
        <w:jc w:val="start"/>
        <w:rPr/>
      </w:pPr>
      <w:r>
        <w:rPr>
          <w:b/>
        </w:rPr>
        <w:t>Website 2 — Yahoo Finance (for non-US listings)</w:t>
      </w:r>
    </w:p>
    <w:p>
      <w:pPr>
        <w:pStyle w:val="BodyText"/>
        <w:numPr>
          <w:ilvl w:val="0"/>
          <w:numId w:val="143"/>
        </w:numPr>
        <w:tabs>
          <w:tab w:val="clear" w:pos="709"/>
          <w:tab w:val="left" w:pos="709" w:leader="none"/>
        </w:tabs>
        <w:bidi w:val="0"/>
        <w:ind w:hanging="283" w:start="709"/>
        <w:jc w:val="start"/>
        <w:rPr/>
      </w:pPr>
      <w:r>
        <w:rPr/>
        <w:t xml:space="preserve">Example walkthrough: search </w:t>
      </w:r>
      <w:r>
        <w:rPr>
          <w:b/>
        </w:rPr>
        <w:t>DBS Bank → ticker D05 → Financials</w:t>
      </w:r>
      <w:r>
        <w:rPr/>
        <w:t>. Same three statements: income statement, balance sheet, statement of cash flows.</w:t>
      </w:r>
    </w:p>
    <w:p>
      <w:pPr>
        <w:pStyle w:val="BodyText"/>
        <w:numPr>
          <w:ilvl w:val="0"/>
          <w:numId w:val="143"/>
        </w:numPr>
        <w:tabs>
          <w:tab w:val="clear" w:pos="709"/>
          <w:tab w:val="left" w:pos="709" w:leader="none"/>
        </w:tabs>
        <w:bidi w:val="0"/>
        <w:ind w:hanging="283" w:start="709"/>
        <w:jc w:val="start"/>
        <w:rPr/>
      </w:pPr>
      <w:r>
        <w:rPr/>
        <w:t xml:space="preserve">Free version shows </w:t>
      </w:r>
      <w:r>
        <w:rPr>
          <w:b/>
        </w:rPr>
        <w:t>4 years of data plus the last 12 months</w:t>
      </w:r>
      <w:r>
        <w:rPr/>
        <w:t>; toggle annual/quarterly.</w:t>
      </w:r>
    </w:p>
    <w:p>
      <w:pPr>
        <w:pStyle w:val="BodyText"/>
        <w:bidi w:val="0"/>
        <w:jc w:val="start"/>
        <w:rPr/>
      </w:pPr>
      <w:r>
        <w:rPr>
          <w:b/>
        </w:rPr>
        <w:t>Website 3 — Morningstar.com (fallback for foreign stocks; free section)</w:t>
      </w:r>
    </w:p>
    <w:p>
      <w:pPr>
        <w:pStyle w:val="BodyText"/>
        <w:numPr>
          <w:ilvl w:val="0"/>
          <w:numId w:val="144"/>
        </w:numPr>
        <w:tabs>
          <w:tab w:val="clear" w:pos="709"/>
          <w:tab w:val="left" w:pos="709" w:leader="none"/>
        </w:tabs>
        <w:bidi w:val="0"/>
        <w:ind w:hanging="283" w:start="709"/>
        <w:jc w:val="start"/>
        <w:rPr/>
      </w:pPr>
      <w:r>
        <w:rPr/>
        <w:t xml:space="preserve">Normally a paid site, but a free section carries </w:t>
      </w:r>
      <w:r>
        <w:rPr>
          <w:b/>
        </w:rPr>
        <w:t>ROE and ROIC</w:t>
      </w:r>
      <w:r>
        <w:rPr/>
        <w:t>.</w:t>
      </w:r>
    </w:p>
    <w:p>
      <w:pPr>
        <w:pStyle w:val="BodyText"/>
        <w:numPr>
          <w:ilvl w:val="0"/>
          <w:numId w:val="144"/>
        </w:numPr>
        <w:tabs>
          <w:tab w:val="clear" w:pos="709"/>
          <w:tab w:val="left" w:pos="709" w:leader="none"/>
        </w:tabs>
        <w:bidi w:val="0"/>
        <w:ind w:hanging="283" w:start="709"/>
        <w:jc w:val="start"/>
        <w:rPr/>
      </w:pPr>
      <w:r>
        <w:rPr/>
        <w:t xml:space="preserve">Example: </w:t>
      </w:r>
      <w:r>
        <w:rPr>
          <w:b/>
        </w:rPr>
        <w:t>Ping An Insurance</w:t>
      </w:r>
      <w:r>
        <w:rPr/>
        <w:t xml:space="preserve"> (China–Hong Kong), choose the </w:t>
      </w:r>
      <w:r>
        <w:rPr>
          <w:b/>
        </w:rPr>
        <w:t>H shares listed on the Hong Kong market → Key Metrics → Profit and Efficiency Ratios</w:t>
      </w:r>
      <w:r>
        <w:rPr/>
        <w:t xml:space="preserve"> → ROE is shown. </w:t>
      </w:r>
      <w:r>
        <w:rPr>
          <w:b/>
        </w:rPr>
        <w:t>ROIC is not provided</w:t>
      </w:r>
      <w:r>
        <w:rPr/>
        <w:t xml:space="preserve"> (and in any case ROIC does not apply to banks or insurance companies — Ping An is both).</w:t>
      </w:r>
    </w:p>
    <w:p>
      <w:pPr>
        <w:pStyle w:val="Heading4"/>
        <w:numPr>
          <w:ilvl w:val="0"/>
          <w:numId w:val="0"/>
        </w:numPr>
        <w:bidi w:val="0"/>
        <w:ind w:hanging="0" w:start="0"/>
        <w:jc w:val="start"/>
        <w:rPr/>
      </w:pPr>
      <w:r>
        <w:rPr/>
        <w:t>1.6 ⚠️ Two formatting traps to watch</w:t>
      </w:r>
    </w:p>
    <w:tbl>
      <w:tblPr>
        <w:tblW w:w="5000" w:type="pct"/>
        <w:jc w:val="start"/>
        <w:tblInd w:w="-5" w:type="dxa"/>
        <w:tblLayout w:type="fixed"/>
        <w:tblCellMar>
          <w:top w:w="55" w:type="dxa"/>
          <w:start w:w="55" w:type="dxa"/>
          <w:bottom w:w="55" w:type="dxa"/>
          <w:end w:w="55" w:type="dxa"/>
        </w:tblCellMar>
      </w:tblPr>
      <w:tblGrid>
        <w:gridCol w:w="3212"/>
        <w:gridCol w:w="3213"/>
        <w:gridCol w:w="3213"/>
      </w:tblGrid>
      <w:tr>
        <w:trPr>
          <w:tblHeader w:val="true"/>
        </w:trPr>
        <w:tc>
          <w:tcPr>
            <w:tcW w:w="3212" w:type="dxa"/>
            <w:tcBorders>
              <w:top w:val="single" w:sz="4" w:space="0" w:color="000000"/>
              <w:start w:val="single" w:sz="4" w:space="0" w:color="000000"/>
              <w:bottom w:val="single" w:sz="4" w:space="0" w:color="000000"/>
            </w:tcBorders>
          </w:tcPr>
          <w:p>
            <w:pPr>
              <w:pStyle w:val="TableHeading"/>
              <w:bidi w:val="0"/>
              <w:jc w:val="start"/>
              <w:rPr/>
            </w:pPr>
            <w:r>
              <w:rPr/>
            </w:r>
          </w:p>
        </w:tc>
        <w:tc>
          <w:tcPr>
            <w:tcW w:w="3213" w:type="dxa"/>
            <w:tcBorders>
              <w:top w:val="single" w:sz="4" w:space="0" w:color="000000"/>
              <w:start w:val="single" w:sz="4" w:space="0" w:color="000000"/>
              <w:bottom w:val="single" w:sz="4" w:space="0" w:color="000000"/>
            </w:tcBorders>
          </w:tcPr>
          <w:p>
            <w:pPr>
              <w:pStyle w:val="TableHeading"/>
              <w:bidi w:val="0"/>
              <w:jc w:val="start"/>
              <w:rPr/>
            </w:pPr>
            <w:r>
              <w:rPr/>
              <w:t>Yahoo Finance</w:t>
            </w:r>
          </w:p>
        </w:tc>
        <w:tc>
          <w:tcPr>
            <w:tcW w:w="3213"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StockOracle (and most other sites)</w:t>
            </w:r>
          </w:p>
        </w:tc>
      </w:tr>
      <w:tr>
        <w:trPr/>
        <w:tc>
          <w:tcPr>
            <w:tcW w:w="3212" w:type="dxa"/>
            <w:tcBorders>
              <w:start w:val="single" w:sz="4" w:space="0" w:color="000000"/>
              <w:bottom w:val="single" w:sz="4" w:space="0" w:color="000000"/>
            </w:tcBorders>
          </w:tcPr>
          <w:p>
            <w:pPr>
              <w:pStyle w:val="TableContents"/>
              <w:bidi w:val="0"/>
              <w:jc w:val="start"/>
              <w:rPr/>
            </w:pPr>
            <w:r>
              <w:rPr>
                <w:b/>
              </w:rPr>
              <w:t>Column order</w:t>
            </w:r>
          </w:p>
        </w:tc>
        <w:tc>
          <w:tcPr>
            <w:tcW w:w="3213" w:type="dxa"/>
            <w:tcBorders>
              <w:start w:val="single" w:sz="4" w:space="0" w:color="000000"/>
              <w:bottom w:val="single" w:sz="4" w:space="0" w:color="000000"/>
            </w:tcBorders>
          </w:tcPr>
          <w:p>
            <w:pPr>
              <w:pStyle w:val="TableContents"/>
              <w:bidi w:val="0"/>
              <w:jc w:val="start"/>
              <w:rPr/>
            </w:pPr>
            <w:r>
              <w:rPr/>
              <w:t xml:space="preserve">Data runs </w:t>
            </w:r>
            <w:r>
              <w:rPr>
                <w:b/>
              </w:rPr>
              <w:t>right to left</w:t>
            </w:r>
            <w:r>
              <w:rPr/>
              <w:t xml:space="preserve"> (2022, 2023, 2024, 2025 reading right to left)</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 xml:space="preserve">Data runs </w:t>
            </w:r>
            <w:r>
              <w:rPr>
                <w:b/>
              </w:rPr>
              <w:t>left to right</w:t>
            </w:r>
            <w:r>
              <w:rPr/>
              <w:t xml:space="preserve"> (2021, 22, 23, 24, 25, then TTM)</w:t>
            </w:r>
          </w:p>
        </w:tc>
      </w:tr>
      <w:tr>
        <w:trPr/>
        <w:tc>
          <w:tcPr>
            <w:tcW w:w="3212" w:type="dxa"/>
            <w:tcBorders>
              <w:start w:val="single" w:sz="4" w:space="0" w:color="000000"/>
              <w:bottom w:val="single" w:sz="4" w:space="0" w:color="000000"/>
            </w:tcBorders>
          </w:tcPr>
          <w:p>
            <w:pPr>
              <w:pStyle w:val="TableContents"/>
              <w:bidi w:val="0"/>
              <w:jc w:val="start"/>
              <w:rPr/>
            </w:pPr>
            <w:r>
              <w:rPr>
                <w:b/>
              </w:rPr>
              <w:t>Denomination</w:t>
            </w:r>
          </w:p>
        </w:tc>
        <w:tc>
          <w:tcPr>
            <w:tcW w:w="3213" w:type="dxa"/>
            <w:tcBorders>
              <w:start w:val="single" w:sz="4" w:space="0" w:color="000000"/>
              <w:bottom w:val="single" w:sz="4" w:space="0" w:color="000000"/>
            </w:tcBorders>
          </w:tcPr>
          <w:p>
            <w:pPr>
              <w:pStyle w:val="TableContents"/>
              <w:bidi w:val="0"/>
              <w:jc w:val="start"/>
              <w:rPr/>
            </w:pPr>
            <w:r>
              <w:rPr/>
              <w:t xml:space="preserve">Figures reported </w:t>
            </w:r>
            <w:r>
              <w:rPr>
                <w:b/>
              </w:rPr>
              <w:t>in thousands</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 xml:space="preserve">Figures reported </w:t>
            </w:r>
            <w:r>
              <w:rPr>
                <w:b/>
              </w:rPr>
              <w:t>in millions</w:t>
            </w:r>
            <w:r>
              <w:rPr/>
              <w:t xml:space="preserve"> (US dollars, adjusted to USD)</w:t>
            </w:r>
          </w:p>
        </w:tc>
      </w:tr>
    </w:tbl>
    <w:p>
      <w:pPr>
        <w:pStyle w:val="BodyText"/>
        <w:bidi w:val="0"/>
        <w:jc w:val="start"/>
        <w:rPr/>
      </w:pPr>
      <w:r>
        <w:rPr/>
      </w:r>
    </w:p>
    <w:p>
      <w:pPr>
        <w:pStyle w:val="BodyText"/>
        <w:numPr>
          <w:ilvl w:val="0"/>
          <w:numId w:val="145"/>
        </w:numPr>
        <w:tabs>
          <w:tab w:val="clear" w:pos="709"/>
          <w:tab w:val="left" w:pos="709" w:leader="none"/>
        </w:tabs>
        <w:bidi w:val="0"/>
        <w:ind w:hanging="283" w:start="709"/>
        <w:jc w:val="start"/>
        <w:rPr/>
      </w:pPr>
      <w:r>
        <w:rPr/>
        <w:t xml:space="preserve">Reading millions: </w:t>
      </w:r>
      <w:r>
        <w:rPr>
          <w:b/>
        </w:rPr>
        <w:t>1,000 million = 1 billion.</w:t>
      </w:r>
      <w:r>
        <w:rPr/>
        <w:t xml:space="preserve"> So Apple's </w:t>
      </w:r>
      <w:r>
        <w:rPr>
          <w:rFonts w:ascii="Liberation Mono" w:hAnsi="Liberation Mono"/>
        </w:rPr>
        <w:t>435,617</w:t>
      </w:r>
      <w:r>
        <w:rPr/>
        <w:t xml:space="preserve"> = </w:t>
      </w:r>
      <w:r>
        <w:rPr>
          <w:b/>
        </w:rPr>
        <w:t>435,617 million = $435.617 billion</w:t>
      </w:r>
      <w:r>
        <w:rPr/>
        <w:t>.</w:t>
      </w:r>
    </w:p>
    <w:p>
      <w:pPr>
        <w:pStyle w:val="Heading4"/>
        <w:numPr>
          <w:ilvl w:val="0"/>
          <w:numId w:val="0"/>
        </w:numPr>
        <w:bidi w:val="0"/>
        <w:ind w:hanging="0" w:start="0"/>
        <w:jc w:val="start"/>
        <w:rPr/>
      </w:pPr>
      <w:r>
        <w:rPr/>
        <w:t>1.7 TTM (trailing twelve months)</w:t>
      </w:r>
    </w:p>
    <w:p>
      <w:pPr>
        <w:pStyle w:val="BodyText"/>
        <w:numPr>
          <w:ilvl w:val="0"/>
          <w:numId w:val="146"/>
        </w:numPr>
        <w:tabs>
          <w:tab w:val="clear" w:pos="709"/>
          <w:tab w:val="left" w:pos="709" w:leader="none"/>
        </w:tabs>
        <w:bidi w:val="0"/>
        <w:ind w:hanging="283" w:start="709"/>
        <w:jc w:val="start"/>
        <w:rPr/>
      </w:pPr>
      <w:r>
        <w:rPr/>
        <w:t xml:space="preserve">The last column on StockOracle is </w:t>
      </w:r>
      <w:r>
        <w:rPr>
          <w:b/>
        </w:rPr>
        <w:t>TTM = the last 12 months = the last four quarters added together</w:t>
      </w:r>
      <w:r>
        <w:rPr/>
        <w:t>.</w:t>
      </w:r>
    </w:p>
    <w:p>
      <w:pPr>
        <w:pStyle w:val="BodyText"/>
        <w:numPr>
          <w:ilvl w:val="0"/>
          <w:numId w:val="146"/>
        </w:numPr>
        <w:tabs>
          <w:tab w:val="clear" w:pos="709"/>
          <w:tab w:val="left" w:pos="709" w:leader="none"/>
        </w:tabs>
        <w:bidi w:val="0"/>
        <w:ind w:hanging="283" w:start="709"/>
        <w:jc w:val="start"/>
        <w:rPr/>
      </w:pPr>
      <w:r>
        <w:rPr>
          <w:b/>
        </w:rPr>
        <w:t>The last 12 months may or may not match the last financial year</w:t>
      </w:r>
      <w:r>
        <w:rPr/>
        <w:t xml:space="preserve"> — they don't always coincide. (For Alphabet in the example they </w:t>
      </w:r>
      <w:r>
        <w:rPr>
          <w:i/>
        </w:rPr>
        <w:t>did</w:t>
      </w:r>
      <w:r>
        <w:rPr/>
        <w:t xml:space="preserve"> coincide, so the TTM figure equalled the last financial year figure.)</w:t>
      </w:r>
    </w:p>
    <w:p>
      <w:pPr>
        <w:pStyle w:val="BodyText"/>
        <w:numPr>
          <w:ilvl w:val="0"/>
          <w:numId w:val="146"/>
        </w:numPr>
        <w:tabs>
          <w:tab w:val="clear" w:pos="709"/>
          <w:tab w:val="left" w:pos="709" w:leader="none"/>
        </w:tabs>
        <w:bidi w:val="0"/>
        <w:ind w:hanging="283" w:start="709"/>
        <w:jc w:val="start"/>
        <w:rPr/>
      </w:pPr>
      <w:r>
        <w:rPr/>
        <w:t xml:space="preserve">You can verify TTM yourself by clicking </w:t>
      </w:r>
      <w:r>
        <w:rPr>
          <w:b/>
        </w:rPr>
        <w:t>Quarterly</w:t>
      </w:r>
      <w:r>
        <w:rPr/>
        <w:t xml:space="preserve"> and summing the last four quarters.</w:t>
      </w:r>
    </w:p>
    <w:p>
      <w:pPr>
        <w:pStyle w:val="BodyText"/>
        <w:numPr>
          <w:ilvl w:val="0"/>
          <w:numId w:val="146"/>
        </w:numPr>
        <w:tabs>
          <w:tab w:val="clear" w:pos="709"/>
          <w:tab w:val="left" w:pos="709" w:leader="none"/>
        </w:tabs>
        <w:bidi w:val="0"/>
        <w:ind w:hanging="283" w:start="709"/>
        <w:jc w:val="start"/>
        <w:rPr/>
      </w:pPr>
      <w:r>
        <w:rPr>
          <w:b/>
        </w:rPr>
        <w:t>Not all companies end their financial year in December</w:t>
      </w:r>
      <w:r>
        <w:rPr/>
        <w:t xml:space="preserve"> — Apple's financial year </w:t>
      </w:r>
      <w:r>
        <w:rPr>
          <w:b/>
        </w:rPr>
        <w:t>ends in September</w:t>
      </w:r>
      <w:r>
        <w:rPr/>
        <w:t>.</w:t>
      </w:r>
    </w:p>
    <w:p>
      <w:pPr>
        <w:pStyle w:val="Heading4"/>
        <w:numPr>
          <w:ilvl w:val="0"/>
          <w:numId w:val="0"/>
        </w:numPr>
        <w:bidi w:val="0"/>
        <w:ind w:hanging="0" w:start="0"/>
        <w:jc w:val="start"/>
        <w:rPr/>
      </w:pPr>
      <w:r>
        <w:rPr/>
        <w:t>1.8 Which period to use for which statement</w:t>
      </w:r>
    </w:p>
    <w:tbl>
      <w:tblPr>
        <w:tblW w:w="5000" w:type="pct"/>
        <w:jc w:val="start"/>
        <w:tblInd w:w="-5" w:type="dxa"/>
        <w:tblLayout w:type="fixed"/>
        <w:tblCellMar>
          <w:top w:w="55" w:type="dxa"/>
          <w:start w:w="55" w:type="dxa"/>
          <w:bottom w:w="55" w:type="dxa"/>
          <w:end w:w="55" w:type="dxa"/>
        </w:tblCellMar>
      </w:tblPr>
      <w:tblGrid>
        <w:gridCol w:w="3212"/>
        <w:gridCol w:w="3213"/>
        <w:gridCol w:w="3213"/>
      </w:tblGrid>
      <w:tr>
        <w:trPr>
          <w:tblHeader w:val="true"/>
        </w:trPr>
        <w:tc>
          <w:tcPr>
            <w:tcW w:w="3212" w:type="dxa"/>
            <w:tcBorders>
              <w:top w:val="single" w:sz="4" w:space="0" w:color="000000"/>
              <w:start w:val="single" w:sz="4" w:space="0" w:color="000000"/>
              <w:bottom w:val="single" w:sz="4" w:space="0" w:color="000000"/>
            </w:tcBorders>
          </w:tcPr>
          <w:p>
            <w:pPr>
              <w:pStyle w:val="TableHeading"/>
              <w:bidi w:val="0"/>
              <w:jc w:val="start"/>
              <w:rPr/>
            </w:pPr>
            <w:r>
              <w:rPr/>
              <w:t>Statement</w:t>
            </w:r>
          </w:p>
        </w:tc>
        <w:tc>
          <w:tcPr>
            <w:tcW w:w="3213" w:type="dxa"/>
            <w:tcBorders>
              <w:top w:val="single" w:sz="4" w:space="0" w:color="000000"/>
              <w:start w:val="single" w:sz="4" w:space="0" w:color="000000"/>
              <w:bottom w:val="single" w:sz="4" w:space="0" w:color="000000"/>
            </w:tcBorders>
          </w:tcPr>
          <w:p>
            <w:pPr>
              <w:pStyle w:val="TableHeading"/>
              <w:bidi w:val="0"/>
              <w:jc w:val="start"/>
              <w:rPr/>
            </w:pPr>
            <w:r>
              <w:rPr/>
              <w:t>Measures</w:t>
            </w:r>
          </w:p>
        </w:tc>
        <w:tc>
          <w:tcPr>
            <w:tcW w:w="3213"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Use</w:t>
            </w:r>
          </w:p>
        </w:tc>
      </w:tr>
      <w:tr>
        <w:trPr/>
        <w:tc>
          <w:tcPr>
            <w:tcW w:w="3212" w:type="dxa"/>
            <w:tcBorders>
              <w:start w:val="single" w:sz="4" w:space="0" w:color="000000"/>
              <w:bottom w:val="single" w:sz="4" w:space="0" w:color="000000"/>
            </w:tcBorders>
          </w:tcPr>
          <w:p>
            <w:pPr>
              <w:pStyle w:val="TableContents"/>
              <w:bidi w:val="0"/>
              <w:jc w:val="start"/>
              <w:rPr/>
            </w:pPr>
            <w:r>
              <w:rPr>
                <w:b/>
              </w:rPr>
              <w:t>Income statement</w:t>
            </w:r>
          </w:p>
        </w:tc>
        <w:tc>
          <w:tcPr>
            <w:tcW w:w="3213" w:type="dxa"/>
            <w:tcBorders>
              <w:start w:val="single" w:sz="4" w:space="0" w:color="000000"/>
              <w:bottom w:val="single" w:sz="4" w:space="0" w:color="000000"/>
            </w:tcBorders>
          </w:tcPr>
          <w:p>
            <w:pPr>
              <w:pStyle w:val="TableContents"/>
              <w:bidi w:val="0"/>
              <w:jc w:val="start"/>
              <w:rPr/>
            </w:pPr>
            <w:r>
              <w:rPr/>
              <w:t xml:space="preserve">A </w:t>
            </w:r>
            <w:r>
              <w:rPr>
                <w:b/>
              </w:rPr>
              <w:t>period of time</w:t>
            </w:r>
            <w:r>
              <w:rPr/>
              <w:t xml:space="preserve"> (how much was made over a year)</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b/>
              </w:rPr>
              <w:t>Annual</w:t>
            </w:r>
            <w:r>
              <w:rPr/>
              <w:t xml:space="preserve"> figures, compared year to year</w:t>
            </w:r>
          </w:p>
        </w:tc>
      </w:tr>
      <w:tr>
        <w:trPr/>
        <w:tc>
          <w:tcPr>
            <w:tcW w:w="3212" w:type="dxa"/>
            <w:tcBorders>
              <w:start w:val="single" w:sz="4" w:space="0" w:color="000000"/>
              <w:bottom w:val="single" w:sz="4" w:space="0" w:color="000000"/>
            </w:tcBorders>
          </w:tcPr>
          <w:p>
            <w:pPr>
              <w:pStyle w:val="TableContents"/>
              <w:bidi w:val="0"/>
              <w:jc w:val="start"/>
              <w:rPr/>
            </w:pPr>
            <w:r>
              <w:rPr>
                <w:b/>
              </w:rPr>
              <w:t>Statement of cash flows</w:t>
            </w:r>
          </w:p>
        </w:tc>
        <w:tc>
          <w:tcPr>
            <w:tcW w:w="3213" w:type="dxa"/>
            <w:tcBorders>
              <w:start w:val="single" w:sz="4" w:space="0" w:color="000000"/>
              <w:bottom w:val="single" w:sz="4" w:space="0" w:color="000000"/>
            </w:tcBorders>
          </w:tcPr>
          <w:p>
            <w:pPr>
              <w:pStyle w:val="TableContents"/>
              <w:bidi w:val="0"/>
              <w:jc w:val="start"/>
              <w:rPr/>
            </w:pPr>
            <w:r>
              <w:rPr/>
              <w:t xml:space="preserve">A </w:t>
            </w:r>
            <w:r>
              <w:rPr>
                <w:b/>
              </w:rPr>
              <w:t>period of time</w:t>
            </w:r>
            <w:r>
              <w:rPr/>
              <w:t xml:space="preserve"> (cash in/out over 12 months)</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b/>
              </w:rPr>
              <w:t>Annual</w:t>
            </w:r>
            <w:r>
              <w:rPr/>
              <w:t xml:space="preserve"> figures</w:t>
            </w:r>
          </w:p>
        </w:tc>
      </w:tr>
      <w:tr>
        <w:trPr/>
        <w:tc>
          <w:tcPr>
            <w:tcW w:w="3212" w:type="dxa"/>
            <w:tcBorders>
              <w:start w:val="single" w:sz="4" w:space="0" w:color="000000"/>
              <w:bottom w:val="single" w:sz="4" w:space="0" w:color="000000"/>
            </w:tcBorders>
          </w:tcPr>
          <w:p>
            <w:pPr>
              <w:pStyle w:val="TableContents"/>
              <w:bidi w:val="0"/>
              <w:jc w:val="start"/>
              <w:rPr/>
            </w:pPr>
            <w:r>
              <w:rPr>
                <w:b/>
              </w:rPr>
              <w:t>Balance sheet</w:t>
            </w:r>
          </w:p>
        </w:tc>
        <w:tc>
          <w:tcPr>
            <w:tcW w:w="3213" w:type="dxa"/>
            <w:tcBorders>
              <w:start w:val="single" w:sz="4" w:space="0" w:color="000000"/>
              <w:bottom w:val="single" w:sz="4" w:space="0" w:color="000000"/>
            </w:tcBorders>
          </w:tcPr>
          <w:p>
            <w:pPr>
              <w:pStyle w:val="TableContents"/>
              <w:bidi w:val="0"/>
              <w:jc w:val="start"/>
              <w:rPr/>
            </w:pPr>
            <w:r>
              <w:rPr/>
              <w:t xml:space="preserve">A </w:t>
            </w:r>
            <w:r>
              <w:rPr>
                <w:b/>
              </w:rPr>
              <w:t>snapshot at a point in time</w:t>
            </w:r>
            <w:r>
              <w:rPr/>
              <w:t xml:space="preserve"> (how much cash/debt right now)</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b/>
              </w:rPr>
              <w:t>Latest quarterly</w:t>
            </w:r>
            <w:r>
              <w:rPr/>
              <w:t xml:space="preserve"> report</w:t>
            </w:r>
          </w:p>
        </w:tc>
      </w:tr>
    </w:tbl>
    <w:p>
      <w:pPr>
        <w:pStyle w:val="BodyText"/>
        <w:bidi w:val="0"/>
        <w:jc w:val="start"/>
        <w:rPr/>
      </w:pPr>
      <w:r>
        <w:rPr/>
      </w:r>
    </w:p>
    <w:p>
      <w:pPr>
        <w:pStyle w:val="HorizontalLine"/>
        <w:bidi w:val="0"/>
        <w:jc w:val="start"/>
        <w:rPr/>
      </w:pPr>
      <w:r>
        <w:rPr/>
      </w:r>
    </w:p>
    <w:p>
      <w:pPr>
        <w:pStyle w:val="Heading3"/>
        <w:bidi w:val="0"/>
        <w:ind w:hanging="0" w:start="0"/>
        <w:jc w:val="start"/>
        <w:rPr/>
      </w:pPr>
      <w:r>
        <w:rPr/>
        <w:t>2. The Income Statement</w:t>
      </w:r>
    </w:p>
    <w:p>
      <w:pPr>
        <w:pStyle w:val="BlockQuotation"/>
        <w:bidi w:val="0"/>
        <w:jc w:val="start"/>
        <w:rPr/>
      </w:pPr>
      <w:r>
        <w:rPr>
          <w:i/>
        </w:rPr>
        <w:t>"The income statement tells you how good the company is at making money."</w:t>
      </w:r>
      <w:r>
        <w:rPr/>
        <w:t xml:space="preserve"> Sales generated, all costs and expenses, and the profit left for shareholders.</w:t>
      </w:r>
    </w:p>
    <w:p>
      <w:pPr>
        <w:pStyle w:val="Heading4"/>
        <w:bidi w:val="0"/>
        <w:ind w:hanging="0" w:start="0"/>
        <w:jc w:val="start"/>
        <w:rPr/>
      </w:pPr>
      <w:r>
        <w:rPr/>
        <w:t>2.1 The line items in order (Adam's whiteboard shoe-company example)</w:t>
      </w:r>
    </w:p>
    <w:p>
      <w:pPr>
        <w:pStyle w:val="BodyText"/>
        <w:bidi w:val="0"/>
        <w:jc w:val="start"/>
        <w:rPr/>
      </w:pPr>
      <w:r>
        <w:rPr/>
        <w:t xml:space="preserve">Worked example: a shoe company sells shoes at </w:t>
      </w:r>
      <w:r>
        <w:rPr>
          <w:b/>
        </w:rPr>
        <w:t>$500 each</w:t>
      </w:r>
      <w:r>
        <w:rPr/>
        <w:t xml:space="preserve">, sells </w:t>
      </w:r>
      <w:r>
        <w:rPr>
          <w:b/>
        </w:rPr>
        <w:t>1,000 shoes a year</w:t>
      </w:r>
      <w:r>
        <w:rPr/>
        <w:t>.</w:t>
      </w:r>
    </w:p>
    <w:tbl>
      <w:tblPr>
        <w:tblW w:w="5000" w:type="pct"/>
        <w:jc w:val="start"/>
        <w:tblInd w:w="-5" w:type="dxa"/>
        <w:tblLayout w:type="fixed"/>
        <w:tblCellMar>
          <w:top w:w="55" w:type="dxa"/>
          <w:start w:w="55" w:type="dxa"/>
          <w:bottom w:w="55" w:type="dxa"/>
          <w:end w:w="55" w:type="dxa"/>
        </w:tblCellMar>
      </w:tblPr>
      <w:tblGrid>
        <w:gridCol w:w="1927"/>
        <w:gridCol w:w="1928"/>
        <w:gridCol w:w="1927"/>
        <w:gridCol w:w="1928"/>
        <w:gridCol w:w="1928"/>
      </w:tblGrid>
      <w:tr>
        <w:trPr>
          <w:tblHeader w:val="true"/>
        </w:trPr>
        <w:tc>
          <w:tcPr>
            <w:tcW w:w="1927" w:type="dxa"/>
            <w:tcBorders>
              <w:top w:val="single" w:sz="4" w:space="0" w:color="000000"/>
              <w:start w:val="single" w:sz="4" w:space="0" w:color="000000"/>
              <w:bottom w:val="single" w:sz="4" w:space="0" w:color="000000"/>
            </w:tcBorders>
          </w:tcPr>
          <w:p>
            <w:pPr>
              <w:pStyle w:val="TableHeading"/>
              <w:bidi w:val="0"/>
              <w:jc w:val="start"/>
              <w:rPr/>
            </w:pPr>
            <w:r>
              <w:rPr/>
              <w:t>#</w:t>
            </w:r>
          </w:p>
        </w:tc>
        <w:tc>
          <w:tcPr>
            <w:tcW w:w="1928" w:type="dxa"/>
            <w:tcBorders>
              <w:top w:val="single" w:sz="4" w:space="0" w:color="000000"/>
              <w:start w:val="single" w:sz="4" w:space="0" w:color="000000"/>
              <w:bottom w:val="single" w:sz="4" w:space="0" w:color="000000"/>
            </w:tcBorders>
          </w:tcPr>
          <w:p>
            <w:pPr>
              <w:pStyle w:val="TableHeading"/>
              <w:bidi w:val="0"/>
              <w:jc w:val="start"/>
              <w:rPr/>
            </w:pPr>
            <w:r>
              <w:rPr/>
              <w:t>Line item</w:t>
            </w:r>
          </w:p>
        </w:tc>
        <w:tc>
          <w:tcPr>
            <w:tcW w:w="1927" w:type="dxa"/>
            <w:tcBorders>
              <w:top w:val="single" w:sz="4" w:space="0" w:color="000000"/>
              <w:start w:val="single" w:sz="4" w:space="0" w:color="000000"/>
              <w:bottom w:val="single" w:sz="4" w:space="0" w:color="000000"/>
            </w:tcBorders>
          </w:tcPr>
          <w:p>
            <w:pPr>
              <w:pStyle w:val="TableHeading"/>
              <w:bidi w:val="0"/>
              <w:jc w:val="start"/>
              <w:rPr/>
            </w:pPr>
            <w:r>
              <w:rPr/>
              <w:t>Also called</w:t>
            </w:r>
          </w:p>
        </w:tc>
        <w:tc>
          <w:tcPr>
            <w:tcW w:w="1928" w:type="dxa"/>
            <w:tcBorders>
              <w:top w:val="single" w:sz="4" w:space="0" w:color="000000"/>
              <w:start w:val="single" w:sz="4" w:space="0" w:color="000000"/>
              <w:bottom w:val="single" w:sz="4" w:space="0" w:color="000000"/>
            </w:tcBorders>
          </w:tcPr>
          <w:p>
            <w:pPr>
              <w:pStyle w:val="TableHeading"/>
              <w:bidi w:val="0"/>
              <w:jc w:val="start"/>
              <w:rPr/>
            </w:pPr>
            <w:r>
              <w:rPr/>
              <w:t>Example figure</w:t>
            </w:r>
          </w:p>
        </w:tc>
        <w:tc>
          <w:tcPr>
            <w:tcW w:w="1928"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Note</w:t>
            </w:r>
          </w:p>
        </w:tc>
      </w:tr>
      <w:tr>
        <w:trPr/>
        <w:tc>
          <w:tcPr>
            <w:tcW w:w="1927" w:type="dxa"/>
            <w:tcBorders>
              <w:start w:val="single" w:sz="4" w:space="0" w:color="000000"/>
              <w:bottom w:val="single" w:sz="4" w:space="0" w:color="000000"/>
            </w:tcBorders>
          </w:tcPr>
          <w:p>
            <w:pPr>
              <w:pStyle w:val="TableContents"/>
              <w:bidi w:val="0"/>
              <w:jc w:val="start"/>
              <w:rPr/>
            </w:pPr>
            <w:r>
              <w:rPr/>
              <w:t>1</w:t>
            </w:r>
          </w:p>
        </w:tc>
        <w:tc>
          <w:tcPr>
            <w:tcW w:w="1928" w:type="dxa"/>
            <w:tcBorders>
              <w:start w:val="single" w:sz="4" w:space="0" w:color="000000"/>
              <w:bottom w:val="single" w:sz="4" w:space="0" w:color="000000"/>
            </w:tcBorders>
          </w:tcPr>
          <w:p>
            <w:pPr>
              <w:pStyle w:val="TableContents"/>
              <w:bidi w:val="0"/>
              <w:jc w:val="start"/>
              <w:rPr/>
            </w:pPr>
            <w:r>
              <w:rPr>
                <w:b/>
              </w:rPr>
              <w:t>Sales revenue</w:t>
            </w:r>
          </w:p>
        </w:tc>
        <w:tc>
          <w:tcPr>
            <w:tcW w:w="1927" w:type="dxa"/>
            <w:tcBorders>
              <w:start w:val="single" w:sz="4" w:space="0" w:color="000000"/>
              <w:bottom w:val="single" w:sz="4" w:space="0" w:color="000000"/>
            </w:tcBorders>
          </w:tcPr>
          <w:p>
            <w:pPr>
              <w:pStyle w:val="TableContents"/>
              <w:bidi w:val="0"/>
              <w:jc w:val="start"/>
              <w:rPr/>
            </w:pPr>
            <w:r>
              <w:rPr/>
              <w:t>Revenue</w:t>
            </w:r>
          </w:p>
        </w:tc>
        <w:tc>
          <w:tcPr>
            <w:tcW w:w="1928" w:type="dxa"/>
            <w:tcBorders>
              <w:start w:val="single" w:sz="4" w:space="0" w:color="000000"/>
              <w:bottom w:val="single" w:sz="4" w:space="0" w:color="000000"/>
            </w:tcBorders>
          </w:tcPr>
          <w:p>
            <w:pPr>
              <w:pStyle w:val="TableContents"/>
              <w:bidi w:val="0"/>
              <w:jc w:val="start"/>
              <w:rPr/>
            </w:pPr>
            <w:r>
              <w:rPr>
                <w:b/>
              </w:rPr>
              <w:t>$500,000</w:t>
            </w:r>
          </w:p>
        </w:tc>
        <w:tc>
          <w:tcPr>
            <w:tcW w:w="1928" w:type="dxa"/>
            <w:tcBorders>
              <w:start w:val="single" w:sz="4" w:space="0" w:color="000000"/>
              <w:bottom w:val="single" w:sz="4" w:space="0" w:color="000000"/>
              <w:end w:val="single" w:sz="4" w:space="0" w:color="000000"/>
            </w:tcBorders>
          </w:tcPr>
          <w:p>
            <w:pPr>
              <w:pStyle w:val="TableContents"/>
              <w:bidi w:val="0"/>
              <w:jc w:val="start"/>
              <w:rPr/>
            </w:pPr>
            <w:r>
              <w:rPr/>
              <w:t>$500 × 1,000 shoes</w:t>
            </w:r>
          </w:p>
        </w:tc>
      </w:tr>
      <w:tr>
        <w:trPr/>
        <w:tc>
          <w:tcPr>
            <w:tcW w:w="1927" w:type="dxa"/>
            <w:tcBorders>
              <w:start w:val="single" w:sz="4" w:space="0" w:color="000000"/>
              <w:bottom w:val="single" w:sz="4" w:space="0" w:color="000000"/>
            </w:tcBorders>
          </w:tcPr>
          <w:p>
            <w:pPr>
              <w:pStyle w:val="TableContents"/>
              <w:bidi w:val="0"/>
              <w:jc w:val="start"/>
              <w:rPr/>
            </w:pPr>
            <w:r>
              <w:rPr/>
              <w:t>2</w:t>
            </w:r>
          </w:p>
        </w:tc>
        <w:tc>
          <w:tcPr>
            <w:tcW w:w="1928" w:type="dxa"/>
            <w:tcBorders>
              <w:start w:val="single" w:sz="4" w:space="0" w:color="000000"/>
              <w:bottom w:val="single" w:sz="4" w:space="0" w:color="000000"/>
            </w:tcBorders>
          </w:tcPr>
          <w:p>
            <w:pPr>
              <w:pStyle w:val="TableContents"/>
              <w:bidi w:val="0"/>
              <w:jc w:val="start"/>
              <w:rPr/>
            </w:pPr>
            <w:r>
              <w:rPr>
                <w:b/>
              </w:rPr>
              <w:t xml:space="preserve">− </w:t>
            </w:r>
            <w:r>
              <w:rPr>
                <w:b/>
              </w:rPr>
              <w:t>Cost of goods sold</w:t>
            </w:r>
          </w:p>
        </w:tc>
        <w:tc>
          <w:tcPr>
            <w:tcW w:w="1927" w:type="dxa"/>
            <w:tcBorders>
              <w:start w:val="single" w:sz="4" w:space="0" w:color="000000"/>
              <w:bottom w:val="single" w:sz="4" w:space="0" w:color="000000"/>
            </w:tcBorders>
          </w:tcPr>
          <w:p>
            <w:pPr>
              <w:pStyle w:val="TableContents"/>
              <w:bidi w:val="0"/>
              <w:jc w:val="start"/>
              <w:rPr/>
            </w:pPr>
            <w:r>
              <w:rPr>
                <w:b/>
              </w:rPr>
              <w:t>COGS</w:t>
            </w:r>
          </w:p>
        </w:tc>
        <w:tc>
          <w:tcPr>
            <w:tcW w:w="1928" w:type="dxa"/>
            <w:tcBorders>
              <w:start w:val="single" w:sz="4" w:space="0" w:color="000000"/>
              <w:bottom w:val="single" w:sz="4" w:space="0" w:color="000000"/>
            </w:tcBorders>
          </w:tcPr>
          <w:p>
            <w:pPr>
              <w:pStyle w:val="TableContents"/>
              <w:bidi w:val="0"/>
              <w:jc w:val="start"/>
              <w:rPr/>
            </w:pPr>
            <w:r>
              <w:rPr>
                <w:b/>
              </w:rPr>
              <w:t>−</w:t>
            </w:r>
            <w:r>
              <w:rPr>
                <w:b/>
              </w:rPr>
              <w:t>$250,000</w:t>
            </w:r>
          </w:p>
        </w:tc>
        <w:tc>
          <w:tcPr>
            <w:tcW w:w="1928" w:type="dxa"/>
            <w:tcBorders>
              <w:start w:val="single" w:sz="4" w:space="0" w:color="000000"/>
              <w:bottom w:val="single" w:sz="4" w:space="0" w:color="000000"/>
              <w:end w:val="single" w:sz="4" w:space="0" w:color="000000"/>
            </w:tcBorders>
          </w:tcPr>
          <w:p>
            <w:pPr>
              <w:pStyle w:val="TableContents"/>
              <w:bidi w:val="0"/>
              <w:jc w:val="start"/>
              <w:rPr/>
            </w:pPr>
            <w:r>
              <w:rPr/>
              <w:t>$250 to make each shoe × 1,000</w:t>
            </w:r>
          </w:p>
        </w:tc>
      </w:tr>
      <w:tr>
        <w:trPr/>
        <w:tc>
          <w:tcPr>
            <w:tcW w:w="1927" w:type="dxa"/>
            <w:tcBorders>
              <w:start w:val="single" w:sz="4" w:space="0" w:color="000000"/>
              <w:bottom w:val="single" w:sz="4" w:space="0" w:color="000000"/>
            </w:tcBorders>
          </w:tcPr>
          <w:p>
            <w:pPr>
              <w:pStyle w:val="TableContents"/>
              <w:bidi w:val="0"/>
              <w:jc w:val="start"/>
              <w:rPr/>
            </w:pPr>
            <w:r>
              <w:rPr/>
              <w:t>3</w:t>
            </w:r>
          </w:p>
        </w:tc>
        <w:tc>
          <w:tcPr>
            <w:tcW w:w="1928" w:type="dxa"/>
            <w:tcBorders>
              <w:start w:val="single" w:sz="4" w:space="0" w:color="000000"/>
              <w:bottom w:val="single" w:sz="4" w:space="0" w:color="000000"/>
            </w:tcBorders>
          </w:tcPr>
          <w:p>
            <w:pPr>
              <w:pStyle w:val="TableContents"/>
              <w:bidi w:val="0"/>
              <w:jc w:val="start"/>
              <w:rPr/>
            </w:pPr>
            <w:r>
              <w:rPr>
                <w:b/>
              </w:rPr>
              <w:t>= Gross profit</w:t>
            </w:r>
          </w:p>
        </w:tc>
        <w:tc>
          <w:tcPr>
            <w:tcW w:w="1927" w:type="dxa"/>
            <w:tcBorders>
              <w:start w:val="single" w:sz="4" w:space="0" w:color="000000"/>
              <w:bottom w:val="single" w:sz="4" w:space="0" w:color="000000"/>
            </w:tcBorders>
          </w:tcPr>
          <w:p>
            <w:pPr>
              <w:pStyle w:val="TableContents"/>
              <w:bidi w:val="0"/>
              <w:jc w:val="start"/>
              <w:rPr/>
            </w:pPr>
            <w:r>
              <w:rPr/>
            </w:r>
          </w:p>
        </w:tc>
        <w:tc>
          <w:tcPr>
            <w:tcW w:w="1928" w:type="dxa"/>
            <w:tcBorders>
              <w:start w:val="single" w:sz="4" w:space="0" w:color="000000"/>
              <w:bottom w:val="single" w:sz="4" w:space="0" w:color="000000"/>
            </w:tcBorders>
          </w:tcPr>
          <w:p>
            <w:pPr>
              <w:pStyle w:val="TableContents"/>
              <w:bidi w:val="0"/>
              <w:jc w:val="start"/>
              <w:rPr/>
            </w:pPr>
            <w:r>
              <w:rPr>
                <w:b/>
              </w:rPr>
              <w:t>$250,000</w:t>
            </w:r>
          </w:p>
        </w:tc>
        <w:tc>
          <w:tcPr>
            <w:tcW w:w="1928" w:type="dxa"/>
            <w:tcBorders>
              <w:start w:val="single" w:sz="4" w:space="0" w:color="000000"/>
              <w:bottom w:val="single" w:sz="4" w:space="0" w:color="000000"/>
              <w:end w:val="single" w:sz="4" w:space="0" w:color="000000"/>
            </w:tcBorders>
          </w:tcPr>
          <w:p>
            <w:pPr>
              <w:pStyle w:val="TableContents"/>
              <w:bidi w:val="0"/>
              <w:jc w:val="start"/>
              <w:rPr/>
            </w:pPr>
            <w:r>
              <w:rPr/>
              <w:t>Sales − COGS</w:t>
            </w:r>
          </w:p>
        </w:tc>
      </w:tr>
      <w:tr>
        <w:trPr/>
        <w:tc>
          <w:tcPr>
            <w:tcW w:w="1927" w:type="dxa"/>
            <w:tcBorders>
              <w:start w:val="single" w:sz="4" w:space="0" w:color="000000"/>
              <w:bottom w:val="single" w:sz="4" w:space="0" w:color="000000"/>
            </w:tcBorders>
          </w:tcPr>
          <w:p>
            <w:pPr>
              <w:pStyle w:val="TableContents"/>
              <w:bidi w:val="0"/>
              <w:jc w:val="start"/>
              <w:rPr/>
            </w:pPr>
            <w:r>
              <w:rPr/>
              <w:t>4</w:t>
            </w:r>
          </w:p>
        </w:tc>
        <w:tc>
          <w:tcPr>
            <w:tcW w:w="1928" w:type="dxa"/>
            <w:tcBorders>
              <w:start w:val="single" w:sz="4" w:space="0" w:color="000000"/>
              <w:bottom w:val="single" w:sz="4" w:space="0" w:color="000000"/>
            </w:tcBorders>
          </w:tcPr>
          <w:p>
            <w:pPr>
              <w:pStyle w:val="TableContents"/>
              <w:bidi w:val="0"/>
              <w:jc w:val="start"/>
              <w:rPr/>
            </w:pPr>
            <w:r>
              <w:rPr>
                <w:b/>
              </w:rPr>
              <w:t xml:space="preserve">− </w:t>
            </w:r>
            <w:r>
              <w:rPr>
                <w:b/>
              </w:rPr>
              <w:t>Operating expenses</w:t>
            </w:r>
          </w:p>
        </w:tc>
        <w:tc>
          <w:tcPr>
            <w:tcW w:w="1927" w:type="dxa"/>
            <w:tcBorders>
              <w:start w:val="single" w:sz="4" w:space="0" w:color="000000"/>
              <w:bottom w:val="single" w:sz="4" w:space="0" w:color="000000"/>
            </w:tcBorders>
          </w:tcPr>
          <w:p>
            <w:pPr>
              <w:pStyle w:val="TableContents"/>
              <w:bidi w:val="0"/>
              <w:jc w:val="start"/>
              <w:rPr/>
            </w:pPr>
            <w:r>
              <w:rPr>
                <w:b/>
              </w:rPr>
              <w:t>OPEX</w:t>
            </w:r>
            <w:r>
              <w:rPr/>
              <w:t xml:space="preserve"> / overheads</w:t>
            </w:r>
          </w:p>
        </w:tc>
        <w:tc>
          <w:tcPr>
            <w:tcW w:w="1928" w:type="dxa"/>
            <w:tcBorders>
              <w:start w:val="single" w:sz="4" w:space="0" w:color="000000"/>
              <w:bottom w:val="single" w:sz="4" w:space="0" w:color="000000"/>
            </w:tcBorders>
          </w:tcPr>
          <w:p>
            <w:pPr>
              <w:pStyle w:val="TableContents"/>
              <w:bidi w:val="0"/>
              <w:jc w:val="start"/>
              <w:rPr/>
            </w:pPr>
            <w:r>
              <w:rPr>
                <w:b/>
              </w:rPr>
              <w:t>−</w:t>
            </w:r>
            <w:r>
              <w:rPr>
                <w:b/>
              </w:rPr>
              <w:t>$100,000</w:t>
            </w:r>
          </w:p>
        </w:tc>
        <w:tc>
          <w:tcPr>
            <w:tcW w:w="1928" w:type="dxa"/>
            <w:tcBorders>
              <w:start w:val="single" w:sz="4" w:space="0" w:color="000000"/>
              <w:bottom w:val="single" w:sz="4" w:space="0" w:color="000000"/>
              <w:end w:val="single" w:sz="4" w:space="0" w:color="000000"/>
            </w:tcBorders>
          </w:tcPr>
          <w:p>
            <w:pPr>
              <w:pStyle w:val="TableContents"/>
              <w:bidi w:val="0"/>
              <w:jc w:val="start"/>
              <w:rPr/>
            </w:pPr>
            <w:r>
              <w:rPr/>
              <w:t>Costs of running the business</w:t>
            </w:r>
          </w:p>
        </w:tc>
      </w:tr>
      <w:tr>
        <w:trPr/>
        <w:tc>
          <w:tcPr>
            <w:tcW w:w="1927" w:type="dxa"/>
            <w:tcBorders>
              <w:start w:val="single" w:sz="4" w:space="0" w:color="000000"/>
              <w:bottom w:val="single" w:sz="4" w:space="0" w:color="000000"/>
            </w:tcBorders>
          </w:tcPr>
          <w:p>
            <w:pPr>
              <w:pStyle w:val="TableContents"/>
              <w:bidi w:val="0"/>
              <w:jc w:val="start"/>
              <w:rPr/>
            </w:pPr>
            <w:r>
              <w:rPr/>
              <w:t>5</w:t>
            </w:r>
          </w:p>
        </w:tc>
        <w:tc>
          <w:tcPr>
            <w:tcW w:w="1928" w:type="dxa"/>
            <w:tcBorders>
              <w:start w:val="single" w:sz="4" w:space="0" w:color="000000"/>
              <w:bottom w:val="single" w:sz="4" w:space="0" w:color="000000"/>
            </w:tcBorders>
          </w:tcPr>
          <w:p>
            <w:pPr>
              <w:pStyle w:val="TableContents"/>
              <w:bidi w:val="0"/>
              <w:jc w:val="start"/>
              <w:rPr/>
            </w:pPr>
            <w:r>
              <w:rPr>
                <w:b/>
              </w:rPr>
              <w:t>= Operating income</w:t>
            </w:r>
          </w:p>
        </w:tc>
        <w:tc>
          <w:tcPr>
            <w:tcW w:w="1927" w:type="dxa"/>
            <w:tcBorders>
              <w:start w:val="single" w:sz="4" w:space="0" w:color="000000"/>
              <w:bottom w:val="single" w:sz="4" w:space="0" w:color="000000"/>
            </w:tcBorders>
          </w:tcPr>
          <w:p>
            <w:pPr>
              <w:pStyle w:val="TableContents"/>
              <w:bidi w:val="0"/>
              <w:jc w:val="start"/>
              <w:rPr/>
            </w:pPr>
            <w:r>
              <w:rPr/>
            </w:r>
          </w:p>
        </w:tc>
        <w:tc>
          <w:tcPr>
            <w:tcW w:w="1928" w:type="dxa"/>
            <w:tcBorders>
              <w:start w:val="single" w:sz="4" w:space="0" w:color="000000"/>
              <w:bottom w:val="single" w:sz="4" w:space="0" w:color="000000"/>
            </w:tcBorders>
          </w:tcPr>
          <w:p>
            <w:pPr>
              <w:pStyle w:val="TableContents"/>
              <w:bidi w:val="0"/>
              <w:jc w:val="start"/>
              <w:rPr/>
            </w:pPr>
            <w:r>
              <w:rPr>
                <w:b/>
              </w:rPr>
              <w:t>$150,000</w:t>
            </w:r>
          </w:p>
        </w:tc>
        <w:tc>
          <w:tcPr>
            <w:tcW w:w="1928" w:type="dxa"/>
            <w:tcBorders>
              <w:start w:val="single" w:sz="4" w:space="0" w:color="000000"/>
              <w:bottom w:val="single" w:sz="4" w:space="0" w:color="000000"/>
              <w:end w:val="single" w:sz="4" w:space="0" w:color="000000"/>
            </w:tcBorders>
          </w:tcPr>
          <w:p>
            <w:pPr>
              <w:pStyle w:val="TableContents"/>
              <w:bidi w:val="0"/>
              <w:jc w:val="start"/>
              <w:rPr/>
            </w:pPr>
            <w:r>
              <w:rPr>
                <w:b/>
              </w:rPr>
              <w:t>Profit the company makes from its core business</w:t>
            </w:r>
          </w:p>
        </w:tc>
      </w:tr>
      <w:tr>
        <w:trPr/>
        <w:tc>
          <w:tcPr>
            <w:tcW w:w="1927" w:type="dxa"/>
            <w:tcBorders>
              <w:start w:val="single" w:sz="4" w:space="0" w:color="000000"/>
              <w:bottom w:val="single" w:sz="4" w:space="0" w:color="000000"/>
            </w:tcBorders>
          </w:tcPr>
          <w:p>
            <w:pPr>
              <w:pStyle w:val="TableContents"/>
              <w:bidi w:val="0"/>
              <w:jc w:val="start"/>
              <w:rPr/>
            </w:pPr>
            <w:r>
              <w:rPr/>
              <w:t>6</w:t>
            </w:r>
          </w:p>
        </w:tc>
        <w:tc>
          <w:tcPr>
            <w:tcW w:w="1928" w:type="dxa"/>
            <w:tcBorders>
              <w:start w:val="single" w:sz="4" w:space="0" w:color="000000"/>
              <w:bottom w:val="single" w:sz="4" w:space="0" w:color="000000"/>
            </w:tcBorders>
          </w:tcPr>
          <w:p>
            <w:pPr>
              <w:pStyle w:val="TableContents"/>
              <w:bidi w:val="0"/>
              <w:jc w:val="start"/>
              <w:rPr/>
            </w:pPr>
            <w:r>
              <w:rPr>
                <w:b/>
              </w:rPr>
              <w:t xml:space="preserve">− </w:t>
            </w:r>
            <w:r>
              <w:rPr>
                <w:b/>
              </w:rPr>
              <w:t>Non-operating expenses</w:t>
            </w:r>
          </w:p>
        </w:tc>
        <w:tc>
          <w:tcPr>
            <w:tcW w:w="1927" w:type="dxa"/>
            <w:tcBorders>
              <w:start w:val="single" w:sz="4" w:space="0" w:color="000000"/>
              <w:bottom w:val="single" w:sz="4" w:space="0" w:color="000000"/>
            </w:tcBorders>
          </w:tcPr>
          <w:p>
            <w:pPr>
              <w:pStyle w:val="TableContents"/>
              <w:bidi w:val="0"/>
              <w:jc w:val="start"/>
              <w:rPr/>
            </w:pPr>
            <w:r>
              <w:rPr/>
            </w:r>
          </w:p>
        </w:tc>
        <w:tc>
          <w:tcPr>
            <w:tcW w:w="1928" w:type="dxa"/>
            <w:tcBorders>
              <w:start w:val="single" w:sz="4" w:space="0" w:color="000000"/>
              <w:bottom w:val="single" w:sz="4" w:space="0" w:color="000000"/>
            </w:tcBorders>
          </w:tcPr>
          <w:p>
            <w:pPr>
              <w:pStyle w:val="TableContents"/>
              <w:bidi w:val="0"/>
              <w:jc w:val="start"/>
              <w:rPr/>
            </w:pPr>
            <w:r>
              <w:rPr>
                <w:b/>
              </w:rPr>
              <w:t>−</w:t>
            </w:r>
            <w:r>
              <w:rPr>
                <w:b/>
              </w:rPr>
              <w:t>$50,000</w:t>
            </w:r>
          </w:p>
        </w:tc>
        <w:tc>
          <w:tcPr>
            <w:tcW w:w="1928" w:type="dxa"/>
            <w:tcBorders>
              <w:start w:val="single" w:sz="4" w:space="0" w:color="000000"/>
              <w:bottom w:val="single" w:sz="4" w:space="0" w:color="000000"/>
              <w:end w:val="single" w:sz="4" w:space="0" w:color="000000"/>
            </w:tcBorders>
          </w:tcPr>
          <w:p>
            <w:pPr>
              <w:pStyle w:val="TableContents"/>
              <w:bidi w:val="0"/>
              <w:jc w:val="start"/>
              <w:rPr/>
            </w:pPr>
            <w:r>
              <w:rPr/>
              <w:t>Not really related to the core business</w:t>
            </w:r>
          </w:p>
        </w:tc>
      </w:tr>
      <w:tr>
        <w:trPr/>
        <w:tc>
          <w:tcPr>
            <w:tcW w:w="1927" w:type="dxa"/>
            <w:tcBorders>
              <w:start w:val="single" w:sz="4" w:space="0" w:color="000000"/>
              <w:bottom w:val="single" w:sz="4" w:space="0" w:color="000000"/>
            </w:tcBorders>
          </w:tcPr>
          <w:p>
            <w:pPr>
              <w:pStyle w:val="TableContents"/>
              <w:bidi w:val="0"/>
              <w:jc w:val="start"/>
              <w:rPr/>
            </w:pPr>
            <w:r>
              <w:rPr/>
              <w:t>7</w:t>
            </w:r>
          </w:p>
        </w:tc>
        <w:tc>
          <w:tcPr>
            <w:tcW w:w="1928" w:type="dxa"/>
            <w:tcBorders>
              <w:start w:val="single" w:sz="4" w:space="0" w:color="000000"/>
              <w:bottom w:val="single" w:sz="4" w:space="0" w:color="000000"/>
            </w:tcBorders>
          </w:tcPr>
          <w:p>
            <w:pPr>
              <w:pStyle w:val="TableContents"/>
              <w:bidi w:val="0"/>
              <w:jc w:val="start"/>
              <w:rPr/>
            </w:pPr>
            <w:r>
              <w:rPr>
                <w:b/>
              </w:rPr>
              <w:t>+ Other (non-operating) income</w:t>
            </w:r>
          </w:p>
        </w:tc>
        <w:tc>
          <w:tcPr>
            <w:tcW w:w="1927" w:type="dxa"/>
            <w:tcBorders>
              <w:start w:val="single" w:sz="4" w:space="0" w:color="000000"/>
              <w:bottom w:val="single" w:sz="4" w:space="0" w:color="000000"/>
            </w:tcBorders>
          </w:tcPr>
          <w:p>
            <w:pPr>
              <w:pStyle w:val="TableContents"/>
              <w:bidi w:val="0"/>
              <w:jc w:val="start"/>
              <w:rPr/>
            </w:pPr>
            <w:r>
              <w:rPr/>
            </w:r>
          </w:p>
        </w:tc>
        <w:tc>
          <w:tcPr>
            <w:tcW w:w="1928" w:type="dxa"/>
            <w:tcBorders>
              <w:start w:val="single" w:sz="4" w:space="0" w:color="000000"/>
              <w:bottom w:val="single" w:sz="4" w:space="0" w:color="000000"/>
            </w:tcBorders>
          </w:tcPr>
          <w:p>
            <w:pPr>
              <w:pStyle w:val="TableContents"/>
              <w:bidi w:val="0"/>
              <w:jc w:val="start"/>
              <w:rPr/>
            </w:pPr>
            <w:r>
              <w:rPr>
                <w:b/>
              </w:rPr>
              <w:t>+$60,000</w:t>
            </w:r>
          </w:p>
        </w:tc>
        <w:tc>
          <w:tcPr>
            <w:tcW w:w="1928" w:type="dxa"/>
            <w:tcBorders>
              <w:start w:val="single" w:sz="4" w:space="0" w:color="000000"/>
              <w:bottom w:val="single" w:sz="4" w:space="0" w:color="000000"/>
              <w:end w:val="single" w:sz="4" w:space="0" w:color="000000"/>
            </w:tcBorders>
          </w:tcPr>
          <w:p>
            <w:pPr>
              <w:pStyle w:val="TableContents"/>
              <w:bidi w:val="0"/>
              <w:jc w:val="start"/>
              <w:rPr/>
            </w:pPr>
            <w:r>
              <w:rPr/>
              <w:t>Extra income not from the core business</w:t>
            </w:r>
          </w:p>
        </w:tc>
      </w:tr>
      <w:tr>
        <w:trPr/>
        <w:tc>
          <w:tcPr>
            <w:tcW w:w="1927" w:type="dxa"/>
            <w:tcBorders>
              <w:start w:val="single" w:sz="4" w:space="0" w:color="000000"/>
              <w:bottom w:val="single" w:sz="4" w:space="0" w:color="000000"/>
            </w:tcBorders>
          </w:tcPr>
          <w:p>
            <w:pPr>
              <w:pStyle w:val="TableContents"/>
              <w:bidi w:val="0"/>
              <w:jc w:val="start"/>
              <w:rPr/>
            </w:pPr>
            <w:r>
              <w:rPr/>
              <w:t>8</w:t>
            </w:r>
          </w:p>
        </w:tc>
        <w:tc>
          <w:tcPr>
            <w:tcW w:w="1928" w:type="dxa"/>
            <w:tcBorders>
              <w:start w:val="single" w:sz="4" w:space="0" w:color="000000"/>
              <w:bottom w:val="single" w:sz="4" w:space="0" w:color="000000"/>
            </w:tcBorders>
          </w:tcPr>
          <w:p>
            <w:pPr>
              <w:pStyle w:val="TableContents"/>
              <w:bidi w:val="0"/>
              <w:jc w:val="start"/>
              <w:rPr/>
            </w:pPr>
            <w:r>
              <w:rPr>
                <w:b/>
              </w:rPr>
              <w:t>= Net income / net profit after tax</w:t>
            </w:r>
          </w:p>
        </w:tc>
        <w:tc>
          <w:tcPr>
            <w:tcW w:w="1927" w:type="dxa"/>
            <w:tcBorders>
              <w:start w:val="single" w:sz="4" w:space="0" w:color="000000"/>
              <w:bottom w:val="single" w:sz="4" w:space="0" w:color="000000"/>
            </w:tcBorders>
          </w:tcPr>
          <w:p>
            <w:pPr>
              <w:pStyle w:val="TableContents"/>
              <w:bidi w:val="0"/>
              <w:jc w:val="start"/>
              <w:rPr/>
            </w:pPr>
            <w:r>
              <w:rPr/>
              <w:t>Net profit</w:t>
            </w:r>
          </w:p>
        </w:tc>
        <w:tc>
          <w:tcPr>
            <w:tcW w:w="1928" w:type="dxa"/>
            <w:tcBorders>
              <w:start w:val="single" w:sz="4" w:space="0" w:color="000000"/>
              <w:bottom w:val="single" w:sz="4" w:space="0" w:color="000000"/>
            </w:tcBorders>
          </w:tcPr>
          <w:p>
            <w:pPr>
              <w:pStyle w:val="TableContents"/>
              <w:bidi w:val="0"/>
              <w:jc w:val="start"/>
              <w:rPr/>
            </w:pPr>
            <w:r>
              <w:rPr>
                <w:b/>
              </w:rPr>
              <w:t>$160,000</w:t>
            </w:r>
          </w:p>
        </w:tc>
        <w:tc>
          <w:tcPr>
            <w:tcW w:w="1928" w:type="dxa"/>
            <w:tcBorders>
              <w:start w:val="single" w:sz="4" w:space="0" w:color="000000"/>
              <w:bottom w:val="single" w:sz="4" w:space="0" w:color="000000"/>
              <w:end w:val="single" w:sz="4" w:space="0" w:color="000000"/>
            </w:tcBorders>
          </w:tcPr>
          <w:p>
            <w:pPr>
              <w:pStyle w:val="TableContents"/>
              <w:bidi w:val="0"/>
              <w:jc w:val="start"/>
              <w:rPr/>
            </w:pPr>
            <w:r>
              <w:rPr/>
              <w:t>The bottom line</w:t>
            </w:r>
          </w:p>
        </w:tc>
      </w:tr>
    </w:tbl>
    <w:p>
      <w:pPr>
        <w:pStyle w:val="BodyText"/>
        <w:bidi w:val="0"/>
        <w:jc w:val="start"/>
        <w:rPr/>
      </w:pPr>
      <w:r>
        <w:rPr/>
      </w:r>
    </w:p>
    <w:p>
      <w:pPr>
        <w:pStyle w:val="BodyText"/>
        <w:bidi w:val="0"/>
        <w:jc w:val="start"/>
        <w:rPr/>
      </w:pPr>
      <w:r>
        <w:rPr>
          <w:b/>
        </w:rPr>
        <w:t>What sits inside operating expenses (OPEX / overheads):</w:t>
      </w:r>
    </w:p>
    <w:p>
      <w:pPr>
        <w:pStyle w:val="BodyText"/>
        <w:numPr>
          <w:ilvl w:val="0"/>
          <w:numId w:val="147"/>
        </w:numPr>
        <w:tabs>
          <w:tab w:val="clear" w:pos="709"/>
          <w:tab w:val="left" w:pos="709" w:leader="none"/>
        </w:tabs>
        <w:bidi w:val="0"/>
        <w:ind w:hanging="283" w:start="709"/>
        <w:jc w:val="start"/>
        <w:rPr/>
      </w:pPr>
      <w:r>
        <w:rPr/>
        <w:t>Staff salary</w:t>
      </w:r>
    </w:p>
    <w:p>
      <w:pPr>
        <w:pStyle w:val="BodyText"/>
        <w:numPr>
          <w:ilvl w:val="0"/>
          <w:numId w:val="147"/>
        </w:numPr>
        <w:tabs>
          <w:tab w:val="clear" w:pos="709"/>
          <w:tab w:val="left" w:pos="709" w:leader="none"/>
        </w:tabs>
        <w:bidi w:val="0"/>
        <w:ind w:hanging="283" w:start="709"/>
        <w:jc w:val="start"/>
        <w:rPr/>
      </w:pPr>
      <w:r>
        <w:rPr/>
        <w:t>Rental</w:t>
      </w:r>
    </w:p>
    <w:p>
      <w:pPr>
        <w:pStyle w:val="BodyText"/>
        <w:numPr>
          <w:ilvl w:val="0"/>
          <w:numId w:val="147"/>
        </w:numPr>
        <w:tabs>
          <w:tab w:val="clear" w:pos="709"/>
          <w:tab w:val="left" w:pos="709" w:leader="none"/>
        </w:tabs>
        <w:bidi w:val="0"/>
        <w:ind w:hanging="283" w:start="709"/>
        <w:jc w:val="start"/>
        <w:rPr/>
      </w:pPr>
      <w:r>
        <w:rPr/>
        <w:t>Utilities</w:t>
      </w:r>
    </w:p>
    <w:p>
      <w:pPr>
        <w:pStyle w:val="BodyText"/>
        <w:numPr>
          <w:ilvl w:val="0"/>
          <w:numId w:val="147"/>
        </w:numPr>
        <w:tabs>
          <w:tab w:val="clear" w:pos="709"/>
          <w:tab w:val="left" w:pos="709" w:leader="none"/>
        </w:tabs>
        <w:bidi w:val="0"/>
        <w:ind w:hanging="283" w:start="709"/>
        <w:jc w:val="start"/>
        <w:rPr/>
      </w:pPr>
      <w:r>
        <w:rPr>
          <w:b/>
        </w:rPr>
        <w:t>Depreciation</w:t>
      </w:r>
      <w:r>
        <w:rPr/>
        <w:t xml:space="preserve"> — a </w:t>
      </w:r>
      <w:r>
        <w:rPr>
          <w:b/>
        </w:rPr>
        <w:t>non-cash expense</w:t>
      </w:r>
      <w:r>
        <w:rPr/>
        <w:t xml:space="preserve">. Cash does not actually go out; you already paid for the equipment years ago. Adam's example: you bought equipment five years ago (cash left five years ago) but you </w:t>
      </w:r>
      <w:r>
        <w:rPr>
          <w:b/>
        </w:rPr>
        <w:t>depreciate it over ten years</w:t>
      </w:r>
      <w:r>
        <w:rPr/>
        <w:t>, deducting a certain amount each year — non-cash.</w:t>
      </w:r>
    </w:p>
    <w:p>
      <w:pPr>
        <w:pStyle w:val="BodyText"/>
        <w:numPr>
          <w:ilvl w:val="0"/>
          <w:numId w:val="147"/>
        </w:numPr>
        <w:tabs>
          <w:tab w:val="clear" w:pos="709"/>
          <w:tab w:val="left" w:pos="709" w:leader="none"/>
        </w:tabs>
        <w:bidi w:val="0"/>
        <w:ind w:hanging="283" w:start="709"/>
        <w:jc w:val="start"/>
        <w:rPr/>
      </w:pPr>
      <w:r>
        <w:rPr>
          <w:b/>
        </w:rPr>
        <w:t>R&amp;D</w:t>
      </w:r>
      <w:r>
        <w:rPr/>
        <w:t xml:space="preserve"> (research and development)</w:t>
      </w:r>
    </w:p>
    <w:p>
      <w:pPr>
        <w:pStyle w:val="BodyText"/>
        <w:numPr>
          <w:ilvl w:val="0"/>
          <w:numId w:val="147"/>
        </w:numPr>
        <w:tabs>
          <w:tab w:val="clear" w:pos="709"/>
          <w:tab w:val="left" w:pos="709" w:leader="none"/>
        </w:tabs>
        <w:bidi w:val="0"/>
        <w:ind w:hanging="283" w:start="709"/>
        <w:jc w:val="start"/>
        <w:rPr/>
      </w:pPr>
      <w:r>
        <w:rPr/>
        <w:t>Marketing costs</w:t>
      </w:r>
    </w:p>
    <w:p>
      <w:pPr>
        <w:pStyle w:val="BodyText"/>
        <w:bidi w:val="0"/>
        <w:jc w:val="start"/>
        <w:rPr/>
      </w:pPr>
      <w:r>
        <w:rPr>
          <w:b/>
        </w:rPr>
        <w:t>What sits inside non-operating expenses:</w:t>
      </w:r>
    </w:p>
    <w:p>
      <w:pPr>
        <w:pStyle w:val="BodyText"/>
        <w:numPr>
          <w:ilvl w:val="0"/>
          <w:numId w:val="148"/>
        </w:numPr>
        <w:tabs>
          <w:tab w:val="clear" w:pos="709"/>
          <w:tab w:val="left" w:pos="709" w:leader="none"/>
        </w:tabs>
        <w:bidi w:val="0"/>
        <w:ind w:hanging="283" w:start="709"/>
        <w:jc w:val="start"/>
        <w:rPr/>
      </w:pPr>
      <w:r>
        <w:rPr>
          <w:b/>
        </w:rPr>
        <w:t>Lawsuit / lawyer fees</w:t>
      </w:r>
      <w:r>
        <w:rPr/>
        <w:t xml:space="preserve"> (company got sued)</w:t>
      </w:r>
    </w:p>
    <w:p>
      <w:pPr>
        <w:pStyle w:val="BodyText"/>
        <w:numPr>
          <w:ilvl w:val="0"/>
          <w:numId w:val="148"/>
        </w:numPr>
        <w:tabs>
          <w:tab w:val="clear" w:pos="709"/>
          <w:tab w:val="left" w:pos="709" w:leader="none"/>
        </w:tabs>
        <w:bidi w:val="0"/>
        <w:ind w:hanging="283" w:start="709"/>
        <w:jc w:val="start"/>
        <w:rPr/>
      </w:pPr>
      <w:r>
        <w:rPr>
          <w:b/>
        </w:rPr>
        <w:t>Taxes</w:t>
      </w:r>
    </w:p>
    <w:p>
      <w:pPr>
        <w:pStyle w:val="BodyText"/>
        <w:numPr>
          <w:ilvl w:val="0"/>
          <w:numId w:val="148"/>
        </w:numPr>
        <w:tabs>
          <w:tab w:val="clear" w:pos="709"/>
          <w:tab w:val="left" w:pos="709" w:leader="none"/>
        </w:tabs>
        <w:bidi w:val="0"/>
        <w:ind w:hanging="283" w:start="709"/>
        <w:jc w:val="start"/>
        <w:rPr/>
      </w:pPr>
      <w:r>
        <w:rPr>
          <w:b/>
        </w:rPr>
        <w:t>Restructuring costs</w:t>
      </w:r>
    </w:p>
    <w:p>
      <w:pPr>
        <w:pStyle w:val="BodyText"/>
        <w:numPr>
          <w:ilvl w:val="0"/>
          <w:numId w:val="148"/>
        </w:numPr>
        <w:tabs>
          <w:tab w:val="clear" w:pos="709"/>
          <w:tab w:val="left" w:pos="709" w:leader="none"/>
        </w:tabs>
        <w:bidi w:val="0"/>
        <w:ind w:hanging="283" w:start="709"/>
        <w:jc w:val="start"/>
        <w:rPr/>
      </w:pPr>
      <w:r>
        <w:rPr>
          <w:b/>
        </w:rPr>
        <w:t>Interest payments</w:t>
      </w:r>
      <w:r>
        <w:rPr/>
        <w:t xml:space="preserve"> on borrowed money</w:t>
      </w:r>
    </w:p>
    <w:p>
      <w:pPr>
        <w:pStyle w:val="BodyText"/>
        <w:numPr>
          <w:ilvl w:val="0"/>
          <w:numId w:val="148"/>
        </w:numPr>
        <w:tabs>
          <w:tab w:val="clear" w:pos="709"/>
          <w:tab w:val="left" w:pos="709" w:leader="none"/>
        </w:tabs>
        <w:bidi w:val="0"/>
        <w:ind w:hanging="283" w:start="709"/>
        <w:jc w:val="start"/>
        <w:rPr/>
      </w:pPr>
      <w:r>
        <w:rPr/>
        <w:t xml:space="preserve">(Elsewhere Adam adds: </w:t>
      </w:r>
      <w:r>
        <w:rPr>
          <w:b/>
        </w:rPr>
        <w:t>inventory write-offs</w:t>
      </w:r>
      <w:r>
        <w:rPr/>
        <w:t>)</w:t>
      </w:r>
    </w:p>
    <w:p>
      <w:pPr>
        <w:pStyle w:val="BodyText"/>
        <w:bidi w:val="0"/>
        <w:jc w:val="start"/>
        <w:rPr/>
      </w:pPr>
      <w:r>
        <w:rPr>
          <w:b/>
        </w:rPr>
        <w:t>What sits inside other / non-operating income:</w:t>
      </w:r>
    </w:p>
    <w:p>
      <w:pPr>
        <w:pStyle w:val="BodyText"/>
        <w:numPr>
          <w:ilvl w:val="0"/>
          <w:numId w:val="149"/>
        </w:numPr>
        <w:tabs>
          <w:tab w:val="clear" w:pos="709"/>
          <w:tab w:val="left" w:pos="709" w:leader="none"/>
        </w:tabs>
        <w:bidi w:val="0"/>
        <w:ind w:hanging="283" w:start="709"/>
        <w:jc w:val="start"/>
        <w:rPr/>
      </w:pPr>
      <w:r>
        <w:rPr>
          <w:b/>
        </w:rPr>
        <w:t>Dividends</w:t>
      </w:r>
      <w:r>
        <w:rPr/>
        <w:t xml:space="preserve"> from a company it has invested in</w:t>
      </w:r>
    </w:p>
    <w:p>
      <w:pPr>
        <w:pStyle w:val="BodyText"/>
        <w:numPr>
          <w:ilvl w:val="0"/>
          <w:numId w:val="149"/>
        </w:numPr>
        <w:tabs>
          <w:tab w:val="clear" w:pos="709"/>
          <w:tab w:val="left" w:pos="709" w:leader="none"/>
        </w:tabs>
        <w:bidi w:val="0"/>
        <w:ind w:hanging="283" w:start="709"/>
        <w:jc w:val="start"/>
        <w:rPr/>
      </w:pPr>
      <w:r>
        <w:rPr>
          <w:b/>
        </w:rPr>
        <w:t>Capital gain</w:t>
      </w:r>
      <w:r>
        <w:rPr/>
        <w:t xml:space="preserve"> on selling a property or an asset</w:t>
      </w:r>
    </w:p>
    <w:p>
      <w:pPr>
        <w:pStyle w:val="BodyText"/>
        <w:numPr>
          <w:ilvl w:val="0"/>
          <w:numId w:val="149"/>
        </w:numPr>
        <w:tabs>
          <w:tab w:val="clear" w:pos="709"/>
          <w:tab w:val="left" w:pos="709" w:leader="none"/>
        </w:tabs>
        <w:bidi w:val="0"/>
        <w:ind w:hanging="283" w:start="709"/>
        <w:jc w:val="start"/>
        <w:rPr/>
      </w:pPr>
      <w:r>
        <w:rPr>
          <w:b/>
        </w:rPr>
        <w:t>Interest income</w:t>
      </w:r>
    </w:p>
    <w:p>
      <w:pPr>
        <w:pStyle w:val="BodyText"/>
        <w:numPr>
          <w:ilvl w:val="0"/>
          <w:numId w:val="149"/>
        </w:numPr>
        <w:tabs>
          <w:tab w:val="clear" w:pos="709"/>
          <w:tab w:val="left" w:pos="709" w:leader="none"/>
        </w:tabs>
        <w:bidi w:val="0"/>
        <w:ind w:hanging="283" w:start="709"/>
        <w:jc w:val="start"/>
        <w:rPr/>
      </w:pPr>
      <w:r>
        <w:rPr>
          <w:b/>
        </w:rPr>
        <w:t>Forex gains</w:t>
      </w:r>
    </w:p>
    <w:p>
      <w:pPr>
        <w:pStyle w:val="Heading4"/>
        <w:numPr>
          <w:ilvl w:val="0"/>
          <w:numId w:val="0"/>
        </w:numPr>
        <w:bidi w:val="0"/>
        <w:ind w:hanging="0" w:start="0"/>
        <w:jc w:val="start"/>
        <w:rPr/>
      </w:pPr>
      <w:r>
        <w:rPr/>
        <w:t>2.2 What actually matters in the income statement</w:t>
      </w:r>
    </w:p>
    <w:p>
      <w:pPr>
        <w:pStyle w:val="BodyText"/>
        <w:bidi w:val="0"/>
        <w:jc w:val="start"/>
        <w:rPr/>
      </w:pPr>
      <w:r>
        <w:rPr/>
        <w:t xml:space="preserve">Adam: </w:t>
      </w:r>
      <w:r>
        <w:rPr>
          <w:i/>
        </w:rPr>
        <w:t>"The only thing you've got to pay attention to in the income statement"</w:t>
      </w:r>
      <w:r>
        <w:rPr/>
        <w:t xml:space="preserve"> — </w:t>
      </w:r>
      <w:r>
        <w:rPr>
          <w:b/>
        </w:rPr>
        <w:t>three items</w:t>
      </w:r>
      <w:r>
        <w:rPr/>
        <w:t>:</w:t>
      </w:r>
    </w:p>
    <w:p>
      <w:pPr>
        <w:pStyle w:val="BodyText"/>
        <w:numPr>
          <w:ilvl w:val="0"/>
          <w:numId w:val="150"/>
        </w:numPr>
        <w:tabs>
          <w:tab w:val="clear" w:pos="709"/>
          <w:tab w:val="left" w:pos="709" w:leader="none"/>
        </w:tabs>
        <w:bidi w:val="0"/>
        <w:ind w:hanging="283" w:start="709"/>
        <w:jc w:val="start"/>
        <w:rPr/>
      </w:pPr>
      <w:r>
        <w:rPr>
          <w:b/>
        </w:rPr>
        <w:t>Revenue (sales revenue)</w:t>
      </w:r>
    </w:p>
    <w:p>
      <w:pPr>
        <w:pStyle w:val="BodyText"/>
        <w:numPr>
          <w:ilvl w:val="0"/>
          <w:numId w:val="150"/>
        </w:numPr>
        <w:tabs>
          <w:tab w:val="clear" w:pos="709"/>
          <w:tab w:val="left" w:pos="709" w:leader="none"/>
        </w:tabs>
        <w:bidi w:val="0"/>
        <w:ind w:hanging="283" w:start="709"/>
        <w:jc w:val="start"/>
        <w:rPr/>
      </w:pPr>
      <w:r>
        <w:rPr>
          <w:b/>
        </w:rPr>
        <w:t>Operating income</w:t>
      </w:r>
    </w:p>
    <w:p>
      <w:pPr>
        <w:pStyle w:val="BodyText"/>
        <w:numPr>
          <w:ilvl w:val="0"/>
          <w:numId w:val="150"/>
        </w:numPr>
        <w:tabs>
          <w:tab w:val="clear" w:pos="709"/>
          <w:tab w:val="left" w:pos="709" w:leader="none"/>
        </w:tabs>
        <w:bidi w:val="0"/>
        <w:ind w:hanging="283" w:start="709"/>
        <w:jc w:val="start"/>
        <w:rPr/>
      </w:pPr>
      <w:r>
        <w:rPr>
          <w:b/>
        </w:rPr>
        <w:t>Net income after tax</w:t>
      </w:r>
    </w:p>
    <w:p>
      <w:pPr>
        <w:pStyle w:val="BodyText"/>
        <w:bidi w:val="0"/>
        <w:jc w:val="start"/>
        <w:rPr/>
      </w:pPr>
      <w:r>
        <w:rPr/>
        <w:t xml:space="preserve">All other line items are </w:t>
      </w:r>
      <w:r>
        <w:rPr>
          <w:b/>
        </w:rPr>
        <w:t>not so important</w:t>
      </w:r>
      <w:r>
        <w:rPr/>
        <w:t xml:space="preserve"> unless you are digging for specific information.</w:t>
      </w:r>
    </w:p>
    <w:p>
      <w:pPr>
        <w:pStyle w:val="Heading4"/>
        <w:bidi w:val="0"/>
        <w:ind w:hanging="0" w:start="0"/>
        <w:jc w:val="start"/>
        <w:rPr/>
      </w:pPr>
      <w:r>
        <w:rPr/>
        <w:t>2.3 The tests</w:t>
      </w:r>
    </w:p>
    <w:p>
      <w:pPr>
        <w:pStyle w:val="BodyText"/>
        <w:numPr>
          <w:ilvl w:val="0"/>
          <w:numId w:val="151"/>
        </w:numPr>
        <w:tabs>
          <w:tab w:val="clear" w:pos="709"/>
          <w:tab w:val="left" w:pos="709" w:leader="none"/>
        </w:tabs>
        <w:bidi w:val="0"/>
        <w:ind w:hanging="283" w:start="709"/>
        <w:jc w:val="start"/>
        <w:rPr/>
      </w:pPr>
      <w:r>
        <w:rPr>
          <w:b/>
        </w:rPr>
        <w:t>Test 1 — Sales revenue must be increasing consistently</w:t>
      </w:r>
      <w:r>
        <w:rPr/>
        <w:t xml:space="preserve"> over </w:t>
      </w:r>
      <w:r>
        <w:rPr>
          <w:b/>
        </w:rPr>
        <w:t>at least the last 5 years</w:t>
      </w:r>
      <w:r>
        <w:rPr/>
        <w:t xml:space="preserve">, </w:t>
      </w:r>
      <w:r>
        <w:rPr>
          <w:b/>
        </w:rPr>
        <w:t>10 years even better</w:t>
      </w:r>
      <w:r>
        <w:rPr/>
        <w:t>.</w:t>
      </w:r>
    </w:p>
    <w:p>
      <w:pPr>
        <w:pStyle w:val="BodyText"/>
        <w:numPr>
          <w:ilvl w:val="0"/>
          <w:numId w:val="151"/>
        </w:numPr>
        <w:tabs>
          <w:tab w:val="clear" w:pos="709"/>
          <w:tab w:val="left" w:pos="709" w:leader="none"/>
        </w:tabs>
        <w:bidi w:val="0"/>
        <w:ind w:hanging="283" w:start="709"/>
        <w:jc w:val="start"/>
        <w:rPr/>
      </w:pPr>
      <w:r>
        <w:rPr>
          <w:b/>
        </w:rPr>
        <w:t>Test 2 — Net profit (net income after tax) must also be increasing consistently</w:t>
      </w:r>
      <w:r>
        <w:rPr/>
        <w:t xml:space="preserve"> over the last 5 years.</w:t>
      </w:r>
    </w:p>
    <w:p>
      <w:pPr>
        <w:pStyle w:val="BodyText"/>
        <w:numPr>
          <w:ilvl w:val="0"/>
          <w:numId w:val="151"/>
        </w:numPr>
        <w:tabs>
          <w:tab w:val="clear" w:pos="709"/>
          <w:tab w:val="left" w:pos="709" w:leader="none"/>
        </w:tabs>
        <w:bidi w:val="0"/>
        <w:ind w:hanging="283" w:start="709"/>
        <w:jc w:val="start"/>
        <w:rPr/>
      </w:pPr>
      <w:r>
        <w:rPr>
          <w:b/>
        </w:rPr>
        <w:t>"Increasing consistently" does not mean it must rise every single year.</w:t>
      </w:r>
      <w:r>
        <w:rPr/>
        <w:t xml:space="preserve"> One or two down years are fine </w:t>
      </w:r>
      <w:r>
        <w:rPr>
          <w:b/>
        </w:rPr>
        <w:t>as long as the general trend is upwards.</w:t>
      </w:r>
    </w:p>
    <w:p>
      <w:pPr>
        <w:pStyle w:val="BodyText"/>
        <w:numPr>
          <w:ilvl w:val="0"/>
          <w:numId w:val="151"/>
        </w:numPr>
        <w:tabs>
          <w:tab w:val="clear" w:pos="709"/>
          <w:tab w:val="left" w:pos="709" w:leader="none"/>
        </w:tabs>
        <w:bidi w:val="0"/>
        <w:ind w:hanging="283" w:start="709"/>
        <w:jc w:val="start"/>
        <w:rPr/>
      </w:pPr>
      <w:r>
        <w:rPr>
          <w:b/>
        </w:rPr>
        <w:t>Test 3 — the escape hatch:</w:t>
      </w:r>
      <w:r>
        <w:rPr/>
        <w:t xml:space="preserve"> If </w:t>
      </w:r>
      <w:r>
        <w:rPr>
          <w:b/>
        </w:rPr>
        <w:t xml:space="preserve">net income is </w:t>
      </w:r>
      <w:r>
        <w:rPr>
          <w:b/>
          <w:i/>
        </w:rPr>
        <w:t>not</w:t>
      </w:r>
      <w:r>
        <w:rPr>
          <w:b/>
        </w:rPr>
        <w:t xml:space="preserve"> consistent</w:t>
      </w:r>
      <w:r>
        <w:rPr/>
        <w:t xml:space="preserve">, that's </w:t>
      </w:r>
      <w:r>
        <w:rPr>
          <w:b/>
        </w:rPr>
        <w:t>OK — provided operating income is increasing consistently.</w:t>
      </w:r>
    </w:p>
    <w:p>
      <w:pPr>
        <w:pStyle w:val="BodyText"/>
        <w:bidi w:val="0"/>
        <w:jc w:val="start"/>
        <w:rPr/>
      </w:pPr>
      <w:r>
        <w:rPr>
          <w:b/>
        </w:rPr>
        <w:t>Why the escape hatch exists:</w:t>
      </w:r>
      <w:r>
        <w:rPr/>
        <w:t xml:space="preserve"> Net profit is frequently </w:t>
      </w:r>
      <w:r>
        <w:rPr>
          <w:b/>
        </w:rPr>
        <w:t>skewed or distorted by non-operating income and expenses</w:t>
      </w:r>
      <w:r>
        <w:rPr/>
        <w:t xml:space="preserve"> — a big tax bill, a lawsuit, restructuring, a merger/acquisition cost, or a windfall gain on an investment or on selling a building. These are </w:t>
      </w:r>
      <w:r>
        <w:rPr>
          <w:b/>
        </w:rPr>
        <w:t>one-off / non-recurring gains and losses</w:t>
      </w:r>
      <w:r>
        <w:rPr/>
        <w:t xml:space="preserve">, </w:t>
      </w:r>
      <w:r>
        <w:rPr>
          <w:b/>
        </w:rPr>
        <w:t>exceptional items</w:t>
      </w:r>
      <w:r>
        <w:rPr/>
        <w:t xml:space="preserve"> that are </w:t>
      </w:r>
      <w:r>
        <w:rPr>
          <w:b/>
        </w:rPr>
        <w:t>not part of the core business</w:t>
      </w:r>
      <w:r>
        <w:rPr/>
        <w:t xml:space="preserve">, happen once, will not recur, and can therefore be </w:t>
      </w:r>
      <w:r>
        <w:rPr>
          <w:b/>
        </w:rPr>
        <w:t>disregarded when analyzing the business.</w:t>
      </w:r>
    </w:p>
    <w:p>
      <w:pPr>
        <w:pStyle w:val="BodyText"/>
        <w:bidi w:val="0"/>
        <w:jc w:val="start"/>
        <w:rPr/>
      </w:pPr>
      <w:r>
        <w:rPr>
          <w:b/>
        </w:rPr>
        <w:t>Operating income</w:t>
      </w:r>
      <w:r>
        <w:rPr/>
        <w:t xml:space="preserve"> </w:t>
      </w:r>
      <w:r>
        <w:rPr>
          <w:i/>
        </w:rPr>
        <w:t>"reports the amount of profit from the business's ongoing operations"</w:t>
      </w:r>
      <w:r>
        <w:rPr/>
        <w:t xml:space="preserve"> and </w:t>
      </w:r>
      <w:r>
        <w:rPr>
          <w:b/>
        </w:rPr>
        <w:t>excludes</w:t>
      </w:r>
      <w:r>
        <w:rPr/>
        <w:t>:</w:t>
      </w:r>
    </w:p>
    <w:p>
      <w:pPr>
        <w:pStyle w:val="BodyText"/>
        <w:numPr>
          <w:ilvl w:val="0"/>
          <w:numId w:val="152"/>
        </w:numPr>
        <w:tabs>
          <w:tab w:val="clear" w:pos="709"/>
          <w:tab w:val="left" w:pos="709" w:leader="none"/>
        </w:tabs>
        <w:bidi w:val="0"/>
        <w:ind w:hanging="283" w:start="709"/>
        <w:jc w:val="start"/>
        <w:rPr/>
      </w:pPr>
      <w:r>
        <w:rPr/>
        <w:t xml:space="preserve">Non-operating </w:t>
      </w:r>
      <w:r>
        <w:rPr>
          <w:b/>
        </w:rPr>
        <w:t>expenses</w:t>
      </w:r>
      <w:r>
        <w:rPr/>
        <w:t>: taxation, interest costs, lawsuit costs, restructuring costs, inventory write-offs</w:t>
      </w:r>
    </w:p>
    <w:p>
      <w:pPr>
        <w:pStyle w:val="BodyText"/>
        <w:numPr>
          <w:ilvl w:val="0"/>
          <w:numId w:val="152"/>
        </w:numPr>
        <w:tabs>
          <w:tab w:val="clear" w:pos="709"/>
          <w:tab w:val="left" w:pos="709" w:leader="none"/>
        </w:tabs>
        <w:bidi w:val="0"/>
        <w:ind w:hanging="283" w:start="709"/>
        <w:jc w:val="start"/>
        <w:rPr/>
      </w:pPr>
      <w:r>
        <w:rPr/>
        <w:t xml:space="preserve">Non-operating </w:t>
      </w:r>
      <w:r>
        <w:rPr>
          <w:b/>
        </w:rPr>
        <w:t>income</w:t>
      </w:r>
      <w:r>
        <w:rPr/>
        <w:t>: dividend income, capital gains on investments, interest income, forex gains</w:t>
      </w:r>
    </w:p>
    <w:p>
      <w:pPr>
        <w:pStyle w:val="BodyText"/>
        <w:bidi w:val="0"/>
        <w:jc w:val="start"/>
        <w:rPr/>
      </w:pPr>
      <w:r>
        <w:rPr>
          <w:b/>
        </w:rPr>
        <w:t>Worked distortion examples:</w:t>
      </w:r>
    </w:p>
    <w:p>
      <w:pPr>
        <w:pStyle w:val="BodyText"/>
        <w:numPr>
          <w:ilvl w:val="0"/>
          <w:numId w:val="153"/>
        </w:numPr>
        <w:tabs>
          <w:tab w:val="clear" w:pos="709"/>
          <w:tab w:val="left" w:pos="709" w:leader="none"/>
        </w:tabs>
        <w:bidi w:val="0"/>
        <w:ind w:hanging="283" w:start="709"/>
        <w:jc w:val="start"/>
        <w:rPr/>
      </w:pPr>
      <w:r>
        <w:rPr>
          <w:b/>
        </w:rPr>
        <w:t>Pepsi</w:t>
      </w:r>
      <w:r>
        <w:rPr/>
        <w:t xml:space="preserve"> — profits rising, but one or two years had a big drop. </w:t>
      </w:r>
      <w:r>
        <w:rPr>
          <w:b/>
        </w:rPr>
        <w:t>Nothing to do with the business</w:t>
      </w:r>
      <w:r>
        <w:rPr/>
        <w:t xml:space="preserve"> — it was </w:t>
      </w:r>
      <w:r>
        <w:rPr>
          <w:b/>
        </w:rPr>
        <w:t>taxation changes</w:t>
      </w:r>
      <w:r>
        <w:rPr/>
        <w:t xml:space="preserve"> or </w:t>
      </w:r>
      <w:r>
        <w:rPr>
          <w:b/>
        </w:rPr>
        <w:t>forex losses/gains</w:t>
      </w:r>
      <w:r>
        <w:rPr/>
        <w:t xml:space="preserve"> from cross-border transactions. Ignore.</w:t>
      </w:r>
    </w:p>
    <w:p>
      <w:pPr>
        <w:pStyle w:val="BodyText"/>
        <w:numPr>
          <w:ilvl w:val="0"/>
          <w:numId w:val="153"/>
        </w:numPr>
        <w:tabs>
          <w:tab w:val="clear" w:pos="709"/>
          <w:tab w:val="left" w:pos="709" w:leader="none"/>
        </w:tabs>
        <w:bidi w:val="0"/>
        <w:ind w:hanging="283" w:start="709"/>
        <w:jc w:val="start"/>
        <w:rPr/>
      </w:pPr>
      <w:r>
        <w:rPr>
          <w:b/>
        </w:rPr>
        <w:t>Salesforce</w:t>
      </w:r>
      <w:r>
        <w:rPr/>
        <w:t xml:space="preserve"> — recently spent a lot of money </w:t>
      </w:r>
      <w:r>
        <w:rPr>
          <w:b/>
        </w:rPr>
        <w:t>acquiring other companies</w:t>
      </w:r>
      <w:r>
        <w:rPr/>
        <w:t xml:space="preserve">; the acquisition cost caused a </w:t>
      </w:r>
      <w:r>
        <w:rPr>
          <w:b/>
        </w:rPr>
        <w:t>big drop in profit last year</w:t>
      </w:r>
      <w:r>
        <w:rPr/>
        <w:t>. Non-operating. Ignore.</w:t>
      </w:r>
    </w:p>
    <w:p>
      <w:pPr>
        <w:pStyle w:val="Heading4"/>
        <w:numPr>
          <w:ilvl w:val="0"/>
          <w:numId w:val="0"/>
        </w:numPr>
        <w:bidi w:val="0"/>
        <w:ind w:hanging="0" w:start="0"/>
        <w:jc w:val="start"/>
        <w:rPr/>
      </w:pPr>
      <w:r>
        <w:rPr/>
        <w:t>2.4 Speculative growth companies (the exception to "must be profitable")</w:t>
      </w:r>
    </w:p>
    <w:p>
      <w:pPr>
        <w:pStyle w:val="BodyText"/>
        <w:numPr>
          <w:ilvl w:val="0"/>
          <w:numId w:val="154"/>
        </w:numPr>
        <w:tabs>
          <w:tab w:val="clear" w:pos="709"/>
          <w:tab w:val="left" w:pos="709" w:leader="none"/>
        </w:tabs>
        <w:bidi w:val="0"/>
        <w:ind w:hanging="283" w:start="709"/>
        <w:jc w:val="start"/>
        <w:rPr/>
      </w:pPr>
      <w:r>
        <w:rPr/>
        <w:t xml:space="preserve">Companies named: </w:t>
      </w:r>
      <w:r>
        <w:rPr>
          <w:b/>
        </w:rPr>
        <w:t>Sea ("C"/SE), Roku, Palantir, Airbnb</w:t>
      </w:r>
      <w:r>
        <w:rPr/>
        <w:t xml:space="preserve"> — revenues growing but </w:t>
      </w:r>
      <w:r>
        <w:rPr>
          <w:b/>
        </w:rPr>
        <w:t>not profitable yet</w:t>
      </w:r>
      <w:r>
        <w:rPr/>
        <w:t>.</w:t>
      </w:r>
    </w:p>
    <w:p>
      <w:pPr>
        <w:pStyle w:val="BodyText"/>
        <w:numPr>
          <w:ilvl w:val="0"/>
          <w:numId w:val="154"/>
        </w:numPr>
        <w:tabs>
          <w:tab w:val="clear" w:pos="709"/>
          <w:tab w:val="left" w:pos="709" w:leader="none"/>
        </w:tabs>
        <w:bidi w:val="0"/>
        <w:ind w:hanging="283" w:start="709"/>
        <w:jc w:val="start"/>
        <w:rPr/>
      </w:pPr>
      <w:r>
        <w:rPr/>
        <w:t xml:space="preserve">Adam calls these </w:t>
      </w:r>
      <w:r>
        <w:rPr>
          <w:b/>
        </w:rPr>
        <w:t>speculative growth companies</w:t>
      </w:r>
      <w:r>
        <w:rPr/>
        <w:t xml:space="preserve"> — </w:t>
      </w:r>
      <w:r>
        <w:rPr>
          <w:b/>
        </w:rPr>
        <w:t>more risky</w:t>
      </w:r>
      <w:r>
        <w:rPr/>
        <w:t xml:space="preserve"> because they are not yet profitable.</w:t>
      </w:r>
    </w:p>
    <w:p>
      <w:pPr>
        <w:pStyle w:val="BodyText"/>
        <w:numPr>
          <w:ilvl w:val="0"/>
          <w:numId w:val="154"/>
        </w:numPr>
        <w:tabs>
          <w:tab w:val="clear" w:pos="709"/>
          <w:tab w:val="left" w:pos="709" w:leader="none"/>
        </w:tabs>
        <w:bidi w:val="0"/>
        <w:ind w:hanging="283" w:start="709"/>
        <w:jc w:val="start"/>
        <w:rPr/>
      </w:pPr>
      <w:r>
        <w:rPr>
          <w:b/>
        </w:rPr>
        <w:t>He does buy them once in a while, but with a very small allocation.</w:t>
      </w:r>
    </w:p>
    <w:p>
      <w:pPr>
        <w:pStyle w:val="BodyText"/>
        <w:numPr>
          <w:ilvl w:val="0"/>
          <w:numId w:val="154"/>
        </w:numPr>
        <w:tabs>
          <w:tab w:val="clear" w:pos="709"/>
          <w:tab w:val="left" w:pos="709" w:leader="none"/>
        </w:tabs>
        <w:bidi w:val="0"/>
        <w:ind w:hanging="283" w:start="709"/>
        <w:jc w:val="start"/>
        <w:rPr/>
      </w:pPr>
      <w:r>
        <w:rPr>
          <w:b/>
        </w:rPr>
        <w:t>His requirement:</w:t>
      </w:r>
      <w:r>
        <w:rPr/>
        <w:t xml:space="preserve"> although net profit is not yet positive, </w:t>
      </w:r>
      <w:r>
        <w:rPr>
          <w:b/>
        </w:rPr>
        <w:t>the company must already have positive free cash flow.</w:t>
      </w:r>
    </w:p>
    <w:p>
      <w:pPr>
        <w:pStyle w:val="BodyText"/>
        <w:numPr>
          <w:ilvl w:val="0"/>
          <w:numId w:val="154"/>
        </w:numPr>
        <w:tabs>
          <w:tab w:val="clear" w:pos="709"/>
          <w:tab w:val="left" w:pos="709" w:leader="none"/>
        </w:tabs>
        <w:bidi w:val="0"/>
        <w:ind w:hanging="283" w:start="709"/>
        <w:jc w:val="start"/>
        <w:rPr/>
      </w:pPr>
      <w:r>
        <w:rPr/>
        <w:t xml:space="preserve">Example given: </w:t>
      </w:r>
      <w:r>
        <w:rPr>
          <w:b/>
        </w:rPr>
        <w:t>Palantir</w:t>
      </w:r>
      <w:r>
        <w:rPr/>
        <w:t xml:space="preserve"> — revenues growing, not yet profitable, but </w:t>
      </w:r>
      <w:r>
        <w:rPr>
          <w:b/>
        </w:rPr>
        <w:t>free cash flow has already turned positive</w:t>
      </w:r>
      <w:r>
        <w:rPr/>
        <w:t>.</w:t>
      </w:r>
    </w:p>
    <w:p>
      <w:pPr>
        <w:pStyle w:val="Heading4"/>
        <w:numPr>
          <w:ilvl w:val="0"/>
          <w:numId w:val="0"/>
        </w:numPr>
        <w:bidi w:val="0"/>
        <w:ind w:hanging="0" w:start="0"/>
        <w:jc w:val="start"/>
        <w:rPr/>
      </w:pPr>
      <w:r>
        <w:rPr/>
        <w:t>2.5 Profit margins</w:t>
      </w:r>
    </w:p>
    <w:p>
      <w:pPr>
        <w:pStyle w:val="BodyText"/>
        <w:bidi w:val="0"/>
        <w:jc w:val="start"/>
        <w:rPr/>
      </w:pPr>
      <w:r>
        <w:rPr>
          <w:b/>
        </w:rPr>
        <w:t>Gross profit margin</w:t>
      </w:r>
    </w:p>
    <w:p>
      <w:pPr>
        <w:pStyle w:val="PreformattedText"/>
        <w:shd w:fill="E1E1E1" w:val="clear"/>
        <w:bidi w:val="0"/>
        <w:spacing w:before="0" w:after="283"/>
        <w:jc w:val="start"/>
        <w:rPr/>
      </w:pPr>
      <w:r>
        <w:rPr/>
        <w:t>Gross profit margin = Gross profit ÷ Sales revenue × 100%</w:t>
        <w:br/>
        <w:t>Example: $250,000 ÷ $500,000 = 50%</w:t>
      </w:r>
    </w:p>
    <w:p>
      <w:pPr>
        <w:pStyle w:val="BodyText"/>
        <w:numPr>
          <w:ilvl w:val="0"/>
          <w:numId w:val="155"/>
        </w:numPr>
        <w:tabs>
          <w:tab w:val="clear" w:pos="709"/>
          <w:tab w:val="left" w:pos="709" w:leader="none"/>
        </w:tabs>
        <w:bidi w:val="0"/>
        <w:ind w:hanging="283" w:start="709"/>
        <w:jc w:val="start"/>
        <w:rPr/>
      </w:pPr>
      <w:r>
        <w:rPr>
          <w:b/>
        </w:rPr>
        <w:t>Meaning:</w:t>
      </w:r>
      <w:r>
        <w:rPr/>
        <w:t xml:space="preserve"> for every </w:t>
      </w:r>
      <w:r>
        <w:rPr>
          <w:b/>
        </w:rPr>
        <w:t>$1 in sales</w:t>
      </w:r>
      <w:r>
        <w:rPr/>
        <w:t xml:space="preserve">, the company keeps </w:t>
      </w:r>
      <w:r>
        <w:rPr>
          <w:b/>
        </w:rPr>
        <w:t>50 cents</w:t>
      </w:r>
      <w:r>
        <w:rPr/>
        <w:t xml:space="preserve"> to pay all its other expenses.</w:t>
      </w:r>
    </w:p>
    <w:p>
      <w:pPr>
        <w:pStyle w:val="BodyText"/>
        <w:bidi w:val="0"/>
        <w:jc w:val="start"/>
        <w:rPr/>
      </w:pPr>
      <w:r>
        <w:rPr>
          <w:b/>
        </w:rPr>
        <w:t>Net profit margin</w:t>
      </w:r>
    </w:p>
    <w:p>
      <w:pPr>
        <w:pStyle w:val="PreformattedText"/>
        <w:shd w:fill="E1E1E1" w:val="clear"/>
        <w:bidi w:val="0"/>
        <w:spacing w:before="0" w:after="283"/>
        <w:jc w:val="start"/>
        <w:rPr/>
      </w:pPr>
      <w:r>
        <w:rPr/>
        <w:t>Net profit margin = Net profit after tax ÷ Sales revenue × 100%</w:t>
        <w:br/>
        <w:t>Example: $160,000 ÷ $500,000 = 32%</w:t>
      </w:r>
    </w:p>
    <w:p>
      <w:pPr>
        <w:pStyle w:val="BodyText"/>
        <w:numPr>
          <w:ilvl w:val="0"/>
          <w:numId w:val="156"/>
        </w:numPr>
        <w:tabs>
          <w:tab w:val="clear" w:pos="709"/>
          <w:tab w:val="left" w:pos="709" w:leader="none"/>
        </w:tabs>
        <w:bidi w:val="0"/>
        <w:ind w:hanging="283" w:start="709"/>
        <w:jc w:val="start"/>
        <w:rPr/>
      </w:pPr>
      <w:r>
        <w:rPr>
          <w:b/>
        </w:rPr>
        <w:t>Meaning:</w:t>
      </w:r>
      <w:r>
        <w:rPr/>
        <w:t xml:space="preserve"> for every </w:t>
      </w:r>
      <w:r>
        <w:rPr>
          <w:b/>
        </w:rPr>
        <w:t>$1 in sales</w:t>
      </w:r>
      <w:r>
        <w:rPr/>
        <w:t xml:space="preserve">, the company keeps </w:t>
      </w:r>
      <w:r>
        <w:rPr>
          <w:b/>
        </w:rPr>
        <w:t>32 cents</w:t>
      </w:r>
      <w:r>
        <w:rPr/>
        <w:t xml:space="preserve"> in net profit, which it can use to </w:t>
      </w:r>
      <w:r>
        <w:rPr>
          <w:b/>
        </w:rPr>
        <w:t>pay off debt, pay dividends, buy back shares, or reinvest</w:t>
      </w:r>
      <w:r>
        <w:rPr/>
        <w:t>.</w:t>
      </w:r>
    </w:p>
    <w:p>
      <w:pPr>
        <w:pStyle w:val="BodyText"/>
        <w:bidi w:val="0"/>
        <w:jc w:val="start"/>
        <w:rPr/>
      </w:pPr>
      <w:r>
        <w:rPr>
          <w:b/>
        </w:rPr>
        <w:t>How to judge a margin — there is no absolute number:</w:t>
      </w:r>
    </w:p>
    <w:p>
      <w:pPr>
        <w:pStyle w:val="BodyText"/>
        <w:numPr>
          <w:ilvl w:val="0"/>
          <w:numId w:val="157"/>
        </w:numPr>
        <w:tabs>
          <w:tab w:val="clear" w:pos="709"/>
          <w:tab w:val="left" w:pos="709" w:leader="none"/>
        </w:tabs>
        <w:bidi w:val="0"/>
        <w:ind w:hanging="283" w:start="709"/>
        <w:jc w:val="start"/>
        <w:rPr/>
      </w:pPr>
      <w:r>
        <w:rPr>
          <w:b/>
        </w:rPr>
        <w:t>Comparative test:</w:t>
      </w:r>
      <w:r>
        <w:rPr/>
        <w:t xml:space="preserve"> compare the company's margins to its </w:t>
      </w:r>
      <w:r>
        <w:rPr>
          <w:b/>
        </w:rPr>
        <w:t>closest competitors</w:t>
      </w:r>
      <w:r>
        <w:rPr/>
        <w:t xml:space="preserve">. You want the company to have </w:t>
      </w:r>
      <w:r>
        <w:rPr>
          <w:b/>
        </w:rPr>
        <w:t>the same or higher</w:t>
      </w:r>
      <w:r>
        <w:rPr/>
        <w:t xml:space="preserve"> margins than its closest competition. If competitors have </w:t>
      </w:r>
      <w:r>
        <w:rPr>
          <w:i/>
        </w:rPr>
        <w:t>higher</w:t>
      </w:r>
      <w:r>
        <w:rPr/>
        <w:t xml:space="preserve"> margins, that is </w:t>
      </w:r>
      <w:r>
        <w:rPr>
          <w:b/>
        </w:rPr>
        <w:t>not good</w:t>
      </w:r>
      <w:r>
        <w:rPr/>
        <w:t>.</w:t>
      </w:r>
    </w:p>
    <w:p>
      <w:pPr>
        <w:pStyle w:val="BodyText"/>
        <w:numPr>
          <w:ilvl w:val="0"/>
          <w:numId w:val="157"/>
        </w:numPr>
        <w:tabs>
          <w:tab w:val="clear" w:pos="709"/>
          <w:tab w:val="left" w:pos="709" w:leader="none"/>
        </w:tabs>
        <w:bidi w:val="0"/>
        <w:ind w:hanging="283" w:start="709"/>
        <w:jc w:val="start"/>
        <w:rPr/>
      </w:pPr>
      <w:r>
        <w:rPr>
          <w:b/>
        </w:rPr>
        <w:t>Trend test:</w:t>
      </w:r>
      <w:r>
        <w:rPr/>
        <w:t xml:space="preserve"> look at the margin over the </w:t>
      </w:r>
      <w:r>
        <w:rPr>
          <w:b/>
        </w:rPr>
        <w:t>last 5 years</w:t>
      </w:r>
      <w:r>
        <w:rPr/>
        <w:t xml:space="preserve">. You want it </w:t>
      </w:r>
      <w:r>
        <w:rPr>
          <w:b/>
        </w:rPr>
        <w:t>increasing or consistent</w:t>
      </w:r>
      <w:r>
        <w:rPr/>
        <w:t xml:space="preserve">. </w:t>
      </w:r>
      <w:r>
        <w:rPr>
          <w:b/>
        </w:rPr>
        <w:t>Falling gross margins over 5 years is a bad sign</w:t>
      </w:r>
      <w:r>
        <w:rPr/>
        <w:t xml:space="preserve"> — it means the cost of making the products is rising and eroding the margin.</w:t>
      </w:r>
    </w:p>
    <w:p>
      <w:pPr>
        <w:pStyle w:val="BodyText"/>
        <w:numPr>
          <w:ilvl w:val="0"/>
          <w:numId w:val="157"/>
        </w:numPr>
        <w:tabs>
          <w:tab w:val="clear" w:pos="709"/>
          <w:tab w:val="left" w:pos="709" w:leader="none"/>
        </w:tabs>
        <w:bidi w:val="0"/>
        <w:ind w:hanging="283" w:start="709"/>
        <w:jc w:val="start"/>
        <w:rPr/>
      </w:pPr>
      <w:r>
        <w:rPr>
          <w:b/>
        </w:rPr>
        <w:t>Escape hatch again:</w:t>
      </w:r>
      <w:r>
        <w:rPr/>
        <w:t xml:space="preserve"> if </w:t>
      </w:r>
      <w:r>
        <w:rPr>
          <w:b/>
        </w:rPr>
        <w:t>net profit margin</w:t>
      </w:r>
      <w:r>
        <w:rPr/>
        <w:t xml:space="preserve"> is inconsistent because it's skewed by non-operating items, look at the </w:t>
      </w:r>
      <w:r>
        <w:rPr>
          <w:b/>
        </w:rPr>
        <w:t>operating profit margin</w:t>
      </w:r>
      <w:r>
        <w:rPr/>
        <w:t xml:space="preserve"> instead. </w:t>
      </w:r>
      <w:r>
        <w:rPr>
          <w:b/>
        </w:rPr>
        <w:t>As long as gross profit margin and operating margin are both consistent or growing, that's fine.</w:t>
      </w:r>
    </w:p>
    <w:p>
      <w:pPr>
        <w:pStyle w:val="BodyText"/>
        <w:bidi w:val="0"/>
        <w:jc w:val="start"/>
        <w:rPr/>
      </w:pPr>
      <w:r>
        <w:rPr>
          <w:b/>
        </w:rPr>
        <w:t>Where to find margins on StockOracle:</w:t>
      </w:r>
      <w:r>
        <w:rPr/>
        <w:t xml:space="preserve"> </w:t>
      </w:r>
      <w:r>
        <w:rPr>
          <w:b/>
        </w:rPr>
        <w:t>Company Metrics → scroll down</w:t>
      </w:r>
      <w:r>
        <w:rPr/>
        <w:t xml:space="preserve"> (available on the free basic account, roughly last 5 years) → </w:t>
      </w:r>
      <w:r>
        <w:rPr>
          <w:b/>
        </w:rPr>
        <w:t>gross profit margin, operating profit margin, net profit margin</w:t>
      </w:r>
      <w:r>
        <w:rPr/>
        <w:t xml:space="preserve">, plus the </w:t>
      </w:r>
      <w:r>
        <w:rPr>
          <w:b/>
        </w:rPr>
        <w:t>10-year average</w:t>
      </w:r>
      <w:r>
        <w:rPr/>
        <w:t xml:space="preserve"> for comparison. Visual margin charts require the </w:t>
      </w:r>
      <w:r>
        <w:rPr>
          <w:b/>
        </w:rPr>
        <w:t>paid account</w:t>
      </w:r>
      <w:r>
        <w:rPr/>
        <w:t xml:space="preserve"> (scroll up on the same page).</w:t>
      </w:r>
    </w:p>
    <w:p>
      <w:pPr>
        <w:pStyle w:val="Heading4"/>
        <w:bidi w:val="0"/>
        <w:ind w:hanging="0" w:start="0"/>
        <w:jc w:val="start"/>
        <w:rPr/>
      </w:pPr>
      <w:r>
        <w:rPr/>
        <w:t>2.6 Worked example — Apple's income statement (StockOracle)</w:t>
      </w:r>
    </w:p>
    <w:p>
      <w:pPr>
        <w:pStyle w:val="BodyText"/>
        <w:bidi w:val="0"/>
        <w:jc w:val="start"/>
        <w:rPr/>
      </w:pPr>
      <w:r>
        <w:rPr>
          <w:b/>
        </w:rPr>
        <w:t>Line-by-line for the year shown:</w:t>
      </w:r>
    </w:p>
    <w:tbl>
      <w:tblPr>
        <w:tblW w:w="5000" w:type="pct"/>
        <w:jc w:val="start"/>
        <w:tblInd w:w="-5" w:type="dxa"/>
        <w:tblLayout w:type="fixed"/>
        <w:tblCellMar>
          <w:top w:w="55" w:type="dxa"/>
          <w:start w:w="55" w:type="dxa"/>
          <w:bottom w:w="55" w:type="dxa"/>
          <w:end w:w="55" w:type="dxa"/>
        </w:tblCellMar>
      </w:tblPr>
      <w:tblGrid>
        <w:gridCol w:w="4819"/>
        <w:gridCol w:w="4819"/>
      </w:tblGrid>
      <w:tr>
        <w:trPr>
          <w:tblHeader w:val="true"/>
        </w:trPr>
        <w:tc>
          <w:tcPr>
            <w:tcW w:w="4819" w:type="dxa"/>
            <w:tcBorders>
              <w:top w:val="single" w:sz="4" w:space="0" w:color="000000"/>
              <w:start w:val="single" w:sz="4" w:space="0" w:color="000000"/>
              <w:bottom w:val="single" w:sz="4" w:space="0" w:color="000000"/>
            </w:tcBorders>
          </w:tcPr>
          <w:p>
            <w:pPr>
              <w:pStyle w:val="TableHeading"/>
              <w:bidi w:val="0"/>
              <w:jc w:val="start"/>
              <w:rPr/>
            </w:pPr>
            <w:r>
              <w:rPr/>
              <w:t>Line item</w:t>
            </w:r>
          </w:p>
        </w:tc>
        <w:tc>
          <w:tcPr>
            <w:tcW w:w="4819"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Figure</w:t>
            </w:r>
          </w:p>
        </w:tc>
      </w:tr>
      <w:tr>
        <w:trPr/>
        <w:tc>
          <w:tcPr>
            <w:tcW w:w="4819" w:type="dxa"/>
            <w:tcBorders>
              <w:start w:val="single" w:sz="4" w:space="0" w:color="000000"/>
              <w:bottom w:val="single" w:sz="4" w:space="0" w:color="000000"/>
            </w:tcBorders>
          </w:tcPr>
          <w:p>
            <w:pPr>
              <w:pStyle w:val="TableContents"/>
              <w:bidi w:val="0"/>
              <w:jc w:val="start"/>
              <w:rPr/>
            </w:pPr>
            <w:r>
              <w:rPr/>
              <w:t>Sales revenue (last financial year)</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b/>
              </w:rPr>
              <w:t>$416.161 billion</w:t>
            </w:r>
          </w:p>
        </w:tc>
      </w:tr>
      <w:tr>
        <w:trPr/>
        <w:tc>
          <w:tcPr>
            <w:tcW w:w="4819" w:type="dxa"/>
            <w:tcBorders>
              <w:start w:val="single" w:sz="4" w:space="0" w:color="000000"/>
              <w:bottom w:val="single" w:sz="4" w:space="0" w:color="000000"/>
            </w:tcBorders>
          </w:tcPr>
          <w:p>
            <w:pPr>
              <w:pStyle w:val="TableContents"/>
              <w:bidi w:val="0"/>
              <w:jc w:val="start"/>
              <w:rPr/>
            </w:pPr>
            <w:r>
              <w:rPr/>
              <w:t>Sales revenue (TTM / last 12 months)</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b/>
              </w:rPr>
              <w:t>435,617 million = $435.617 billion</w:t>
            </w:r>
          </w:p>
        </w:tc>
      </w:tr>
      <w:tr>
        <w:trPr/>
        <w:tc>
          <w:tcPr>
            <w:tcW w:w="4819" w:type="dxa"/>
            <w:tcBorders>
              <w:start w:val="single" w:sz="4" w:space="0" w:color="000000"/>
              <w:bottom w:val="single" w:sz="4" w:space="0" w:color="000000"/>
            </w:tcBorders>
          </w:tcPr>
          <w:p>
            <w:pPr>
              <w:pStyle w:val="TableContents"/>
              <w:bidi w:val="0"/>
              <w:jc w:val="start"/>
              <w:rPr/>
            </w:pPr>
            <w:r>
              <w:rPr/>
              <w:t xml:space="preserve">− </w:t>
            </w:r>
            <w:r>
              <w:rPr/>
              <w:t>Cost of goods sold</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w:t>
            </w:r>
            <w:r>
              <w:rPr>
                <w:b/>
              </w:rPr>
              <w:t>$220,000 million</w:t>
            </w:r>
          </w:p>
        </w:tc>
      </w:tr>
      <w:tr>
        <w:trPr/>
        <w:tc>
          <w:tcPr>
            <w:tcW w:w="4819" w:type="dxa"/>
            <w:tcBorders>
              <w:start w:val="single" w:sz="4" w:space="0" w:color="000000"/>
              <w:bottom w:val="single" w:sz="4" w:space="0" w:color="000000"/>
            </w:tcBorders>
          </w:tcPr>
          <w:p>
            <w:pPr>
              <w:pStyle w:val="TableContents"/>
              <w:bidi w:val="0"/>
              <w:jc w:val="start"/>
              <w:rPr/>
            </w:pPr>
            <w:r>
              <w:rPr/>
              <w:t xml:space="preserve">= </w:t>
            </w:r>
            <w:r>
              <w:rPr>
                <w:b/>
              </w:rPr>
              <w:t>Gross profit</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b/>
              </w:rPr>
              <w:t>$195,201 million</w:t>
            </w:r>
          </w:p>
        </w:tc>
      </w:tr>
      <w:tr>
        <w:trPr/>
        <w:tc>
          <w:tcPr>
            <w:tcW w:w="4819" w:type="dxa"/>
            <w:tcBorders>
              <w:start w:val="single" w:sz="4" w:space="0" w:color="000000"/>
              <w:bottom w:val="single" w:sz="4" w:space="0" w:color="000000"/>
            </w:tcBorders>
          </w:tcPr>
          <w:p>
            <w:pPr>
              <w:pStyle w:val="TableContents"/>
              <w:bidi w:val="0"/>
              <w:jc w:val="start"/>
              <w:rPr/>
            </w:pPr>
            <w:r>
              <w:rPr/>
              <w:t xml:space="preserve">− </w:t>
            </w:r>
            <w:r>
              <w:rPr/>
              <w:t>Total operating expenses</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b/>
              </w:rPr>
              <w:t>$62.151 billion</w:t>
            </w:r>
          </w:p>
        </w:tc>
      </w:tr>
      <w:tr>
        <w:trPr/>
        <w:tc>
          <w:tcPr>
            <w:tcW w:w="4819" w:type="dxa"/>
            <w:tcBorders>
              <w:start w:val="single" w:sz="4" w:space="0" w:color="000000"/>
              <w:bottom w:val="single" w:sz="4" w:space="0" w:color="000000"/>
            </w:tcBorders>
          </w:tcPr>
          <w:p>
            <w:pPr>
              <w:pStyle w:val="TableContents"/>
              <w:bidi w:val="0"/>
              <w:jc w:val="start"/>
              <w:rPr/>
            </w:pPr>
            <w:r>
              <w:rPr/>
              <w:t xml:space="preserve">• </w:t>
            </w:r>
            <w:r>
              <w:rPr/>
              <w:t>of which SG&amp;A (selling, general &amp; administrative)</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b/>
              </w:rPr>
              <w:t>$27.6 billion</w:t>
            </w:r>
          </w:p>
        </w:tc>
      </w:tr>
      <w:tr>
        <w:trPr/>
        <w:tc>
          <w:tcPr>
            <w:tcW w:w="4819" w:type="dxa"/>
            <w:tcBorders>
              <w:start w:val="single" w:sz="4" w:space="0" w:color="000000"/>
              <w:bottom w:val="single" w:sz="4" w:space="0" w:color="000000"/>
            </w:tcBorders>
          </w:tcPr>
          <w:p>
            <w:pPr>
              <w:pStyle w:val="TableContents"/>
              <w:bidi w:val="0"/>
              <w:jc w:val="start"/>
              <w:rPr/>
            </w:pPr>
            <w:r>
              <w:rPr/>
              <w:t xml:space="preserve">• </w:t>
            </w:r>
            <w:r>
              <w:rPr/>
              <w:t>of which R&amp;D</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b/>
              </w:rPr>
              <w:t>$34.55 billion</w:t>
            </w:r>
          </w:p>
        </w:tc>
      </w:tr>
      <w:tr>
        <w:trPr/>
        <w:tc>
          <w:tcPr>
            <w:tcW w:w="4819" w:type="dxa"/>
            <w:tcBorders>
              <w:start w:val="single" w:sz="4" w:space="0" w:color="000000"/>
              <w:bottom w:val="single" w:sz="4" w:space="0" w:color="000000"/>
            </w:tcBorders>
          </w:tcPr>
          <w:p>
            <w:pPr>
              <w:pStyle w:val="TableContents"/>
              <w:bidi w:val="0"/>
              <w:jc w:val="start"/>
              <w:rPr/>
            </w:pPr>
            <w:r>
              <w:rPr/>
              <w:t xml:space="preserve">= </w:t>
            </w:r>
            <w:r>
              <w:rPr>
                <w:b/>
              </w:rPr>
              <w:t>Operating income</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b/>
              </w:rPr>
              <w:t>$114 billion</w:t>
            </w:r>
          </w:p>
        </w:tc>
      </w:tr>
      <w:tr>
        <w:trPr/>
        <w:tc>
          <w:tcPr>
            <w:tcW w:w="4819" w:type="dxa"/>
            <w:tcBorders>
              <w:start w:val="single" w:sz="4" w:space="0" w:color="000000"/>
              <w:bottom w:val="single" w:sz="4" w:space="0" w:color="000000"/>
            </w:tcBorders>
          </w:tcPr>
          <w:p>
            <w:pPr>
              <w:pStyle w:val="TableContents"/>
              <w:bidi w:val="0"/>
              <w:jc w:val="start"/>
              <w:rPr/>
            </w:pPr>
            <w:r>
              <w:rPr/>
              <w:t xml:space="preserve">− </w:t>
            </w:r>
            <w:r>
              <w:rPr/>
              <w:t>Interest expense on debt (FY2023 detail)</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b/>
              </w:rPr>
              <w:t>$3.9 billion</w:t>
            </w:r>
          </w:p>
        </w:tc>
      </w:tr>
      <w:tr>
        <w:trPr/>
        <w:tc>
          <w:tcPr>
            <w:tcW w:w="4819" w:type="dxa"/>
            <w:tcBorders>
              <w:start w:val="single" w:sz="4" w:space="0" w:color="000000"/>
              <w:bottom w:val="single" w:sz="4" w:space="0" w:color="000000"/>
            </w:tcBorders>
          </w:tcPr>
          <w:p>
            <w:pPr>
              <w:pStyle w:val="TableContents"/>
              <w:bidi w:val="0"/>
              <w:jc w:val="start"/>
              <w:rPr/>
            </w:pPr>
            <w:r>
              <w:rPr/>
              <w:t>+ Interest income earned on its cash pile</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b/>
              </w:rPr>
              <w:t>$3.75 billion</w:t>
            </w:r>
          </w:p>
        </w:tc>
      </w:tr>
      <w:tr>
        <w:trPr/>
        <w:tc>
          <w:tcPr>
            <w:tcW w:w="4819" w:type="dxa"/>
            <w:tcBorders>
              <w:start w:val="single" w:sz="4" w:space="0" w:color="000000"/>
              <w:bottom w:val="single" w:sz="4" w:space="0" w:color="000000"/>
            </w:tcBorders>
          </w:tcPr>
          <w:p>
            <w:pPr>
              <w:pStyle w:val="TableContents"/>
              <w:bidi w:val="0"/>
              <w:jc w:val="start"/>
              <w:rPr/>
            </w:pPr>
            <w:r>
              <w:rPr/>
              <w:t xml:space="preserve">= </w:t>
            </w:r>
            <w:r>
              <w:rPr>
                <w:b/>
              </w:rPr>
              <w:t>Net interest expense</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b/>
              </w:rPr>
              <w:t>$183 million</w:t>
            </w:r>
            <w:r>
              <w:rPr/>
              <w:t xml:space="preserve"> — </w:t>
            </w:r>
            <w:r>
              <w:rPr>
                <w:i/>
              </w:rPr>
              <w:t>"considered very low for a company"</w:t>
            </w:r>
          </w:p>
        </w:tc>
      </w:tr>
      <w:tr>
        <w:trPr/>
        <w:tc>
          <w:tcPr>
            <w:tcW w:w="4819" w:type="dxa"/>
            <w:tcBorders>
              <w:start w:val="single" w:sz="4" w:space="0" w:color="000000"/>
              <w:bottom w:val="single" w:sz="4" w:space="0" w:color="000000"/>
            </w:tcBorders>
          </w:tcPr>
          <w:p>
            <w:pPr>
              <w:pStyle w:val="TableContents"/>
              <w:bidi w:val="0"/>
              <w:jc w:val="start"/>
              <w:rPr/>
            </w:pPr>
            <w:r>
              <w:rPr/>
              <w:t xml:space="preserve">− </w:t>
            </w:r>
            <w:r>
              <w:rPr/>
              <w:t>Other non-operating income &amp; expenses</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b/>
              </w:rPr>
              <w:t>$382 million</w:t>
            </w:r>
          </w:p>
        </w:tc>
      </w:tr>
      <w:tr>
        <w:trPr/>
        <w:tc>
          <w:tcPr>
            <w:tcW w:w="4819" w:type="dxa"/>
            <w:tcBorders>
              <w:start w:val="single" w:sz="4" w:space="0" w:color="000000"/>
              <w:bottom w:val="single" w:sz="4" w:space="0" w:color="000000"/>
            </w:tcBorders>
          </w:tcPr>
          <w:p>
            <w:pPr>
              <w:pStyle w:val="TableContents"/>
              <w:bidi w:val="0"/>
              <w:jc w:val="start"/>
              <w:rPr/>
            </w:pPr>
            <w:r>
              <w:rPr/>
              <w:t xml:space="preserve">= </w:t>
            </w:r>
            <w:r>
              <w:rPr>
                <w:b/>
              </w:rPr>
              <w:t>Earnings before taxes</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b/>
              </w:rPr>
              <w:t>$113.736 billion</w:t>
            </w:r>
          </w:p>
        </w:tc>
      </w:tr>
      <w:tr>
        <w:trPr/>
        <w:tc>
          <w:tcPr>
            <w:tcW w:w="4819" w:type="dxa"/>
            <w:tcBorders>
              <w:start w:val="single" w:sz="4" w:space="0" w:color="000000"/>
              <w:bottom w:val="single" w:sz="4" w:space="0" w:color="000000"/>
            </w:tcBorders>
          </w:tcPr>
          <w:p>
            <w:pPr>
              <w:pStyle w:val="TableContents"/>
              <w:bidi w:val="0"/>
              <w:jc w:val="start"/>
              <w:rPr/>
            </w:pPr>
            <w:r>
              <w:rPr/>
              <w:t xml:space="preserve">− </w:t>
            </w:r>
            <w:r>
              <w:rPr/>
              <w:t>Income tax expense</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w:t>
            </w:r>
          </w:p>
        </w:tc>
      </w:tr>
      <w:tr>
        <w:trPr/>
        <w:tc>
          <w:tcPr>
            <w:tcW w:w="4819" w:type="dxa"/>
            <w:tcBorders>
              <w:start w:val="single" w:sz="4" w:space="0" w:color="000000"/>
              <w:bottom w:val="single" w:sz="4" w:space="0" w:color="000000"/>
            </w:tcBorders>
          </w:tcPr>
          <w:p>
            <w:pPr>
              <w:pStyle w:val="TableContents"/>
              <w:bidi w:val="0"/>
              <w:jc w:val="start"/>
              <w:rPr/>
            </w:pPr>
            <w:r>
              <w:rPr/>
              <w:t xml:space="preserve">= </w:t>
            </w:r>
            <w:r>
              <w:rPr>
                <w:b/>
              </w:rPr>
              <w:t>Net income</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b/>
              </w:rPr>
              <w:t>$96.995 billion</w:t>
            </w:r>
          </w:p>
        </w:tc>
      </w:tr>
    </w:tbl>
    <w:p>
      <w:pPr>
        <w:pStyle w:val="BodyText"/>
        <w:bidi w:val="0"/>
        <w:jc w:val="start"/>
        <w:rPr/>
      </w:pPr>
      <w:r>
        <w:rPr/>
      </w:r>
    </w:p>
    <w:p>
      <w:pPr>
        <w:pStyle w:val="BodyText"/>
        <w:numPr>
          <w:ilvl w:val="0"/>
          <w:numId w:val="158"/>
        </w:numPr>
        <w:tabs>
          <w:tab w:val="clear" w:pos="709"/>
          <w:tab w:val="left" w:pos="709" w:leader="none"/>
        </w:tabs>
        <w:bidi w:val="0"/>
        <w:ind w:hanging="283" w:start="709"/>
        <w:jc w:val="start"/>
        <w:rPr/>
      </w:pPr>
      <w:r>
        <w:rPr/>
        <w:t xml:space="preserve">Note: </w:t>
      </w:r>
      <w:r>
        <w:rPr>
          <w:b/>
        </w:rPr>
        <w:t>Apple takes on debt for taxation reasons</w:t>
      </w:r>
      <w:r>
        <w:rPr/>
        <w:t xml:space="preserve">, and simultaneously holds a lot of cash earning bank interest — hence both an interest expense and interest income line. In the two most recent financial years these lines were </w:t>
      </w:r>
      <w:r>
        <w:rPr>
          <w:b/>
        </w:rPr>
        <w:t>not shown / treated as zero</w:t>
      </w:r>
      <w:r>
        <w:rPr/>
        <w:t>.</w:t>
      </w:r>
    </w:p>
    <w:p>
      <w:pPr>
        <w:pStyle w:val="BodyText"/>
        <w:bidi w:val="0"/>
        <w:jc w:val="start"/>
        <w:rPr/>
      </w:pPr>
      <w:r>
        <w:rPr>
          <w:b/>
        </w:rPr>
        <w:t>Apple's trend check (Adam reads them off the table):</w:t>
      </w:r>
    </w:p>
    <w:p>
      <w:pPr>
        <w:pStyle w:val="BodyText"/>
        <w:numPr>
          <w:ilvl w:val="0"/>
          <w:numId w:val="159"/>
        </w:numPr>
        <w:tabs>
          <w:tab w:val="clear" w:pos="709"/>
          <w:tab w:val="left" w:pos="709" w:leader="none"/>
        </w:tabs>
        <w:bidi w:val="0"/>
        <w:ind w:hanging="283" w:start="709"/>
        <w:jc w:val="start"/>
        <w:rPr/>
      </w:pPr>
      <w:r>
        <w:rPr>
          <w:b/>
        </w:rPr>
        <w:t>Revenue:</w:t>
      </w:r>
      <w:r>
        <w:rPr/>
        <w:t xml:space="preserve"> 2020 </w:t>
      </w:r>
      <w:r>
        <w:rPr>
          <w:b/>
        </w:rPr>
        <w:t>$274B</w:t>
      </w:r>
      <w:r>
        <w:rPr/>
        <w:t xml:space="preserve"> → </w:t>
      </w:r>
      <w:r>
        <w:rPr>
          <w:b/>
        </w:rPr>
        <w:t>$365B</w:t>
      </w:r>
      <w:r>
        <w:rPr/>
        <w:t xml:space="preserve"> → </w:t>
      </w:r>
      <w:r>
        <w:rPr>
          <w:b/>
        </w:rPr>
        <w:t>$394B</w:t>
      </w:r>
      <w:r>
        <w:rPr/>
        <w:t xml:space="preserve"> → slight drop to </w:t>
      </w:r>
      <w:r>
        <w:rPr>
          <w:b/>
        </w:rPr>
        <w:t>$383B</w:t>
      </w:r>
      <w:r>
        <w:rPr/>
        <w:t xml:space="preserve"> → </w:t>
      </w:r>
      <w:r>
        <w:rPr>
          <w:b/>
        </w:rPr>
        <w:t>$391B</w:t>
      </w:r>
      <w:r>
        <w:rPr/>
        <w:t xml:space="preserve"> → </w:t>
      </w:r>
      <w:r>
        <w:rPr>
          <w:b/>
        </w:rPr>
        <w:t>$416B</w:t>
      </w:r>
      <w:r>
        <w:rPr/>
        <w:t xml:space="preserve"> → TTM </w:t>
      </w:r>
      <w:r>
        <w:rPr>
          <w:b/>
        </w:rPr>
        <w:t>$435.617B</w:t>
      </w:r>
      <w:r>
        <w:rPr/>
        <w:t xml:space="preserve">. Verdict: </w:t>
      </w:r>
      <w:r>
        <w:rPr>
          <w:b/>
        </w:rPr>
        <w:t>"pretty consistent"</w:t>
      </w:r>
      <w:r>
        <w:rPr/>
        <w:t xml:space="preserve"> — yes.</w:t>
      </w:r>
    </w:p>
    <w:p>
      <w:pPr>
        <w:pStyle w:val="BodyText"/>
        <w:numPr>
          <w:ilvl w:val="0"/>
          <w:numId w:val="159"/>
        </w:numPr>
        <w:tabs>
          <w:tab w:val="clear" w:pos="709"/>
          <w:tab w:val="left" w:pos="709" w:leader="none"/>
        </w:tabs>
        <w:bidi w:val="0"/>
        <w:ind w:hanging="283" w:start="709"/>
        <w:jc w:val="start"/>
        <w:rPr/>
      </w:pPr>
      <w:r>
        <w:rPr>
          <w:b/>
        </w:rPr>
        <w:t>Operating income:</w:t>
      </w:r>
      <w:r>
        <w:rPr/>
        <w:t xml:space="preserve"> </w:t>
      </w:r>
      <w:r>
        <w:rPr>
          <w:b/>
        </w:rPr>
        <w:t>$65B</w:t>
      </w:r>
      <w:r>
        <w:rPr/>
        <w:t xml:space="preserve"> → </w:t>
      </w:r>
      <w:r>
        <w:rPr>
          <w:b/>
        </w:rPr>
        <w:t>$108B</w:t>
      </w:r>
      <w:r>
        <w:rPr/>
        <w:t xml:space="preserve"> → </w:t>
      </w:r>
      <w:r>
        <w:rPr>
          <w:b/>
        </w:rPr>
        <w:t>$119B</w:t>
      </w:r>
      <w:r>
        <w:rPr/>
        <w:t xml:space="preserve"> → </w:t>
      </w:r>
      <w:r>
        <w:rPr>
          <w:b/>
        </w:rPr>
        <w:t>$114B</w:t>
      </w:r>
      <w:r>
        <w:rPr/>
        <w:t xml:space="preserve"> (slight drop) → </w:t>
      </w:r>
      <w:r>
        <w:rPr>
          <w:b/>
        </w:rPr>
        <w:t>$113B</w:t>
      </w:r>
      <w:r>
        <w:rPr/>
        <w:t xml:space="preserve"> → TTM </w:t>
      </w:r>
      <w:r>
        <w:rPr>
          <w:b/>
        </w:rPr>
        <w:t>$141B</w:t>
      </w:r>
      <w:r>
        <w:rPr/>
        <w:t xml:space="preserve">. Verdict: generally </w:t>
      </w:r>
      <w:r>
        <w:rPr>
          <w:b/>
        </w:rPr>
        <w:t>uptrend</w:t>
      </w:r>
      <w:r>
        <w:rPr/>
        <w:t xml:space="preserve"> — yes.</w:t>
      </w:r>
    </w:p>
    <w:p>
      <w:pPr>
        <w:pStyle w:val="BodyText"/>
        <w:numPr>
          <w:ilvl w:val="0"/>
          <w:numId w:val="159"/>
        </w:numPr>
        <w:tabs>
          <w:tab w:val="clear" w:pos="709"/>
          <w:tab w:val="left" w:pos="709" w:leader="none"/>
        </w:tabs>
        <w:bidi w:val="0"/>
        <w:ind w:hanging="283" w:start="709"/>
        <w:jc w:val="start"/>
        <w:rPr/>
      </w:pPr>
      <w:r>
        <w:rPr>
          <w:b/>
        </w:rPr>
        <w:t>Net income:</w:t>
      </w:r>
      <w:r>
        <w:rPr/>
        <w:t xml:space="preserve"> </w:t>
      </w:r>
      <w:r>
        <w:rPr>
          <w:b/>
        </w:rPr>
        <w:t>$57B</w:t>
      </w:r>
      <w:r>
        <w:rPr/>
        <w:t xml:space="preserve"> → </w:t>
      </w:r>
      <w:r>
        <w:rPr>
          <w:b/>
        </w:rPr>
        <w:t>$94B</w:t>
      </w:r>
      <w:r>
        <w:rPr/>
        <w:t xml:space="preserve"> → </w:t>
      </w:r>
      <w:r>
        <w:rPr>
          <w:b/>
        </w:rPr>
        <w:t>$99B</w:t>
      </w:r>
      <w:r>
        <w:rPr/>
        <w:t xml:space="preserve"> → </w:t>
      </w:r>
      <w:r>
        <w:rPr>
          <w:b/>
        </w:rPr>
        <w:t>$96B</w:t>
      </w:r>
      <w:r>
        <w:rPr/>
        <w:t xml:space="preserve"> → </w:t>
      </w:r>
      <w:r>
        <w:rPr>
          <w:b/>
        </w:rPr>
        <w:t>$93B</w:t>
      </w:r>
      <w:r>
        <w:rPr/>
        <w:t xml:space="preserve"> (two dip years) → </w:t>
      </w:r>
      <w:r>
        <w:rPr>
          <w:b/>
        </w:rPr>
        <w:t>$112B</w:t>
      </w:r>
      <w:r>
        <w:rPr/>
        <w:t xml:space="preserve"> → </w:t>
      </w:r>
      <w:r>
        <w:rPr>
          <w:b/>
        </w:rPr>
        <w:t>$117B</w:t>
      </w:r>
      <w:r>
        <w:rPr/>
        <w:t xml:space="preserve">. Verdict: generally </w:t>
      </w:r>
      <w:r>
        <w:rPr>
          <w:b/>
        </w:rPr>
        <w:t>uptrend</w:t>
      </w:r>
      <w:r>
        <w:rPr/>
        <w:t>.</w:t>
      </w:r>
    </w:p>
    <w:p>
      <w:pPr>
        <w:pStyle w:val="BodyText"/>
        <w:numPr>
          <w:ilvl w:val="0"/>
          <w:numId w:val="159"/>
        </w:numPr>
        <w:tabs>
          <w:tab w:val="clear" w:pos="709"/>
          <w:tab w:val="left" w:pos="709" w:leader="none"/>
        </w:tabs>
        <w:bidi w:val="0"/>
        <w:ind w:hanging="283" w:start="709"/>
        <w:jc w:val="start"/>
        <w:rPr/>
      </w:pPr>
      <w:r>
        <w:rPr/>
        <w:t xml:space="preserve">Easiest method: </w:t>
      </w:r>
      <w:r>
        <w:rPr>
          <w:b/>
        </w:rPr>
        <w:t>just look at the StockOracle chart</w:t>
      </w:r>
      <w:r>
        <w:rPr/>
        <w:t xml:space="preserve"> set to </w:t>
      </w:r>
      <w:r>
        <w:rPr>
          <w:b/>
        </w:rPr>
        <w:t>annual</w:t>
      </w:r>
      <w:r>
        <w:rPr/>
        <w:t xml:space="preserve"> — revenue uptrend? net income (green) uptrend? if not, is operating income (orange) going up? </w:t>
      </w:r>
      <w:r>
        <w:rPr>
          <w:b/>
        </w:rPr>
        <w:t>"That's all you've got to know about the income statement."</w:t>
      </w:r>
    </w:p>
    <w:p>
      <w:pPr>
        <w:pStyle w:val="BodyText"/>
        <w:bidi w:val="0"/>
        <w:jc w:val="start"/>
        <w:rPr/>
      </w:pPr>
      <w:r>
        <w:rPr>
          <w:b/>
        </w:rPr>
        <w:t>Apple's margins (last five years):</w:t>
      </w:r>
    </w:p>
    <w:p>
      <w:pPr>
        <w:pStyle w:val="BodyText"/>
        <w:numPr>
          <w:ilvl w:val="0"/>
          <w:numId w:val="160"/>
        </w:numPr>
        <w:tabs>
          <w:tab w:val="clear" w:pos="709"/>
          <w:tab w:val="left" w:pos="709" w:leader="none"/>
        </w:tabs>
        <w:bidi w:val="0"/>
        <w:ind w:hanging="283" w:start="709"/>
        <w:jc w:val="start"/>
        <w:rPr/>
      </w:pPr>
      <w:r>
        <w:rPr>
          <w:b/>
        </w:rPr>
        <w:t>Gross profit margin:</w:t>
      </w:r>
      <w:r>
        <w:rPr/>
        <w:t xml:space="preserve"> 43% → 44% → 46% → 46.9% → 47%. </w:t>
      </w:r>
      <w:r>
        <w:rPr>
          <w:b/>
        </w:rPr>
        <w:t>Increasing — they are getting more and more profitable</w:t>
      </w:r>
      <w:r>
        <w:rPr/>
        <w:t xml:space="preserve">, and current gross margins are </w:t>
      </w:r>
      <w:r>
        <w:rPr>
          <w:b/>
        </w:rPr>
        <w:t>higher than the 10-year average</w:t>
      </w:r>
      <w:r>
        <w:rPr/>
        <w:t>. Good sign.</w:t>
      </w:r>
    </w:p>
    <w:p>
      <w:pPr>
        <w:pStyle w:val="BodyText"/>
        <w:numPr>
          <w:ilvl w:val="0"/>
          <w:numId w:val="160"/>
        </w:numPr>
        <w:tabs>
          <w:tab w:val="clear" w:pos="709"/>
          <w:tab w:val="left" w:pos="709" w:leader="none"/>
        </w:tabs>
        <w:bidi w:val="0"/>
        <w:ind w:hanging="283" w:start="709"/>
        <w:jc w:val="start"/>
        <w:rPr/>
      </w:pPr>
      <w:r>
        <w:rPr>
          <w:b/>
        </w:rPr>
        <w:t>Operating margin:</w:t>
      </w:r>
      <w:r>
        <w:rPr/>
        <w:t xml:space="preserve"> 30.29% → 29.82% (slight drop, </w:t>
      </w:r>
      <w:r>
        <w:rPr>
          <w:i/>
        </w:rPr>
        <w:t>"no need to panic"</w:t>
      </w:r>
      <w:r>
        <w:rPr/>
        <w:t xml:space="preserve">) → 31.51% → 31.97% → 32%. Generally rising and </w:t>
      </w:r>
      <w:r>
        <w:rPr>
          <w:b/>
        </w:rPr>
        <w:t>above the 10-year average</w:t>
      </w:r>
      <w:r>
        <w:rPr/>
        <w:t>.</w:t>
      </w:r>
    </w:p>
    <w:p>
      <w:pPr>
        <w:pStyle w:val="BodyText"/>
        <w:numPr>
          <w:ilvl w:val="0"/>
          <w:numId w:val="160"/>
        </w:numPr>
        <w:tabs>
          <w:tab w:val="clear" w:pos="709"/>
          <w:tab w:val="left" w:pos="709" w:leader="none"/>
        </w:tabs>
        <w:bidi w:val="0"/>
        <w:ind w:hanging="283" w:start="709"/>
        <w:jc w:val="start"/>
        <w:rPr/>
      </w:pPr>
      <w:r>
        <w:rPr>
          <w:b/>
        </w:rPr>
        <w:t>Net profit margin:</w:t>
      </w:r>
      <w:r>
        <w:rPr/>
        <w:t xml:space="preserve"> 25.31% → 25.31% → 23% (dipped) → 26% → 27%. </w:t>
      </w:r>
      <w:r>
        <w:rPr>
          <w:i/>
        </w:rPr>
        <w:t>"Everything looks fantastic."</w:t>
      </w:r>
    </w:p>
    <w:p>
      <w:pPr>
        <w:pStyle w:val="HorizontalLine"/>
        <w:bidi w:val="0"/>
        <w:jc w:val="start"/>
        <w:rPr/>
      </w:pPr>
      <w:r>
        <w:rPr/>
      </w:r>
    </w:p>
    <w:p>
      <w:pPr>
        <w:pStyle w:val="Heading3"/>
        <w:bidi w:val="0"/>
        <w:ind w:hanging="0" w:start="0"/>
        <w:jc w:val="start"/>
        <w:rPr/>
      </w:pPr>
      <w:r>
        <w:rPr/>
        <w:t>3. The Balance Sheet</w:t>
      </w:r>
    </w:p>
    <w:p>
      <w:pPr>
        <w:pStyle w:val="BlockQuotation"/>
        <w:bidi w:val="0"/>
        <w:jc w:val="start"/>
        <w:rPr/>
      </w:pPr>
      <w:r>
        <w:rPr>
          <w:i/>
        </w:rPr>
        <w:t>"The income statement tells us how profitable the business is. The balance sheet tells us how financially strong the business is."</w:t>
      </w:r>
    </w:p>
    <w:p>
      <w:pPr>
        <w:pStyle w:val="Heading4"/>
        <w:bidi w:val="0"/>
        <w:ind w:hanging="0" w:start="0"/>
        <w:jc w:val="start"/>
        <w:rPr/>
      </w:pPr>
      <w:r>
        <w:rPr/>
        <w:t>3.1 The master equation</w:t>
      </w:r>
    </w:p>
    <w:p>
      <w:pPr>
        <w:pStyle w:val="PreformattedText"/>
        <w:shd w:fill="E1E1E1" w:val="clear"/>
        <w:bidi w:val="0"/>
        <w:spacing w:before="0" w:after="283"/>
        <w:jc w:val="start"/>
        <w:rPr/>
      </w:pPr>
      <w:r>
        <w:rPr/>
        <w:t>Total Assets − Total Liabilities = Shareholders' Equity</w:t>
      </w:r>
    </w:p>
    <w:p>
      <w:pPr>
        <w:pStyle w:val="BodyText"/>
        <w:numPr>
          <w:ilvl w:val="0"/>
          <w:numId w:val="161"/>
        </w:numPr>
        <w:tabs>
          <w:tab w:val="clear" w:pos="709"/>
          <w:tab w:val="left" w:pos="709" w:leader="none"/>
        </w:tabs>
        <w:bidi w:val="0"/>
        <w:ind w:hanging="283" w:start="709"/>
        <w:jc w:val="start"/>
        <w:rPr/>
      </w:pPr>
      <w:r>
        <w:rPr>
          <w:b/>
        </w:rPr>
        <w:t>Assets</w:t>
      </w:r>
      <w:r>
        <w:rPr/>
        <w:t xml:space="preserve"> = what the company </w:t>
      </w:r>
      <w:r>
        <w:rPr>
          <w:b/>
        </w:rPr>
        <w:t>owns</w:t>
      </w:r>
    </w:p>
    <w:p>
      <w:pPr>
        <w:pStyle w:val="BodyText"/>
        <w:numPr>
          <w:ilvl w:val="0"/>
          <w:numId w:val="161"/>
        </w:numPr>
        <w:tabs>
          <w:tab w:val="clear" w:pos="709"/>
          <w:tab w:val="left" w:pos="709" w:leader="none"/>
        </w:tabs>
        <w:bidi w:val="0"/>
        <w:ind w:hanging="283" w:start="709"/>
        <w:jc w:val="start"/>
        <w:rPr/>
      </w:pPr>
      <w:r>
        <w:rPr>
          <w:b/>
        </w:rPr>
        <w:t>Liabilities</w:t>
      </w:r>
      <w:r>
        <w:rPr/>
        <w:t xml:space="preserve"> = what the company </w:t>
      </w:r>
      <w:r>
        <w:rPr>
          <w:b/>
        </w:rPr>
        <w:t>owes</w:t>
      </w:r>
    </w:p>
    <w:p>
      <w:pPr>
        <w:pStyle w:val="BodyText"/>
        <w:numPr>
          <w:ilvl w:val="0"/>
          <w:numId w:val="161"/>
        </w:numPr>
        <w:tabs>
          <w:tab w:val="clear" w:pos="709"/>
          <w:tab w:val="left" w:pos="709" w:leader="none"/>
        </w:tabs>
        <w:bidi w:val="0"/>
        <w:ind w:hanging="283" w:start="709"/>
        <w:jc w:val="start"/>
        <w:rPr/>
      </w:pPr>
      <w:r>
        <w:rPr>
          <w:b/>
        </w:rPr>
        <w:t>Shareholders' equity</w:t>
      </w:r>
      <w:r>
        <w:rPr/>
        <w:t xml:space="preserve"> = what is </w:t>
      </w:r>
      <w:r>
        <w:rPr>
          <w:b/>
        </w:rPr>
        <w:t>left behind for the shareholders — you and me</w:t>
      </w:r>
    </w:p>
    <w:p>
      <w:pPr>
        <w:pStyle w:val="BodyText"/>
        <w:bidi w:val="0"/>
        <w:jc w:val="start"/>
        <w:rPr/>
      </w:pPr>
      <w:r>
        <w:rPr>
          <w:b/>
        </w:rPr>
        <w:t>Always use the LATEST QUARTERLY report</w:t>
      </w:r>
      <w:r>
        <w:rPr/>
        <w:t xml:space="preserve"> for the balance sheet, because it is a </w:t>
      </w:r>
      <w:r>
        <w:rPr>
          <w:b/>
        </w:rPr>
        <w:t>snapshot at a point in time</w:t>
      </w:r>
      <w:r>
        <w:rPr/>
        <w:t>, not a period.</w:t>
      </w:r>
    </w:p>
    <w:p>
      <w:pPr>
        <w:pStyle w:val="Heading4"/>
        <w:bidi w:val="0"/>
        <w:ind w:hanging="0" w:start="0"/>
        <w:jc w:val="start"/>
        <w:rPr/>
      </w:pPr>
      <w:r>
        <w:rPr/>
        <w:t>3.2 ASSETS</w:t>
      </w:r>
    </w:p>
    <w:p>
      <w:pPr>
        <w:pStyle w:val="BodyText"/>
        <w:bidi w:val="0"/>
        <w:jc w:val="start"/>
        <w:rPr/>
      </w:pPr>
      <w:r>
        <w:rPr>
          <w:b/>
        </w:rPr>
        <w:t>Current assets (short-term assets)</w:t>
      </w:r>
      <w:r>
        <w:rPr/>
        <w:t xml:space="preserve"> — things the company owns that it </w:t>
      </w:r>
      <w:r>
        <w:rPr>
          <w:b/>
        </w:rPr>
        <w:t>can convert to cash easily within three months</w:t>
      </w:r>
      <w:r>
        <w:rPr/>
        <w:t>:</w:t>
      </w:r>
    </w:p>
    <w:p>
      <w:pPr>
        <w:pStyle w:val="BodyText"/>
        <w:numPr>
          <w:ilvl w:val="0"/>
          <w:numId w:val="162"/>
        </w:numPr>
        <w:tabs>
          <w:tab w:val="clear" w:pos="709"/>
          <w:tab w:val="left" w:pos="709" w:leader="none"/>
        </w:tabs>
        <w:bidi w:val="0"/>
        <w:ind w:hanging="283" w:start="709"/>
        <w:jc w:val="start"/>
        <w:rPr/>
      </w:pPr>
      <w:r>
        <w:rPr>
          <w:b/>
        </w:rPr>
        <w:t>Cash and equivalents</w:t>
      </w:r>
      <w:r>
        <w:rPr/>
        <w:t xml:space="preserve"> — cash in the bank plus </w:t>
      </w:r>
      <w:r>
        <w:rPr>
          <w:b/>
        </w:rPr>
        <w:t>short-term bonds, commercial paper, fixed deposits</w:t>
      </w:r>
      <w:r>
        <w:rPr/>
        <w:t xml:space="preserve"> convertible to cash within three months.</w:t>
      </w:r>
    </w:p>
    <w:p>
      <w:pPr>
        <w:pStyle w:val="BodyText"/>
        <w:numPr>
          <w:ilvl w:val="0"/>
          <w:numId w:val="162"/>
        </w:numPr>
        <w:tabs>
          <w:tab w:val="clear" w:pos="709"/>
          <w:tab w:val="left" w:pos="709" w:leader="none"/>
        </w:tabs>
        <w:bidi w:val="0"/>
        <w:spacing w:before="0" w:after="0"/>
        <w:ind w:hanging="283" w:start="709"/>
        <w:jc w:val="start"/>
        <w:rPr/>
      </w:pPr>
      <w:r>
        <w:rPr>
          <w:b/>
        </w:rPr>
        <w:t>Short-term investments</w:t>
      </w:r>
      <w:r>
        <w:rPr/>
        <w:t xml:space="preserve"> — investments the company can sell and convert to cash easily.</w:t>
      </w:r>
    </w:p>
    <w:p>
      <w:pPr>
        <w:pStyle w:val="BodyText"/>
        <w:numPr>
          <w:ilvl w:val="1"/>
          <w:numId w:val="162"/>
        </w:numPr>
        <w:tabs>
          <w:tab w:val="clear" w:pos="709"/>
          <w:tab w:val="left" w:pos="1418" w:leader="none"/>
        </w:tabs>
        <w:bidi w:val="0"/>
        <w:ind w:hanging="283" w:start="1418"/>
        <w:jc w:val="start"/>
        <w:rPr/>
      </w:pPr>
      <w:r>
        <w:rPr>
          <w:i/>
        </w:rPr>
        <w:t xml:space="preserve">(1 + 2 are shown combined on StockOracle as </w:t>
      </w:r>
      <w:r>
        <w:rPr>
          <w:b/>
          <w:i/>
        </w:rPr>
        <w:t>"cash and short-term investments"</w:t>
      </w:r>
      <w:r>
        <w:rPr>
          <w:i/>
        </w:rPr>
        <w:t>.)</w:t>
      </w:r>
    </w:p>
    <w:p>
      <w:pPr>
        <w:pStyle w:val="BodyText"/>
        <w:numPr>
          <w:ilvl w:val="0"/>
          <w:numId w:val="162"/>
        </w:numPr>
        <w:tabs>
          <w:tab w:val="clear" w:pos="709"/>
          <w:tab w:val="left" w:pos="709" w:leader="none"/>
        </w:tabs>
        <w:bidi w:val="0"/>
        <w:ind w:hanging="283" w:start="709"/>
        <w:jc w:val="start"/>
        <w:rPr/>
      </w:pPr>
      <w:r>
        <w:rPr>
          <w:b/>
        </w:rPr>
        <w:t>Inventory</w:t>
      </w:r>
    </w:p>
    <w:p>
      <w:pPr>
        <w:pStyle w:val="BodyText"/>
        <w:numPr>
          <w:ilvl w:val="0"/>
          <w:numId w:val="162"/>
        </w:numPr>
        <w:tabs>
          <w:tab w:val="clear" w:pos="709"/>
          <w:tab w:val="left" w:pos="709" w:leader="none"/>
        </w:tabs>
        <w:bidi w:val="0"/>
        <w:ind w:hanging="283" w:start="709"/>
        <w:jc w:val="start"/>
        <w:rPr/>
      </w:pPr>
      <w:r>
        <w:rPr>
          <w:b/>
        </w:rPr>
        <w:t>Accounts receivable</w:t>
      </w:r>
      <w:r>
        <w:rPr/>
        <w:t xml:space="preserve"> (and </w:t>
      </w:r>
      <w:r>
        <w:rPr>
          <w:b/>
        </w:rPr>
        <w:t>net accounts receivable</w:t>
      </w:r>
      <w:r>
        <w:rPr/>
        <w:t xml:space="preserve"> after deducting bad debt) — money customers owe the company that it has yet to collect.</w:t>
      </w:r>
    </w:p>
    <w:p>
      <w:pPr>
        <w:pStyle w:val="BodyText"/>
        <w:bidi w:val="0"/>
        <w:jc w:val="start"/>
        <w:rPr/>
      </w:pPr>
      <w:r>
        <w:rPr>
          <w:b/>
        </w:rPr>
        <w:t>Non-current assets (long-term assets)</w:t>
      </w:r>
      <w:r>
        <w:rPr/>
        <w:t xml:space="preserve"> — things the company owns that it </w:t>
      </w:r>
      <w:r>
        <w:rPr>
          <w:b/>
        </w:rPr>
        <w:t>can't convert to cash easily</w:t>
      </w:r>
      <w:r>
        <w:rPr/>
        <w:t>:</w:t>
      </w:r>
    </w:p>
    <w:p>
      <w:pPr>
        <w:pStyle w:val="BodyText"/>
        <w:numPr>
          <w:ilvl w:val="0"/>
          <w:numId w:val="163"/>
        </w:numPr>
        <w:tabs>
          <w:tab w:val="clear" w:pos="709"/>
          <w:tab w:val="left" w:pos="709" w:leader="none"/>
        </w:tabs>
        <w:bidi w:val="0"/>
        <w:ind w:hanging="283" w:start="709"/>
        <w:jc w:val="start"/>
        <w:rPr/>
      </w:pPr>
      <w:r>
        <w:rPr>
          <w:b/>
        </w:rPr>
        <w:t>Physical / tangible assets</w:t>
      </w:r>
      <w:r>
        <w:rPr/>
        <w:t xml:space="preserve"> (assets you can actually touch): </w:t>
      </w:r>
      <w:r>
        <w:rPr>
          <w:b/>
        </w:rPr>
        <w:t>real estate, machinery, plant, equipment (PP&amp;E)</w:t>
      </w:r>
    </w:p>
    <w:p>
      <w:pPr>
        <w:pStyle w:val="BodyText"/>
        <w:numPr>
          <w:ilvl w:val="0"/>
          <w:numId w:val="163"/>
        </w:numPr>
        <w:tabs>
          <w:tab w:val="clear" w:pos="709"/>
          <w:tab w:val="left" w:pos="709" w:leader="none"/>
        </w:tabs>
        <w:bidi w:val="0"/>
        <w:ind w:hanging="283" w:start="709"/>
        <w:jc w:val="start"/>
        <w:rPr/>
      </w:pPr>
      <w:r>
        <w:rPr>
          <w:b/>
        </w:rPr>
        <w:t>Long-term investments</w:t>
      </w:r>
    </w:p>
    <w:p>
      <w:pPr>
        <w:pStyle w:val="BodyText"/>
        <w:numPr>
          <w:ilvl w:val="0"/>
          <w:numId w:val="163"/>
        </w:numPr>
        <w:tabs>
          <w:tab w:val="clear" w:pos="709"/>
          <w:tab w:val="left" w:pos="709" w:leader="none"/>
        </w:tabs>
        <w:bidi w:val="0"/>
        <w:ind w:hanging="283" w:start="709"/>
        <w:jc w:val="start"/>
        <w:rPr/>
      </w:pPr>
      <w:r>
        <w:rPr>
          <w:b/>
        </w:rPr>
        <w:t>Intangible assets</w:t>
      </w:r>
      <w:r>
        <w:rPr/>
        <w:t xml:space="preserve">: </w:t>
      </w:r>
      <w:r>
        <w:rPr>
          <w:b/>
        </w:rPr>
        <w:t>goodwill, patents, the brand</w:t>
      </w:r>
    </w:p>
    <w:p>
      <w:pPr>
        <w:pStyle w:val="BlockQuotation"/>
        <w:bidi w:val="0"/>
        <w:jc w:val="start"/>
        <w:rPr/>
      </w:pPr>
      <w:r>
        <w:rPr>
          <w:b/>
        </w:rPr>
        <w:t xml:space="preserve">⭐ </w:t>
      </w:r>
      <w:r>
        <w:rPr>
          <w:b/>
        </w:rPr>
        <w:t>The one asset figure Adam actually uses: "cash and short-term investments."</w:t>
      </w:r>
      <w:r>
        <w:rPr/>
        <w:t xml:space="preserve"> </w:t>
      </w:r>
      <w:r>
        <w:rPr>
          <w:i/>
        </w:rPr>
        <w:t>"This figure is important because later when you learn to calculate the intrinsic value of a business, this is one of the things we're going to input."</w:t>
      </w:r>
    </w:p>
    <w:p>
      <w:pPr>
        <w:pStyle w:val="Heading4"/>
        <w:bidi w:val="0"/>
        <w:ind w:hanging="0" w:start="0"/>
        <w:jc w:val="start"/>
        <w:rPr/>
      </w:pPr>
      <w:r>
        <w:rPr/>
        <w:t>3.3 LIABILITIES</w:t>
      </w:r>
    </w:p>
    <w:p>
      <w:pPr>
        <w:pStyle w:val="BodyText"/>
        <w:bidi w:val="0"/>
        <w:jc w:val="start"/>
        <w:rPr/>
      </w:pPr>
      <w:r>
        <w:rPr>
          <w:b/>
        </w:rPr>
        <w:t>Current liabilities (short-term liabilities)</w:t>
      </w:r>
      <w:r>
        <w:rPr/>
        <w:t xml:space="preserve"> — things the company owes that it must pay </w:t>
      </w:r>
      <w:r>
        <w:rPr>
          <w:b/>
        </w:rPr>
        <w:t>within three months</w:t>
      </w:r>
      <w:r>
        <w:rPr/>
        <w:t xml:space="preserve"> (Adam also describes them in the Pepsi walkthrough as payable </w:t>
      </w:r>
      <w:r>
        <w:rPr>
          <w:b/>
        </w:rPr>
        <w:t>within a year</w:t>
      </w:r>
      <w:r>
        <w:rPr/>
        <w:t>):</w:t>
      </w:r>
    </w:p>
    <w:p>
      <w:pPr>
        <w:pStyle w:val="BodyText"/>
        <w:numPr>
          <w:ilvl w:val="0"/>
          <w:numId w:val="164"/>
        </w:numPr>
        <w:tabs>
          <w:tab w:val="clear" w:pos="709"/>
          <w:tab w:val="left" w:pos="709" w:leader="none"/>
        </w:tabs>
        <w:bidi w:val="0"/>
        <w:ind w:hanging="283" w:start="709"/>
        <w:jc w:val="start"/>
        <w:rPr/>
      </w:pPr>
      <w:r>
        <w:rPr>
          <w:b/>
        </w:rPr>
        <w:t>Accounts payable</w:t>
      </w:r>
      <w:r>
        <w:rPr/>
        <w:t xml:space="preserve"> — owed to suppliers, owed to employees as unpaid salary. Must be paid within three months or the company may get sued.</w:t>
      </w:r>
    </w:p>
    <w:p>
      <w:pPr>
        <w:pStyle w:val="BodyText"/>
        <w:numPr>
          <w:ilvl w:val="0"/>
          <w:numId w:val="164"/>
        </w:numPr>
        <w:tabs>
          <w:tab w:val="clear" w:pos="709"/>
          <w:tab w:val="left" w:pos="709" w:leader="none"/>
        </w:tabs>
        <w:bidi w:val="0"/>
        <w:ind w:hanging="283" w:start="709"/>
        <w:jc w:val="start"/>
        <w:rPr/>
      </w:pPr>
      <w:r>
        <w:rPr>
          <w:b/>
        </w:rPr>
        <w:t>Taxes payable</w:t>
      </w:r>
    </w:p>
    <w:p>
      <w:pPr>
        <w:pStyle w:val="BodyText"/>
        <w:numPr>
          <w:ilvl w:val="0"/>
          <w:numId w:val="164"/>
        </w:numPr>
        <w:tabs>
          <w:tab w:val="clear" w:pos="709"/>
          <w:tab w:val="left" w:pos="709" w:leader="none"/>
        </w:tabs>
        <w:bidi w:val="0"/>
        <w:ind w:hanging="283" w:start="709"/>
        <w:jc w:val="start"/>
        <w:rPr/>
      </w:pPr>
      <w:r>
        <w:rPr>
          <w:b/>
        </w:rPr>
        <w:t xml:space="preserve">⭐ </w:t>
      </w:r>
      <w:r>
        <w:rPr>
          <w:b/>
        </w:rPr>
        <w:t>Short-term debt</w:t>
      </w:r>
      <w:r>
        <w:rPr/>
        <w:t xml:space="preserve"> — borrowed money repayable within three months. </w:t>
      </w:r>
      <w:r>
        <w:rPr>
          <w:b/>
        </w:rPr>
        <w:t>This is what matters.</w:t>
      </w:r>
    </w:p>
    <w:p>
      <w:pPr>
        <w:pStyle w:val="BodyText"/>
        <w:numPr>
          <w:ilvl w:val="0"/>
          <w:numId w:val="164"/>
        </w:numPr>
        <w:tabs>
          <w:tab w:val="clear" w:pos="709"/>
          <w:tab w:val="left" w:pos="709" w:leader="none"/>
        </w:tabs>
        <w:bidi w:val="0"/>
        <w:ind w:hanging="283" w:start="709"/>
        <w:jc w:val="start"/>
        <w:rPr/>
      </w:pPr>
      <w:r>
        <w:rPr>
          <w:b/>
        </w:rPr>
        <w:t>Deferred revenue</w:t>
      </w:r>
      <w:r>
        <w:rPr/>
        <w:t xml:space="preserve"> (see §3.8) — subscription money collected upfront for services not yet delivered.</w:t>
      </w:r>
    </w:p>
    <w:p>
      <w:pPr>
        <w:pStyle w:val="BodyText"/>
        <w:numPr>
          <w:ilvl w:val="0"/>
          <w:numId w:val="164"/>
        </w:numPr>
        <w:tabs>
          <w:tab w:val="clear" w:pos="709"/>
          <w:tab w:val="left" w:pos="709" w:leader="none"/>
        </w:tabs>
        <w:bidi w:val="0"/>
        <w:ind w:hanging="283" w:start="709"/>
        <w:jc w:val="start"/>
        <w:rPr/>
      </w:pPr>
      <w:r>
        <w:rPr/>
        <w:t>Other current liabilities</w:t>
      </w:r>
    </w:p>
    <w:p>
      <w:pPr>
        <w:pStyle w:val="BodyText"/>
        <w:bidi w:val="0"/>
        <w:jc w:val="start"/>
        <w:rPr/>
      </w:pPr>
      <w:r>
        <w:rPr>
          <w:b/>
        </w:rPr>
        <w:t>Non-current liabilities (long-term liabilities)</w:t>
      </w:r>
      <w:r>
        <w:rPr/>
        <w:t>:</w:t>
      </w:r>
    </w:p>
    <w:p>
      <w:pPr>
        <w:pStyle w:val="BodyText"/>
        <w:numPr>
          <w:ilvl w:val="0"/>
          <w:numId w:val="165"/>
        </w:numPr>
        <w:tabs>
          <w:tab w:val="clear" w:pos="709"/>
          <w:tab w:val="left" w:pos="709" w:leader="none"/>
        </w:tabs>
        <w:bidi w:val="0"/>
        <w:spacing w:before="0" w:after="0"/>
        <w:ind w:hanging="283" w:start="709"/>
        <w:jc w:val="start"/>
        <w:rPr/>
      </w:pPr>
      <w:r>
        <w:rPr>
          <w:b/>
        </w:rPr>
        <w:t xml:space="preserve">⭐ </w:t>
      </w:r>
      <w:r>
        <w:rPr>
          <w:b/>
        </w:rPr>
        <w:t>Long-term debt</w:t>
      </w:r>
      <w:r>
        <w:rPr/>
        <w:t xml:space="preserve"> — the two most common forms:</w:t>
      </w:r>
    </w:p>
    <w:p>
      <w:pPr>
        <w:pStyle w:val="BodyText"/>
        <w:numPr>
          <w:ilvl w:val="1"/>
          <w:numId w:val="165"/>
        </w:numPr>
        <w:tabs>
          <w:tab w:val="clear" w:pos="709"/>
          <w:tab w:val="left" w:pos="1418" w:leader="none"/>
        </w:tabs>
        <w:bidi w:val="0"/>
        <w:ind w:hanging="283" w:start="1418"/>
        <w:jc w:val="start"/>
        <w:rPr/>
      </w:pPr>
      <w:r>
        <w:rPr>
          <w:b/>
        </w:rPr>
        <w:t>Term loans</w:t>
      </w:r>
      <w:r>
        <w:rPr/>
        <w:t xml:space="preserve"> the company has taken</w:t>
      </w:r>
    </w:p>
    <w:p>
      <w:pPr>
        <w:pStyle w:val="BodyText"/>
        <w:numPr>
          <w:ilvl w:val="1"/>
          <w:numId w:val="165"/>
        </w:numPr>
        <w:tabs>
          <w:tab w:val="clear" w:pos="709"/>
          <w:tab w:val="left" w:pos="1418" w:leader="none"/>
        </w:tabs>
        <w:bidi w:val="0"/>
        <w:ind w:hanging="283" w:start="1418"/>
        <w:jc w:val="start"/>
        <w:rPr/>
      </w:pPr>
      <w:r>
        <w:rPr>
          <w:b/>
        </w:rPr>
        <w:t>Bonds the company has issued</w:t>
      </w:r>
      <w:r>
        <w:rPr/>
        <w:t xml:space="preserve"> (corporate bonds)</w:t>
      </w:r>
    </w:p>
    <w:p>
      <w:pPr>
        <w:pStyle w:val="BodyText"/>
        <w:numPr>
          <w:ilvl w:val="0"/>
          <w:numId w:val="165"/>
        </w:numPr>
        <w:tabs>
          <w:tab w:val="clear" w:pos="709"/>
          <w:tab w:val="left" w:pos="709" w:leader="none"/>
        </w:tabs>
        <w:bidi w:val="0"/>
        <w:ind w:hanging="283" w:start="709"/>
        <w:jc w:val="start"/>
        <w:rPr/>
      </w:pPr>
      <w:r>
        <w:rPr/>
        <w:t>Long-term leases, provisions for risks and charges, etc.</w:t>
      </w:r>
    </w:p>
    <w:p>
      <w:pPr>
        <w:pStyle w:val="BlockQuotation"/>
        <w:bidi w:val="0"/>
        <w:jc w:val="start"/>
        <w:rPr/>
      </w:pPr>
      <w:r>
        <w:rPr>
          <w:b/>
        </w:rPr>
        <w:t xml:space="preserve">⭐ </w:t>
      </w:r>
      <w:r>
        <w:rPr>
          <w:b/>
        </w:rPr>
        <w:t>The one liability figure Adam actually uses: TOTAL DEBT.</w:t>
      </w:r>
    </w:p>
    <w:p>
      <w:pPr>
        <w:pStyle w:val="PreformattedText"/>
        <w:shd w:fill="E1E1E1" w:val="clear"/>
        <w:bidi w:val="0"/>
        <w:spacing w:before="0" w:after="283"/>
        <w:jc w:val="start"/>
        <w:rPr/>
      </w:pPr>
      <w:r>
        <w:rPr/>
        <w:t>Total Debt = Short-term debt + Long-term debt</w:t>
      </w:r>
    </w:p>
    <w:p>
      <w:pPr>
        <w:pStyle w:val="BodyText"/>
        <w:bidi w:val="0"/>
        <w:jc w:val="start"/>
        <w:rPr/>
      </w:pPr>
      <w:r>
        <w:rPr>
          <w:b/>
        </w:rPr>
        <w:t>Total debt is NOT total liabilities</w:t>
      </w:r>
      <w:r>
        <w:rPr/>
        <w:t xml:space="preserve"> — total liabilities include a lot of other stuff besides debt. Total debt is used in </w:t>
      </w:r>
      <w:r>
        <w:rPr>
          <w:b/>
        </w:rPr>
        <w:t>the debt ratios</w:t>
      </w:r>
      <w:r>
        <w:rPr/>
        <w:t xml:space="preserve"> and in </w:t>
      </w:r>
      <w:r>
        <w:rPr>
          <w:b/>
        </w:rPr>
        <w:t>the intrinsic value calculation</w:t>
      </w:r>
      <w:r>
        <w:rPr/>
        <w:t>.</w:t>
      </w:r>
    </w:p>
    <w:p>
      <w:pPr>
        <w:pStyle w:val="BodyText"/>
        <w:bidi w:val="0"/>
        <w:jc w:val="start"/>
        <w:rPr/>
      </w:pPr>
      <w:r>
        <w:rPr>
          <w:b/>
        </w:rPr>
        <w:t>How much debt is too much? It depends entirely on how much the company earns.</w:t>
      </w:r>
    </w:p>
    <w:p>
      <w:pPr>
        <w:pStyle w:val="BodyText"/>
        <w:numPr>
          <w:ilvl w:val="0"/>
          <w:numId w:val="166"/>
        </w:numPr>
        <w:tabs>
          <w:tab w:val="clear" w:pos="709"/>
          <w:tab w:val="left" w:pos="709" w:leader="none"/>
        </w:tabs>
        <w:bidi w:val="0"/>
        <w:ind w:hanging="283" w:start="709"/>
        <w:jc w:val="start"/>
        <w:rPr/>
      </w:pPr>
      <w:r>
        <w:rPr/>
        <w:t xml:space="preserve">Company earning </w:t>
      </w:r>
      <w:r>
        <w:rPr>
          <w:b/>
        </w:rPr>
        <w:t>$1 billion/year</w:t>
      </w:r>
      <w:r>
        <w:rPr/>
        <w:t xml:space="preserve"> with </w:t>
      </w:r>
      <w:r>
        <w:rPr>
          <w:b/>
        </w:rPr>
        <w:t>$1 billion of debt</w:t>
      </w:r>
      <w:r>
        <w:rPr/>
        <w:t xml:space="preserve"> → fine, it can repay all debt in one year.</w:t>
      </w:r>
    </w:p>
    <w:p>
      <w:pPr>
        <w:pStyle w:val="BodyText"/>
        <w:numPr>
          <w:ilvl w:val="0"/>
          <w:numId w:val="166"/>
        </w:numPr>
        <w:tabs>
          <w:tab w:val="clear" w:pos="709"/>
          <w:tab w:val="left" w:pos="709" w:leader="none"/>
        </w:tabs>
        <w:bidi w:val="0"/>
        <w:ind w:hanging="283" w:start="709"/>
        <w:jc w:val="start"/>
        <w:rPr/>
      </w:pPr>
      <w:r>
        <w:rPr/>
        <w:t xml:space="preserve">Company earning </w:t>
      </w:r>
      <w:r>
        <w:rPr>
          <w:b/>
        </w:rPr>
        <w:t>$1 billion/year</w:t>
      </w:r>
      <w:r>
        <w:rPr/>
        <w:t xml:space="preserve"> with </w:t>
      </w:r>
      <w:r>
        <w:rPr>
          <w:b/>
        </w:rPr>
        <w:t>$20 billion of debt</w:t>
      </w:r>
      <w:r>
        <w:rPr/>
        <w:t xml:space="preserve"> → </w:t>
      </w:r>
      <w:r>
        <w:rPr>
          <w:b/>
        </w:rPr>
        <w:t>it will take 20 years to repay. That is too much debt.</w:t>
      </w:r>
    </w:p>
    <w:p>
      <w:pPr>
        <w:pStyle w:val="Heading4"/>
        <w:numPr>
          <w:ilvl w:val="0"/>
          <w:numId w:val="0"/>
        </w:numPr>
        <w:bidi w:val="0"/>
        <w:ind w:hanging="0" w:start="0"/>
        <w:jc w:val="start"/>
        <w:rPr/>
      </w:pPr>
      <w:r>
        <w:rPr/>
        <w:t>3.4 SHAREHOLDERS' EQUITY — three main parts</w:t>
      </w:r>
    </w:p>
    <w:p>
      <w:pPr>
        <w:pStyle w:val="BodyText"/>
        <w:numPr>
          <w:ilvl w:val="0"/>
          <w:numId w:val="167"/>
        </w:numPr>
        <w:tabs>
          <w:tab w:val="clear" w:pos="709"/>
          <w:tab w:val="left" w:pos="709" w:leader="none"/>
        </w:tabs>
        <w:bidi w:val="0"/>
        <w:ind w:hanging="283" w:start="709"/>
        <w:jc w:val="start"/>
        <w:rPr/>
      </w:pPr>
      <w:r>
        <w:rPr>
          <w:b/>
        </w:rPr>
        <w:t>Common stock + additional paid-up capital</w:t>
      </w:r>
    </w:p>
    <w:p>
      <w:pPr>
        <w:pStyle w:val="BodyText"/>
        <w:numPr>
          <w:ilvl w:val="1"/>
          <w:numId w:val="167"/>
        </w:numPr>
        <w:tabs>
          <w:tab w:val="clear" w:pos="709"/>
          <w:tab w:val="left" w:pos="1418" w:leader="none"/>
        </w:tabs>
        <w:bidi w:val="0"/>
        <w:ind w:hanging="283" w:start="1418"/>
        <w:jc w:val="start"/>
        <w:rPr/>
      </w:pPr>
      <w:r>
        <w:rPr/>
        <w:t xml:space="preserve">The money the company raised when it </w:t>
      </w:r>
      <w:r>
        <w:rPr>
          <w:b/>
        </w:rPr>
        <w:t>first sold shares to the public, usually at the IPO</w:t>
      </w:r>
      <w:r>
        <w:rPr/>
        <w:t xml:space="preserve"> (initial public offering).</w:t>
      </w:r>
    </w:p>
    <w:p>
      <w:pPr>
        <w:pStyle w:val="BodyText"/>
        <w:numPr>
          <w:ilvl w:val="1"/>
          <w:numId w:val="167"/>
        </w:numPr>
        <w:tabs>
          <w:tab w:val="clear" w:pos="709"/>
          <w:tab w:val="left" w:pos="1418" w:leader="none"/>
        </w:tabs>
        <w:bidi w:val="0"/>
        <w:ind w:hanging="283" w:start="1418"/>
        <w:jc w:val="start"/>
        <w:rPr/>
      </w:pPr>
      <w:r>
        <w:rPr>
          <w:b/>
        </w:rPr>
        <w:t>Is it important? "Not really."</w:t>
      </w:r>
      <w:r>
        <w:rPr/>
        <w:t xml:space="preserve"> General knowledge only.</w:t>
      </w:r>
    </w:p>
    <w:p>
      <w:pPr>
        <w:pStyle w:val="BodyText"/>
        <w:numPr>
          <w:ilvl w:val="1"/>
          <w:numId w:val="167"/>
        </w:numPr>
        <w:tabs>
          <w:tab w:val="clear" w:pos="709"/>
          <w:tab w:val="left" w:pos="1418" w:leader="none"/>
        </w:tabs>
        <w:bidi w:val="0"/>
        <w:ind w:hanging="283" w:start="1418"/>
        <w:jc w:val="start"/>
        <w:rPr/>
      </w:pPr>
      <w:r>
        <w:rPr>
          <w:b/>
        </w:rPr>
        <w:t>Key insight:</w:t>
      </w:r>
      <w:r>
        <w:rPr/>
        <w:t xml:space="preserve"> when you and I buy Apple stock today, </w:t>
      </w:r>
      <w:r>
        <w:rPr>
          <w:b/>
        </w:rPr>
        <w:t>the money does NOT go into the company</w:t>
      </w:r>
      <w:r>
        <w:rPr/>
        <w:t xml:space="preserve"> — it goes to the shareholder who sold you the shares. Money only enters the company when the company </w:t>
      </w:r>
      <w:r>
        <w:rPr>
          <w:b/>
        </w:rPr>
        <w:t>issues new shares</w:t>
      </w:r>
      <w:r>
        <w:rPr/>
        <w:t xml:space="preserve">. That is </w:t>
      </w:r>
      <w:r>
        <w:rPr>
          <w:b/>
        </w:rPr>
        <w:t>very rare for US companies like Apple and Microsoft</w:t>
      </w:r>
      <w:r>
        <w:rPr/>
        <w:t xml:space="preserve"> (they already have so much cash they don't need to raise any) but </w:t>
      </w:r>
      <w:r>
        <w:rPr>
          <w:b/>
        </w:rPr>
        <w:t>very common for REITs</w:t>
      </w:r>
      <w:r>
        <w:rPr/>
        <w:t>.</w:t>
      </w:r>
    </w:p>
    <w:p>
      <w:pPr>
        <w:pStyle w:val="BodyText"/>
        <w:numPr>
          <w:ilvl w:val="0"/>
          <w:numId w:val="167"/>
        </w:numPr>
        <w:tabs>
          <w:tab w:val="clear" w:pos="709"/>
          <w:tab w:val="left" w:pos="709" w:leader="none"/>
        </w:tabs>
        <w:bidi w:val="0"/>
        <w:ind w:hanging="283" w:start="709"/>
        <w:jc w:val="start"/>
        <w:rPr/>
      </w:pPr>
      <w:r>
        <w:rPr>
          <w:b/>
        </w:rPr>
        <w:t>Retained earnings</w:t>
      </w:r>
      <w:r>
        <w:rPr/>
        <w:t xml:space="preserve"> — </w:t>
      </w:r>
      <w:r>
        <w:rPr>
          <w:i/>
        </w:rPr>
        <w:t>"this is more important."</w:t>
      </w:r>
    </w:p>
    <w:p>
      <w:pPr>
        <w:pStyle w:val="BodyText"/>
        <w:numPr>
          <w:ilvl w:val="1"/>
          <w:numId w:val="167"/>
        </w:numPr>
        <w:tabs>
          <w:tab w:val="clear" w:pos="709"/>
          <w:tab w:val="left" w:pos="1418" w:leader="none"/>
        </w:tabs>
        <w:bidi w:val="0"/>
        <w:ind w:hanging="283" w:start="1418"/>
        <w:jc w:val="start"/>
        <w:rPr/>
      </w:pPr>
      <w:r>
        <w:rPr/>
        <w:t xml:space="preserve">Profits made over the years that the company </w:t>
      </w:r>
      <w:r>
        <w:rPr>
          <w:b/>
        </w:rPr>
        <w:t>did not pay out as dividends</w:t>
      </w:r>
      <w:r>
        <w:rPr/>
        <w:t xml:space="preserve"> and kept inside the business — </w:t>
      </w:r>
      <w:r>
        <w:rPr>
          <w:b/>
        </w:rPr>
        <w:t>accumulated savings from the profits</w:t>
      </w:r>
      <w:r>
        <w:rPr/>
        <w:t>, which all belong to the shareholders.</w:t>
      </w:r>
    </w:p>
    <w:p>
      <w:pPr>
        <w:pStyle w:val="BodyText"/>
        <w:numPr>
          <w:ilvl w:val="1"/>
          <w:numId w:val="167"/>
        </w:numPr>
        <w:tabs>
          <w:tab w:val="clear" w:pos="709"/>
          <w:tab w:val="left" w:pos="1418" w:leader="none"/>
        </w:tabs>
        <w:bidi w:val="0"/>
        <w:ind w:hanging="283" w:start="1418"/>
        <w:jc w:val="start"/>
        <w:rPr/>
      </w:pPr>
      <w:r>
        <w:rPr>
          <w:b/>
        </w:rPr>
        <w:t>A good business shows a lot of retained earnings accumulated over the years.</w:t>
      </w:r>
    </w:p>
    <w:p>
      <w:pPr>
        <w:pStyle w:val="BodyText"/>
        <w:numPr>
          <w:ilvl w:val="0"/>
          <w:numId w:val="167"/>
        </w:numPr>
        <w:tabs>
          <w:tab w:val="clear" w:pos="709"/>
          <w:tab w:val="left" w:pos="709" w:leader="none"/>
        </w:tabs>
        <w:bidi w:val="0"/>
        <w:ind w:hanging="283" w:start="709"/>
        <w:jc w:val="start"/>
        <w:rPr/>
      </w:pPr>
      <w:r>
        <w:rPr>
          <w:b/>
        </w:rPr>
        <w:t>Treasury stock</w:t>
      </w:r>
      <w:r>
        <w:rPr/>
        <w:t xml:space="preserve"> — </w:t>
      </w:r>
      <w:r>
        <w:rPr>
          <w:b/>
        </w:rPr>
        <w:t>always a negative; it always reduces shareholders' equity.</w:t>
      </w:r>
    </w:p>
    <w:p>
      <w:pPr>
        <w:pStyle w:val="BodyText"/>
        <w:numPr>
          <w:ilvl w:val="1"/>
          <w:numId w:val="167"/>
        </w:numPr>
        <w:tabs>
          <w:tab w:val="clear" w:pos="709"/>
          <w:tab w:val="left" w:pos="1418" w:leader="none"/>
        </w:tabs>
        <w:bidi w:val="0"/>
        <w:ind w:hanging="283" w:start="1418"/>
        <w:jc w:val="start"/>
        <w:rPr/>
      </w:pPr>
      <w:r>
        <w:rPr/>
        <w:t xml:space="preserve">Created when a company </w:t>
      </w:r>
      <w:r>
        <w:rPr>
          <w:b/>
        </w:rPr>
        <w:t>buys back its own shares</w:t>
      </w:r>
      <w:r>
        <w:rPr/>
        <w:t xml:space="preserve"> and holds them.</w:t>
      </w:r>
    </w:p>
    <w:p>
      <w:pPr>
        <w:pStyle w:val="BodyText"/>
        <w:numPr>
          <w:ilvl w:val="1"/>
          <w:numId w:val="167"/>
        </w:numPr>
        <w:tabs>
          <w:tab w:val="clear" w:pos="709"/>
          <w:tab w:val="left" w:pos="1418" w:leader="none"/>
        </w:tabs>
        <w:bidi w:val="0"/>
        <w:ind w:hanging="283" w:start="1418"/>
        <w:jc w:val="start"/>
        <w:rPr/>
      </w:pPr>
      <w:r>
        <w:rPr/>
        <w:t xml:space="preserve">Bought-back shares held in treasury </w:t>
      </w:r>
      <w:r>
        <w:rPr>
          <w:b/>
        </w:rPr>
        <w:t>no longer receive dividends and have no voting rights — they are kept in cold storage.</w:t>
      </w:r>
    </w:p>
    <w:p>
      <w:pPr>
        <w:pStyle w:val="BodyText"/>
        <w:numPr>
          <w:ilvl w:val="1"/>
          <w:numId w:val="167"/>
        </w:numPr>
        <w:tabs>
          <w:tab w:val="clear" w:pos="709"/>
          <w:tab w:val="left" w:pos="1418" w:leader="none"/>
        </w:tabs>
        <w:bidi w:val="0"/>
        <w:ind w:hanging="283" w:start="1418"/>
        <w:jc w:val="start"/>
        <w:rPr/>
      </w:pPr>
      <w:r>
        <w:rPr>
          <w:b/>
        </w:rPr>
        <w:t>Why buybacks are generally good:</w:t>
      </w:r>
      <w:r>
        <w:rPr/>
        <w:t xml:space="preserve"> fewer shares in the market → </w:t>
      </w:r>
      <w:r>
        <w:rPr>
          <w:b/>
        </w:rPr>
        <w:t>each remaining share becomes worth more</w:t>
      </w:r>
      <w:r>
        <w:rPr/>
        <w:t>.</w:t>
      </w:r>
    </w:p>
    <w:p>
      <w:pPr>
        <w:pStyle w:val="BodyText"/>
        <w:numPr>
          <w:ilvl w:val="1"/>
          <w:numId w:val="167"/>
        </w:numPr>
        <w:tabs>
          <w:tab w:val="clear" w:pos="709"/>
          <w:tab w:val="left" w:pos="1418" w:leader="none"/>
        </w:tabs>
        <w:bidi w:val="0"/>
        <w:ind w:hanging="283" w:start="1418"/>
        <w:jc w:val="start"/>
        <w:rPr/>
      </w:pPr>
      <w:r>
        <w:rPr>
          <w:b/>
        </w:rPr>
        <w:t>But buybacks are only good if:</w:t>
      </w:r>
      <w:r>
        <w:rPr/>
        <w:t xml:space="preserve"> (a) the company buys back </w:t>
      </w:r>
      <w:r>
        <w:rPr>
          <w:b/>
        </w:rPr>
        <w:t>when the shares are cheap / undervalued</w:t>
      </w:r>
      <w:r>
        <w:rPr/>
        <w:t xml:space="preserve">, and (b) the company is </w:t>
      </w:r>
      <w:r>
        <w:rPr>
          <w:b/>
        </w:rPr>
        <w:t>already profitable</w:t>
      </w:r>
      <w:r>
        <w:rPr/>
        <w:t>.</w:t>
      </w:r>
    </w:p>
    <w:p>
      <w:pPr>
        <w:pStyle w:val="BodyText"/>
        <w:numPr>
          <w:ilvl w:val="1"/>
          <w:numId w:val="167"/>
        </w:numPr>
        <w:tabs>
          <w:tab w:val="clear" w:pos="709"/>
          <w:tab w:val="left" w:pos="1418" w:leader="none"/>
        </w:tabs>
        <w:bidi w:val="0"/>
        <w:ind w:hanging="283" w:start="1418"/>
        <w:jc w:val="start"/>
        <w:rPr/>
      </w:pPr>
      <w:r>
        <w:rPr>
          <w:b/>
        </w:rPr>
        <w:t>Why the reduction in equity is good, not bad:</w:t>
      </w:r>
      <w:r>
        <w:rPr/>
        <w:t xml:space="preserve"> with less shareholders' equity, the company is </w:t>
      </w:r>
      <w:r>
        <w:rPr>
          <w:b/>
        </w:rPr>
        <w:t>making profits using less equity</w:t>
      </w:r>
      <w:r>
        <w:rPr/>
        <w:t xml:space="preserve">, and you are </w:t>
      </w:r>
      <w:r>
        <w:rPr>
          <w:b/>
        </w:rPr>
        <w:t>sharing with fewer shareholders</w:t>
      </w:r>
      <w:r>
        <w:rPr/>
        <w:t>.</w:t>
      </w:r>
    </w:p>
    <w:p>
      <w:pPr>
        <w:pStyle w:val="BodyText"/>
        <w:numPr>
          <w:ilvl w:val="0"/>
          <w:numId w:val="167"/>
        </w:numPr>
        <w:tabs>
          <w:tab w:val="clear" w:pos="709"/>
          <w:tab w:val="left" w:pos="709" w:leader="none"/>
        </w:tabs>
        <w:bidi w:val="0"/>
        <w:ind w:hanging="283" w:start="709"/>
        <w:jc w:val="start"/>
        <w:rPr/>
      </w:pPr>
      <w:r>
        <w:rPr>
          <w:i/>
        </w:rPr>
        <w:t>(Also on the statement — general knowledge only)</w:t>
      </w:r>
      <w:r>
        <w:rPr/>
        <w:t xml:space="preserve"> </w:t>
      </w:r>
      <w:r>
        <w:rPr>
          <w:b/>
        </w:rPr>
        <w:t>Accumulated other comprehensive income</w:t>
      </w:r>
      <w:r>
        <w:rPr/>
        <w:t xml:space="preserve"> — any </w:t>
      </w:r>
      <w:r>
        <w:rPr>
          <w:b/>
        </w:rPr>
        <w:t>unrealized loss or profit</w:t>
      </w:r>
      <w:r>
        <w:rPr/>
        <w:t xml:space="preserve"> from the company's investments or from </w:t>
      </w:r>
      <w:r>
        <w:rPr>
          <w:b/>
        </w:rPr>
        <w:t>foreign exchange</w:t>
      </w:r>
      <w:r>
        <w:rPr/>
        <w:t xml:space="preserve">. Example: Pepsi buys other companies whose value falls but Pepsi doesn't sell → unrealized loss recorded here; or Pepsi holds a lot of cash overseas and the </w:t>
      </w:r>
      <w:r>
        <w:rPr>
          <w:b/>
        </w:rPr>
        <w:t>US dollar strengthens against foreign currencies</w:t>
      </w:r>
      <w:r>
        <w:rPr/>
        <w:t xml:space="preserve"> → unrealized forex loss recorded here. </w:t>
      </w:r>
      <w:r>
        <w:rPr>
          <w:i/>
        </w:rPr>
        <w:t>"Is this really important for you as an investor? No, it's really not important."</w:t>
      </w:r>
    </w:p>
    <w:p>
      <w:pPr>
        <w:pStyle w:val="Heading4"/>
        <w:numPr>
          <w:ilvl w:val="0"/>
          <w:numId w:val="0"/>
        </w:numPr>
        <w:bidi w:val="0"/>
        <w:ind w:hanging="0" w:start="0"/>
        <w:jc w:val="start"/>
        <w:rPr/>
      </w:pPr>
      <w:r>
        <w:rPr/>
        <w:t>3.5 ⚠️ Negative shareholders' equity is NOT automatically bad</w:t>
      </w:r>
    </w:p>
    <w:p>
      <w:pPr>
        <w:pStyle w:val="BodyText"/>
        <w:numPr>
          <w:ilvl w:val="0"/>
          <w:numId w:val="168"/>
        </w:numPr>
        <w:tabs>
          <w:tab w:val="clear" w:pos="709"/>
          <w:tab w:val="left" w:pos="709" w:leader="none"/>
        </w:tabs>
        <w:bidi w:val="0"/>
        <w:ind w:hanging="283" w:start="709"/>
        <w:jc w:val="start"/>
        <w:rPr/>
      </w:pPr>
      <w:r>
        <w:rPr/>
        <w:t xml:space="preserve">Normally you want equity </w:t>
      </w:r>
      <w:r>
        <w:rPr>
          <w:b/>
        </w:rPr>
        <w:t>positive</w:t>
      </w:r>
      <w:r>
        <w:rPr/>
        <w:t xml:space="preserve"> (assets &gt; liabilities). Negative equity normally means liabilities exceed assets — </w:t>
      </w:r>
      <w:r>
        <w:rPr>
          <w:b/>
        </w:rPr>
        <w:t>generally not good</w:t>
      </w:r>
      <w:r>
        <w:rPr/>
        <w:t>.</w:t>
      </w:r>
    </w:p>
    <w:p>
      <w:pPr>
        <w:pStyle w:val="BodyText"/>
        <w:numPr>
          <w:ilvl w:val="0"/>
          <w:numId w:val="168"/>
        </w:numPr>
        <w:tabs>
          <w:tab w:val="clear" w:pos="709"/>
          <w:tab w:val="left" w:pos="709" w:leader="none"/>
        </w:tabs>
        <w:bidi w:val="0"/>
        <w:ind w:hanging="283" w:start="709"/>
        <w:jc w:val="start"/>
        <w:rPr/>
      </w:pPr>
      <w:r>
        <w:rPr>
          <w:b/>
        </w:rPr>
        <w:t>THE EXCEPTION:</w:t>
      </w:r>
      <w:r>
        <w:rPr/>
        <w:t xml:space="preserve"> companies like </w:t>
      </w:r>
      <w:r>
        <w:rPr>
          <w:b/>
        </w:rPr>
        <w:t>Domino's Pizza, McDonald's, and Yum Brands</w:t>
      </w:r>
      <w:r>
        <w:rPr/>
        <w:t xml:space="preserve"> have </w:t>
      </w:r>
      <w:r>
        <w:rPr>
          <w:b/>
        </w:rPr>
        <w:t>negative shareholders' equity</w:t>
      </w:r>
      <w:r>
        <w:rPr/>
        <w:t xml:space="preserve"> — </w:t>
      </w:r>
      <w:r>
        <w:rPr>
          <w:b/>
        </w:rPr>
        <w:t>not</w:t>
      </w:r>
      <w:r>
        <w:rPr/>
        <w:t xml:space="preserve"> because they are losing money. On the contrary, </w:t>
      </w:r>
      <w:r>
        <w:rPr>
          <w:b/>
        </w:rPr>
        <w:t>they are making a lot of money</w:t>
      </w:r>
      <w:r>
        <w:rPr/>
        <w:t xml:space="preserve">. The negative equity comes from </w:t>
      </w:r>
      <w:r>
        <w:rPr>
          <w:b/>
        </w:rPr>
        <w:t>years of aggressive share buybacks creating a huge negative treasury stock line.</w:t>
      </w:r>
    </w:p>
    <w:p>
      <w:pPr>
        <w:pStyle w:val="BodyText"/>
        <w:bidi w:val="0"/>
        <w:jc w:val="start"/>
        <w:rPr/>
      </w:pPr>
      <w:r>
        <w:rPr>
          <w:b/>
        </w:rPr>
        <w:t>Worked example — McDonald's (latest quarterly balance sheet on StockOracle):</w:t>
      </w:r>
    </w:p>
    <w:p>
      <w:pPr>
        <w:pStyle w:val="BodyText"/>
        <w:numPr>
          <w:ilvl w:val="0"/>
          <w:numId w:val="169"/>
        </w:numPr>
        <w:tabs>
          <w:tab w:val="clear" w:pos="709"/>
          <w:tab w:val="left" w:pos="709" w:leader="none"/>
        </w:tabs>
        <w:bidi w:val="0"/>
        <w:ind w:hanging="283" w:start="709"/>
        <w:jc w:val="start"/>
        <w:rPr/>
      </w:pPr>
      <w:r>
        <w:rPr>
          <w:b/>
        </w:rPr>
        <w:t>Shareholders' equity = −790</w:t>
      </w:r>
      <w:r>
        <w:rPr/>
        <w:t xml:space="preserve"> (negative)</w:t>
      </w:r>
    </w:p>
    <w:p>
      <w:pPr>
        <w:pStyle w:val="BodyText"/>
        <w:numPr>
          <w:ilvl w:val="0"/>
          <w:numId w:val="169"/>
        </w:numPr>
        <w:tabs>
          <w:tab w:val="clear" w:pos="709"/>
          <w:tab w:val="left" w:pos="709" w:leader="none"/>
        </w:tabs>
        <w:bidi w:val="0"/>
        <w:ind w:hanging="283" w:start="709"/>
        <w:jc w:val="start"/>
        <w:rPr/>
      </w:pPr>
      <w:r>
        <w:rPr>
          <w:b/>
        </w:rPr>
        <w:t>Retained earnings = $70 billion</w:t>
      </w:r>
      <w:r>
        <w:rPr/>
        <w:t xml:space="preserve"> — they have made a lot of money</w:t>
      </w:r>
    </w:p>
    <w:p>
      <w:pPr>
        <w:pStyle w:val="BodyText"/>
        <w:numPr>
          <w:ilvl w:val="0"/>
          <w:numId w:val="169"/>
        </w:numPr>
        <w:tabs>
          <w:tab w:val="clear" w:pos="709"/>
          <w:tab w:val="left" w:pos="709" w:leader="none"/>
        </w:tabs>
        <w:bidi w:val="0"/>
        <w:ind w:hanging="283" w:start="709"/>
        <w:jc w:val="start"/>
        <w:rPr/>
      </w:pPr>
      <w:r>
        <w:rPr>
          <w:b/>
        </w:rPr>
        <w:t>Treasury stock = $79 billion</w:t>
      </w:r>
      <w:r>
        <w:rPr/>
        <w:t xml:space="preserve"> — shares bought back from the market</w:t>
      </w:r>
    </w:p>
    <w:p>
      <w:pPr>
        <w:pStyle w:val="BodyText"/>
        <w:numPr>
          <w:ilvl w:val="0"/>
          <w:numId w:val="169"/>
        </w:numPr>
        <w:tabs>
          <w:tab w:val="clear" w:pos="709"/>
          <w:tab w:val="left" w:pos="709" w:leader="none"/>
        </w:tabs>
        <w:bidi w:val="0"/>
        <w:ind w:hanging="283" w:start="709"/>
        <w:jc w:val="start"/>
        <w:rPr/>
      </w:pPr>
      <w:r>
        <w:rPr/>
        <w:t xml:space="preserve">$70B retained earnings − $79B treasury stock → </w:t>
      </w:r>
      <w:r>
        <w:rPr>
          <w:b/>
        </w:rPr>
        <w:t>negative equity</w:t>
      </w:r>
    </w:p>
    <w:p>
      <w:pPr>
        <w:pStyle w:val="BodyText"/>
        <w:numPr>
          <w:ilvl w:val="0"/>
          <w:numId w:val="169"/>
        </w:numPr>
        <w:tabs>
          <w:tab w:val="clear" w:pos="709"/>
          <w:tab w:val="left" w:pos="709" w:leader="none"/>
        </w:tabs>
        <w:bidi w:val="0"/>
        <w:ind w:hanging="283" w:start="709"/>
        <w:jc w:val="start"/>
        <w:rPr/>
      </w:pPr>
      <w:r>
        <w:rPr/>
        <w:t xml:space="preserve">Scrolling up confirms: </w:t>
      </w:r>
      <w:r>
        <w:rPr>
          <w:b/>
        </w:rPr>
        <w:t>revenue increasing, net income increasing, free cash flow increasing. Very, very good business.</w:t>
      </w:r>
    </w:p>
    <w:p>
      <w:pPr>
        <w:pStyle w:val="BlockQuotation"/>
        <w:bidi w:val="0"/>
        <w:jc w:val="start"/>
        <w:rPr/>
      </w:pPr>
      <w:r>
        <w:rPr>
          <w:b/>
        </w:rPr>
        <w:t>Rule:</w:t>
      </w:r>
      <w:r>
        <w:rPr/>
        <w:t xml:space="preserve"> negative shareholders' equity is </w:t>
      </w:r>
      <w:r>
        <w:rPr>
          <w:b/>
        </w:rPr>
        <w:t>fine — even a good thing — as long as</w:t>
      </w:r>
      <w:r>
        <w:rPr/>
        <w:t xml:space="preserve"> (a) the company is making a lot of money, (b) </w:t>
      </w:r>
      <w:r>
        <w:rPr>
          <w:b/>
        </w:rPr>
        <w:t>profits are increasing consistently</w:t>
      </w:r>
      <w:r>
        <w:rPr/>
        <w:t xml:space="preserve">, (c) </w:t>
      </w:r>
      <w:r>
        <w:rPr>
          <w:b/>
        </w:rPr>
        <w:t>free cash flow is increasing consistently</w:t>
      </w:r>
      <w:r>
        <w:rPr/>
        <w:t xml:space="preserve">, and (d) the cause is </w:t>
      </w:r>
      <w:r>
        <w:rPr>
          <w:b/>
        </w:rPr>
        <w:t>a large treasury stock balance</w:t>
      </w:r>
      <w:r>
        <w:rPr/>
        <w:t>.</w:t>
      </w:r>
    </w:p>
    <w:p>
      <w:pPr>
        <w:pStyle w:val="Heading4"/>
        <w:bidi w:val="0"/>
        <w:ind w:hanging="0" w:start="0"/>
        <w:jc w:val="start"/>
        <w:rPr/>
      </w:pPr>
      <w:r>
        <w:rPr/>
        <w:t>3.6 Worked example — Pepsi's balance sheet (StockOracle, latest quarterly, US$ millions)</w:t>
      </w:r>
    </w:p>
    <w:tbl>
      <w:tblPr>
        <w:tblW w:w="5000" w:type="pct"/>
        <w:jc w:val="start"/>
        <w:tblInd w:w="-5" w:type="dxa"/>
        <w:tblLayout w:type="fixed"/>
        <w:tblCellMar>
          <w:top w:w="55" w:type="dxa"/>
          <w:start w:w="55" w:type="dxa"/>
          <w:bottom w:w="55" w:type="dxa"/>
          <w:end w:w="55" w:type="dxa"/>
        </w:tblCellMar>
      </w:tblPr>
      <w:tblGrid>
        <w:gridCol w:w="4819"/>
        <w:gridCol w:w="4819"/>
      </w:tblGrid>
      <w:tr>
        <w:trPr>
          <w:tblHeader w:val="true"/>
        </w:trPr>
        <w:tc>
          <w:tcPr>
            <w:tcW w:w="4819" w:type="dxa"/>
            <w:tcBorders>
              <w:top w:val="single" w:sz="4" w:space="0" w:color="000000"/>
              <w:start w:val="single" w:sz="4" w:space="0" w:color="000000"/>
              <w:bottom w:val="single" w:sz="4" w:space="0" w:color="000000"/>
            </w:tcBorders>
          </w:tcPr>
          <w:p>
            <w:pPr>
              <w:pStyle w:val="TableHeading"/>
              <w:bidi w:val="0"/>
              <w:jc w:val="start"/>
              <w:rPr/>
            </w:pPr>
            <w:r>
              <w:rPr/>
              <w:t>Line</w:t>
            </w:r>
          </w:p>
        </w:tc>
        <w:tc>
          <w:tcPr>
            <w:tcW w:w="4819"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Figure</w:t>
            </w:r>
          </w:p>
        </w:tc>
      </w:tr>
      <w:tr>
        <w:trPr/>
        <w:tc>
          <w:tcPr>
            <w:tcW w:w="4819" w:type="dxa"/>
            <w:tcBorders>
              <w:start w:val="single" w:sz="4" w:space="0" w:color="000000"/>
              <w:bottom w:val="single" w:sz="4" w:space="0" w:color="000000"/>
            </w:tcBorders>
          </w:tcPr>
          <w:p>
            <w:pPr>
              <w:pStyle w:val="TableContents"/>
              <w:bidi w:val="0"/>
              <w:jc w:val="start"/>
              <w:rPr/>
            </w:pPr>
            <w:r>
              <w:rPr>
                <w:b/>
              </w:rPr>
              <w:t>Total assets</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b/>
              </w:rPr>
              <w:t>107,399</w:t>
            </w:r>
          </w:p>
        </w:tc>
      </w:tr>
      <w:tr>
        <w:trPr/>
        <w:tc>
          <w:tcPr>
            <w:tcW w:w="4819" w:type="dxa"/>
            <w:tcBorders>
              <w:start w:val="single" w:sz="4" w:space="0" w:color="000000"/>
              <w:bottom w:val="single" w:sz="4" w:space="0" w:color="000000"/>
            </w:tcBorders>
          </w:tcPr>
          <w:p>
            <w:pPr>
              <w:pStyle w:val="TableContents"/>
              <w:bidi w:val="0"/>
              <w:jc w:val="start"/>
              <w:rPr/>
            </w:pPr>
            <w:r>
              <w:rPr>
                <w:b/>
              </w:rPr>
              <w:t>Total liabilities</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b/>
              </w:rPr>
              <w:t>86,852</w:t>
            </w:r>
          </w:p>
        </w:tc>
      </w:tr>
      <w:tr>
        <w:trPr/>
        <w:tc>
          <w:tcPr>
            <w:tcW w:w="4819" w:type="dxa"/>
            <w:tcBorders>
              <w:start w:val="single" w:sz="4" w:space="0" w:color="000000"/>
              <w:bottom w:val="single" w:sz="4" w:space="0" w:color="000000"/>
            </w:tcBorders>
          </w:tcPr>
          <w:p>
            <w:pPr>
              <w:pStyle w:val="TableContents"/>
              <w:bidi w:val="0"/>
              <w:jc w:val="start"/>
              <w:rPr/>
            </w:pPr>
            <w:r>
              <w:rPr>
                <w:b/>
              </w:rPr>
              <w:t>= Total shareholders' equity</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107,399 − 86,852 (transcript reads the figure as "24,06", partially garbled)</w:t>
            </w:r>
          </w:p>
        </w:tc>
      </w:tr>
      <w:tr>
        <w:trPr/>
        <w:tc>
          <w:tcPr>
            <w:tcW w:w="4819" w:type="dxa"/>
            <w:tcBorders>
              <w:start w:val="single" w:sz="4" w:space="0" w:color="000000"/>
              <w:bottom w:val="single" w:sz="4" w:space="0" w:color="000000"/>
            </w:tcBorders>
          </w:tcPr>
          <w:p>
            <w:pPr>
              <w:pStyle w:val="TableContents"/>
              <w:bidi w:val="0"/>
              <w:jc w:val="start"/>
              <w:rPr/>
            </w:pPr>
            <w:r>
              <w:rPr/>
              <w:t>Cash and short-term investments</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b/>
              </w:rPr>
              <w:t>9,530</w:t>
            </w:r>
            <w:r>
              <w:rPr/>
              <w:t xml:space="preserve"> ( = </w:t>
            </w:r>
            <w:r>
              <w:rPr>
                <w:b/>
              </w:rPr>
              <w:t>$9.53 billion</w:t>
            </w:r>
            <w:r>
              <w:rPr/>
              <w:t>)</w:t>
            </w:r>
          </w:p>
        </w:tc>
      </w:tr>
      <w:tr>
        <w:trPr/>
        <w:tc>
          <w:tcPr>
            <w:tcW w:w="4819" w:type="dxa"/>
            <w:tcBorders>
              <w:start w:val="single" w:sz="4" w:space="0" w:color="000000"/>
              <w:bottom w:val="single" w:sz="4" w:space="0" w:color="000000"/>
            </w:tcBorders>
          </w:tcPr>
          <w:p>
            <w:pPr>
              <w:pStyle w:val="TableContents"/>
              <w:bidi w:val="0"/>
              <w:jc w:val="start"/>
              <w:rPr/>
            </w:pPr>
            <w:r>
              <w:rPr/>
              <w:t>Net accounts receivable</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b/>
              </w:rPr>
              <w:t>9,035</w:t>
            </w:r>
          </w:p>
        </w:tc>
      </w:tr>
      <w:tr>
        <w:trPr/>
        <w:tc>
          <w:tcPr>
            <w:tcW w:w="4819" w:type="dxa"/>
            <w:tcBorders>
              <w:start w:val="single" w:sz="4" w:space="0" w:color="000000"/>
              <w:bottom w:val="single" w:sz="4" w:space="0" w:color="000000"/>
            </w:tcBorders>
          </w:tcPr>
          <w:p>
            <w:pPr>
              <w:pStyle w:val="TableContents"/>
              <w:bidi w:val="0"/>
              <w:jc w:val="start"/>
              <w:rPr/>
            </w:pPr>
            <w:r>
              <w:rPr>
                <w:b/>
              </w:rPr>
              <w:t>Total current assets</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b/>
              </w:rPr>
              <w:t>27,901</w:t>
            </w:r>
          </w:p>
        </w:tc>
      </w:tr>
      <w:tr>
        <w:trPr/>
        <w:tc>
          <w:tcPr>
            <w:tcW w:w="4819" w:type="dxa"/>
            <w:tcBorders>
              <w:start w:val="single" w:sz="4" w:space="0" w:color="000000"/>
              <w:bottom w:val="single" w:sz="4" w:space="0" w:color="000000"/>
            </w:tcBorders>
          </w:tcPr>
          <w:p>
            <w:pPr>
              <w:pStyle w:val="TableContents"/>
              <w:bidi w:val="0"/>
              <w:jc w:val="start"/>
              <w:rPr/>
            </w:pPr>
            <w:r>
              <w:rPr>
                <w:b/>
              </w:rPr>
              <w:t>Total current liabilities</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b/>
              </w:rPr>
              <w:t>32,764</w:t>
            </w:r>
          </w:p>
        </w:tc>
      </w:tr>
      <w:tr>
        <w:trPr/>
        <w:tc>
          <w:tcPr>
            <w:tcW w:w="4819" w:type="dxa"/>
            <w:tcBorders>
              <w:start w:val="single" w:sz="4" w:space="0" w:color="000000"/>
              <w:bottom w:val="single" w:sz="4" w:space="0" w:color="000000"/>
            </w:tcBorders>
          </w:tcPr>
          <w:p>
            <w:pPr>
              <w:pStyle w:val="TableContents"/>
              <w:bidi w:val="0"/>
              <w:jc w:val="start"/>
              <w:rPr/>
            </w:pPr>
            <w:r>
              <w:rPr/>
              <w:t>Total non-current assets</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b/>
              </w:rPr>
              <w:t>79,498</w:t>
            </w:r>
          </w:p>
        </w:tc>
      </w:tr>
      <w:tr>
        <w:trPr/>
        <w:tc>
          <w:tcPr>
            <w:tcW w:w="4819" w:type="dxa"/>
            <w:tcBorders>
              <w:start w:val="single" w:sz="4" w:space="0" w:color="000000"/>
              <w:bottom w:val="single" w:sz="4" w:space="0" w:color="000000"/>
            </w:tcBorders>
          </w:tcPr>
          <w:p>
            <w:pPr>
              <w:pStyle w:val="TableContents"/>
              <w:bidi w:val="0"/>
              <w:jc w:val="start"/>
              <w:rPr/>
            </w:pPr>
            <w:r>
              <w:rPr>
                <w:b/>
              </w:rPr>
              <w:t>Short-term debt</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b/>
              </w:rPr>
              <w:t>6,861</w:t>
            </w:r>
          </w:p>
        </w:tc>
      </w:tr>
      <w:tr>
        <w:trPr/>
        <w:tc>
          <w:tcPr>
            <w:tcW w:w="4819" w:type="dxa"/>
            <w:tcBorders>
              <w:start w:val="single" w:sz="4" w:space="0" w:color="000000"/>
              <w:bottom w:val="single" w:sz="4" w:space="0" w:color="000000"/>
            </w:tcBorders>
          </w:tcPr>
          <w:p>
            <w:pPr>
              <w:pStyle w:val="TableContents"/>
              <w:bidi w:val="0"/>
              <w:jc w:val="start"/>
              <w:rPr/>
            </w:pPr>
            <w:r>
              <w:rPr>
                <w:b/>
              </w:rPr>
              <w:t>Long-term debt</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b/>
              </w:rPr>
              <w:t>42,321</w:t>
            </w:r>
          </w:p>
        </w:tc>
      </w:tr>
      <w:tr>
        <w:trPr/>
        <w:tc>
          <w:tcPr>
            <w:tcW w:w="4819" w:type="dxa"/>
            <w:tcBorders>
              <w:start w:val="single" w:sz="4" w:space="0" w:color="000000"/>
              <w:bottom w:val="single" w:sz="4" w:space="0" w:color="000000"/>
            </w:tcBorders>
          </w:tcPr>
          <w:p>
            <w:pPr>
              <w:pStyle w:val="TableContents"/>
              <w:bidi w:val="0"/>
              <w:jc w:val="start"/>
              <w:rPr/>
            </w:pPr>
            <w:r>
              <w:rPr>
                <w:b/>
              </w:rPr>
              <w:t>Total debt</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6,861 + 42,321</w:t>
            </w:r>
          </w:p>
        </w:tc>
      </w:tr>
      <w:tr>
        <w:trPr/>
        <w:tc>
          <w:tcPr>
            <w:tcW w:w="4819" w:type="dxa"/>
            <w:tcBorders>
              <w:start w:val="single" w:sz="4" w:space="0" w:color="000000"/>
              <w:bottom w:val="single" w:sz="4" w:space="0" w:color="000000"/>
            </w:tcBorders>
          </w:tcPr>
          <w:p>
            <w:pPr>
              <w:pStyle w:val="TableContents"/>
              <w:bidi w:val="0"/>
              <w:jc w:val="start"/>
              <w:rPr/>
            </w:pPr>
            <w:r>
              <w:rPr/>
              <w:t>Common stock</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b/>
              </w:rPr>
              <w:t>23</w:t>
            </w:r>
          </w:p>
        </w:tc>
      </w:tr>
      <w:tr>
        <w:trPr/>
        <w:tc>
          <w:tcPr>
            <w:tcW w:w="4819" w:type="dxa"/>
            <w:tcBorders>
              <w:start w:val="single" w:sz="4" w:space="0" w:color="000000"/>
              <w:bottom w:val="single" w:sz="4" w:space="0" w:color="000000"/>
            </w:tcBorders>
          </w:tcPr>
          <w:p>
            <w:pPr>
              <w:pStyle w:val="TableContents"/>
              <w:bidi w:val="0"/>
              <w:jc w:val="start"/>
              <w:rPr/>
            </w:pPr>
            <w:r>
              <w:rPr/>
              <w:t>Additional paid-in capital</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b/>
              </w:rPr>
              <w:t>4,451</w:t>
            </w:r>
          </w:p>
        </w:tc>
      </w:tr>
      <w:tr>
        <w:trPr/>
        <w:tc>
          <w:tcPr>
            <w:tcW w:w="4819" w:type="dxa"/>
            <w:tcBorders>
              <w:start w:val="single" w:sz="4" w:space="0" w:color="000000"/>
              <w:bottom w:val="single" w:sz="4" w:space="0" w:color="000000"/>
            </w:tcBorders>
          </w:tcPr>
          <w:p>
            <w:pPr>
              <w:pStyle w:val="TableContents"/>
              <w:bidi w:val="0"/>
              <w:jc w:val="start"/>
              <w:rPr/>
            </w:pPr>
            <w:r>
              <w:rPr/>
              <w:t>Retained earnings</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b/>
              </w:rPr>
              <w:t>72,788</w:t>
            </w:r>
          </w:p>
        </w:tc>
      </w:tr>
      <w:tr>
        <w:trPr/>
        <w:tc>
          <w:tcPr>
            <w:tcW w:w="4819" w:type="dxa"/>
            <w:tcBorders>
              <w:start w:val="single" w:sz="4" w:space="0" w:color="000000"/>
              <w:bottom w:val="single" w:sz="4" w:space="0" w:color="000000"/>
            </w:tcBorders>
          </w:tcPr>
          <w:p>
            <w:pPr>
              <w:pStyle w:val="TableContents"/>
              <w:bidi w:val="0"/>
              <w:jc w:val="start"/>
              <w:rPr/>
            </w:pPr>
            <w:r>
              <w:rPr/>
              <w:t>Treasury stock</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i/>
              </w:rPr>
              <w:t>(deducted — always negative)</w:t>
            </w:r>
          </w:p>
        </w:tc>
      </w:tr>
      <w:tr>
        <w:trPr/>
        <w:tc>
          <w:tcPr>
            <w:tcW w:w="4819" w:type="dxa"/>
            <w:tcBorders>
              <w:start w:val="single" w:sz="4" w:space="0" w:color="000000"/>
              <w:bottom w:val="single" w:sz="4" w:space="0" w:color="000000"/>
            </w:tcBorders>
          </w:tcPr>
          <w:p>
            <w:pPr>
              <w:pStyle w:val="TableContents"/>
              <w:bidi w:val="0"/>
              <w:jc w:val="start"/>
              <w:rPr/>
            </w:pPr>
            <w:r>
              <w:rPr/>
              <w:t>Accumulated other comprehensive income</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b/>
              </w:rPr>
              <w:t>−</w:t>
            </w:r>
            <w:r>
              <w:rPr>
                <w:b/>
              </w:rPr>
              <w:t>15…</w:t>
            </w:r>
          </w:p>
        </w:tc>
      </w:tr>
    </w:tbl>
    <w:p>
      <w:pPr>
        <w:pStyle w:val="BodyText"/>
        <w:bidi w:val="0"/>
        <w:jc w:val="start"/>
        <w:rPr/>
      </w:pPr>
      <w:r>
        <w:rPr/>
      </w:r>
    </w:p>
    <w:p>
      <w:pPr>
        <w:pStyle w:val="BodyText"/>
        <w:numPr>
          <w:ilvl w:val="0"/>
          <w:numId w:val="170"/>
        </w:numPr>
        <w:tabs>
          <w:tab w:val="clear" w:pos="709"/>
          <w:tab w:val="left" w:pos="709" w:leader="none"/>
        </w:tabs>
        <w:bidi w:val="0"/>
        <w:ind w:hanging="283" w:start="709"/>
        <w:jc w:val="start"/>
        <w:rPr/>
      </w:pPr>
      <w:r>
        <w:rPr/>
        <w:t xml:space="preserve">Current ratio for Pepsi = </w:t>
      </w:r>
      <w:r>
        <w:rPr>
          <w:b/>
        </w:rPr>
        <w:t>27,901 ÷ 32,764</w:t>
      </w:r>
      <w:r>
        <w:rPr/>
        <w:t xml:space="preserve"> (all pre-calculated on the websites).</w:t>
      </w:r>
    </w:p>
    <w:p>
      <w:pPr>
        <w:pStyle w:val="BodyText"/>
        <w:numPr>
          <w:ilvl w:val="0"/>
          <w:numId w:val="170"/>
        </w:numPr>
        <w:tabs>
          <w:tab w:val="clear" w:pos="709"/>
          <w:tab w:val="left" w:pos="709" w:leader="none"/>
        </w:tabs>
        <w:bidi w:val="0"/>
        <w:ind w:hanging="283" w:start="709"/>
        <w:jc w:val="start"/>
        <w:rPr/>
      </w:pPr>
      <w:r>
        <w:rPr/>
        <w:t xml:space="preserve">Adam's repeated warning: </w:t>
      </w:r>
      <w:r>
        <w:rPr>
          <w:b/>
        </w:rPr>
        <w:t>"The figure by itself is meaningless. All these figures are meaningless unless you compare them with other figures. It's all relative."</w:t>
      </w:r>
    </w:p>
    <w:p>
      <w:pPr>
        <w:pStyle w:val="Heading4"/>
        <w:numPr>
          <w:ilvl w:val="0"/>
          <w:numId w:val="0"/>
        </w:numPr>
        <w:bidi w:val="0"/>
        <w:ind w:hanging="0" w:start="0"/>
        <w:jc w:val="start"/>
        <w:rPr/>
      </w:pPr>
      <w:r>
        <w:rPr/>
        <w:t>3.7 The THREE debt/safety ratios Adam uses</w:t>
      </w:r>
    </w:p>
    <w:p>
      <w:pPr>
        <w:pStyle w:val="BlockQuotation"/>
        <w:bidi w:val="0"/>
        <w:jc w:val="start"/>
        <w:rPr/>
      </w:pPr>
      <w:r>
        <w:rPr>
          <w:i/>
        </w:rPr>
        <w:t>"There are of course many other debt ratios. You don't need to look at all of them. These are the three main ones that are sufficient."</w:t>
      </w:r>
    </w:p>
    <w:p>
      <w:pPr>
        <w:pStyle w:val="BodyText"/>
        <w:bidi w:val="0"/>
        <w:jc w:val="start"/>
        <w:rPr/>
      </w:pPr>
      <w:r>
        <w:rPr>
          <w:b/>
        </w:rPr>
        <w:t xml:space="preserve">① </w:t>
      </w:r>
      <w:r>
        <w:rPr>
          <w:b/>
        </w:rPr>
        <w:t>Current Ratio</w:t>
      </w:r>
    </w:p>
    <w:p>
      <w:pPr>
        <w:pStyle w:val="PreformattedText"/>
        <w:shd w:fill="E1E1E1" w:val="clear"/>
        <w:bidi w:val="0"/>
        <w:spacing w:before="0" w:after="283"/>
        <w:jc w:val="start"/>
        <w:rPr/>
      </w:pPr>
      <w:r>
        <w:rPr/>
        <w:t>Current Ratio = Current Assets ÷ Current Liabilities</w:t>
      </w:r>
    </w:p>
    <w:p>
      <w:pPr>
        <w:pStyle w:val="BodyText"/>
        <w:numPr>
          <w:ilvl w:val="0"/>
          <w:numId w:val="171"/>
        </w:numPr>
        <w:tabs>
          <w:tab w:val="clear" w:pos="709"/>
          <w:tab w:val="left" w:pos="709" w:leader="none"/>
        </w:tabs>
        <w:bidi w:val="0"/>
        <w:ind w:hanging="283" w:start="709"/>
        <w:jc w:val="start"/>
        <w:rPr/>
      </w:pPr>
      <w:r>
        <w:rPr>
          <w:b/>
        </w:rPr>
        <w:t>Threshold: greater than 1 is safe.</w:t>
      </w:r>
      <w:r>
        <w:rPr/>
        <w:t xml:space="preserve"> You want more assets than liabilities — the top bigger than the bottom.</w:t>
      </w:r>
    </w:p>
    <w:p>
      <w:pPr>
        <w:pStyle w:val="BodyText"/>
        <w:numPr>
          <w:ilvl w:val="0"/>
          <w:numId w:val="171"/>
        </w:numPr>
        <w:tabs>
          <w:tab w:val="clear" w:pos="709"/>
          <w:tab w:val="left" w:pos="709" w:leader="none"/>
        </w:tabs>
        <w:bidi w:val="0"/>
        <w:ind w:hanging="283" w:start="709"/>
        <w:jc w:val="start"/>
        <w:rPr/>
      </w:pPr>
      <w:r>
        <w:rPr/>
        <w:t>Pre-calculated on all financial websites.</w:t>
      </w:r>
    </w:p>
    <w:p>
      <w:pPr>
        <w:pStyle w:val="BodyText"/>
        <w:bidi w:val="0"/>
        <w:jc w:val="start"/>
        <w:rPr/>
      </w:pPr>
      <w:r>
        <w:rPr>
          <w:b/>
        </w:rPr>
        <w:t xml:space="preserve">② </w:t>
      </w:r>
      <w:r>
        <w:rPr>
          <w:b/>
        </w:rPr>
        <w:t>Debt to EBITDA Ratio</w:t>
      </w:r>
    </w:p>
    <w:p>
      <w:pPr>
        <w:pStyle w:val="PreformattedText"/>
        <w:shd w:fill="E1E1E1" w:val="clear"/>
        <w:bidi w:val="0"/>
        <w:spacing w:before="0" w:after="283"/>
        <w:jc w:val="start"/>
        <w:rPr/>
      </w:pPr>
      <w:r>
        <w:rPr/>
        <w:t>Debt / EBITDA = Total Debt ÷ EBITDA</w:t>
        <w:br/>
        <w:t>where Total Debt = Short-term debt + Long-term debt</w:t>
      </w:r>
    </w:p>
    <w:p>
      <w:pPr>
        <w:pStyle w:val="BodyText"/>
        <w:numPr>
          <w:ilvl w:val="0"/>
          <w:numId w:val="172"/>
        </w:numPr>
        <w:tabs>
          <w:tab w:val="clear" w:pos="709"/>
          <w:tab w:val="left" w:pos="709" w:leader="none"/>
        </w:tabs>
        <w:bidi w:val="0"/>
        <w:ind w:hanging="283" w:start="709"/>
        <w:jc w:val="start"/>
        <w:rPr/>
      </w:pPr>
      <w:r>
        <w:rPr>
          <w:b/>
        </w:rPr>
        <w:t>EBITDA</w:t>
      </w:r>
      <w:r>
        <w:rPr/>
        <w:t xml:space="preserve"> = </w:t>
      </w:r>
      <w:r>
        <w:rPr>
          <w:b/>
        </w:rPr>
        <w:t>Earnings Before Interest, Taxes, Depreciation and Amortization</w:t>
      </w:r>
      <w:r>
        <w:rPr/>
        <w:t xml:space="preserve"> — another kind of earnings, before deducting interest expenses, taxes, depreciation and amortization.</w:t>
      </w:r>
    </w:p>
    <w:p>
      <w:pPr>
        <w:pStyle w:val="BodyText"/>
        <w:numPr>
          <w:ilvl w:val="0"/>
          <w:numId w:val="172"/>
        </w:numPr>
        <w:tabs>
          <w:tab w:val="clear" w:pos="709"/>
          <w:tab w:val="left" w:pos="709" w:leader="none"/>
        </w:tabs>
        <w:bidi w:val="0"/>
        <w:ind w:hanging="283" w:start="709"/>
        <w:jc w:val="start"/>
        <w:rPr/>
      </w:pPr>
      <w:r>
        <w:rPr>
          <w:b/>
        </w:rPr>
        <w:t>Threshold: less than 3 is safe.</w:t>
      </w:r>
    </w:p>
    <w:p>
      <w:pPr>
        <w:pStyle w:val="BodyText"/>
        <w:numPr>
          <w:ilvl w:val="0"/>
          <w:numId w:val="172"/>
        </w:numPr>
        <w:tabs>
          <w:tab w:val="clear" w:pos="709"/>
          <w:tab w:val="left" w:pos="709" w:leader="none"/>
        </w:tabs>
        <w:bidi w:val="0"/>
        <w:ind w:hanging="283" w:start="709"/>
        <w:jc w:val="start"/>
        <w:rPr/>
      </w:pPr>
      <w:r>
        <w:rPr>
          <w:b/>
        </w:rPr>
        <w:t>Worked example:</w:t>
      </w:r>
      <w:r>
        <w:rPr/>
        <w:t xml:space="preserve"> total debt </w:t>
      </w:r>
      <w:r>
        <w:rPr>
          <w:b/>
        </w:rPr>
        <w:t>$3 billion</w:t>
      </w:r>
      <w:r>
        <w:rPr/>
        <w:t xml:space="preserve"> ÷ EBITDA </w:t>
      </w:r>
      <w:r>
        <w:rPr>
          <w:b/>
        </w:rPr>
        <w:t>$1.5 billion</w:t>
      </w:r>
      <w:r>
        <w:rPr/>
        <w:t xml:space="preserve"> = </w:t>
      </w:r>
      <w:r>
        <w:rPr>
          <w:b/>
        </w:rPr>
        <w:t>1.5×</w:t>
      </w:r>
      <w:r>
        <w:rPr/>
        <w:t xml:space="preserve"> → the company could </w:t>
      </w:r>
      <w:r>
        <w:rPr>
          <w:b/>
        </w:rPr>
        <w:t>repay all its debt within 1½ years</w:t>
      </w:r>
      <w:r>
        <w:rPr/>
        <w:t xml:space="preserve"> of profits.</w:t>
      </w:r>
    </w:p>
    <w:p>
      <w:pPr>
        <w:pStyle w:val="BodyText"/>
        <w:numPr>
          <w:ilvl w:val="0"/>
          <w:numId w:val="172"/>
        </w:numPr>
        <w:tabs>
          <w:tab w:val="clear" w:pos="709"/>
          <w:tab w:val="left" w:pos="709" w:leader="none"/>
        </w:tabs>
        <w:bidi w:val="0"/>
        <w:ind w:hanging="283" w:start="709"/>
        <w:jc w:val="start"/>
        <w:rPr/>
      </w:pPr>
      <w:r>
        <w:rPr/>
        <w:t xml:space="preserve">If the ratio is </w:t>
      </w:r>
      <w:r>
        <w:rPr>
          <w:b/>
        </w:rPr>
        <w:t>3</w:t>
      </w:r>
      <w:r>
        <w:rPr/>
        <w:t xml:space="preserve">, it would take </w:t>
      </w:r>
      <w:r>
        <w:rPr>
          <w:b/>
        </w:rPr>
        <w:t>three years</w:t>
      </w:r>
      <w:r>
        <w:rPr/>
        <w:t xml:space="preserve"> of annual profits to repay the debt.</w:t>
      </w:r>
    </w:p>
    <w:p>
      <w:pPr>
        <w:pStyle w:val="BodyText"/>
        <w:numPr>
          <w:ilvl w:val="0"/>
          <w:numId w:val="172"/>
        </w:numPr>
        <w:tabs>
          <w:tab w:val="clear" w:pos="709"/>
          <w:tab w:val="left" w:pos="709" w:leader="none"/>
        </w:tabs>
        <w:bidi w:val="0"/>
        <w:ind w:hanging="283" w:start="709"/>
        <w:jc w:val="start"/>
        <w:rPr/>
      </w:pPr>
      <w:r>
        <w:rPr>
          <w:b/>
        </w:rPr>
        <w:t>Why taxes are excluded:</w:t>
      </w:r>
      <w:r>
        <w:rPr/>
        <w:t xml:space="preserve"> </w:t>
      </w:r>
      <w:r>
        <w:rPr>
          <w:i/>
        </w:rPr>
        <w:t>"because if it's making losses, there's no taxes"</w:t>
      </w:r>
      <w:r>
        <w:rPr/>
        <w:t xml:space="preserve"> — so taxation is not included in the measure.</w:t>
      </w:r>
    </w:p>
    <w:p>
      <w:pPr>
        <w:pStyle w:val="BodyText"/>
        <w:bidi w:val="0"/>
        <w:jc w:val="start"/>
        <w:rPr/>
      </w:pPr>
      <w:r>
        <w:rPr>
          <w:b/>
        </w:rPr>
        <w:t xml:space="preserve">③ </w:t>
      </w:r>
      <w:r>
        <w:rPr>
          <w:b/>
        </w:rPr>
        <w:t>Debt Servicing Ratio</w:t>
      </w:r>
    </w:p>
    <w:p>
      <w:pPr>
        <w:pStyle w:val="PreformattedText"/>
        <w:shd w:fill="E1E1E1" w:val="clear"/>
        <w:bidi w:val="0"/>
        <w:spacing w:before="0" w:after="283"/>
        <w:jc w:val="start"/>
        <w:rPr/>
      </w:pPr>
      <w:r>
        <w:rPr/>
        <w:t>Debt Servicing Ratio = Net Interest Expense ÷ Cash Flow from Operations × 100%</w:t>
      </w:r>
    </w:p>
    <w:p>
      <w:pPr>
        <w:pStyle w:val="BodyText"/>
        <w:numPr>
          <w:ilvl w:val="0"/>
          <w:numId w:val="173"/>
        </w:numPr>
        <w:tabs>
          <w:tab w:val="clear" w:pos="709"/>
          <w:tab w:val="left" w:pos="709" w:leader="none"/>
        </w:tabs>
        <w:bidi w:val="0"/>
        <w:ind w:hanging="283" w:start="709"/>
        <w:jc w:val="start"/>
        <w:rPr/>
      </w:pPr>
      <w:r>
        <w:rPr>
          <w:b/>
        </w:rPr>
        <w:t>Net interest expense</w:t>
      </w:r>
      <w:r>
        <w:rPr/>
        <w:t xml:space="preserve"> = interest paid on debt </w:t>
      </w:r>
      <w:r>
        <w:rPr>
          <w:b/>
        </w:rPr>
        <w:t>net of</w:t>
      </w:r>
      <w:r>
        <w:rPr/>
        <w:t xml:space="preserve"> interest earned on investments.</w:t>
      </w:r>
    </w:p>
    <w:p>
      <w:pPr>
        <w:pStyle w:val="BodyText"/>
        <w:numPr>
          <w:ilvl w:val="0"/>
          <w:numId w:val="173"/>
        </w:numPr>
        <w:tabs>
          <w:tab w:val="clear" w:pos="709"/>
          <w:tab w:val="left" w:pos="709" w:leader="none"/>
        </w:tabs>
        <w:bidi w:val="0"/>
        <w:ind w:hanging="283" w:start="709"/>
        <w:jc w:val="start"/>
        <w:rPr/>
      </w:pPr>
      <w:r>
        <w:rPr>
          <w:b/>
        </w:rPr>
        <w:t>Threshold: less than 30% is safe. More than 30% would be very dangerous.</w:t>
      </w:r>
    </w:p>
    <w:p>
      <w:pPr>
        <w:pStyle w:val="BodyText"/>
        <w:numPr>
          <w:ilvl w:val="0"/>
          <w:numId w:val="173"/>
        </w:numPr>
        <w:tabs>
          <w:tab w:val="clear" w:pos="709"/>
          <w:tab w:val="left" w:pos="709" w:leader="none"/>
        </w:tabs>
        <w:bidi w:val="0"/>
        <w:ind w:hanging="283" w:start="709"/>
        <w:jc w:val="start"/>
        <w:rPr/>
      </w:pPr>
      <w:r>
        <w:rPr>
          <w:b/>
        </w:rPr>
        <w:t>Worked example:</w:t>
      </w:r>
      <w:r>
        <w:rPr/>
        <w:t xml:space="preserve"> company pays </w:t>
      </w:r>
      <w:r>
        <w:rPr>
          <w:b/>
        </w:rPr>
        <w:t>$1 million</w:t>
      </w:r>
      <w:r>
        <w:rPr/>
        <w:t xml:space="preserve"> of interest a year and generates </w:t>
      </w:r>
      <w:r>
        <w:rPr>
          <w:b/>
        </w:rPr>
        <w:t>$10 million</w:t>
      </w:r>
      <w:r>
        <w:rPr/>
        <w:t xml:space="preserve"> of cash flow from operations → </w:t>
      </w:r>
      <w:r>
        <w:rPr>
          <w:b/>
        </w:rPr>
        <w:t>10% → safe.</w:t>
      </w:r>
    </w:p>
    <w:p>
      <w:pPr>
        <w:pStyle w:val="BodyText"/>
        <w:numPr>
          <w:ilvl w:val="0"/>
          <w:numId w:val="173"/>
        </w:numPr>
        <w:tabs>
          <w:tab w:val="clear" w:pos="709"/>
          <w:tab w:val="left" w:pos="709" w:leader="none"/>
        </w:tabs>
        <w:bidi w:val="0"/>
        <w:ind w:hanging="283" w:start="709"/>
        <w:jc w:val="start"/>
        <w:rPr/>
      </w:pPr>
      <w:r>
        <w:rPr>
          <w:b/>
        </w:rPr>
        <w:t>Personal analogy:</w:t>
      </w:r>
      <w:r>
        <w:rPr/>
        <w:t xml:space="preserve"> you earn </w:t>
      </w:r>
      <w:r>
        <w:rPr>
          <w:b/>
        </w:rPr>
        <w:t>$5,000 a month take-home</w:t>
      </w:r>
      <w:r>
        <w:rPr/>
        <w:t xml:space="preserve"> (your "cash flow from operations") and pay </w:t>
      </w:r>
      <w:r>
        <w:rPr>
          <w:b/>
        </w:rPr>
        <w:t>$1,000 a month interest</w:t>
      </w:r>
      <w:r>
        <w:rPr/>
        <w:t xml:space="preserve"> on bank loans → </w:t>
      </w:r>
      <w:r>
        <w:rPr>
          <w:b/>
        </w:rPr>
        <w:t>20% → safe</w:t>
      </w:r>
      <w:r>
        <w:rPr/>
        <w:t xml:space="preserve">. But if you paid </w:t>
      </w:r>
      <w:r>
        <w:rPr>
          <w:b/>
        </w:rPr>
        <w:t>$4,000 in interest out of $5,000 earned → too high.</w:t>
      </w:r>
      <w:r>
        <w:rPr/>
        <w:t xml:space="preserve"> </w:t>
      </w:r>
      <w:r>
        <w:rPr>
          <w:i/>
        </w:rPr>
        <w:t>"Same thing for an individual, same thing for a company."</w:t>
      </w:r>
    </w:p>
    <w:p>
      <w:pPr>
        <w:pStyle w:val="BodyText"/>
        <w:bidi w:val="0"/>
        <w:jc w:val="start"/>
        <w:rPr/>
      </w:pPr>
      <w:r>
        <w:rPr>
          <w:b/>
        </w:rPr>
        <w:t>Pass requirement:</w:t>
      </w:r>
      <w:r>
        <w:rPr/>
        <w:t xml:space="preserve"> </w:t>
      </w:r>
      <w:r>
        <w:rPr>
          <w:i/>
        </w:rPr>
        <w:t xml:space="preserve">"Must all three pass for it to be a safe investment? Ideally, yes. But if the company can pass </w:t>
      </w:r>
      <w:r>
        <w:rPr>
          <w:b/>
          <w:i/>
        </w:rPr>
        <w:t>two out of three</w:t>
      </w:r>
      <w:r>
        <w:rPr>
          <w:i/>
        </w:rPr>
        <w:t>, I'm also okay in investing in that kind of company."</w:t>
      </w:r>
    </w:p>
    <w:p>
      <w:pPr>
        <w:pStyle w:val="Heading4"/>
        <w:bidi w:val="0"/>
        <w:ind w:hanging="0" w:start="0"/>
        <w:jc w:val="start"/>
        <w:rPr/>
      </w:pPr>
      <w:r>
        <w:rPr/>
        <w:t>3.8 ⚠️ When a current ratio below 1 is FINE</w:t>
      </w:r>
    </w:p>
    <w:p>
      <w:pPr>
        <w:pStyle w:val="BodyText"/>
        <w:bidi w:val="0"/>
        <w:jc w:val="start"/>
        <w:rPr/>
      </w:pPr>
      <w:r>
        <w:rPr>
          <w:b/>
        </w:rPr>
        <w:t>Reason A — deliberate supplier squeeze (Pepsi)</w:t>
      </w:r>
    </w:p>
    <w:p>
      <w:pPr>
        <w:pStyle w:val="BodyText"/>
        <w:numPr>
          <w:ilvl w:val="0"/>
          <w:numId w:val="174"/>
        </w:numPr>
        <w:tabs>
          <w:tab w:val="clear" w:pos="709"/>
          <w:tab w:val="left" w:pos="709" w:leader="none"/>
        </w:tabs>
        <w:bidi w:val="0"/>
        <w:ind w:hanging="283" w:start="709"/>
        <w:jc w:val="start"/>
        <w:rPr/>
      </w:pPr>
      <w:r>
        <w:rPr/>
        <w:t xml:space="preserve">Pepsi's current ratio is </w:t>
      </w:r>
      <w:r>
        <w:rPr>
          <w:b/>
        </w:rPr>
        <w:t>below 1 — about 0.85</w:t>
      </w:r>
      <w:r>
        <w:rPr/>
        <w:t xml:space="preserve">. </w:t>
      </w:r>
      <w:r>
        <w:rPr>
          <w:b/>
        </w:rPr>
        <w:t>They do it intentionally.</w:t>
      </w:r>
    </w:p>
    <w:p>
      <w:pPr>
        <w:pStyle w:val="BodyText"/>
        <w:numPr>
          <w:ilvl w:val="0"/>
          <w:numId w:val="174"/>
        </w:numPr>
        <w:tabs>
          <w:tab w:val="clear" w:pos="709"/>
          <w:tab w:val="left" w:pos="709" w:leader="none"/>
        </w:tabs>
        <w:bidi w:val="0"/>
        <w:ind w:hanging="283" w:start="709"/>
        <w:jc w:val="start"/>
        <w:rPr/>
      </w:pPr>
      <w:r>
        <w:rPr/>
        <w:t xml:space="preserve">Because Pepsi is so big it has </w:t>
      </w:r>
      <w:r>
        <w:rPr>
          <w:b/>
        </w:rPr>
        <w:t>enormous leverage over its suppliers</w:t>
      </w:r>
      <w:r>
        <w:rPr/>
        <w:t xml:space="preserve">, so it </w:t>
      </w:r>
      <w:r>
        <w:rPr>
          <w:b/>
        </w:rPr>
        <w:t>deliberately drags out payments</w:t>
      </w:r>
      <w:r>
        <w:rPr/>
        <w:t xml:space="preserve"> — instead of paying suppliers in </w:t>
      </w:r>
      <w:r>
        <w:rPr>
          <w:b/>
        </w:rPr>
        <w:t>30 days</w:t>
      </w:r>
      <w:r>
        <w:rPr/>
        <w:t xml:space="preserve">, it pays in </w:t>
      </w:r>
      <w:r>
        <w:rPr>
          <w:b/>
        </w:rPr>
        <w:t>60 to 90 days</w:t>
      </w:r>
      <w:r>
        <w:rPr/>
        <w:t>.</w:t>
      </w:r>
    </w:p>
    <w:p>
      <w:pPr>
        <w:pStyle w:val="BodyText"/>
        <w:numPr>
          <w:ilvl w:val="0"/>
          <w:numId w:val="174"/>
        </w:numPr>
        <w:tabs>
          <w:tab w:val="clear" w:pos="709"/>
          <w:tab w:val="left" w:pos="709" w:leader="none"/>
        </w:tabs>
        <w:bidi w:val="0"/>
        <w:ind w:hanging="283" w:start="709"/>
        <w:jc w:val="start"/>
        <w:rPr/>
      </w:pPr>
      <w:r>
        <w:rPr/>
        <w:t xml:space="preserve">This </w:t>
      </w:r>
      <w:r>
        <w:rPr>
          <w:b/>
        </w:rPr>
        <w:t>reduces the working capital Pepsi needs (a good thing)</w:t>
      </w:r>
      <w:r>
        <w:rPr/>
        <w:t xml:space="preserve"> but </w:t>
      </w:r>
      <w:r>
        <w:rPr>
          <w:b/>
        </w:rPr>
        <w:t>inflates accounts payable → inflates current liabilities → pushes the current ratio below 1.</w:t>
      </w:r>
    </w:p>
    <w:p>
      <w:pPr>
        <w:pStyle w:val="BodyText"/>
        <w:numPr>
          <w:ilvl w:val="0"/>
          <w:numId w:val="174"/>
        </w:numPr>
        <w:tabs>
          <w:tab w:val="clear" w:pos="709"/>
          <w:tab w:val="left" w:pos="709" w:leader="none"/>
        </w:tabs>
        <w:bidi w:val="0"/>
        <w:spacing w:before="0" w:after="0"/>
        <w:ind w:hanging="283" w:start="709"/>
        <w:jc w:val="start"/>
        <w:rPr/>
      </w:pPr>
      <w:r>
        <w:rPr/>
        <w:t>Check the rest of the picture and Pepsi is clearly safe:</w:t>
      </w:r>
    </w:p>
    <w:p>
      <w:pPr>
        <w:pStyle w:val="BodyText"/>
        <w:numPr>
          <w:ilvl w:val="1"/>
          <w:numId w:val="174"/>
        </w:numPr>
        <w:tabs>
          <w:tab w:val="clear" w:pos="709"/>
          <w:tab w:val="left" w:pos="1418" w:leader="none"/>
        </w:tabs>
        <w:bidi w:val="0"/>
        <w:ind w:hanging="283" w:start="1418"/>
        <w:jc w:val="start"/>
        <w:rPr/>
      </w:pPr>
      <w:r>
        <w:rPr>
          <w:b/>
        </w:rPr>
        <w:t>Debt servicing ratio 9.79%</w:t>
      </w:r>
      <w:r>
        <w:rPr/>
        <w:t xml:space="preserve"> (way below 30%)</w:t>
      </w:r>
    </w:p>
    <w:p>
      <w:pPr>
        <w:pStyle w:val="BodyText"/>
        <w:numPr>
          <w:ilvl w:val="1"/>
          <w:numId w:val="174"/>
        </w:numPr>
        <w:tabs>
          <w:tab w:val="clear" w:pos="709"/>
          <w:tab w:val="left" w:pos="1418" w:leader="none"/>
        </w:tabs>
        <w:bidi w:val="0"/>
        <w:ind w:hanging="283" w:start="1418"/>
        <w:jc w:val="start"/>
        <w:rPr/>
      </w:pPr>
      <w:r>
        <w:rPr>
          <w:b/>
        </w:rPr>
        <w:t>Interest coverage ratio 12.52</w:t>
      </w:r>
      <w:r>
        <w:rPr/>
        <w:t xml:space="preserve"> (way above 3)</w:t>
      </w:r>
    </w:p>
    <w:p>
      <w:pPr>
        <w:pStyle w:val="BodyText"/>
        <w:numPr>
          <w:ilvl w:val="1"/>
          <w:numId w:val="174"/>
        </w:numPr>
        <w:tabs>
          <w:tab w:val="clear" w:pos="709"/>
          <w:tab w:val="left" w:pos="1418" w:leader="none"/>
        </w:tabs>
        <w:bidi w:val="0"/>
        <w:ind w:hanging="283" w:start="1418"/>
        <w:jc w:val="start"/>
        <w:rPr/>
      </w:pPr>
      <w:r>
        <w:rPr>
          <w:b/>
        </w:rPr>
        <w:t>Debt/EBITDA 2.59</w:t>
      </w:r>
      <w:r>
        <w:rPr/>
        <w:t xml:space="preserve"> (below 3)</w:t>
      </w:r>
    </w:p>
    <w:p>
      <w:pPr>
        <w:pStyle w:val="BodyText"/>
        <w:numPr>
          <w:ilvl w:val="1"/>
          <w:numId w:val="174"/>
        </w:numPr>
        <w:tabs>
          <w:tab w:val="clear" w:pos="709"/>
          <w:tab w:val="left" w:pos="1418" w:leader="none"/>
        </w:tabs>
        <w:bidi w:val="0"/>
        <w:ind w:hanging="283" w:start="1418"/>
        <w:jc w:val="start"/>
        <w:rPr/>
      </w:pPr>
      <w:r>
        <w:rPr/>
        <w:t>Revenue growing strongly; free cash flow very consistent and positive; net profits very positive</w:t>
      </w:r>
    </w:p>
    <w:p>
      <w:pPr>
        <w:pStyle w:val="BodyText"/>
        <w:numPr>
          <w:ilvl w:val="1"/>
          <w:numId w:val="174"/>
        </w:numPr>
        <w:tabs>
          <w:tab w:val="clear" w:pos="709"/>
          <w:tab w:val="left" w:pos="1418" w:leader="none"/>
        </w:tabs>
        <w:bidi w:val="0"/>
        <w:ind w:hanging="283" w:start="1418"/>
        <w:jc w:val="start"/>
        <w:rPr/>
      </w:pPr>
      <w:r>
        <w:rPr>
          <w:b/>
        </w:rPr>
        <w:t>Cash conversion cycle very low</w:t>
      </w:r>
      <w:r>
        <w:rPr/>
        <w:t xml:space="preserve"> (a good thing) and </w:t>
      </w:r>
      <w:r>
        <w:rPr>
          <w:b/>
        </w:rPr>
        <w:t>accounts receivables grow slower than revenue growth</w:t>
      </w:r>
    </w:p>
    <w:p>
      <w:pPr>
        <w:pStyle w:val="BodyText"/>
        <w:bidi w:val="0"/>
        <w:jc w:val="start"/>
        <w:rPr/>
      </w:pPr>
      <w:r>
        <w:rPr>
          <w:b/>
        </w:rPr>
        <w:t>Reason B — subscription businesses and deferred revenue (ServiceNow)</w:t>
      </w:r>
    </w:p>
    <w:p>
      <w:pPr>
        <w:pStyle w:val="BodyText"/>
        <w:numPr>
          <w:ilvl w:val="0"/>
          <w:numId w:val="175"/>
        </w:numPr>
        <w:tabs>
          <w:tab w:val="clear" w:pos="709"/>
          <w:tab w:val="left" w:pos="709" w:leader="none"/>
        </w:tabs>
        <w:bidi w:val="0"/>
        <w:ind w:hanging="283" w:start="709"/>
        <w:jc w:val="start"/>
        <w:rPr/>
      </w:pPr>
      <w:r>
        <w:rPr/>
        <w:t>Software/subscription companies (</w:t>
      </w:r>
      <w:r>
        <w:rPr>
          <w:b/>
        </w:rPr>
        <w:t>ServiceNow, Adobe, Salesforce</w:t>
      </w:r>
      <w:r>
        <w:rPr/>
        <w:t xml:space="preserve">) collect </w:t>
      </w:r>
      <w:r>
        <w:rPr>
          <w:b/>
        </w:rPr>
        <w:t>one year of service upfront</w:t>
      </w:r>
      <w:r>
        <w:rPr/>
        <w:t xml:space="preserve">. Because the service has not yet been provided, this is booked as </w:t>
      </w:r>
      <w:r>
        <w:rPr>
          <w:b/>
        </w:rPr>
        <w:t>deferred revenue</w:t>
      </w:r>
      <w:r>
        <w:rPr/>
        <w:t xml:space="preserve">, which is recorded as a </w:t>
      </w:r>
      <w:r>
        <w:rPr>
          <w:b/>
        </w:rPr>
        <w:t>current liability</w:t>
      </w:r>
      <w:r>
        <w:rPr/>
        <w:t>.</w:t>
      </w:r>
    </w:p>
    <w:p>
      <w:pPr>
        <w:pStyle w:val="BodyText"/>
        <w:numPr>
          <w:ilvl w:val="0"/>
          <w:numId w:val="175"/>
        </w:numPr>
        <w:tabs>
          <w:tab w:val="clear" w:pos="709"/>
          <w:tab w:val="left" w:pos="709" w:leader="none"/>
        </w:tabs>
        <w:bidi w:val="0"/>
        <w:ind w:hanging="283" w:start="709"/>
        <w:jc w:val="start"/>
        <w:rPr/>
      </w:pPr>
      <w:r>
        <w:rPr/>
        <w:t xml:space="preserve">Lots of deferred revenue </w:t>
      </w:r>
      <w:r>
        <w:rPr>
          <w:b/>
        </w:rPr>
        <w:t>expands current liabilities → pushes the current ratio below 1</w:t>
      </w:r>
      <w:r>
        <w:rPr/>
        <w:t>.</w:t>
      </w:r>
    </w:p>
    <w:p>
      <w:pPr>
        <w:pStyle w:val="BodyText"/>
        <w:numPr>
          <w:ilvl w:val="0"/>
          <w:numId w:val="175"/>
        </w:numPr>
        <w:tabs>
          <w:tab w:val="clear" w:pos="709"/>
          <w:tab w:val="left" w:pos="709" w:leader="none"/>
        </w:tabs>
        <w:bidi w:val="0"/>
        <w:ind w:hanging="283" w:start="709"/>
        <w:jc w:val="start"/>
        <w:rPr/>
      </w:pPr>
      <w:r>
        <w:rPr>
          <w:b/>
        </w:rPr>
        <w:t>ServiceNow:</w:t>
      </w:r>
      <w:r>
        <w:rPr/>
        <w:t xml:space="preserve"> </w:t>
      </w:r>
      <w:r>
        <w:rPr>
          <w:b/>
        </w:rPr>
        <w:t>current ratio 0.95</w:t>
      </w:r>
      <w:r>
        <w:rPr/>
        <w:t xml:space="preserve">, but </w:t>
      </w:r>
      <w:r>
        <w:rPr>
          <w:b/>
        </w:rPr>
        <w:t>debt servicing ratio 0</w:t>
      </w:r>
      <w:r>
        <w:rPr/>
        <w:t xml:space="preserve">, </w:t>
      </w:r>
      <w:r>
        <w:rPr>
          <w:b/>
        </w:rPr>
        <w:t>interest coverage 90</w:t>
      </w:r>
      <w:r>
        <w:rPr/>
        <w:t xml:space="preserve">, </w:t>
      </w:r>
      <w:r>
        <w:rPr>
          <w:b/>
        </w:rPr>
        <w:t>debt/EBITDA 0.55</w:t>
      </w:r>
      <w:r>
        <w:rPr/>
        <w:t>. Very profitable, very high quality.</w:t>
      </w:r>
    </w:p>
    <w:p>
      <w:pPr>
        <w:pStyle w:val="BlockQuotation"/>
        <w:bidi w:val="0"/>
        <w:jc w:val="start"/>
        <w:rPr/>
      </w:pPr>
      <w:r>
        <w:rPr>
          <w:b/>
        </w:rPr>
        <w:t>Conclusion: you can't look at one ratio in isolation. You have to compare it with the other ratios and look at everything in totality.</w:t>
      </w:r>
      <w:r>
        <w:rPr/>
        <w:t xml:space="preserve"> </w:t>
      </w:r>
      <w:r>
        <w:rPr>
          <w:i/>
        </w:rPr>
        <w:t>"Current ratio is important, but if it's below one, it doesn't matter if the other ratios are very, very strong."</w:t>
      </w:r>
    </w:p>
    <w:p>
      <w:pPr>
        <w:pStyle w:val="Heading4"/>
        <w:bidi w:val="0"/>
        <w:ind w:hanging="0" w:start="0"/>
        <w:jc w:val="start"/>
        <w:rPr/>
      </w:pPr>
      <w:r>
        <w:rPr/>
        <w:t>3.9 Two optional ratios Adam does NOT personally use</w:t>
      </w:r>
    </w:p>
    <w:p>
      <w:pPr>
        <w:pStyle w:val="BodyText"/>
        <w:bidi w:val="0"/>
        <w:jc w:val="start"/>
        <w:rPr/>
      </w:pPr>
      <w:r>
        <w:rPr>
          <w:b/>
        </w:rPr>
        <w:t>Interest Coverage Ratio</w:t>
      </w:r>
      <w:r>
        <w:rPr/>
        <w:t xml:space="preserve"> </w:t>
      </w:r>
      <w:r>
        <w:rPr>
          <w:i/>
        </w:rPr>
        <w:t>(Adam: "I don't use it myself because it is an overlap")</w:t>
      </w:r>
    </w:p>
    <w:p>
      <w:pPr>
        <w:pStyle w:val="PreformattedText"/>
        <w:shd w:fill="E1E1E1" w:val="clear"/>
        <w:bidi w:val="0"/>
        <w:spacing w:before="0" w:after="283"/>
        <w:jc w:val="start"/>
        <w:rPr/>
      </w:pPr>
      <w:r>
        <w:rPr/>
        <w:t>Interest Coverage = EBITDA ÷ Net Interest Expense</w:t>
      </w:r>
    </w:p>
    <w:p>
      <w:pPr>
        <w:pStyle w:val="BodyText"/>
        <w:numPr>
          <w:ilvl w:val="0"/>
          <w:numId w:val="176"/>
        </w:numPr>
        <w:tabs>
          <w:tab w:val="clear" w:pos="709"/>
          <w:tab w:val="left" w:pos="709" w:leader="none"/>
        </w:tabs>
        <w:bidi w:val="0"/>
        <w:ind w:hanging="283" w:start="709"/>
        <w:jc w:val="start"/>
        <w:rPr/>
      </w:pPr>
      <w:r>
        <w:rPr>
          <w:b/>
        </w:rPr>
        <w:t>Worked example:</w:t>
      </w:r>
      <w:r>
        <w:rPr/>
        <w:t xml:space="preserve"> EBIT/EBITDA of </w:t>
      </w:r>
      <w:r>
        <w:rPr>
          <w:b/>
        </w:rPr>
        <w:t>$100 million</w:t>
      </w:r>
      <w:r>
        <w:rPr/>
        <w:t xml:space="preserve">, interest expense of </w:t>
      </w:r>
      <w:r>
        <w:rPr>
          <w:b/>
        </w:rPr>
        <w:t>$10 million</w:t>
      </w:r>
      <w:r>
        <w:rPr/>
        <w:t xml:space="preserve"> → </w:t>
      </w:r>
      <w:r>
        <w:rPr>
          <w:b/>
        </w:rPr>
        <w:t>10×</w:t>
      </w:r>
      <w:r>
        <w:rPr/>
        <w:t xml:space="preserve"> → the company can cover its interest expense </w:t>
      </w:r>
      <w:r>
        <w:rPr>
          <w:b/>
        </w:rPr>
        <w:t>10 times over from one year of profits — very, very safe.</w:t>
      </w:r>
    </w:p>
    <w:p>
      <w:pPr>
        <w:pStyle w:val="BodyText"/>
        <w:numPr>
          <w:ilvl w:val="0"/>
          <w:numId w:val="176"/>
        </w:numPr>
        <w:tabs>
          <w:tab w:val="clear" w:pos="709"/>
          <w:tab w:val="left" w:pos="709" w:leader="none"/>
        </w:tabs>
        <w:bidi w:val="0"/>
        <w:ind w:hanging="283" w:start="709"/>
        <w:jc w:val="start"/>
        <w:rPr/>
      </w:pPr>
      <w:r>
        <w:rPr>
          <w:b/>
        </w:rPr>
        <w:t>Thresholds:</w:t>
      </w:r>
      <w:r>
        <w:rPr/>
        <w:t xml:space="preserve"> </w:t>
      </w:r>
      <w:r>
        <w:rPr>
          <w:b/>
        </w:rPr>
        <w:t>3 or more = safe. 5 or more = very, very safe. Below 3 = getting risky, especially below 2.</w:t>
      </w:r>
    </w:p>
    <w:p>
      <w:pPr>
        <w:pStyle w:val="BodyText"/>
        <w:numPr>
          <w:ilvl w:val="0"/>
          <w:numId w:val="176"/>
        </w:numPr>
        <w:tabs>
          <w:tab w:val="clear" w:pos="709"/>
          <w:tab w:val="left" w:pos="709" w:leader="none"/>
        </w:tabs>
        <w:bidi w:val="0"/>
        <w:ind w:hanging="283" w:start="709"/>
        <w:jc w:val="start"/>
        <w:rPr/>
      </w:pPr>
      <w:r>
        <w:rPr/>
        <w:t xml:space="preserve">Meta Platforms example: </w:t>
      </w:r>
      <w:r>
        <w:rPr>
          <w:b/>
        </w:rPr>
        <w:t>71</w:t>
      </w:r>
      <w:r>
        <w:rPr/>
        <w:t xml:space="preserve"> — very, very, very safe.</w:t>
      </w:r>
    </w:p>
    <w:p>
      <w:pPr>
        <w:pStyle w:val="BodyText"/>
        <w:bidi w:val="0"/>
        <w:jc w:val="start"/>
        <w:rPr/>
      </w:pPr>
      <w:r>
        <w:rPr>
          <w:b/>
        </w:rPr>
        <w:t>Cash Ratio</w:t>
      </w:r>
      <w:r>
        <w:rPr/>
        <w:t xml:space="preserve"> </w:t>
      </w:r>
      <w:r>
        <w:rPr>
          <w:i/>
        </w:rPr>
        <w:t>(Adam: "I think it's not necessary")</w:t>
      </w:r>
    </w:p>
    <w:p>
      <w:pPr>
        <w:pStyle w:val="PreformattedText"/>
        <w:shd w:fill="E1E1E1" w:val="clear"/>
        <w:bidi w:val="0"/>
        <w:spacing w:before="0" w:after="283"/>
        <w:jc w:val="start"/>
        <w:rPr/>
      </w:pPr>
      <w:r>
        <w:rPr/>
        <w:t>Cash Ratio = Cash and Cash Equivalents ÷ Current Liabilities</w:t>
      </w:r>
    </w:p>
    <w:p>
      <w:pPr>
        <w:pStyle w:val="BodyText"/>
        <w:numPr>
          <w:ilvl w:val="0"/>
          <w:numId w:val="177"/>
        </w:numPr>
        <w:tabs>
          <w:tab w:val="clear" w:pos="709"/>
          <w:tab w:val="left" w:pos="709" w:leader="none"/>
        </w:tabs>
        <w:bidi w:val="0"/>
        <w:ind w:hanging="283" w:start="709"/>
        <w:jc w:val="start"/>
        <w:rPr/>
      </w:pPr>
      <w:r>
        <w:rPr/>
        <w:t xml:space="preserve">Same as the current ratio except the numerator </w:t>
      </w:r>
      <w:r>
        <w:rPr>
          <w:b/>
        </w:rPr>
        <w:t>excludes accounts receivable and inventory</w:t>
      </w:r>
      <w:r>
        <w:rPr/>
        <w:t xml:space="preserve"> — cash and equivalents only.</w:t>
      </w:r>
    </w:p>
    <w:p>
      <w:pPr>
        <w:pStyle w:val="BodyText"/>
        <w:numPr>
          <w:ilvl w:val="0"/>
          <w:numId w:val="177"/>
        </w:numPr>
        <w:tabs>
          <w:tab w:val="clear" w:pos="709"/>
          <w:tab w:val="left" w:pos="709" w:leader="none"/>
        </w:tabs>
        <w:bidi w:val="0"/>
        <w:ind w:hanging="283" w:start="709"/>
        <w:jc w:val="start"/>
        <w:rPr/>
      </w:pPr>
      <w:r>
        <w:rPr>
          <w:b/>
        </w:rPr>
        <w:t>Thresholds:</w:t>
      </w:r>
      <w:r>
        <w:rPr/>
        <w:t xml:space="preserve"> </w:t>
      </w:r>
      <w:r>
        <w:rPr>
          <w:b/>
        </w:rPr>
        <w:t>0.5 and above = very, very safe. Below 0.3 = getting risky.</w:t>
      </w:r>
    </w:p>
    <w:p>
      <w:pPr>
        <w:pStyle w:val="BodyText"/>
        <w:numPr>
          <w:ilvl w:val="0"/>
          <w:numId w:val="177"/>
        </w:numPr>
        <w:tabs>
          <w:tab w:val="clear" w:pos="709"/>
          <w:tab w:val="left" w:pos="709" w:leader="none"/>
        </w:tabs>
        <w:bidi w:val="0"/>
        <w:ind w:hanging="283" w:start="709"/>
        <w:jc w:val="start"/>
        <w:rPr/>
      </w:pPr>
      <w:r>
        <w:rPr/>
        <w:t xml:space="preserve">Meta Platforms example: </w:t>
      </w:r>
      <w:r>
        <w:rPr>
          <w:b/>
        </w:rPr>
        <w:t>1.97</w:t>
      </w:r>
      <w:r>
        <w:rPr/>
        <w:t xml:space="preserve"> — very, very safe.</w:t>
      </w:r>
    </w:p>
    <w:p>
      <w:pPr>
        <w:pStyle w:val="Heading4"/>
        <w:numPr>
          <w:ilvl w:val="0"/>
          <w:numId w:val="0"/>
        </w:numPr>
        <w:bidi w:val="0"/>
        <w:ind w:hanging="0" w:start="0"/>
        <w:jc w:val="start"/>
        <w:rPr/>
      </w:pPr>
      <w:r>
        <w:rPr/>
        <w:t>3.10 Worked example — Meta Platforms debt ratios (StockOracle → Company Metrics → scroll down)</w:t>
      </w:r>
    </w:p>
    <w:tbl>
      <w:tblPr>
        <w:tblW w:w="5000" w:type="pct"/>
        <w:jc w:val="start"/>
        <w:tblInd w:w="-5" w:type="dxa"/>
        <w:tblLayout w:type="fixed"/>
        <w:tblCellMar>
          <w:top w:w="55" w:type="dxa"/>
          <w:start w:w="55" w:type="dxa"/>
          <w:bottom w:w="55" w:type="dxa"/>
          <w:end w:w="55" w:type="dxa"/>
        </w:tblCellMar>
      </w:tblPr>
      <w:tblGrid>
        <w:gridCol w:w="1927"/>
        <w:gridCol w:w="1928"/>
        <w:gridCol w:w="1927"/>
        <w:gridCol w:w="1928"/>
        <w:gridCol w:w="1928"/>
      </w:tblGrid>
      <w:tr>
        <w:trPr>
          <w:tblHeader w:val="true"/>
        </w:trPr>
        <w:tc>
          <w:tcPr>
            <w:tcW w:w="1927" w:type="dxa"/>
            <w:tcBorders>
              <w:top w:val="single" w:sz="4" w:space="0" w:color="000000"/>
              <w:start w:val="single" w:sz="4" w:space="0" w:color="000000"/>
              <w:bottom w:val="single" w:sz="4" w:space="0" w:color="000000"/>
            </w:tcBorders>
          </w:tcPr>
          <w:p>
            <w:pPr>
              <w:pStyle w:val="TableHeading"/>
              <w:bidi w:val="0"/>
              <w:jc w:val="start"/>
              <w:rPr/>
            </w:pPr>
            <w:r>
              <w:rPr/>
              <w:t>Ratio</w:t>
            </w:r>
          </w:p>
        </w:tc>
        <w:tc>
          <w:tcPr>
            <w:tcW w:w="1928" w:type="dxa"/>
            <w:tcBorders>
              <w:top w:val="single" w:sz="4" w:space="0" w:color="000000"/>
              <w:start w:val="single" w:sz="4" w:space="0" w:color="000000"/>
              <w:bottom w:val="single" w:sz="4" w:space="0" w:color="000000"/>
            </w:tcBorders>
          </w:tcPr>
          <w:p>
            <w:pPr>
              <w:pStyle w:val="TableHeading"/>
              <w:bidi w:val="0"/>
              <w:jc w:val="start"/>
              <w:rPr/>
            </w:pPr>
            <w:r>
              <w:rPr/>
              <w:t>Latest</w:t>
            </w:r>
          </w:p>
        </w:tc>
        <w:tc>
          <w:tcPr>
            <w:tcW w:w="1927" w:type="dxa"/>
            <w:tcBorders>
              <w:top w:val="single" w:sz="4" w:space="0" w:color="000000"/>
              <w:start w:val="single" w:sz="4" w:space="0" w:color="000000"/>
              <w:bottom w:val="single" w:sz="4" w:space="0" w:color="000000"/>
            </w:tcBorders>
          </w:tcPr>
          <w:p>
            <w:pPr>
              <w:pStyle w:val="TableHeading"/>
              <w:bidi w:val="0"/>
              <w:jc w:val="start"/>
              <w:rPr/>
            </w:pPr>
            <w:r>
              <w:rPr/>
              <w:t>5-year average</w:t>
            </w:r>
          </w:p>
        </w:tc>
        <w:tc>
          <w:tcPr>
            <w:tcW w:w="1928" w:type="dxa"/>
            <w:tcBorders>
              <w:top w:val="single" w:sz="4" w:space="0" w:color="000000"/>
              <w:start w:val="single" w:sz="4" w:space="0" w:color="000000"/>
              <w:bottom w:val="single" w:sz="4" w:space="0" w:color="000000"/>
            </w:tcBorders>
          </w:tcPr>
          <w:p>
            <w:pPr>
              <w:pStyle w:val="TableHeading"/>
              <w:bidi w:val="0"/>
              <w:jc w:val="start"/>
              <w:rPr/>
            </w:pPr>
            <w:r>
              <w:rPr/>
              <w:t>Threshold</w:t>
            </w:r>
          </w:p>
        </w:tc>
        <w:tc>
          <w:tcPr>
            <w:tcW w:w="1928"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Verdict</w:t>
            </w:r>
          </w:p>
        </w:tc>
      </w:tr>
      <w:tr>
        <w:trPr/>
        <w:tc>
          <w:tcPr>
            <w:tcW w:w="1927" w:type="dxa"/>
            <w:tcBorders>
              <w:start w:val="single" w:sz="4" w:space="0" w:color="000000"/>
              <w:bottom w:val="single" w:sz="4" w:space="0" w:color="000000"/>
            </w:tcBorders>
          </w:tcPr>
          <w:p>
            <w:pPr>
              <w:pStyle w:val="TableContents"/>
              <w:bidi w:val="0"/>
              <w:jc w:val="start"/>
              <w:rPr/>
            </w:pPr>
            <w:r>
              <w:rPr/>
              <w:t>Current ratio</w:t>
            </w:r>
          </w:p>
        </w:tc>
        <w:tc>
          <w:tcPr>
            <w:tcW w:w="1928" w:type="dxa"/>
            <w:tcBorders>
              <w:start w:val="single" w:sz="4" w:space="0" w:color="000000"/>
              <w:bottom w:val="single" w:sz="4" w:space="0" w:color="000000"/>
            </w:tcBorders>
          </w:tcPr>
          <w:p>
            <w:pPr>
              <w:pStyle w:val="TableContents"/>
              <w:bidi w:val="0"/>
              <w:jc w:val="start"/>
              <w:rPr/>
            </w:pPr>
            <w:r>
              <w:rPr>
                <w:b/>
              </w:rPr>
              <w:t>2.6</w:t>
            </w:r>
            <w:r>
              <w:rPr/>
              <w:t xml:space="preserve"> (last quarter)</w:t>
            </w:r>
          </w:p>
        </w:tc>
        <w:tc>
          <w:tcPr>
            <w:tcW w:w="1927" w:type="dxa"/>
            <w:tcBorders>
              <w:start w:val="single" w:sz="4" w:space="0" w:color="000000"/>
              <w:bottom w:val="single" w:sz="4" w:space="0" w:color="000000"/>
            </w:tcBorders>
          </w:tcPr>
          <w:p>
            <w:pPr>
              <w:pStyle w:val="TableContents"/>
              <w:bidi w:val="0"/>
              <w:jc w:val="start"/>
              <w:rPr/>
            </w:pPr>
            <w:r>
              <w:rPr>
                <w:b/>
              </w:rPr>
              <w:t>2.72</w:t>
            </w:r>
          </w:p>
        </w:tc>
        <w:tc>
          <w:tcPr>
            <w:tcW w:w="1928" w:type="dxa"/>
            <w:tcBorders>
              <w:start w:val="single" w:sz="4" w:space="0" w:color="000000"/>
              <w:bottom w:val="single" w:sz="4" w:space="0" w:color="000000"/>
            </w:tcBorders>
          </w:tcPr>
          <w:p>
            <w:pPr>
              <w:pStyle w:val="TableContents"/>
              <w:bidi w:val="0"/>
              <w:jc w:val="start"/>
              <w:rPr/>
            </w:pPr>
            <w:r>
              <w:rPr/>
              <w:t>&gt; 1</w:t>
            </w:r>
          </w:p>
        </w:tc>
        <w:tc>
          <w:tcPr>
            <w:tcW w:w="1928" w:type="dxa"/>
            <w:tcBorders>
              <w:start w:val="single" w:sz="4" w:space="0" w:color="000000"/>
              <w:bottom w:val="single" w:sz="4" w:space="0" w:color="000000"/>
              <w:end w:val="single" w:sz="4" w:space="0" w:color="000000"/>
            </w:tcBorders>
          </w:tcPr>
          <w:p>
            <w:pPr>
              <w:pStyle w:val="TableContents"/>
              <w:bidi w:val="0"/>
              <w:jc w:val="start"/>
              <w:rPr/>
            </w:pPr>
            <w:r>
              <w:rPr/>
              <w:t>Way above 1</w:t>
            </w:r>
          </w:p>
        </w:tc>
      </w:tr>
      <w:tr>
        <w:trPr/>
        <w:tc>
          <w:tcPr>
            <w:tcW w:w="1927" w:type="dxa"/>
            <w:tcBorders>
              <w:start w:val="single" w:sz="4" w:space="0" w:color="000000"/>
              <w:bottom w:val="single" w:sz="4" w:space="0" w:color="000000"/>
            </w:tcBorders>
          </w:tcPr>
          <w:p>
            <w:pPr>
              <w:pStyle w:val="TableContents"/>
              <w:bidi w:val="0"/>
              <w:jc w:val="start"/>
              <w:rPr/>
            </w:pPr>
            <w:r>
              <w:rPr/>
              <w:t>Debt servicing ratio</w:t>
            </w:r>
          </w:p>
        </w:tc>
        <w:tc>
          <w:tcPr>
            <w:tcW w:w="1928" w:type="dxa"/>
            <w:tcBorders>
              <w:start w:val="single" w:sz="4" w:space="0" w:color="000000"/>
              <w:bottom w:val="single" w:sz="4" w:space="0" w:color="000000"/>
            </w:tcBorders>
          </w:tcPr>
          <w:p>
            <w:pPr>
              <w:pStyle w:val="TableContents"/>
              <w:bidi w:val="0"/>
              <w:jc w:val="start"/>
              <w:rPr/>
            </w:pPr>
            <w:r>
              <w:rPr>
                <w:b/>
              </w:rPr>
              <w:t>0</w:t>
            </w:r>
          </w:p>
        </w:tc>
        <w:tc>
          <w:tcPr>
            <w:tcW w:w="1927" w:type="dxa"/>
            <w:tcBorders>
              <w:start w:val="single" w:sz="4" w:space="0" w:color="000000"/>
              <w:bottom w:val="single" w:sz="4" w:space="0" w:color="000000"/>
            </w:tcBorders>
          </w:tcPr>
          <w:p>
            <w:pPr>
              <w:pStyle w:val="TableContents"/>
              <w:bidi w:val="0"/>
              <w:jc w:val="start"/>
              <w:rPr/>
            </w:pPr>
            <w:r>
              <w:rPr/>
              <w:t>—</w:t>
            </w:r>
          </w:p>
        </w:tc>
        <w:tc>
          <w:tcPr>
            <w:tcW w:w="1928" w:type="dxa"/>
            <w:tcBorders>
              <w:start w:val="single" w:sz="4" w:space="0" w:color="000000"/>
              <w:bottom w:val="single" w:sz="4" w:space="0" w:color="000000"/>
            </w:tcBorders>
          </w:tcPr>
          <w:p>
            <w:pPr>
              <w:pStyle w:val="TableContents"/>
              <w:bidi w:val="0"/>
              <w:jc w:val="start"/>
              <w:rPr/>
            </w:pPr>
            <w:r>
              <w:rPr/>
              <w:t>&lt; 30%</w:t>
            </w:r>
          </w:p>
        </w:tc>
        <w:tc>
          <w:tcPr>
            <w:tcW w:w="1928" w:type="dxa"/>
            <w:tcBorders>
              <w:start w:val="single" w:sz="4" w:space="0" w:color="000000"/>
              <w:bottom w:val="single" w:sz="4" w:space="0" w:color="000000"/>
              <w:end w:val="single" w:sz="4" w:space="0" w:color="000000"/>
            </w:tcBorders>
          </w:tcPr>
          <w:p>
            <w:pPr>
              <w:pStyle w:val="TableContents"/>
              <w:bidi w:val="0"/>
              <w:jc w:val="start"/>
              <w:rPr/>
            </w:pPr>
            <w:r>
              <w:rPr>
                <w:i/>
              </w:rPr>
              <w:t>"Very, very conservative"</w:t>
            </w:r>
          </w:p>
        </w:tc>
      </w:tr>
      <w:tr>
        <w:trPr/>
        <w:tc>
          <w:tcPr>
            <w:tcW w:w="1927" w:type="dxa"/>
            <w:tcBorders>
              <w:start w:val="single" w:sz="4" w:space="0" w:color="000000"/>
              <w:bottom w:val="single" w:sz="4" w:space="0" w:color="000000"/>
            </w:tcBorders>
          </w:tcPr>
          <w:p>
            <w:pPr>
              <w:pStyle w:val="TableContents"/>
              <w:bidi w:val="0"/>
              <w:jc w:val="start"/>
              <w:rPr/>
            </w:pPr>
            <w:r>
              <w:rPr/>
              <w:t>Debt / EBITDA</w:t>
            </w:r>
          </w:p>
        </w:tc>
        <w:tc>
          <w:tcPr>
            <w:tcW w:w="1928" w:type="dxa"/>
            <w:tcBorders>
              <w:start w:val="single" w:sz="4" w:space="0" w:color="000000"/>
              <w:bottom w:val="single" w:sz="4" w:space="0" w:color="000000"/>
            </w:tcBorders>
          </w:tcPr>
          <w:p>
            <w:pPr>
              <w:pStyle w:val="TableContents"/>
              <w:bidi w:val="0"/>
              <w:jc w:val="start"/>
              <w:rPr/>
            </w:pPr>
            <w:r>
              <w:rPr>
                <w:b/>
              </w:rPr>
              <w:t>0.59</w:t>
            </w:r>
          </w:p>
        </w:tc>
        <w:tc>
          <w:tcPr>
            <w:tcW w:w="1927" w:type="dxa"/>
            <w:tcBorders>
              <w:start w:val="single" w:sz="4" w:space="0" w:color="000000"/>
              <w:bottom w:val="single" w:sz="4" w:space="0" w:color="000000"/>
            </w:tcBorders>
          </w:tcPr>
          <w:p>
            <w:pPr>
              <w:pStyle w:val="TableContents"/>
              <w:bidi w:val="0"/>
              <w:jc w:val="start"/>
              <w:rPr/>
            </w:pPr>
            <w:r>
              <w:rPr>
                <w:b/>
              </w:rPr>
              <w:t>0.3</w:t>
            </w:r>
          </w:p>
        </w:tc>
        <w:tc>
          <w:tcPr>
            <w:tcW w:w="1928" w:type="dxa"/>
            <w:tcBorders>
              <w:start w:val="single" w:sz="4" w:space="0" w:color="000000"/>
              <w:bottom w:val="single" w:sz="4" w:space="0" w:color="000000"/>
            </w:tcBorders>
          </w:tcPr>
          <w:p>
            <w:pPr>
              <w:pStyle w:val="TableContents"/>
              <w:bidi w:val="0"/>
              <w:jc w:val="start"/>
              <w:rPr/>
            </w:pPr>
            <w:r>
              <w:rPr/>
              <w:t xml:space="preserve">≤ </w:t>
            </w:r>
            <w:r>
              <w:rPr/>
              <w:t>3</w:t>
            </w:r>
          </w:p>
        </w:tc>
        <w:tc>
          <w:tcPr>
            <w:tcW w:w="1928" w:type="dxa"/>
            <w:tcBorders>
              <w:start w:val="single" w:sz="4" w:space="0" w:color="000000"/>
              <w:bottom w:val="single" w:sz="4" w:space="0" w:color="000000"/>
              <w:end w:val="single" w:sz="4" w:space="0" w:color="000000"/>
            </w:tcBorders>
          </w:tcPr>
          <w:p>
            <w:pPr>
              <w:pStyle w:val="TableContents"/>
              <w:bidi w:val="0"/>
              <w:jc w:val="start"/>
              <w:rPr/>
            </w:pPr>
            <w:r>
              <w:rPr/>
              <w:t>Pass</w:t>
            </w:r>
          </w:p>
        </w:tc>
      </w:tr>
      <w:tr>
        <w:trPr/>
        <w:tc>
          <w:tcPr>
            <w:tcW w:w="1927" w:type="dxa"/>
            <w:tcBorders>
              <w:start w:val="single" w:sz="4" w:space="0" w:color="000000"/>
              <w:bottom w:val="single" w:sz="4" w:space="0" w:color="000000"/>
            </w:tcBorders>
          </w:tcPr>
          <w:p>
            <w:pPr>
              <w:pStyle w:val="TableContents"/>
              <w:bidi w:val="0"/>
              <w:jc w:val="start"/>
              <w:rPr/>
            </w:pPr>
            <w:r>
              <w:rPr/>
              <w:t>Interest coverage</w:t>
            </w:r>
          </w:p>
        </w:tc>
        <w:tc>
          <w:tcPr>
            <w:tcW w:w="1928" w:type="dxa"/>
            <w:tcBorders>
              <w:start w:val="single" w:sz="4" w:space="0" w:color="000000"/>
              <w:bottom w:val="single" w:sz="4" w:space="0" w:color="000000"/>
            </w:tcBorders>
          </w:tcPr>
          <w:p>
            <w:pPr>
              <w:pStyle w:val="TableContents"/>
              <w:bidi w:val="0"/>
              <w:jc w:val="start"/>
              <w:rPr/>
            </w:pPr>
            <w:r>
              <w:rPr>
                <w:b/>
              </w:rPr>
              <w:t>71</w:t>
            </w:r>
          </w:p>
        </w:tc>
        <w:tc>
          <w:tcPr>
            <w:tcW w:w="1927" w:type="dxa"/>
            <w:tcBorders>
              <w:start w:val="single" w:sz="4" w:space="0" w:color="000000"/>
              <w:bottom w:val="single" w:sz="4" w:space="0" w:color="000000"/>
            </w:tcBorders>
          </w:tcPr>
          <w:p>
            <w:pPr>
              <w:pStyle w:val="TableContents"/>
              <w:bidi w:val="0"/>
              <w:jc w:val="start"/>
              <w:rPr/>
            </w:pPr>
            <w:r>
              <w:rPr/>
              <w:t>—</w:t>
            </w:r>
          </w:p>
        </w:tc>
        <w:tc>
          <w:tcPr>
            <w:tcW w:w="1928" w:type="dxa"/>
            <w:tcBorders>
              <w:start w:val="single" w:sz="4" w:space="0" w:color="000000"/>
              <w:bottom w:val="single" w:sz="4" w:space="0" w:color="000000"/>
            </w:tcBorders>
          </w:tcPr>
          <w:p>
            <w:pPr>
              <w:pStyle w:val="TableContents"/>
              <w:bidi w:val="0"/>
              <w:jc w:val="start"/>
              <w:rPr/>
            </w:pPr>
            <w:r>
              <w:rPr/>
              <w:t xml:space="preserve">≥ </w:t>
            </w:r>
            <w:r>
              <w:rPr/>
              <w:t>3 (≥5 very safe)</w:t>
            </w:r>
          </w:p>
        </w:tc>
        <w:tc>
          <w:tcPr>
            <w:tcW w:w="1928" w:type="dxa"/>
            <w:tcBorders>
              <w:start w:val="single" w:sz="4" w:space="0" w:color="000000"/>
              <w:bottom w:val="single" w:sz="4" w:space="0" w:color="000000"/>
              <w:end w:val="single" w:sz="4" w:space="0" w:color="000000"/>
            </w:tcBorders>
          </w:tcPr>
          <w:p>
            <w:pPr>
              <w:pStyle w:val="TableContents"/>
              <w:bidi w:val="0"/>
              <w:jc w:val="start"/>
              <w:rPr/>
            </w:pPr>
            <w:r>
              <w:rPr/>
              <w:t>Very, very safe</w:t>
            </w:r>
          </w:p>
        </w:tc>
      </w:tr>
      <w:tr>
        <w:trPr/>
        <w:tc>
          <w:tcPr>
            <w:tcW w:w="1927" w:type="dxa"/>
            <w:tcBorders>
              <w:start w:val="single" w:sz="4" w:space="0" w:color="000000"/>
              <w:bottom w:val="single" w:sz="4" w:space="0" w:color="000000"/>
            </w:tcBorders>
          </w:tcPr>
          <w:p>
            <w:pPr>
              <w:pStyle w:val="TableContents"/>
              <w:bidi w:val="0"/>
              <w:jc w:val="start"/>
              <w:rPr/>
            </w:pPr>
            <w:r>
              <w:rPr/>
              <w:t>Cash ratio</w:t>
            </w:r>
          </w:p>
        </w:tc>
        <w:tc>
          <w:tcPr>
            <w:tcW w:w="1928" w:type="dxa"/>
            <w:tcBorders>
              <w:start w:val="single" w:sz="4" w:space="0" w:color="000000"/>
              <w:bottom w:val="single" w:sz="4" w:space="0" w:color="000000"/>
            </w:tcBorders>
          </w:tcPr>
          <w:p>
            <w:pPr>
              <w:pStyle w:val="TableContents"/>
              <w:bidi w:val="0"/>
              <w:jc w:val="start"/>
              <w:rPr/>
            </w:pPr>
            <w:r>
              <w:rPr>
                <w:b/>
              </w:rPr>
              <w:t>1.97</w:t>
            </w:r>
          </w:p>
        </w:tc>
        <w:tc>
          <w:tcPr>
            <w:tcW w:w="1927" w:type="dxa"/>
            <w:tcBorders>
              <w:start w:val="single" w:sz="4" w:space="0" w:color="000000"/>
              <w:bottom w:val="single" w:sz="4" w:space="0" w:color="000000"/>
            </w:tcBorders>
          </w:tcPr>
          <w:p>
            <w:pPr>
              <w:pStyle w:val="TableContents"/>
              <w:bidi w:val="0"/>
              <w:jc w:val="start"/>
              <w:rPr/>
            </w:pPr>
            <w:r>
              <w:rPr/>
              <w:t>—</w:t>
            </w:r>
          </w:p>
        </w:tc>
        <w:tc>
          <w:tcPr>
            <w:tcW w:w="1928" w:type="dxa"/>
            <w:tcBorders>
              <w:start w:val="single" w:sz="4" w:space="0" w:color="000000"/>
              <w:bottom w:val="single" w:sz="4" w:space="0" w:color="000000"/>
            </w:tcBorders>
          </w:tcPr>
          <w:p>
            <w:pPr>
              <w:pStyle w:val="TableContents"/>
              <w:bidi w:val="0"/>
              <w:jc w:val="start"/>
              <w:rPr/>
            </w:pPr>
            <w:r>
              <w:rPr/>
              <w:t xml:space="preserve">≥ </w:t>
            </w:r>
            <w:r>
              <w:rPr/>
              <w:t>0.5</w:t>
            </w:r>
          </w:p>
        </w:tc>
        <w:tc>
          <w:tcPr>
            <w:tcW w:w="1928" w:type="dxa"/>
            <w:tcBorders>
              <w:start w:val="single" w:sz="4" w:space="0" w:color="000000"/>
              <w:bottom w:val="single" w:sz="4" w:space="0" w:color="000000"/>
              <w:end w:val="single" w:sz="4" w:space="0" w:color="000000"/>
            </w:tcBorders>
          </w:tcPr>
          <w:p>
            <w:pPr>
              <w:pStyle w:val="TableContents"/>
              <w:bidi w:val="0"/>
              <w:jc w:val="start"/>
              <w:rPr/>
            </w:pPr>
            <w:r>
              <w:rPr/>
              <w:t>Very safe</w:t>
            </w:r>
          </w:p>
        </w:tc>
      </w:tr>
    </w:tbl>
    <w:p>
      <w:pPr>
        <w:pStyle w:val="BodyText"/>
        <w:bidi w:val="0"/>
        <w:jc w:val="start"/>
        <w:rPr/>
      </w:pPr>
      <w:r>
        <w:rPr/>
      </w:r>
    </w:p>
    <w:p>
      <w:pPr>
        <w:pStyle w:val="Heading4"/>
        <w:bidi w:val="0"/>
        <w:ind w:hanging="0" w:start="0"/>
        <w:jc w:val="start"/>
        <w:rPr/>
      </w:pPr>
      <w:r>
        <w:rPr/>
        <w:t>3.11 ⚠️ Where the three debt ratios DO NOT APPLY</w:t>
      </w:r>
    </w:p>
    <w:p>
      <w:pPr>
        <w:pStyle w:val="BodyText"/>
        <w:bidi w:val="0"/>
        <w:jc w:val="start"/>
        <w:rPr/>
      </w:pPr>
      <w:r>
        <w:rPr/>
        <w:t xml:space="preserve">The current ratio / debt-to-EBITDA / debt servicing trio </w:t>
      </w:r>
      <w:r>
        <w:rPr>
          <w:b/>
        </w:rPr>
        <w:t>applies to all companies EXCEPT</w:t>
      </w:r>
      <w:r>
        <w:rPr/>
        <w:t>:</w:t>
      </w:r>
    </w:p>
    <w:p>
      <w:pPr>
        <w:pStyle w:val="BodyText"/>
        <w:numPr>
          <w:ilvl w:val="0"/>
          <w:numId w:val="178"/>
        </w:numPr>
        <w:tabs>
          <w:tab w:val="clear" w:pos="709"/>
          <w:tab w:val="left" w:pos="709" w:leader="none"/>
        </w:tabs>
        <w:bidi w:val="0"/>
        <w:ind w:hanging="283" w:start="709"/>
        <w:jc w:val="start"/>
        <w:rPr/>
      </w:pPr>
      <w:r>
        <w:rPr>
          <w:b/>
        </w:rPr>
        <w:t>Banks</w:t>
      </w:r>
    </w:p>
    <w:p>
      <w:pPr>
        <w:pStyle w:val="BodyText"/>
        <w:numPr>
          <w:ilvl w:val="0"/>
          <w:numId w:val="178"/>
        </w:numPr>
        <w:tabs>
          <w:tab w:val="clear" w:pos="709"/>
          <w:tab w:val="left" w:pos="709" w:leader="none"/>
        </w:tabs>
        <w:bidi w:val="0"/>
        <w:ind w:hanging="283" w:start="709"/>
        <w:jc w:val="start"/>
        <w:rPr/>
      </w:pPr>
      <w:r>
        <w:rPr>
          <w:b/>
        </w:rPr>
        <w:t>Financial companies, e.g. insurance companies</w:t>
      </w:r>
    </w:p>
    <w:p>
      <w:pPr>
        <w:pStyle w:val="BodyText"/>
        <w:numPr>
          <w:ilvl w:val="0"/>
          <w:numId w:val="178"/>
        </w:numPr>
        <w:tabs>
          <w:tab w:val="clear" w:pos="709"/>
          <w:tab w:val="left" w:pos="709" w:leader="none"/>
        </w:tabs>
        <w:bidi w:val="0"/>
        <w:ind w:hanging="283" w:start="709"/>
        <w:jc w:val="start"/>
        <w:rPr/>
      </w:pPr>
      <w:r>
        <w:rPr>
          <w:b/>
        </w:rPr>
        <w:t>Property developers</w:t>
      </w:r>
    </w:p>
    <w:p>
      <w:pPr>
        <w:pStyle w:val="BodyText"/>
        <w:numPr>
          <w:ilvl w:val="0"/>
          <w:numId w:val="178"/>
        </w:numPr>
        <w:tabs>
          <w:tab w:val="clear" w:pos="709"/>
          <w:tab w:val="left" w:pos="709" w:leader="none"/>
        </w:tabs>
        <w:bidi w:val="0"/>
        <w:ind w:hanging="283" w:start="709"/>
        <w:jc w:val="start"/>
        <w:rPr/>
      </w:pPr>
      <w:r>
        <w:rPr>
          <w:b/>
        </w:rPr>
        <w:t>REITs</w:t>
      </w:r>
    </w:p>
    <w:p>
      <w:pPr>
        <w:pStyle w:val="BodyText"/>
        <w:numPr>
          <w:ilvl w:val="0"/>
          <w:numId w:val="178"/>
        </w:numPr>
        <w:tabs>
          <w:tab w:val="clear" w:pos="709"/>
          <w:tab w:val="left" w:pos="709" w:leader="none"/>
        </w:tabs>
        <w:bidi w:val="0"/>
        <w:ind w:hanging="283" w:start="709"/>
        <w:jc w:val="start"/>
        <w:rPr/>
      </w:pPr>
      <w:r>
        <w:rPr>
          <w:b/>
        </w:rPr>
        <w:t>Commodity companies</w:t>
      </w:r>
    </w:p>
    <w:p>
      <w:pPr>
        <w:pStyle w:val="BodyText"/>
        <w:bidi w:val="0"/>
        <w:jc w:val="start"/>
        <w:rPr/>
      </w:pPr>
      <w:r>
        <w:rPr>
          <w:b/>
        </w:rPr>
        <w:t>Why:</w:t>
      </w:r>
      <w:r>
        <w:rPr/>
        <w:t xml:space="preserve"> </w:t>
      </w:r>
      <w:r>
        <w:rPr>
          <w:i/>
        </w:rPr>
        <w:t>"by the nature of their business, they are highly leveraged — they take on a lot of debt as compared to their equity. So if you use these three ratios, they will all fail."</w:t>
      </w:r>
    </w:p>
    <w:p>
      <w:pPr>
        <w:pStyle w:val="BodyText"/>
        <w:bidi w:val="0"/>
        <w:jc w:val="start"/>
        <w:rPr/>
      </w:pPr>
      <w:r>
        <w:rPr>
          <w:b/>
        </w:rPr>
        <w:t>Adam's own position:</w:t>
      </w:r>
    </w:p>
    <w:p>
      <w:pPr>
        <w:pStyle w:val="BodyText"/>
        <w:numPr>
          <w:ilvl w:val="0"/>
          <w:numId w:val="179"/>
        </w:numPr>
        <w:tabs>
          <w:tab w:val="clear" w:pos="709"/>
          <w:tab w:val="left" w:pos="709" w:leader="none"/>
        </w:tabs>
        <w:bidi w:val="0"/>
        <w:ind w:hanging="283" w:start="709"/>
        <w:jc w:val="start"/>
        <w:rPr/>
      </w:pPr>
      <w:r>
        <w:rPr>
          <w:b/>
        </w:rPr>
        <w:t>He personally avoids property developers and commodity companies</w:t>
      </w:r>
      <w:r>
        <w:rPr/>
        <w:t xml:space="preserve"> because of their high leverage.</w:t>
      </w:r>
    </w:p>
    <w:p>
      <w:pPr>
        <w:pStyle w:val="BodyText"/>
        <w:numPr>
          <w:ilvl w:val="0"/>
          <w:numId w:val="179"/>
        </w:numPr>
        <w:tabs>
          <w:tab w:val="clear" w:pos="709"/>
          <w:tab w:val="left" w:pos="709" w:leader="none"/>
        </w:tabs>
        <w:bidi w:val="0"/>
        <w:ind w:hanging="283" w:start="709"/>
        <w:jc w:val="start"/>
        <w:rPr/>
      </w:pPr>
      <w:r>
        <w:rPr>
          <w:b/>
        </w:rPr>
        <w:t>He does invest in banks, insurance companies and REITs</w:t>
      </w:r>
      <w:r>
        <w:rPr/>
        <w:t xml:space="preserve"> — using </w:t>
      </w:r>
      <w:r>
        <w:rPr>
          <w:b/>
        </w:rPr>
        <w:t>different measures of debt</w:t>
      </w:r>
      <w:r>
        <w:rPr/>
        <w:t xml:space="preserve"> (below).</w:t>
      </w:r>
    </w:p>
    <w:p>
      <w:pPr>
        <w:pStyle w:val="Heading4"/>
        <w:numPr>
          <w:ilvl w:val="0"/>
          <w:numId w:val="0"/>
        </w:numPr>
        <w:bidi w:val="0"/>
        <w:ind w:hanging="0" w:start="0"/>
        <w:jc w:val="start"/>
        <w:rPr/>
      </w:pPr>
      <w:r>
        <w:rPr/>
        <w:t>3.12 Bank-specific ratios</w:t>
      </w:r>
    </w:p>
    <w:p>
      <w:pPr>
        <w:pStyle w:val="BodyText"/>
        <w:bidi w:val="0"/>
        <w:jc w:val="start"/>
        <w:rPr/>
      </w:pPr>
      <w:r>
        <w:rPr>
          <w:b/>
        </w:rPr>
        <w:t xml:space="preserve">① </w:t>
      </w:r>
      <w:r>
        <w:rPr>
          <w:b/>
        </w:rPr>
        <w:t>Common Equity Tier 1 Ratio (CET1)</w:t>
      </w:r>
    </w:p>
    <w:p>
      <w:pPr>
        <w:pStyle w:val="PreformattedText"/>
        <w:shd w:fill="E1E1E1" w:val="clear"/>
        <w:bidi w:val="0"/>
        <w:spacing w:before="0" w:after="283"/>
        <w:jc w:val="start"/>
        <w:rPr/>
      </w:pPr>
      <w:r>
        <w:rPr/>
        <w:t>CET1 Ratio = Common Equity Tier 1 ÷ Risk-Weighted Assets</w:t>
        <w:br/>
        <w:t>where Common Equity Tier 1 = cash + common stock + retained earnings</w:t>
      </w:r>
    </w:p>
    <w:p>
      <w:pPr>
        <w:pStyle w:val="BodyText"/>
        <w:numPr>
          <w:ilvl w:val="0"/>
          <w:numId w:val="180"/>
        </w:numPr>
        <w:tabs>
          <w:tab w:val="clear" w:pos="709"/>
          <w:tab w:val="left" w:pos="709" w:leader="none"/>
        </w:tabs>
        <w:bidi w:val="0"/>
        <w:ind w:hanging="283" w:start="709"/>
        <w:jc w:val="start"/>
        <w:rPr/>
      </w:pPr>
      <w:r>
        <w:rPr/>
        <w:t xml:space="preserve">Part of the </w:t>
      </w:r>
      <w:r>
        <w:rPr>
          <w:b/>
        </w:rPr>
        <w:t>Basel III requirements</w:t>
      </w:r>
      <w:r>
        <w:rPr/>
        <w:t xml:space="preserve"> — the </w:t>
      </w:r>
      <w:r>
        <w:rPr>
          <w:b/>
        </w:rPr>
        <w:t>international standard for banks</w:t>
      </w:r>
      <w:r>
        <w:rPr/>
        <w:t>.</w:t>
      </w:r>
    </w:p>
    <w:p>
      <w:pPr>
        <w:pStyle w:val="BodyText"/>
        <w:numPr>
          <w:ilvl w:val="0"/>
          <w:numId w:val="180"/>
        </w:numPr>
        <w:tabs>
          <w:tab w:val="clear" w:pos="709"/>
          <w:tab w:val="left" w:pos="709" w:leader="none"/>
        </w:tabs>
        <w:bidi w:val="0"/>
        <w:ind w:hanging="283" w:start="709"/>
        <w:jc w:val="start"/>
        <w:rPr/>
      </w:pPr>
      <w:r>
        <w:rPr>
          <w:b/>
        </w:rPr>
        <w:t>International standard minimum: at least 4.5%.</w:t>
      </w:r>
    </w:p>
    <w:p>
      <w:pPr>
        <w:pStyle w:val="BodyText"/>
        <w:numPr>
          <w:ilvl w:val="0"/>
          <w:numId w:val="180"/>
        </w:numPr>
        <w:tabs>
          <w:tab w:val="clear" w:pos="709"/>
          <w:tab w:val="left" w:pos="709" w:leader="none"/>
        </w:tabs>
        <w:bidi w:val="0"/>
        <w:ind w:hanging="283" w:start="709"/>
        <w:jc w:val="start"/>
        <w:rPr/>
      </w:pPr>
      <w:r>
        <w:rPr>
          <w:b/>
        </w:rPr>
        <w:t>Adam's own more conservative minimum: more than 10%.</w:t>
      </w:r>
    </w:p>
    <w:p>
      <w:pPr>
        <w:pStyle w:val="BodyText"/>
        <w:numPr>
          <w:ilvl w:val="0"/>
          <w:numId w:val="180"/>
        </w:numPr>
        <w:tabs>
          <w:tab w:val="clear" w:pos="709"/>
          <w:tab w:val="left" w:pos="709" w:leader="none"/>
        </w:tabs>
        <w:bidi w:val="0"/>
        <w:ind w:hanging="283" w:start="709"/>
        <w:jc w:val="start"/>
        <w:rPr/>
      </w:pPr>
      <w:r>
        <w:rPr/>
        <w:t xml:space="preserve">The calculation is </w:t>
      </w:r>
      <w:r>
        <w:rPr>
          <w:i/>
        </w:rPr>
        <w:t>"actually very complicated"</w:t>
      </w:r>
      <w:r>
        <w:rPr/>
        <w:t xml:space="preserve"> — </w:t>
      </w:r>
      <w:r>
        <w:rPr>
          <w:b/>
        </w:rPr>
        <w:t>don't calculate it yourself; just search it online</w:t>
      </w:r>
      <w:r>
        <w:rPr/>
        <w:t xml:space="preserve"> (e.g. Google "DBS Bank common equity tier one ratio").</w:t>
      </w:r>
    </w:p>
    <w:tbl>
      <w:tblPr>
        <w:tblW w:w="5000" w:type="pct"/>
        <w:jc w:val="start"/>
        <w:tblInd w:w="-5" w:type="dxa"/>
        <w:tblLayout w:type="fixed"/>
        <w:tblCellMar>
          <w:top w:w="55" w:type="dxa"/>
          <w:start w:w="55" w:type="dxa"/>
          <w:bottom w:w="55" w:type="dxa"/>
          <w:end w:w="55" w:type="dxa"/>
        </w:tblCellMar>
      </w:tblPr>
      <w:tblGrid>
        <w:gridCol w:w="3212"/>
        <w:gridCol w:w="3213"/>
        <w:gridCol w:w="3213"/>
      </w:tblGrid>
      <w:tr>
        <w:trPr>
          <w:tblHeader w:val="true"/>
        </w:trPr>
        <w:tc>
          <w:tcPr>
            <w:tcW w:w="3212" w:type="dxa"/>
            <w:tcBorders>
              <w:top w:val="single" w:sz="4" w:space="0" w:color="000000"/>
              <w:start w:val="single" w:sz="4" w:space="0" w:color="000000"/>
              <w:bottom w:val="single" w:sz="4" w:space="0" w:color="000000"/>
            </w:tcBorders>
          </w:tcPr>
          <w:p>
            <w:pPr>
              <w:pStyle w:val="TableHeading"/>
              <w:bidi w:val="0"/>
              <w:jc w:val="start"/>
              <w:rPr/>
            </w:pPr>
            <w:r>
              <w:rPr/>
              <w:t>Bank</w:t>
            </w:r>
          </w:p>
        </w:tc>
        <w:tc>
          <w:tcPr>
            <w:tcW w:w="3213" w:type="dxa"/>
            <w:tcBorders>
              <w:top w:val="single" w:sz="4" w:space="0" w:color="000000"/>
              <w:start w:val="single" w:sz="4" w:space="0" w:color="000000"/>
              <w:bottom w:val="single" w:sz="4" w:space="0" w:color="000000"/>
            </w:tcBorders>
          </w:tcPr>
          <w:p>
            <w:pPr>
              <w:pStyle w:val="TableHeading"/>
              <w:bidi w:val="0"/>
              <w:jc w:val="start"/>
              <w:rPr/>
            </w:pPr>
            <w:r>
              <w:rPr/>
              <w:t>CET1 ratio</w:t>
            </w:r>
          </w:p>
        </w:tc>
        <w:tc>
          <w:tcPr>
            <w:tcW w:w="3213"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Verdict</w:t>
            </w:r>
          </w:p>
        </w:tc>
      </w:tr>
      <w:tr>
        <w:trPr/>
        <w:tc>
          <w:tcPr>
            <w:tcW w:w="3212" w:type="dxa"/>
            <w:tcBorders>
              <w:start w:val="single" w:sz="4" w:space="0" w:color="000000"/>
              <w:bottom w:val="single" w:sz="4" w:space="0" w:color="000000"/>
            </w:tcBorders>
          </w:tcPr>
          <w:p>
            <w:pPr>
              <w:pStyle w:val="TableContents"/>
              <w:bidi w:val="0"/>
              <w:jc w:val="start"/>
              <w:rPr/>
            </w:pPr>
            <w:r>
              <w:rPr>
                <w:b/>
              </w:rPr>
              <w:t>DBS Bank</w:t>
            </w:r>
            <w:r>
              <w:rPr/>
              <w:t xml:space="preserve"> (biggest and most profitable bank in Singapore)</w:t>
            </w:r>
          </w:p>
        </w:tc>
        <w:tc>
          <w:tcPr>
            <w:tcW w:w="3213" w:type="dxa"/>
            <w:tcBorders>
              <w:start w:val="single" w:sz="4" w:space="0" w:color="000000"/>
              <w:bottom w:val="single" w:sz="4" w:space="0" w:color="000000"/>
            </w:tcBorders>
          </w:tcPr>
          <w:p>
            <w:pPr>
              <w:pStyle w:val="TableContents"/>
              <w:bidi w:val="0"/>
              <w:jc w:val="start"/>
              <w:rPr/>
            </w:pPr>
            <w:r>
              <w:rPr>
                <w:b/>
              </w:rPr>
              <w:t>14.1%</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 xml:space="preserve">Above Adam's 10% minimum, way above the 4.5% international standard. </w:t>
            </w:r>
            <w:r>
              <w:rPr>
                <w:i/>
              </w:rPr>
              <w:t>"Singapore banks are the safest in the world, based on this ratio."</w:t>
            </w:r>
          </w:p>
        </w:tc>
      </w:tr>
      <w:tr>
        <w:trPr/>
        <w:tc>
          <w:tcPr>
            <w:tcW w:w="3212" w:type="dxa"/>
            <w:tcBorders>
              <w:start w:val="single" w:sz="4" w:space="0" w:color="000000"/>
              <w:bottom w:val="single" w:sz="4" w:space="0" w:color="000000"/>
            </w:tcBorders>
          </w:tcPr>
          <w:p>
            <w:pPr>
              <w:pStyle w:val="TableContents"/>
              <w:bidi w:val="0"/>
              <w:jc w:val="start"/>
              <w:rPr/>
            </w:pPr>
            <w:r>
              <w:rPr>
                <w:b/>
              </w:rPr>
              <w:t>JP Morgan</w:t>
            </w:r>
            <w:r>
              <w:rPr/>
              <w:t xml:space="preserve"> (US)</w:t>
            </w:r>
          </w:p>
        </w:tc>
        <w:tc>
          <w:tcPr>
            <w:tcW w:w="3213" w:type="dxa"/>
            <w:tcBorders>
              <w:start w:val="single" w:sz="4" w:space="0" w:color="000000"/>
              <w:bottom w:val="single" w:sz="4" w:space="0" w:color="000000"/>
            </w:tcBorders>
          </w:tcPr>
          <w:p>
            <w:pPr>
              <w:pStyle w:val="TableContents"/>
              <w:bidi w:val="0"/>
              <w:jc w:val="start"/>
              <w:rPr/>
            </w:pPr>
            <w:r>
              <w:rPr>
                <w:b/>
              </w:rPr>
              <w:t>12.4%</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Very safe, above 10%</w:t>
            </w:r>
          </w:p>
        </w:tc>
      </w:tr>
      <w:tr>
        <w:trPr/>
        <w:tc>
          <w:tcPr>
            <w:tcW w:w="3212" w:type="dxa"/>
            <w:tcBorders>
              <w:start w:val="single" w:sz="4" w:space="0" w:color="000000"/>
              <w:bottom w:val="single" w:sz="4" w:space="0" w:color="000000"/>
            </w:tcBorders>
          </w:tcPr>
          <w:p>
            <w:pPr>
              <w:pStyle w:val="TableContents"/>
              <w:bidi w:val="0"/>
              <w:jc w:val="start"/>
              <w:rPr/>
            </w:pPr>
            <w:r>
              <w:rPr>
                <w:b/>
              </w:rPr>
              <w:t>Bank of China</w:t>
            </w:r>
          </w:p>
        </w:tc>
        <w:tc>
          <w:tcPr>
            <w:tcW w:w="3213" w:type="dxa"/>
            <w:tcBorders>
              <w:start w:val="single" w:sz="4" w:space="0" w:color="000000"/>
              <w:bottom w:val="single" w:sz="4" w:space="0" w:color="000000"/>
            </w:tcBorders>
          </w:tcPr>
          <w:p>
            <w:pPr>
              <w:pStyle w:val="TableContents"/>
              <w:bidi w:val="0"/>
              <w:jc w:val="start"/>
              <w:rPr/>
            </w:pPr>
            <w:r>
              <w:rPr>
                <w:b/>
              </w:rPr>
              <w:t>11.28%</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Above 10%</w:t>
            </w:r>
          </w:p>
        </w:tc>
      </w:tr>
    </w:tbl>
    <w:p>
      <w:pPr>
        <w:pStyle w:val="BodyText"/>
        <w:bidi w:val="0"/>
        <w:jc w:val="start"/>
        <w:rPr/>
      </w:pPr>
      <w:r>
        <w:rPr/>
      </w:r>
    </w:p>
    <w:p>
      <w:pPr>
        <w:pStyle w:val="BodyText"/>
        <w:bidi w:val="0"/>
        <w:jc w:val="start"/>
        <w:rPr/>
      </w:pPr>
      <w:r>
        <w:rPr>
          <w:b/>
        </w:rPr>
        <w:t xml:space="preserve">② </w:t>
      </w:r>
      <w:r>
        <w:rPr>
          <w:b/>
        </w:rPr>
        <w:t>NPL Ratio (Non-Performing Loan Ratio)</w:t>
      </w:r>
    </w:p>
    <w:p>
      <w:pPr>
        <w:pStyle w:val="PreformattedText"/>
        <w:shd w:fill="E1E1E1" w:val="clear"/>
        <w:bidi w:val="0"/>
        <w:spacing w:before="0" w:after="283"/>
        <w:jc w:val="start"/>
        <w:rPr/>
      </w:pPr>
      <w:r>
        <w:rPr/>
        <w:t>NPL Ratio = Non-Performing Loans ÷ Total Loans</w:t>
      </w:r>
    </w:p>
    <w:p>
      <w:pPr>
        <w:pStyle w:val="BodyText"/>
        <w:numPr>
          <w:ilvl w:val="0"/>
          <w:numId w:val="181"/>
        </w:numPr>
        <w:tabs>
          <w:tab w:val="clear" w:pos="709"/>
          <w:tab w:val="left" w:pos="709" w:leader="none"/>
        </w:tabs>
        <w:bidi w:val="0"/>
        <w:ind w:hanging="283" w:start="709"/>
        <w:jc w:val="start"/>
        <w:rPr/>
      </w:pPr>
      <w:r>
        <w:rPr/>
        <w:t xml:space="preserve">A </w:t>
      </w:r>
      <w:r>
        <w:rPr>
          <w:b/>
        </w:rPr>
        <w:t>non-performing loan</w:t>
      </w:r>
      <w:r>
        <w:rPr/>
        <w:t xml:space="preserve"> is a loan not repaid within a certain period of time, which </w:t>
      </w:r>
      <w:r>
        <w:rPr>
          <w:b/>
        </w:rPr>
        <w:t>could eventually become a bad debt</w:t>
      </w:r>
      <w:r>
        <w:rPr/>
        <w:t>.</w:t>
      </w:r>
    </w:p>
    <w:p>
      <w:pPr>
        <w:pStyle w:val="BodyText"/>
        <w:numPr>
          <w:ilvl w:val="0"/>
          <w:numId w:val="181"/>
        </w:numPr>
        <w:tabs>
          <w:tab w:val="clear" w:pos="709"/>
          <w:tab w:val="left" w:pos="709" w:leader="none"/>
        </w:tabs>
        <w:bidi w:val="0"/>
        <w:ind w:hanging="283" w:start="709"/>
        <w:jc w:val="start"/>
        <w:rPr/>
      </w:pPr>
      <w:r>
        <w:rPr>
          <w:b/>
        </w:rPr>
        <w:t>Threshold: less than 5% is safe.</w:t>
      </w:r>
    </w:p>
    <w:p>
      <w:pPr>
        <w:pStyle w:val="BodyText"/>
        <w:numPr>
          <w:ilvl w:val="0"/>
          <w:numId w:val="181"/>
        </w:numPr>
        <w:tabs>
          <w:tab w:val="clear" w:pos="709"/>
          <w:tab w:val="left" w:pos="709" w:leader="none"/>
        </w:tabs>
        <w:bidi w:val="0"/>
        <w:ind w:hanging="283" w:start="709"/>
        <w:jc w:val="start"/>
        <w:rPr/>
      </w:pPr>
      <w:r>
        <w:rPr>
          <w:b/>
        </w:rPr>
        <w:t>DBS Bank NPL ratio = 1.5%</w:t>
      </w:r>
      <w:r>
        <w:rPr/>
        <w:t xml:space="preserve"> — </w:t>
      </w:r>
      <w:r>
        <w:rPr>
          <w:i/>
        </w:rPr>
        <w:t>"which is great"</w:t>
      </w:r>
      <w:r>
        <w:rPr/>
        <w:t xml:space="preserve"> — only 1.5% of DBS's loans are non-performing.</w:t>
      </w:r>
    </w:p>
    <w:p>
      <w:pPr>
        <w:pStyle w:val="Heading4"/>
        <w:numPr>
          <w:ilvl w:val="0"/>
          <w:numId w:val="0"/>
        </w:numPr>
        <w:bidi w:val="0"/>
        <w:ind w:hanging="0" w:start="0"/>
        <w:jc w:val="start"/>
        <w:rPr/>
      </w:pPr>
      <w:r>
        <w:rPr/>
        <w:t>3.13 REIT-specific ratio</w:t>
      </w:r>
    </w:p>
    <w:p>
      <w:pPr>
        <w:pStyle w:val="BodyText"/>
        <w:bidi w:val="0"/>
        <w:jc w:val="start"/>
        <w:rPr/>
      </w:pPr>
      <w:r>
        <w:rPr>
          <w:b/>
        </w:rPr>
        <w:t>Gearing Ratio (a.k.a. Aggregate Leverage)</w:t>
      </w:r>
    </w:p>
    <w:p>
      <w:pPr>
        <w:pStyle w:val="PreformattedText"/>
        <w:shd w:fill="E1E1E1" w:val="clear"/>
        <w:bidi w:val="0"/>
        <w:spacing w:before="0" w:after="283"/>
        <w:jc w:val="start"/>
        <w:rPr/>
      </w:pPr>
      <w:r>
        <w:rPr/>
        <w:t>Gearing Ratio = Total Debt ÷ Total Assets</w:t>
      </w:r>
    </w:p>
    <w:p>
      <w:pPr>
        <w:pStyle w:val="BodyText"/>
        <w:numPr>
          <w:ilvl w:val="0"/>
          <w:numId w:val="182"/>
        </w:numPr>
        <w:tabs>
          <w:tab w:val="clear" w:pos="709"/>
          <w:tab w:val="left" w:pos="709" w:leader="none"/>
        </w:tabs>
        <w:bidi w:val="0"/>
        <w:ind w:hanging="283" w:start="709"/>
        <w:jc w:val="start"/>
        <w:rPr/>
      </w:pPr>
      <w:r>
        <w:rPr/>
        <w:t xml:space="preserve">A </w:t>
      </w:r>
      <w:r>
        <w:rPr>
          <w:b/>
        </w:rPr>
        <w:t>REIT (real estate investment trust)</w:t>
      </w:r>
      <w:r>
        <w:rPr/>
        <w:t xml:space="preserve"> means </w:t>
      </w:r>
      <w:r>
        <w:rPr>
          <w:b/>
        </w:rPr>
        <w:t>buying a portfolio of real estate properties</w:t>
      </w:r>
      <w:r>
        <w:rPr/>
        <w:t xml:space="preserve">. REITs </w:t>
      </w:r>
      <w:r>
        <w:rPr>
          <w:b/>
        </w:rPr>
        <w:t>take bank loans to finance the properties</w:t>
      </w:r>
      <w:r>
        <w:rPr/>
        <w:t xml:space="preserve">; too much loan is risky, especially since they pay a lot of interest and </w:t>
      </w:r>
      <w:r>
        <w:rPr>
          <w:b/>
        </w:rPr>
        <w:t>if interest rates rise they could be in trouble.</w:t>
      </w:r>
    </w:p>
    <w:p>
      <w:pPr>
        <w:pStyle w:val="BodyText"/>
        <w:numPr>
          <w:ilvl w:val="0"/>
          <w:numId w:val="182"/>
        </w:numPr>
        <w:tabs>
          <w:tab w:val="clear" w:pos="709"/>
          <w:tab w:val="left" w:pos="709" w:leader="none"/>
        </w:tabs>
        <w:bidi w:val="0"/>
        <w:ind w:hanging="283" w:start="709"/>
        <w:jc w:val="start"/>
        <w:rPr/>
      </w:pPr>
      <w:r>
        <w:rPr>
          <w:b/>
        </w:rPr>
        <w:t>Threshold: less than 45%.</w:t>
      </w:r>
      <w:r>
        <w:rPr/>
        <w:t xml:space="preserve"> Meaning </w:t>
      </w:r>
      <w:r>
        <w:rPr>
          <w:b/>
        </w:rPr>
        <w:t>less than 45% of the properties are financed by debt</w:t>
      </w:r>
      <w:r>
        <w:rPr/>
        <w:t>, the rest financed by equity.</w:t>
      </w:r>
    </w:p>
    <w:p>
      <w:pPr>
        <w:pStyle w:val="BodyText"/>
        <w:numPr>
          <w:ilvl w:val="0"/>
          <w:numId w:val="182"/>
        </w:numPr>
        <w:tabs>
          <w:tab w:val="clear" w:pos="709"/>
          <w:tab w:val="left" w:pos="709" w:leader="none"/>
        </w:tabs>
        <w:bidi w:val="0"/>
        <w:ind w:hanging="283" w:start="709"/>
        <w:jc w:val="start"/>
        <w:rPr/>
      </w:pPr>
      <w:r>
        <w:rPr>
          <w:b/>
        </w:rPr>
        <w:t>Where to find it:</w:t>
      </w:r>
      <w:r>
        <w:rPr/>
        <w:t xml:space="preserve"> go to the </w:t>
      </w:r>
      <w:r>
        <w:rPr>
          <w:b/>
        </w:rPr>
        <w:t>REIT's own website → download the annual report / investor presentations →</w:t>
      </w:r>
      <w:r>
        <w:rPr/>
        <w:t xml:space="preserve"> the gearing ratio is stated.</w:t>
      </w:r>
    </w:p>
    <w:p>
      <w:pPr>
        <w:pStyle w:val="BodyText"/>
        <w:numPr>
          <w:ilvl w:val="0"/>
          <w:numId w:val="182"/>
        </w:numPr>
        <w:tabs>
          <w:tab w:val="clear" w:pos="709"/>
          <w:tab w:val="left" w:pos="709" w:leader="none"/>
        </w:tabs>
        <w:bidi w:val="0"/>
        <w:ind w:hanging="283" w:start="709"/>
        <w:jc w:val="start"/>
        <w:rPr/>
      </w:pPr>
      <w:r>
        <w:rPr/>
        <w:t xml:space="preserve">Example: </w:t>
      </w:r>
      <w:r>
        <w:rPr>
          <w:b/>
        </w:rPr>
        <w:t>Ascendas REIT — aggregate leverage 37.6%</w:t>
      </w:r>
      <w:r>
        <w:rPr/>
        <w:t xml:space="preserve">, less than 45% → </w:t>
      </w:r>
      <w:r>
        <w:rPr>
          <w:b/>
        </w:rPr>
        <w:t>safe</w:t>
      </w:r>
      <w:r>
        <w:rPr/>
        <w:t>.</w:t>
      </w:r>
    </w:p>
    <w:p>
      <w:pPr>
        <w:pStyle w:val="HorizontalLine"/>
        <w:bidi w:val="0"/>
        <w:jc w:val="start"/>
        <w:rPr/>
      </w:pPr>
      <w:r>
        <w:rPr/>
      </w:r>
    </w:p>
    <w:p>
      <w:pPr>
        <w:pStyle w:val="Heading3"/>
        <w:bidi w:val="0"/>
        <w:ind w:hanging="0" w:start="0"/>
        <w:jc w:val="start"/>
        <w:rPr/>
      </w:pPr>
      <w:r>
        <w:rPr/>
        <w:t>4. The Statement of Cash Flows — the MOST IMPORTANT statement</w:t>
      </w:r>
    </w:p>
    <w:p>
      <w:pPr>
        <w:pStyle w:val="BlockQuotation"/>
        <w:bidi w:val="0"/>
        <w:jc w:val="start"/>
        <w:rPr/>
      </w:pPr>
      <w:r>
        <w:rPr>
          <w:i/>
        </w:rPr>
        <w:t>"Out of these three parts, which do you think is the most important one? If we could only look at one, which would it be? The answer is the statement of cash flows. This is the most important of all."</w:t>
      </w:r>
    </w:p>
    <w:p>
      <w:pPr>
        <w:pStyle w:val="Heading4"/>
        <w:bidi w:val="0"/>
        <w:ind w:hanging="0" w:start="0"/>
        <w:jc w:val="start"/>
        <w:rPr/>
      </w:pPr>
      <w:r>
        <w:rPr/>
        <w:t>4.1 Why cash beats profit</w:t>
      </w:r>
    </w:p>
    <w:p>
      <w:pPr>
        <w:pStyle w:val="BodyText"/>
        <w:bidi w:val="0"/>
        <w:jc w:val="start"/>
        <w:rPr/>
      </w:pPr>
      <w:r>
        <w:rPr/>
        <w:t xml:space="preserve">Cash flow tells you how much cash is </w:t>
      </w:r>
      <w:r>
        <w:rPr>
          <w:b/>
        </w:rPr>
        <w:t>actually</w:t>
      </w:r>
      <w:r>
        <w:rPr/>
        <w:t xml:space="preserve"> coming into and going out of the business. </w:t>
      </w:r>
      <w:r>
        <w:rPr>
          <w:b/>
        </w:rPr>
        <w:t>A company can report high profits without the cash ever arriving.</w:t>
      </w:r>
    </w:p>
    <w:p>
      <w:pPr>
        <w:pStyle w:val="BodyText"/>
        <w:bidi w:val="0"/>
        <w:jc w:val="start"/>
        <w:rPr/>
      </w:pPr>
      <w:r>
        <w:rPr>
          <w:b/>
        </w:rPr>
        <w:t>Illustration:</w:t>
      </w:r>
      <w:r>
        <w:rPr/>
        <w:t xml:space="preserve"> a company reports </w:t>
      </w:r>
      <w:r>
        <w:rPr>
          <w:b/>
        </w:rPr>
        <w:t>$5 million in profits</w:t>
      </w:r>
      <w:r>
        <w:rPr/>
        <w:t xml:space="preserve"> but its </w:t>
      </w:r>
      <w:r>
        <w:rPr>
          <w:b/>
        </w:rPr>
        <w:t>cash flow from operations is only $2 million.</w:t>
      </w:r>
      <w:r>
        <w:rPr/>
        <w:t xml:space="preserve"> How?</w:t>
      </w:r>
    </w:p>
    <w:p>
      <w:pPr>
        <w:pStyle w:val="BodyText"/>
        <w:numPr>
          <w:ilvl w:val="0"/>
          <w:numId w:val="183"/>
        </w:numPr>
        <w:tabs>
          <w:tab w:val="clear" w:pos="709"/>
          <w:tab w:val="left" w:pos="709" w:leader="none"/>
        </w:tabs>
        <w:bidi w:val="0"/>
        <w:ind w:hanging="283" w:start="709"/>
        <w:jc w:val="start"/>
        <w:rPr/>
      </w:pPr>
      <w:r>
        <w:rPr>
          <w:b/>
        </w:rPr>
        <w:t>Uncollected sales / bad debt</w:t>
      </w:r>
      <w:r>
        <w:rPr/>
        <w:t xml:space="preserve"> — the company sells products to customers and </w:t>
      </w:r>
      <w:r>
        <w:rPr>
          <w:b/>
        </w:rPr>
        <w:t>records the profit, but the customer never pays.</w:t>
      </w:r>
      <w:r>
        <w:rPr/>
        <w:t xml:space="preserve"> It becomes a </w:t>
      </w:r>
      <w:r>
        <w:rPr>
          <w:b/>
        </w:rPr>
        <w:t>bad debt</w:t>
      </w:r>
      <w:r>
        <w:rPr/>
        <w:t>. The profit was recorded; the cash never came in.</w:t>
      </w:r>
    </w:p>
    <w:p>
      <w:pPr>
        <w:pStyle w:val="BodyText"/>
        <w:numPr>
          <w:ilvl w:val="0"/>
          <w:numId w:val="183"/>
        </w:numPr>
        <w:tabs>
          <w:tab w:val="clear" w:pos="709"/>
          <w:tab w:val="left" w:pos="709" w:leader="none"/>
        </w:tabs>
        <w:bidi w:val="0"/>
        <w:ind w:hanging="283" w:start="709"/>
        <w:jc w:val="start"/>
        <w:rPr/>
      </w:pPr>
      <w:r>
        <w:rPr>
          <w:b/>
        </w:rPr>
        <w:t>Asset revaluation gains</w:t>
      </w:r>
      <w:r>
        <w:rPr/>
        <w:t xml:space="preserve"> — Adam's real example: a </w:t>
      </w:r>
      <w:r>
        <w:rPr>
          <w:b/>
        </w:rPr>
        <w:t>palm oil company</w:t>
      </w:r>
      <w:r>
        <w:rPr/>
        <w:t xml:space="preserve"> owned palm trees worth about </w:t>
      </w:r>
      <w:r>
        <w:rPr>
          <w:b/>
        </w:rPr>
        <w:t>$50 million</w:t>
      </w:r>
      <w:r>
        <w:rPr/>
        <w:t xml:space="preserve">. The next year the palm trees grew bigger, the company </w:t>
      </w:r>
      <w:r>
        <w:rPr>
          <w:b/>
        </w:rPr>
        <w:t>re-valued the assets at $100 million</w:t>
      </w:r>
      <w:r>
        <w:rPr/>
        <w:t xml:space="preserve">, declared a </w:t>
      </w:r>
      <w:r>
        <w:rPr>
          <w:b/>
        </w:rPr>
        <w:t>$50 million gain on assets</w:t>
      </w:r>
      <w:r>
        <w:rPr/>
        <w:t xml:space="preserve">, and </w:t>
      </w:r>
      <w:r>
        <w:rPr>
          <w:b/>
        </w:rPr>
        <w:t>added it into other income</w:t>
      </w:r>
      <w:r>
        <w:rPr/>
        <w:t xml:space="preserve"> — </w:t>
      </w:r>
      <w:r>
        <w:rPr>
          <w:b/>
        </w:rPr>
        <w:t>inflating net profit by $50 million with zero cash actually coming in</w:t>
      </w:r>
      <w:r>
        <w:rPr/>
        <w:t>, because nothing was sold.</w:t>
      </w:r>
    </w:p>
    <w:p>
      <w:pPr>
        <w:pStyle w:val="BlockQuotation"/>
        <w:bidi w:val="0"/>
        <w:jc w:val="start"/>
        <w:rPr/>
      </w:pPr>
      <w:r>
        <w:rPr>
          <w:b/>
        </w:rPr>
        <w:t>"Many times companies could creatively inflate their profits, where the company looks profitable but they are not really generating cash. And this is what causes a lot of companies that look profitable to go bankrupt."</w:t>
      </w:r>
      <w:r>
        <w:rPr/>
        <w:t> </w:t>
      </w:r>
      <w:r>
        <w:rPr>
          <w:b/>
        </w:rPr>
        <w:t>"Which is more important, recording the profit or actually collecting cash? It's the cash."</w:t>
      </w:r>
    </w:p>
    <w:p>
      <w:pPr>
        <w:pStyle w:val="Heading4"/>
        <w:bidi w:val="0"/>
        <w:ind w:hanging="0" w:start="0"/>
        <w:jc w:val="start"/>
        <w:rPr/>
      </w:pPr>
      <w:r>
        <w:rPr/>
        <w:t>4.2 The three sections</w:t>
      </w:r>
    </w:p>
    <w:p>
      <w:pPr>
        <w:pStyle w:val="BodyText"/>
        <w:bidi w:val="0"/>
        <w:jc w:val="start"/>
        <w:rPr/>
      </w:pPr>
      <w:r>
        <w:rPr>
          <w:b/>
        </w:rPr>
        <w:t xml:space="preserve">① </w:t>
      </w:r>
      <w:r>
        <w:rPr>
          <w:b/>
        </w:rPr>
        <w:t>Cash Flow from Operations (net operating cash flow, OCF)</w:t>
      </w:r>
      <w:r>
        <w:rPr/>
        <w:t xml:space="preserve"> — ⭐ </w:t>
      </w:r>
      <w:r>
        <w:rPr>
          <w:b/>
        </w:rPr>
        <w:t>the important one</w:t>
      </w:r>
    </w:p>
    <w:p>
      <w:pPr>
        <w:pStyle w:val="BodyText"/>
        <w:numPr>
          <w:ilvl w:val="0"/>
          <w:numId w:val="184"/>
        </w:numPr>
        <w:tabs>
          <w:tab w:val="clear" w:pos="709"/>
          <w:tab w:val="left" w:pos="709" w:leader="none"/>
        </w:tabs>
        <w:bidi w:val="0"/>
        <w:ind w:hanging="283" w:start="709"/>
        <w:jc w:val="start"/>
        <w:rPr/>
      </w:pPr>
      <w:r>
        <w:rPr/>
        <w:t xml:space="preserve">How much cash came in or went out </w:t>
      </w:r>
      <w:r>
        <w:rPr>
          <w:b/>
        </w:rPr>
        <w:t>as a result of the company's operations</w:t>
      </w:r>
      <w:r>
        <w:rPr/>
        <w:t xml:space="preserve">. For McDonald's: </w:t>
      </w:r>
      <w:r>
        <w:rPr>
          <w:b/>
        </w:rPr>
        <w:t>selling burgers and fries</w:t>
      </w:r>
      <w:r>
        <w:rPr/>
        <w:t xml:space="preserve">. For Google: </w:t>
      </w:r>
      <w:r>
        <w:rPr>
          <w:b/>
        </w:rPr>
        <w:t>selling advertisement through search and YouTube</w:t>
      </w:r>
      <w:r>
        <w:rPr/>
        <w:t>.</w:t>
      </w:r>
    </w:p>
    <w:p>
      <w:pPr>
        <w:pStyle w:val="BodyText"/>
        <w:numPr>
          <w:ilvl w:val="0"/>
          <w:numId w:val="184"/>
        </w:numPr>
        <w:tabs>
          <w:tab w:val="clear" w:pos="709"/>
          <w:tab w:val="left" w:pos="709" w:leader="none"/>
        </w:tabs>
        <w:bidi w:val="0"/>
        <w:ind w:hanging="283" w:start="709"/>
        <w:jc w:val="start"/>
        <w:rPr/>
      </w:pPr>
      <w:r>
        <w:rPr>
          <w:b/>
        </w:rPr>
        <w:t>This is the section used later to calculate the intrinsic value of the business and of the shares.</w:t>
      </w:r>
    </w:p>
    <w:p>
      <w:pPr>
        <w:pStyle w:val="BodyText"/>
        <w:numPr>
          <w:ilvl w:val="0"/>
          <w:numId w:val="184"/>
        </w:numPr>
        <w:tabs>
          <w:tab w:val="clear" w:pos="709"/>
          <w:tab w:val="left" w:pos="709" w:leader="none"/>
        </w:tabs>
        <w:bidi w:val="0"/>
        <w:ind w:hanging="283" w:start="709"/>
        <w:jc w:val="start"/>
        <w:rPr/>
      </w:pPr>
      <w:r>
        <w:rPr>
          <w:b/>
        </w:rPr>
        <w:t>RULE: OCF must be POSITIVE and INCREASING CONSISTENTLY over the last 5 years.</w:t>
      </w:r>
    </w:p>
    <w:p>
      <w:pPr>
        <w:pStyle w:val="BodyText"/>
        <w:numPr>
          <w:ilvl w:val="0"/>
          <w:numId w:val="184"/>
        </w:numPr>
        <w:tabs>
          <w:tab w:val="clear" w:pos="709"/>
          <w:tab w:val="left" w:pos="709" w:leader="none"/>
        </w:tabs>
        <w:bidi w:val="0"/>
        <w:ind w:hanging="283" w:start="709"/>
        <w:jc w:val="start"/>
        <w:rPr/>
      </w:pPr>
      <w:r>
        <w:rPr/>
        <w:t xml:space="preserve">If OCF is </w:t>
      </w:r>
      <w:r>
        <w:rPr>
          <w:b/>
        </w:rPr>
        <w:t>negative</w:t>
      </w:r>
      <w:r>
        <w:rPr/>
        <w:t xml:space="preserve">, </w:t>
      </w:r>
      <w:r>
        <w:rPr>
          <w:i/>
        </w:rPr>
        <w:t>"something's wrong — the company, while doing business, is losing more cash than earning cash."</w:t>
      </w:r>
    </w:p>
    <w:p>
      <w:pPr>
        <w:pStyle w:val="BodyText"/>
        <w:numPr>
          <w:ilvl w:val="0"/>
          <w:numId w:val="184"/>
        </w:numPr>
        <w:tabs>
          <w:tab w:val="clear" w:pos="709"/>
          <w:tab w:val="left" w:pos="709" w:leader="none"/>
        </w:tabs>
        <w:bidi w:val="0"/>
        <w:ind w:hanging="283" w:start="709"/>
        <w:jc w:val="start"/>
        <w:rPr/>
      </w:pPr>
      <w:r>
        <w:rPr>
          <w:b/>
        </w:rPr>
        <w:t>Low-quality business signature:</w:t>
      </w:r>
      <w:r>
        <w:rPr/>
        <w:t xml:space="preserve"> OCF that is </w:t>
      </w:r>
      <w:r>
        <w:rPr>
          <w:b/>
        </w:rPr>
        <w:t>not consistently positive</w:t>
      </w:r>
      <w:r>
        <w:rPr/>
        <w:t xml:space="preserve"> (positive, negative, negative, positive, negative) </w:t>
      </w:r>
      <w:r>
        <w:rPr>
          <w:b/>
        </w:rPr>
        <w:t>or</w:t>
      </w:r>
      <w:r>
        <w:rPr/>
        <w:t xml:space="preserve"> that </w:t>
      </w:r>
      <w:r>
        <w:rPr>
          <w:b/>
        </w:rPr>
        <w:t>goes up, down, up, down, up, down</w:t>
      </w:r>
      <w:r>
        <w:rPr/>
        <w:t xml:space="preserve">. </w:t>
      </w:r>
      <w:r>
        <w:rPr>
          <w:i/>
        </w:rPr>
        <w:t>"Those are businesses I don't like to invest in."</w:t>
      </w:r>
    </w:p>
    <w:p>
      <w:pPr>
        <w:pStyle w:val="BodyText"/>
        <w:numPr>
          <w:ilvl w:val="0"/>
          <w:numId w:val="184"/>
        </w:numPr>
        <w:tabs>
          <w:tab w:val="clear" w:pos="709"/>
          <w:tab w:val="left" w:pos="709" w:leader="none"/>
        </w:tabs>
        <w:bidi w:val="0"/>
        <w:ind w:hanging="283" w:start="709"/>
        <w:jc w:val="start"/>
        <w:rPr/>
      </w:pPr>
      <w:r>
        <w:rPr>
          <w:b/>
        </w:rPr>
        <w:t xml:space="preserve">⚠️ </w:t>
      </w:r>
      <w:r>
        <w:rPr>
          <w:b/>
        </w:rPr>
        <w:t>Exception:</w:t>
      </w:r>
      <w:r>
        <w:rPr/>
        <w:t xml:space="preserve"> by the nature of their business, </w:t>
      </w:r>
      <w:r>
        <w:rPr>
          <w:b/>
        </w:rPr>
        <w:t>banks, commodity companies and property developers</w:t>
      </w:r>
      <w:r>
        <w:rPr/>
        <w:t xml:space="preserve"> tend to have </w:t>
      </w:r>
      <w:r>
        <w:rPr>
          <w:b/>
        </w:rPr>
        <w:t>inconsistent operating cash flows</w:t>
      </w:r>
      <w:r>
        <w:rPr/>
        <w:t xml:space="preserve">. </w:t>
      </w:r>
      <w:r>
        <w:rPr>
          <w:b/>
        </w:rPr>
        <w:t>For these three types of company this rule doesn't apply.</w:t>
      </w:r>
      <w:r>
        <w:rPr/>
        <w:t xml:space="preserve"> For all other companies it does.</w:t>
      </w:r>
    </w:p>
    <w:p>
      <w:pPr>
        <w:pStyle w:val="BodyText"/>
        <w:bidi w:val="0"/>
        <w:jc w:val="start"/>
        <w:rPr/>
      </w:pPr>
      <w:r>
        <w:rPr>
          <w:b/>
        </w:rPr>
        <w:t xml:space="preserve">② </w:t>
      </w:r>
      <w:r>
        <w:rPr>
          <w:b/>
        </w:rPr>
        <w:t>Cash Flow from Investing (net investing cash flow)</w:t>
      </w:r>
    </w:p>
    <w:p>
      <w:pPr>
        <w:pStyle w:val="BodyText"/>
        <w:numPr>
          <w:ilvl w:val="0"/>
          <w:numId w:val="185"/>
        </w:numPr>
        <w:tabs>
          <w:tab w:val="clear" w:pos="709"/>
          <w:tab w:val="left" w:pos="709" w:leader="none"/>
        </w:tabs>
        <w:bidi w:val="0"/>
        <w:ind w:hanging="283" w:start="709"/>
        <w:jc w:val="start"/>
        <w:rPr/>
      </w:pPr>
      <w:r>
        <w:rPr/>
        <w:t xml:space="preserve">Cash in/out as a result of the company's </w:t>
      </w:r>
      <w:r>
        <w:rPr>
          <w:b/>
        </w:rPr>
        <w:t>investment activities</w:t>
      </w:r>
      <w:r>
        <w:rPr/>
        <w:t>.</w:t>
      </w:r>
    </w:p>
    <w:p>
      <w:pPr>
        <w:pStyle w:val="BodyText"/>
        <w:numPr>
          <w:ilvl w:val="0"/>
          <w:numId w:val="185"/>
        </w:numPr>
        <w:tabs>
          <w:tab w:val="clear" w:pos="709"/>
          <w:tab w:val="left" w:pos="709" w:leader="none"/>
        </w:tabs>
        <w:bidi w:val="0"/>
        <w:ind w:hanging="283" w:start="709"/>
        <w:jc w:val="start"/>
        <w:rPr/>
      </w:pPr>
      <w:r>
        <w:rPr>
          <w:b/>
        </w:rPr>
        <w:t>Cash OUTFLOW (negative):</w:t>
      </w:r>
      <w:r>
        <w:rPr/>
        <w:t xml:space="preserve"> the company </w:t>
      </w:r>
      <w:r>
        <w:rPr>
          <w:b/>
        </w:rPr>
        <w:t>buys equipment, buys land, builds a plant</w:t>
      </w:r>
      <w:r>
        <w:rPr/>
        <w:t xml:space="preserve"> — this is </w:t>
      </w:r>
      <w:r>
        <w:rPr>
          <w:b/>
        </w:rPr>
        <w:t>capex (capital expenditures)</w:t>
      </w:r>
      <w:r>
        <w:rPr/>
        <w:t>.</w:t>
      </w:r>
    </w:p>
    <w:p>
      <w:pPr>
        <w:pStyle w:val="BodyText"/>
        <w:numPr>
          <w:ilvl w:val="0"/>
          <w:numId w:val="185"/>
        </w:numPr>
        <w:tabs>
          <w:tab w:val="clear" w:pos="709"/>
          <w:tab w:val="left" w:pos="709" w:leader="none"/>
        </w:tabs>
        <w:bidi w:val="0"/>
        <w:ind w:hanging="283" w:start="709"/>
        <w:jc w:val="start"/>
        <w:rPr/>
      </w:pPr>
      <w:r>
        <w:rPr>
          <w:b/>
        </w:rPr>
        <w:t>Cash INFLOW (positive):</w:t>
      </w:r>
      <w:r>
        <w:rPr/>
        <w:t xml:space="preserve"> the company </w:t>
      </w:r>
      <w:r>
        <w:rPr>
          <w:b/>
        </w:rPr>
        <w:t>sells a machine, sells equipment, sells an asset, sells shares it owns of other companies</w:t>
      </w:r>
      <w:r>
        <w:rPr/>
        <w:t>.</w:t>
      </w:r>
    </w:p>
    <w:p>
      <w:pPr>
        <w:pStyle w:val="BodyText"/>
        <w:numPr>
          <w:ilvl w:val="0"/>
          <w:numId w:val="185"/>
        </w:numPr>
        <w:tabs>
          <w:tab w:val="clear" w:pos="709"/>
          <w:tab w:val="left" w:pos="709" w:leader="none"/>
        </w:tabs>
        <w:bidi w:val="0"/>
        <w:ind w:hanging="283" w:start="709"/>
        <w:jc w:val="start"/>
        <w:rPr/>
      </w:pPr>
      <w:r>
        <w:rPr>
          <w:b/>
        </w:rPr>
        <w:t>Positive does NOT mean good and negative does NOT mean bad. It just tells you the company's investment activities.</w:t>
      </w:r>
    </w:p>
    <w:p>
      <w:pPr>
        <w:pStyle w:val="BodyText"/>
        <w:bidi w:val="0"/>
        <w:jc w:val="start"/>
        <w:rPr/>
      </w:pPr>
      <w:r>
        <w:rPr>
          <w:b/>
        </w:rPr>
        <w:t xml:space="preserve">③ </w:t>
      </w:r>
      <w:r>
        <w:rPr>
          <w:b/>
        </w:rPr>
        <w:t>Cash Flow from Financing (net financing cash flow)</w:t>
      </w:r>
    </w:p>
    <w:p>
      <w:pPr>
        <w:pStyle w:val="BodyText"/>
        <w:numPr>
          <w:ilvl w:val="0"/>
          <w:numId w:val="186"/>
        </w:numPr>
        <w:tabs>
          <w:tab w:val="clear" w:pos="709"/>
          <w:tab w:val="left" w:pos="709" w:leader="none"/>
        </w:tabs>
        <w:bidi w:val="0"/>
        <w:ind w:hanging="283" w:start="709"/>
        <w:jc w:val="start"/>
        <w:rPr/>
      </w:pPr>
      <w:r>
        <w:rPr/>
        <w:t xml:space="preserve">Cash in/out as a result of the company's </w:t>
      </w:r>
      <w:r>
        <w:rPr>
          <w:b/>
        </w:rPr>
        <w:t>financing activities</w:t>
      </w:r>
      <w:r>
        <w:rPr/>
        <w:t xml:space="preserve"> — i.e. </w:t>
      </w:r>
      <w:r>
        <w:rPr>
          <w:b/>
        </w:rPr>
        <w:t>raising money</w:t>
      </w:r>
      <w:r>
        <w:rPr/>
        <w:t xml:space="preserve">. A company can raise money two ways: </w:t>
      </w:r>
      <w:r>
        <w:rPr>
          <w:b/>
        </w:rPr>
        <w:t>borrowing</w:t>
      </w:r>
      <w:r>
        <w:rPr/>
        <w:t xml:space="preserve"> or </w:t>
      </w:r>
      <w:r>
        <w:rPr>
          <w:b/>
        </w:rPr>
        <w:t>selling equity</w:t>
      </w:r>
      <w:r>
        <w:rPr/>
        <w:t>.</w:t>
      </w:r>
    </w:p>
    <w:p>
      <w:pPr>
        <w:pStyle w:val="BodyText"/>
        <w:numPr>
          <w:ilvl w:val="0"/>
          <w:numId w:val="186"/>
        </w:numPr>
        <w:tabs>
          <w:tab w:val="clear" w:pos="709"/>
          <w:tab w:val="left" w:pos="709" w:leader="none"/>
        </w:tabs>
        <w:bidi w:val="0"/>
        <w:ind w:hanging="283" w:start="709"/>
        <w:jc w:val="start"/>
        <w:rPr/>
      </w:pPr>
      <w:r>
        <w:rPr>
          <w:b/>
        </w:rPr>
        <w:t>Cash INFLOW (positive):</w:t>
      </w:r>
      <w:r>
        <w:rPr/>
        <w:t xml:space="preserve"> borrowing money from the bank, </w:t>
      </w:r>
      <w:r>
        <w:rPr>
          <w:b/>
        </w:rPr>
        <w:t>selling bonds</w:t>
      </w:r>
      <w:r>
        <w:rPr/>
        <w:t xml:space="preserve">, or </w:t>
      </w:r>
      <w:r>
        <w:rPr>
          <w:b/>
        </w:rPr>
        <w:t>selling new shares through a rights issue</w:t>
      </w:r>
      <w:r>
        <w:rPr/>
        <w:t xml:space="preserve">. </w:t>
      </w:r>
      <w:r>
        <w:rPr>
          <w:i/>
        </w:rPr>
        <w:t>"Generally, positive means the company's raising money, either through debt or through equity — and that normally happens for new companies."</w:t>
      </w:r>
    </w:p>
    <w:p>
      <w:pPr>
        <w:pStyle w:val="BodyText"/>
        <w:numPr>
          <w:ilvl w:val="0"/>
          <w:numId w:val="186"/>
        </w:numPr>
        <w:tabs>
          <w:tab w:val="clear" w:pos="709"/>
          <w:tab w:val="left" w:pos="709" w:leader="none"/>
        </w:tabs>
        <w:bidi w:val="0"/>
        <w:ind w:hanging="283" w:start="709"/>
        <w:jc w:val="start"/>
        <w:rPr/>
      </w:pPr>
      <w:r>
        <w:rPr>
          <w:b/>
        </w:rPr>
        <w:t>Cash OUTFLOW (negative):</w:t>
      </w:r>
      <w:r>
        <w:rPr/>
        <w:t xml:space="preserve"> </w:t>
      </w:r>
      <w:r>
        <w:rPr>
          <w:b/>
        </w:rPr>
        <w:t>paying back bank loans</w:t>
      </w:r>
      <w:r>
        <w:rPr/>
        <w:t xml:space="preserve">, </w:t>
      </w:r>
      <w:r>
        <w:rPr>
          <w:b/>
        </w:rPr>
        <w:t>buying back shares</w:t>
      </w:r>
      <w:r>
        <w:rPr/>
        <w:t xml:space="preserve">, </w:t>
      </w:r>
      <w:r>
        <w:rPr>
          <w:b/>
        </w:rPr>
        <w:t>paying dividends</w:t>
      </w:r>
      <w:r>
        <w:rPr/>
        <w:t>.</w:t>
      </w:r>
    </w:p>
    <w:p>
      <w:pPr>
        <w:pStyle w:val="BodyText"/>
        <w:numPr>
          <w:ilvl w:val="0"/>
          <w:numId w:val="186"/>
        </w:numPr>
        <w:tabs>
          <w:tab w:val="clear" w:pos="709"/>
          <w:tab w:val="left" w:pos="709" w:leader="none"/>
        </w:tabs>
        <w:bidi w:val="0"/>
        <w:ind w:hanging="283" w:start="709"/>
        <w:jc w:val="start"/>
        <w:rPr/>
      </w:pPr>
      <w:r>
        <w:rPr>
          <w:b/>
        </w:rPr>
        <w:t>Again, positive is not good and negative is not bad.</w:t>
      </w:r>
      <w:r>
        <w:rPr/>
        <w:t xml:space="preserve"> Mature, big, profitable companies (</w:t>
      </w:r>
      <w:r>
        <w:rPr>
          <w:b/>
        </w:rPr>
        <w:t>Microsoft, Google, Nvidia</w:t>
      </w:r>
      <w:r>
        <w:rPr/>
        <w:t xml:space="preserve">) don't need to raise money — so their financing line is </w:t>
      </w:r>
      <w:r>
        <w:rPr>
          <w:b/>
        </w:rPr>
        <w:t>negative because they are buying back shares and paying dividends</w:t>
      </w:r>
      <w:r>
        <w:rPr/>
        <w:t xml:space="preserve">, which </w:t>
      </w:r>
      <w:r>
        <w:rPr>
          <w:b/>
        </w:rPr>
        <w:t>is good for us as shareholders.</w:t>
      </w:r>
    </w:p>
    <w:p>
      <w:pPr>
        <w:pStyle w:val="BlockQuotation"/>
        <w:bidi w:val="0"/>
        <w:jc w:val="start"/>
        <w:rPr/>
      </w:pPr>
      <w:r>
        <w:rPr>
          <w:b/>
        </w:rPr>
        <w:t>Summary of signs:</w:t>
      </w:r>
      <w:r>
        <w:rPr/>
        <w:t xml:space="preserve"> </w:t>
      </w:r>
      <w:r>
        <w:rPr>
          <w:i/>
        </w:rPr>
        <w:t>"For the second and third section, positive and negative is not good or bad — it just tells you how money's moving. But the first one has to be positive, and it has to be increasing over the last five years."</w:t>
      </w:r>
    </w:p>
    <w:p>
      <w:pPr>
        <w:pStyle w:val="Heading4"/>
        <w:bidi w:val="0"/>
        <w:ind w:hanging="0" w:start="0"/>
        <w:jc w:val="start"/>
        <w:rPr/>
      </w:pPr>
      <w:r>
        <w:rPr/>
        <w:t>4.3 Free Cash Flow</w:t>
      </w:r>
    </w:p>
    <w:p>
      <w:pPr>
        <w:pStyle w:val="PreformattedText"/>
        <w:shd w:fill="E1E1E1" w:val="clear"/>
        <w:bidi w:val="0"/>
        <w:spacing w:before="0" w:after="283"/>
        <w:jc w:val="start"/>
        <w:rPr/>
      </w:pPr>
      <w:r>
        <w:rPr/>
        <w:t>Free Cash Flow (FCF) = Net Operating Cash Flow (OCF) − Capital Expenditures (Capex)</w:t>
      </w:r>
    </w:p>
    <w:p>
      <w:pPr>
        <w:pStyle w:val="BodyText"/>
        <w:numPr>
          <w:ilvl w:val="0"/>
          <w:numId w:val="187"/>
        </w:numPr>
        <w:tabs>
          <w:tab w:val="clear" w:pos="709"/>
          <w:tab w:val="left" w:pos="709" w:leader="none"/>
        </w:tabs>
        <w:bidi w:val="0"/>
        <w:ind w:hanging="283" w:start="709"/>
        <w:jc w:val="start"/>
        <w:rPr/>
      </w:pPr>
      <w:r>
        <w:rPr/>
        <w:t xml:space="preserve">Capex sits inside the </w:t>
      </w:r>
      <w:r>
        <w:rPr>
          <w:b/>
        </w:rPr>
        <w:t>cash flow from investing</w:t>
      </w:r>
      <w:r>
        <w:rPr/>
        <w:t xml:space="preserve"> section. FCF is already </w:t>
      </w:r>
      <w:r>
        <w:rPr>
          <w:b/>
        </w:rPr>
        <w:t>pre-calculated at the bottom of the cash flow statement</w:t>
      </w:r>
      <w:r>
        <w:rPr/>
        <w:t xml:space="preserve"> on StockOracle.</w:t>
      </w:r>
    </w:p>
    <w:p>
      <w:pPr>
        <w:pStyle w:val="BodyText"/>
        <w:numPr>
          <w:ilvl w:val="0"/>
          <w:numId w:val="187"/>
        </w:numPr>
        <w:tabs>
          <w:tab w:val="clear" w:pos="709"/>
          <w:tab w:val="left" w:pos="709" w:leader="none"/>
        </w:tabs>
        <w:bidi w:val="0"/>
        <w:ind w:hanging="283" w:start="709"/>
        <w:jc w:val="start"/>
        <w:rPr/>
      </w:pPr>
      <w:r>
        <w:rPr>
          <w:b/>
        </w:rPr>
        <w:t>RULE: free cash flow must be CONSISTENTLY POSITIVE.</w:t>
      </w:r>
      <w:r>
        <w:rPr/>
        <w:t xml:space="preserve"> Ideally </w:t>
      </w:r>
      <w:r>
        <w:rPr>
          <w:b/>
        </w:rPr>
        <w:t>also increasing consistently.</w:t>
      </w:r>
    </w:p>
    <w:p>
      <w:pPr>
        <w:pStyle w:val="BodyText"/>
        <w:numPr>
          <w:ilvl w:val="0"/>
          <w:numId w:val="187"/>
        </w:numPr>
        <w:tabs>
          <w:tab w:val="clear" w:pos="709"/>
          <w:tab w:val="left" w:pos="709" w:leader="none"/>
        </w:tabs>
        <w:bidi w:val="0"/>
        <w:spacing w:before="0" w:after="0"/>
        <w:ind w:hanging="283" w:start="709"/>
        <w:jc w:val="start"/>
        <w:rPr/>
      </w:pPr>
      <w:r>
        <w:rPr>
          <w:b/>
        </w:rPr>
        <w:t>When FCF is positive, the company can:</w:t>
      </w:r>
    </w:p>
    <w:p>
      <w:pPr>
        <w:pStyle w:val="BodyText"/>
        <w:numPr>
          <w:ilvl w:val="1"/>
          <w:numId w:val="187"/>
        </w:numPr>
        <w:tabs>
          <w:tab w:val="clear" w:pos="709"/>
          <w:tab w:val="left" w:pos="1418" w:leader="none"/>
        </w:tabs>
        <w:bidi w:val="0"/>
        <w:ind w:hanging="283" w:start="1418"/>
        <w:jc w:val="start"/>
        <w:rPr/>
      </w:pPr>
      <w:r>
        <w:rPr>
          <w:b/>
        </w:rPr>
        <w:t>Pay dividends</w:t>
      </w:r>
      <w:r>
        <w:rPr/>
        <w:t xml:space="preserve"> (which we like as shareholders)</w:t>
      </w:r>
    </w:p>
    <w:p>
      <w:pPr>
        <w:pStyle w:val="BodyText"/>
        <w:numPr>
          <w:ilvl w:val="1"/>
          <w:numId w:val="187"/>
        </w:numPr>
        <w:tabs>
          <w:tab w:val="clear" w:pos="709"/>
          <w:tab w:val="left" w:pos="1418" w:leader="none"/>
        </w:tabs>
        <w:bidi w:val="0"/>
        <w:ind w:hanging="283" w:start="1418"/>
        <w:jc w:val="start"/>
        <w:rPr/>
      </w:pPr>
      <w:r>
        <w:rPr>
          <w:b/>
        </w:rPr>
        <w:t>Buy back shares</w:t>
      </w:r>
      <w:r>
        <w:rPr/>
        <w:t xml:space="preserve"> (which we like as shareholders)</w:t>
      </w:r>
    </w:p>
    <w:p>
      <w:pPr>
        <w:pStyle w:val="BodyText"/>
        <w:numPr>
          <w:ilvl w:val="1"/>
          <w:numId w:val="187"/>
        </w:numPr>
        <w:tabs>
          <w:tab w:val="clear" w:pos="709"/>
          <w:tab w:val="left" w:pos="1418" w:leader="none"/>
        </w:tabs>
        <w:bidi w:val="0"/>
        <w:ind w:hanging="283" w:start="1418"/>
        <w:jc w:val="start"/>
        <w:rPr/>
      </w:pPr>
      <w:r>
        <w:rPr>
          <w:b/>
        </w:rPr>
        <w:t>Keep the money as retained earnings</w:t>
      </w:r>
    </w:p>
    <w:p>
      <w:pPr>
        <w:pStyle w:val="BodyText"/>
        <w:numPr>
          <w:ilvl w:val="1"/>
          <w:numId w:val="187"/>
        </w:numPr>
        <w:tabs>
          <w:tab w:val="clear" w:pos="709"/>
          <w:tab w:val="left" w:pos="1418" w:leader="none"/>
        </w:tabs>
        <w:bidi w:val="0"/>
        <w:ind w:hanging="283" w:start="1418"/>
        <w:jc w:val="start"/>
        <w:rPr/>
      </w:pPr>
      <w:r>
        <w:rPr>
          <w:b/>
        </w:rPr>
        <w:t>Pay off debt</w:t>
      </w:r>
    </w:p>
    <w:p>
      <w:pPr>
        <w:pStyle w:val="BodyText"/>
        <w:numPr>
          <w:ilvl w:val="0"/>
          <w:numId w:val="187"/>
        </w:numPr>
        <w:tabs>
          <w:tab w:val="clear" w:pos="709"/>
          <w:tab w:val="left" w:pos="709" w:leader="none"/>
        </w:tabs>
        <w:bidi w:val="0"/>
        <w:ind w:hanging="283" w:start="709"/>
        <w:jc w:val="start"/>
        <w:rPr/>
      </w:pPr>
      <w:r>
        <w:rPr>
          <w:b/>
        </w:rPr>
        <w:t>Negative FCF for one year or two years, once in a while, is OK.</w:t>
      </w:r>
    </w:p>
    <w:p>
      <w:pPr>
        <w:pStyle w:val="BodyText"/>
        <w:numPr>
          <w:ilvl w:val="0"/>
          <w:numId w:val="187"/>
        </w:numPr>
        <w:tabs>
          <w:tab w:val="clear" w:pos="709"/>
          <w:tab w:val="left" w:pos="709" w:leader="none"/>
        </w:tabs>
        <w:bidi w:val="0"/>
        <w:ind w:hanging="283" w:start="709"/>
        <w:jc w:val="start"/>
        <w:rPr/>
      </w:pPr>
      <w:r>
        <w:rPr>
          <w:b/>
        </w:rPr>
        <w:t>But consistently negative FCF for two or three years in a row is very dangerous:</w:t>
      </w:r>
      <w:r>
        <w:rPr/>
        <w:t xml:space="preserve"> more cash is going out than coming in, </w:t>
      </w:r>
      <w:r>
        <w:rPr>
          <w:b/>
        </w:rPr>
        <w:t>the company will eventually run out of cash</w:t>
      </w:r>
      <w:r>
        <w:rPr/>
        <w:t xml:space="preserve">, and it is then </w:t>
      </w:r>
      <w:r>
        <w:rPr>
          <w:b/>
        </w:rPr>
        <w:t>forced to raise cash — sell more shares (diluting shareholders), take more bank loans, or sell more bonds (increasing debt).</w:t>
      </w:r>
      <w:r>
        <w:rPr/>
        <w:t xml:space="preserve"> </w:t>
      </w:r>
      <w:r>
        <w:rPr>
          <w:i/>
        </w:rPr>
        <w:t>"That's a lousy business."</w:t>
      </w:r>
    </w:p>
    <w:p>
      <w:pPr>
        <w:pStyle w:val="Heading4"/>
        <w:numPr>
          <w:ilvl w:val="0"/>
          <w:numId w:val="0"/>
        </w:numPr>
        <w:bidi w:val="0"/>
        <w:ind w:hanging="0" w:start="0"/>
        <w:jc w:val="start"/>
        <w:rPr/>
      </w:pPr>
      <w:r>
        <w:rPr/>
        <w:t>4.4 ⚠️ The AI capex exception (recorded 2026)</w:t>
      </w:r>
    </w:p>
    <w:p>
      <w:pPr>
        <w:pStyle w:val="BodyText"/>
        <w:numPr>
          <w:ilvl w:val="0"/>
          <w:numId w:val="188"/>
        </w:numPr>
        <w:tabs>
          <w:tab w:val="clear" w:pos="709"/>
          <w:tab w:val="left" w:pos="709" w:leader="none"/>
        </w:tabs>
        <w:bidi w:val="0"/>
        <w:ind w:hanging="283" w:start="709"/>
        <w:jc w:val="start"/>
        <w:rPr/>
      </w:pPr>
      <w:r>
        <w:rPr>
          <w:b/>
        </w:rPr>
        <w:t>Microsoft, Google, Meta Platforms and Nvidia</w:t>
      </w:r>
      <w:r>
        <w:rPr/>
        <w:t xml:space="preserve"> have been </w:t>
      </w:r>
      <w:r>
        <w:rPr>
          <w:b/>
        </w:rPr>
        <w:t>investing very heavily into AI data centers</w:t>
      </w:r>
      <w:r>
        <w:rPr/>
        <w:t xml:space="preserve">, spending </w:t>
      </w:r>
      <w:r>
        <w:rPr>
          <w:b/>
        </w:rPr>
        <w:t>billions and billions</w:t>
      </w:r>
      <w:r>
        <w:rPr/>
        <w:t xml:space="preserve"> to build AI capability.</w:t>
      </w:r>
    </w:p>
    <w:p>
      <w:pPr>
        <w:pStyle w:val="BodyText"/>
        <w:numPr>
          <w:ilvl w:val="0"/>
          <w:numId w:val="188"/>
        </w:numPr>
        <w:tabs>
          <w:tab w:val="clear" w:pos="709"/>
          <w:tab w:val="left" w:pos="709" w:leader="none"/>
        </w:tabs>
        <w:bidi w:val="0"/>
        <w:ind w:hanging="283" w:start="709"/>
        <w:jc w:val="start"/>
        <w:rPr/>
      </w:pPr>
      <w:r>
        <w:rPr/>
        <w:t xml:space="preserve">Since </w:t>
      </w:r>
      <w:r>
        <w:rPr>
          <w:b/>
        </w:rPr>
        <w:t>FCF = OCF − capex</w:t>
      </w:r>
      <w:r>
        <w:rPr/>
        <w:t xml:space="preserve">, the </w:t>
      </w:r>
      <w:r>
        <w:rPr>
          <w:b/>
        </w:rPr>
        <w:t>capex spike has caused their free cash flow to fall.</w:t>
      </w:r>
      <w:r>
        <w:rPr/>
        <w:t xml:space="preserve"> </w:t>
      </w:r>
      <w:r>
        <w:rPr>
          <w:b/>
        </w:rPr>
        <w:t>Their FCF is still positive</w:t>
      </w:r>
      <w:r>
        <w:rPr/>
        <w:t>, just lower.</w:t>
      </w:r>
    </w:p>
    <w:p>
      <w:pPr>
        <w:pStyle w:val="BodyText"/>
        <w:numPr>
          <w:ilvl w:val="0"/>
          <w:numId w:val="188"/>
        </w:numPr>
        <w:tabs>
          <w:tab w:val="clear" w:pos="709"/>
          <w:tab w:val="left" w:pos="709" w:leader="none"/>
        </w:tabs>
        <w:bidi w:val="0"/>
        <w:spacing w:before="0" w:after="0"/>
        <w:ind w:hanging="283" w:start="709"/>
        <w:jc w:val="start"/>
        <w:rPr/>
      </w:pPr>
      <w:r>
        <w:rPr>
          <w:b/>
        </w:rPr>
        <w:t>Adam is not concerned, for two reasons:</w:t>
      </w:r>
    </w:p>
    <w:p>
      <w:pPr>
        <w:pStyle w:val="BodyText"/>
        <w:numPr>
          <w:ilvl w:val="1"/>
          <w:numId w:val="188"/>
        </w:numPr>
        <w:tabs>
          <w:tab w:val="clear" w:pos="709"/>
          <w:tab w:val="left" w:pos="1418" w:leader="none"/>
        </w:tabs>
        <w:bidi w:val="0"/>
        <w:ind w:hanging="283" w:start="1418"/>
        <w:jc w:val="start"/>
        <w:rPr/>
      </w:pPr>
      <w:r>
        <w:rPr>
          <w:b/>
        </w:rPr>
        <w:t>The increased capex will lead to higher future growth and will further strengthen their economic moat.</w:t>
      </w:r>
    </w:p>
    <w:p>
      <w:pPr>
        <w:pStyle w:val="BodyText"/>
        <w:numPr>
          <w:ilvl w:val="1"/>
          <w:numId w:val="188"/>
        </w:numPr>
        <w:tabs>
          <w:tab w:val="clear" w:pos="709"/>
          <w:tab w:val="left" w:pos="1418" w:leader="none"/>
        </w:tabs>
        <w:bidi w:val="0"/>
        <w:ind w:hanging="283" w:start="1418"/>
        <w:jc w:val="start"/>
        <w:rPr/>
      </w:pPr>
      <w:r>
        <w:rPr>
          <w:b/>
        </w:rPr>
        <w:t>The increase in capex is temporary</w:t>
      </w:r>
      <w:r>
        <w:rPr/>
        <w:t xml:space="preserve"> — it is a burst of massive AI investment that </w:t>
      </w:r>
      <w:r>
        <w:rPr>
          <w:b/>
        </w:rPr>
        <w:t>will take maybe two, three, four years</w:t>
      </w:r>
      <w:r>
        <w:rPr/>
        <w:t xml:space="preserve">, after which </w:t>
      </w:r>
      <w:r>
        <w:rPr>
          <w:b/>
        </w:rPr>
        <w:t>capex drops and free cash flow goes back up.</w:t>
      </w:r>
    </w:p>
    <w:p>
      <w:pPr>
        <w:pStyle w:val="BodyText"/>
        <w:numPr>
          <w:ilvl w:val="0"/>
          <w:numId w:val="188"/>
        </w:numPr>
        <w:tabs>
          <w:tab w:val="clear" w:pos="709"/>
          <w:tab w:val="left" w:pos="709" w:leader="none"/>
        </w:tabs>
        <w:bidi w:val="0"/>
        <w:spacing w:before="0" w:after="0"/>
        <w:ind w:hanging="283" w:start="709"/>
        <w:jc w:val="start"/>
        <w:rPr/>
      </w:pPr>
      <w:r>
        <w:rPr>
          <w:b/>
        </w:rPr>
        <w:t>The diagnostic rule:</w:t>
      </w:r>
    </w:p>
    <w:p>
      <w:pPr>
        <w:pStyle w:val="BodyText"/>
        <w:numPr>
          <w:ilvl w:val="1"/>
          <w:numId w:val="188"/>
        </w:numPr>
        <w:tabs>
          <w:tab w:val="clear" w:pos="709"/>
          <w:tab w:val="left" w:pos="1418" w:leader="none"/>
        </w:tabs>
        <w:bidi w:val="0"/>
        <w:ind w:hanging="283" w:start="1418"/>
        <w:jc w:val="start"/>
        <w:rPr/>
      </w:pPr>
      <w:r>
        <w:rPr>
          <w:b/>
        </w:rPr>
        <w:t>FCF fell because OPERATING cash flow fell → that IS a cause for concern.</w:t>
      </w:r>
    </w:p>
    <w:p>
      <w:pPr>
        <w:pStyle w:val="BodyText"/>
        <w:numPr>
          <w:ilvl w:val="1"/>
          <w:numId w:val="188"/>
        </w:numPr>
        <w:tabs>
          <w:tab w:val="clear" w:pos="709"/>
          <w:tab w:val="left" w:pos="1418" w:leader="none"/>
        </w:tabs>
        <w:bidi w:val="0"/>
        <w:ind w:hanging="283" w:start="1418"/>
        <w:jc w:val="start"/>
        <w:rPr/>
      </w:pPr>
      <w:r>
        <w:rPr>
          <w:b/>
        </w:rPr>
        <w:t>FCF fell because CAPEX rose temporarily while operating cash flow is still going up (investing for future growth) → that is fine.</w:t>
      </w:r>
    </w:p>
    <w:p>
      <w:pPr>
        <w:pStyle w:val="Heading4"/>
        <w:numPr>
          <w:ilvl w:val="0"/>
          <w:numId w:val="0"/>
        </w:numPr>
        <w:bidi w:val="0"/>
        <w:ind w:hanging="0" w:start="0"/>
        <w:jc w:val="start"/>
        <w:rPr/>
      </w:pPr>
      <w:r>
        <w:rPr/>
        <w:t>4.5 Worked examples</w:t>
      </w:r>
    </w:p>
    <w:p>
      <w:pPr>
        <w:pStyle w:val="BodyText"/>
        <w:bidi w:val="0"/>
        <w:jc w:val="start"/>
        <w:rPr/>
      </w:pPr>
      <w:r>
        <w:rPr>
          <w:b/>
        </w:rPr>
        <w:t>Alphabet / Google — HIGH QUALITY (StockOracle → Financials → cash flow statement, annual)</w:t>
      </w:r>
    </w:p>
    <w:p>
      <w:pPr>
        <w:pStyle w:val="BodyText"/>
        <w:numPr>
          <w:ilvl w:val="0"/>
          <w:numId w:val="189"/>
        </w:numPr>
        <w:tabs>
          <w:tab w:val="clear" w:pos="709"/>
          <w:tab w:val="left" w:pos="709" w:leader="none"/>
        </w:tabs>
        <w:bidi w:val="0"/>
        <w:ind w:hanging="283" w:start="709"/>
        <w:jc w:val="start"/>
        <w:rPr/>
      </w:pPr>
      <w:r>
        <w:rPr/>
        <w:t xml:space="preserve">Last financial year ended </w:t>
      </w:r>
      <w:r>
        <w:rPr>
          <w:b/>
        </w:rPr>
        <w:t>31 December 2025</w:t>
      </w:r>
      <w:r>
        <w:rPr/>
        <w:t>; TTM happened to coincide exactly with the last financial year.</w:t>
      </w:r>
    </w:p>
    <w:p>
      <w:pPr>
        <w:pStyle w:val="BodyText"/>
        <w:numPr>
          <w:ilvl w:val="0"/>
          <w:numId w:val="189"/>
        </w:numPr>
        <w:tabs>
          <w:tab w:val="clear" w:pos="709"/>
          <w:tab w:val="left" w:pos="709" w:leader="none"/>
        </w:tabs>
        <w:bidi w:val="0"/>
        <w:ind w:hanging="283" w:start="709"/>
        <w:jc w:val="start"/>
        <w:rPr/>
      </w:pPr>
      <w:r>
        <w:rPr>
          <w:b/>
        </w:rPr>
        <w:t>Net operating cash flow (TTM): 164,713 million.</w:t>
      </w:r>
    </w:p>
    <w:p>
      <w:pPr>
        <w:pStyle w:val="BodyText"/>
        <w:numPr>
          <w:ilvl w:val="0"/>
          <w:numId w:val="189"/>
        </w:numPr>
        <w:tabs>
          <w:tab w:val="clear" w:pos="709"/>
          <w:tab w:val="left" w:pos="709" w:leader="none"/>
        </w:tabs>
        <w:bidi w:val="0"/>
        <w:ind w:hanging="283" w:start="709"/>
        <w:jc w:val="start"/>
        <w:rPr/>
      </w:pPr>
      <w:r>
        <w:rPr/>
        <w:t xml:space="preserve">OCF series: </w:t>
      </w:r>
      <w:r>
        <w:rPr>
          <w:b/>
        </w:rPr>
        <w:t>$54 billion → $65B → $91B → $91B (slight drop) → $101B → $125B → $164B.</w:t>
      </w:r>
      <w:r>
        <w:rPr/>
        <w:t xml:space="preserve"> </w:t>
      </w:r>
      <w:r>
        <w:rPr>
          <w:i/>
        </w:rPr>
        <w:t>"Do you generally see an uptrend? … The answer is yes. That's a high quality business."</w:t>
      </w:r>
    </w:p>
    <w:p>
      <w:pPr>
        <w:pStyle w:val="BodyText"/>
        <w:numPr>
          <w:ilvl w:val="0"/>
          <w:numId w:val="189"/>
        </w:numPr>
        <w:tabs>
          <w:tab w:val="clear" w:pos="709"/>
          <w:tab w:val="left" w:pos="709" w:leader="none"/>
        </w:tabs>
        <w:bidi w:val="0"/>
        <w:ind w:hanging="283" w:start="709"/>
        <w:jc w:val="start"/>
        <w:rPr/>
      </w:pPr>
      <w:r>
        <w:rPr>
          <w:b/>
        </w:rPr>
        <w:t>Net cash flow from investing:</w:t>
      </w:r>
      <w:r>
        <w:rPr/>
        <w:t xml:space="preserve"> negative every year; last 12 months </w:t>
      </w:r>
      <w:r>
        <w:rPr>
          <w:b/>
        </w:rPr>
        <w:t>−120,000 million (−$120 billion)</w:t>
      </w:r>
      <w:r>
        <w:rPr/>
        <w:t xml:space="preserve"> — simply means the company </w:t>
      </w:r>
      <w:r>
        <w:rPr>
          <w:b/>
        </w:rPr>
        <w:t>is making investments</w:t>
      </w:r>
      <w:r>
        <w:rPr/>
        <w:t>, not bad.</w:t>
      </w:r>
    </w:p>
    <w:p>
      <w:pPr>
        <w:pStyle w:val="BodyText"/>
        <w:numPr>
          <w:ilvl w:val="0"/>
          <w:numId w:val="189"/>
        </w:numPr>
        <w:tabs>
          <w:tab w:val="clear" w:pos="709"/>
          <w:tab w:val="left" w:pos="709" w:leader="none"/>
        </w:tabs>
        <w:bidi w:val="0"/>
        <w:ind w:hanging="283" w:start="709"/>
        <w:jc w:val="start"/>
        <w:rPr/>
      </w:pPr>
      <w:r>
        <w:rPr>
          <w:b/>
        </w:rPr>
        <w:t>Net cash flow from financing:</w:t>
      </w:r>
      <w:r>
        <w:rPr/>
        <w:t xml:space="preserve"> negative every year — </w:t>
      </w:r>
      <w:r>
        <w:rPr>
          <w:b/>
        </w:rPr>
        <w:t>Google is buying back shares and paying dividends.</w:t>
      </w:r>
      <w:r>
        <w:rPr/>
        <w:t xml:space="preserve"> Good for shareholders.</w:t>
      </w:r>
    </w:p>
    <w:p>
      <w:pPr>
        <w:pStyle w:val="BodyText"/>
        <w:numPr>
          <w:ilvl w:val="0"/>
          <w:numId w:val="189"/>
        </w:numPr>
        <w:tabs>
          <w:tab w:val="clear" w:pos="709"/>
          <w:tab w:val="left" w:pos="709" w:leader="none"/>
        </w:tabs>
        <w:bidi w:val="0"/>
        <w:ind w:hanging="283" w:start="709"/>
        <w:jc w:val="start"/>
        <w:rPr/>
      </w:pPr>
      <w:r>
        <w:rPr>
          <w:b/>
        </w:rPr>
        <w:t>Free cash flow:</w:t>
      </w:r>
      <w:r>
        <w:rPr/>
        <w:t xml:space="preserve"> positive, positive, positive — and rising. On the Pro-account chart: </w:t>
      </w:r>
      <w:r>
        <w:rPr>
          <w:b/>
        </w:rPr>
        <w:t>operating cash flow (orange) rising consistently; free cash flow (dark green) rising consistently and positive.</w:t>
      </w:r>
      <w:r>
        <w:rPr/>
        <w:t xml:space="preserve"> </w:t>
      </w:r>
      <w:r>
        <w:rPr>
          <w:i/>
        </w:rPr>
        <w:t>"That is what we want to see. That is a high quality business."</w:t>
      </w:r>
    </w:p>
    <w:p>
      <w:pPr>
        <w:pStyle w:val="BodyText"/>
        <w:bidi w:val="0"/>
        <w:jc w:val="start"/>
        <w:rPr/>
      </w:pPr>
      <w:r>
        <w:rPr>
          <w:b/>
        </w:rPr>
        <w:t>Intel (INTC) — NOT high quality</w:t>
      </w:r>
    </w:p>
    <w:p>
      <w:pPr>
        <w:pStyle w:val="BodyText"/>
        <w:numPr>
          <w:ilvl w:val="0"/>
          <w:numId w:val="190"/>
        </w:numPr>
        <w:tabs>
          <w:tab w:val="clear" w:pos="709"/>
          <w:tab w:val="left" w:pos="709" w:leader="none"/>
        </w:tabs>
        <w:bidi w:val="0"/>
        <w:ind w:hanging="283" w:start="709"/>
        <w:jc w:val="start"/>
        <w:rPr/>
      </w:pPr>
      <w:r>
        <w:rPr/>
        <w:t xml:space="preserve">Semiconductor company. </w:t>
      </w:r>
      <w:r>
        <w:rPr>
          <w:i/>
        </w:rPr>
        <w:t>"Not all semiconductor companies are high quality."</w:t>
      </w:r>
    </w:p>
    <w:p>
      <w:pPr>
        <w:pStyle w:val="BodyText"/>
        <w:numPr>
          <w:ilvl w:val="0"/>
          <w:numId w:val="190"/>
        </w:numPr>
        <w:tabs>
          <w:tab w:val="clear" w:pos="709"/>
          <w:tab w:val="left" w:pos="709" w:leader="none"/>
        </w:tabs>
        <w:bidi w:val="0"/>
        <w:ind w:hanging="283" w:start="709"/>
        <w:jc w:val="start"/>
        <w:rPr/>
      </w:pPr>
      <w:r>
        <w:rPr>
          <w:b/>
        </w:rPr>
        <w:t>Operating cash flow increased from 2017 to 2020, then dropped and went sideways after 2020.</w:t>
      </w:r>
      <w:r>
        <w:rPr/>
        <w:t xml:space="preserve"> </w:t>
      </w:r>
      <w:r>
        <w:rPr>
          <w:i/>
        </w:rPr>
        <w:t>"This is not what I like to see."</w:t>
      </w:r>
    </w:p>
    <w:p>
      <w:pPr>
        <w:pStyle w:val="BodyText"/>
        <w:numPr>
          <w:ilvl w:val="0"/>
          <w:numId w:val="190"/>
        </w:numPr>
        <w:tabs>
          <w:tab w:val="clear" w:pos="709"/>
          <w:tab w:val="left" w:pos="709" w:leader="none"/>
        </w:tabs>
        <w:bidi w:val="0"/>
        <w:ind w:hanging="283" w:start="709"/>
        <w:jc w:val="start"/>
        <w:rPr/>
      </w:pPr>
      <w:r>
        <w:rPr>
          <w:b/>
        </w:rPr>
        <w:t>Free cash flow rose, then decreased, then turned negative — five years of negative free cash flow.</w:t>
      </w:r>
      <w:r>
        <w:rPr/>
        <w:t xml:space="preserve"> </w:t>
      </w:r>
      <w:r>
        <w:rPr>
          <w:i/>
        </w:rPr>
        <w:t>"For me, I won't touch this kind of business."</w:t>
      </w:r>
    </w:p>
    <w:p>
      <w:pPr>
        <w:pStyle w:val="BodyText"/>
        <w:bidi w:val="0"/>
        <w:jc w:val="start"/>
        <w:rPr/>
      </w:pPr>
      <w:r>
        <w:rPr>
          <w:b/>
        </w:rPr>
        <w:t>Singapore Airlines — NOT investable (despite being a great airline)</w:t>
      </w:r>
    </w:p>
    <w:p>
      <w:pPr>
        <w:pStyle w:val="BodyText"/>
        <w:numPr>
          <w:ilvl w:val="0"/>
          <w:numId w:val="191"/>
        </w:numPr>
        <w:tabs>
          <w:tab w:val="clear" w:pos="709"/>
          <w:tab w:val="left" w:pos="709" w:leader="none"/>
        </w:tabs>
        <w:bidi w:val="0"/>
        <w:ind w:hanging="283" w:start="709"/>
        <w:jc w:val="start"/>
        <w:rPr/>
      </w:pPr>
      <w:r>
        <w:rPr>
          <w:i/>
        </w:rPr>
        <w:t>"Singapore Airlines to me is one of the best airlines in the world. But would I buy the shares? No."</w:t>
      </w:r>
    </w:p>
    <w:p>
      <w:pPr>
        <w:pStyle w:val="BodyText"/>
        <w:numPr>
          <w:ilvl w:val="0"/>
          <w:numId w:val="191"/>
        </w:numPr>
        <w:tabs>
          <w:tab w:val="clear" w:pos="709"/>
          <w:tab w:val="left" w:pos="709" w:leader="none"/>
        </w:tabs>
        <w:bidi w:val="0"/>
        <w:spacing w:before="0" w:after="0"/>
        <w:ind w:hanging="283" w:start="709"/>
        <w:jc w:val="start"/>
        <w:rPr/>
      </w:pPr>
      <w:r>
        <w:rPr>
          <w:b/>
        </w:rPr>
        <w:t>Why all airlines are avoided:</w:t>
      </w:r>
    </w:p>
    <w:p>
      <w:pPr>
        <w:pStyle w:val="BodyText"/>
        <w:numPr>
          <w:ilvl w:val="1"/>
          <w:numId w:val="191"/>
        </w:numPr>
        <w:tabs>
          <w:tab w:val="clear" w:pos="709"/>
          <w:tab w:val="left" w:pos="1418" w:leader="none"/>
        </w:tabs>
        <w:bidi w:val="0"/>
        <w:ind w:hanging="283" w:start="1418"/>
        <w:jc w:val="start"/>
        <w:rPr/>
      </w:pPr>
      <w:r>
        <w:rPr/>
        <w:t xml:space="preserve">Very, very </w:t>
      </w:r>
      <w:r>
        <w:rPr>
          <w:b/>
        </w:rPr>
        <w:t>cyclical</w:t>
      </w:r>
      <w:r>
        <w:rPr/>
        <w:t xml:space="preserve"> — depends heavily on </w:t>
      </w:r>
      <w:r>
        <w:rPr>
          <w:b/>
        </w:rPr>
        <w:t>tourism and the economy</w:t>
      </w:r>
    </w:p>
    <w:p>
      <w:pPr>
        <w:pStyle w:val="BodyText"/>
        <w:numPr>
          <w:ilvl w:val="1"/>
          <w:numId w:val="191"/>
        </w:numPr>
        <w:tabs>
          <w:tab w:val="clear" w:pos="709"/>
          <w:tab w:val="left" w:pos="1418" w:leader="none"/>
        </w:tabs>
        <w:bidi w:val="0"/>
        <w:ind w:hanging="283" w:start="1418"/>
        <w:jc w:val="start"/>
        <w:rPr/>
      </w:pPr>
      <w:r>
        <w:rPr>
          <w:b/>
        </w:rPr>
        <w:t>Very high maintenance capex</w:t>
      </w:r>
      <w:r>
        <w:rPr/>
        <w:t xml:space="preserve"> — refurbishing and repairing planes, buying new planes</w:t>
      </w:r>
    </w:p>
    <w:p>
      <w:pPr>
        <w:pStyle w:val="BodyText"/>
        <w:numPr>
          <w:ilvl w:val="1"/>
          <w:numId w:val="191"/>
        </w:numPr>
        <w:tabs>
          <w:tab w:val="clear" w:pos="709"/>
          <w:tab w:val="left" w:pos="1418" w:leader="none"/>
        </w:tabs>
        <w:bidi w:val="0"/>
        <w:ind w:hanging="283" w:start="1418"/>
        <w:jc w:val="start"/>
        <w:rPr/>
      </w:pPr>
      <w:r>
        <w:rPr>
          <w:b/>
        </w:rPr>
        <w:t>High fuel costs</w:t>
      </w:r>
    </w:p>
    <w:p>
      <w:pPr>
        <w:pStyle w:val="BodyText"/>
        <w:numPr>
          <w:ilvl w:val="1"/>
          <w:numId w:val="191"/>
        </w:numPr>
        <w:tabs>
          <w:tab w:val="clear" w:pos="709"/>
          <w:tab w:val="left" w:pos="1418" w:leader="none"/>
        </w:tabs>
        <w:bidi w:val="0"/>
        <w:ind w:hanging="283" w:start="1418"/>
        <w:jc w:val="start"/>
        <w:rPr/>
      </w:pPr>
      <w:r>
        <w:rPr>
          <w:b/>
        </w:rPr>
        <w:t>Very tough and very competitive business</w:t>
      </w:r>
    </w:p>
    <w:p>
      <w:pPr>
        <w:pStyle w:val="BodyText"/>
        <w:numPr>
          <w:ilvl w:val="1"/>
          <w:numId w:val="191"/>
        </w:numPr>
        <w:tabs>
          <w:tab w:val="clear" w:pos="709"/>
          <w:tab w:val="left" w:pos="1418" w:leader="none"/>
        </w:tabs>
        <w:bidi w:val="0"/>
        <w:ind w:hanging="283" w:start="1418"/>
        <w:jc w:val="start"/>
        <w:rPr/>
      </w:pPr>
      <w:r>
        <w:rPr/>
        <w:t xml:space="preserve">Result: </w:t>
      </w:r>
      <w:r>
        <w:rPr>
          <w:b/>
        </w:rPr>
        <w:t>all airlines have very inconsistent operating cash flow and very inconsistent free cash flow.</w:t>
      </w:r>
    </w:p>
    <w:p>
      <w:pPr>
        <w:pStyle w:val="BodyText"/>
        <w:numPr>
          <w:ilvl w:val="0"/>
          <w:numId w:val="191"/>
        </w:numPr>
        <w:tabs>
          <w:tab w:val="clear" w:pos="709"/>
          <w:tab w:val="left" w:pos="709" w:leader="none"/>
        </w:tabs>
        <w:bidi w:val="0"/>
        <w:ind w:hanging="283" w:start="709"/>
        <w:jc w:val="start"/>
        <w:rPr/>
      </w:pPr>
      <w:r>
        <w:rPr>
          <w:i/>
        </w:rPr>
        <w:t>"It's not the fault of the management. It's the nature of the industry."</w:t>
      </w:r>
    </w:p>
    <w:p>
      <w:pPr>
        <w:pStyle w:val="BodyText"/>
        <w:numPr>
          <w:ilvl w:val="0"/>
          <w:numId w:val="191"/>
        </w:numPr>
        <w:tabs>
          <w:tab w:val="clear" w:pos="709"/>
          <w:tab w:val="left" w:pos="709" w:leader="none"/>
        </w:tabs>
        <w:bidi w:val="0"/>
        <w:ind w:hanging="283" w:start="709"/>
        <w:jc w:val="start"/>
        <w:rPr/>
      </w:pPr>
      <w:r>
        <w:rPr/>
        <w:t xml:space="preserve">Chart reading: OCF </w:t>
      </w:r>
      <w:r>
        <w:rPr>
          <w:b/>
        </w:rPr>
        <w:t>flat, going down, turned negative during COVID, positive, up, then down again</w:t>
      </w:r>
      <w:r>
        <w:rPr/>
        <w:t xml:space="preserve"> = </w:t>
      </w:r>
      <w:r>
        <w:rPr>
          <w:b/>
        </w:rPr>
        <w:t>inconsistent cash operations</w:t>
      </w:r>
      <w:r>
        <w:rPr/>
        <w:t xml:space="preserve">. FCF </w:t>
      </w:r>
      <w:r>
        <w:rPr>
          <w:b/>
        </w:rPr>
        <w:t>negative for five straight years</w:t>
      </w:r>
      <w:r>
        <w:rPr/>
        <w:t xml:space="preserve">; then after </w:t>
      </w:r>
      <w:r>
        <w:rPr>
          <w:b/>
        </w:rPr>
        <w:t>2022</w:t>
      </w:r>
      <w:r>
        <w:rPr/>
        <w:t xml:space="preserve"> very high FCF, but </w:t>
      </w:r>
      <w:r>
        <w:rPr>
          <w:b/>
        </w:rPr>
        <w:t>declining ever since</w:t>
      </w:r>
      <w:r>
        <w:rPr/>
        <w:t>.</w:t>
      </w:r>
    </w:p>
    <w:p>
      <w:pPr>
        <w:pStyle w:val="BodyText"/>
        <w:numPr>
          <w:ilvl w:val="0"/>
          <w:numId w:val="191"/>
        </w:numPr>
        <w:tabs>
          <w:tab w:val="clear" w:pos="709"/>
          <w:tab w:val="left" w:pos="709" w:leader="none"/>
        </w:tabs>
        <w:bidi w:val="0"/>
        <w:ind w:hanging="283" w:start="709"/>
        <w:jc w:val="start"/>
        <w:rPr/>
      </w:pPr>
      <w:r>
        <w:rPr/>
        <w:t xml:space="preserve">Consequence of persistent cash losses: </w:t>
      </w:r>
      <w:r>
        <w:rPr>
          <w:b/>
        </w:rPr>
        <w:t>keep issuing bonds, keep raising debt, keep selling shares → dilutes shareholders and loads the company with debt.</w:t>
      </w:r>
    </w:p>
    <w:p>
      <w:pPr>
        <w:pStyle w:val="BodyText"/>
        <w:bidi w:val="0"/>
        <w:jc w:val="start"/>
        <w:rPr/>
      </w:pPr>
      <w:r>
        <w:rPr>
          <w:b/>
        </w:rPr>
        <w:t>MasterCard — the contrast</w:t>
      </w:r>
    </w:p>
    <w:p>
      <w:pPr>
        <w:pStyle w:val="BodyText"/>
        <w:numPr>
          <w:ilvl w:val="0"/>
          <w:numId w:val="192"/>
        </w:numPr>
        <w:tabs>
          <w:tab w:val="clear" w:pos="709"/>
          <w:tab w:val="left" w:pos="709" w:leader="none"/>
        </w:tabs>
        <w:bidi w:val="0"/>
        <w:ind w:hanging="283" w:start="709"/>
        <w:jc w:val="start"/>
        <w:rPr/>
      </w:pPr>
      <w:r>
        <w:rPr/>
        <w:t xml:space="preserve">A </w:t>
      </w:r>
      <w:r>
        <w:rPr>
          <w:b/>
        </w:rPr>
        <w:t>payment technology</w:t>
      </w:r>
      <w:r>
        <w:rPr/>
        <w:t xml:space="preserve"> business Adam has invested in: </w:t>
      </w:r>
      <w:r>
        <w:rPr>
          <w:b/>
        </w:rPr>
        <w:t>operating cash flow very, very consistent; free cash flow very, very consistent.</w:t>
      </w:r>
    </w:p>
    <w:p>
      <w:pPr>
        <w:pStyle w:val="BodyText"/>
        <w:numPr>
          <w:ilvl w:val="0"/>
          <w:numId w:val="192"/>
        </w:numPr>
        <w:tabs>
          <w:tab w:val="clear" w:pos="709"/>
          <w:tab w:val="left" w:pos="709" w:leader="none"/>
        </w:tabs>
        <w:bidi w:val="0"/>
        <w:ind w:hanging="283" w:start="709"/>
        <w:jc w:val="start"/>
        <w:rPr/>
      </w:pPr>
      <w:r>
        <w:rPr>
          <w:i/>
        </w:rPr>
        <w:t>"There are many ways to make money, and to me I'd rather make money in an easy way by buying businesses where the cash flow generation is very, very consistent, very, very predictable."</w:t>
      </w:r>
    </w:p>
    <w:p>
      <w:pPr>
        <w:pStyle w:val="HorizontalLine"/>
        <w:bidi w:val="0"/>
        <w:jc w:val="start"/>
        <w:rPr/>
      </w:pPr>
      <w:r>
        <w:rPr/>
      </w:r>
    </w:p>
    <w:p>
      <w:pPr>
        <w:pStyle w:val="Heading3"/>
        <w:bidi w:val="0"/>
        <w:ind w:hanging="0" w:start="0"/>
        <w:jc w:val="start"/>
        <w:rPr/>
      </w:pPr>
      <w:r>
        <w:rPr/>
        <w:t>5. Financial Metrics — Profitability, Fraud Screens and Efficiency</w:t>
      </w:r>
    </w:p>
    <w:p>
      <w:pPr>
        <w:pStyle w:val="Heading4"/>
        <w:bidi w:val="0"/>
        <w:ind w:hanging="0" w:start="0"/>
        <w:jc w:val="start"/>
        <w:rPr/>
      </w:pPr>
      <w:r>
        <w:rPr/>
        <w:t>5.1 ROE — Return on Equity</w:t>
      </w:r>
    </w:p>
    <w:p>
      <w:pPr>
        <w:pStyle w:val="PreformattedText"/>
        <w:shd w:fill="E1E1E1" w:val="clear"/>
        <w:bidi w:val="0"/>
        <w:spacing w:before="0" w:after="283"/>
        <w:jc w:val="start"/>
        <w:rPr/>
      </w:pPr>
      <w:r>
        <w:rPr/>
        <w:t>ROE = Net Profit After Tax (Net Income) ÷ Shareholders' Equity × 100%</w:t>
      </w:r>
    </w:p>
    <w:p>
      <w:pPr>
        <w:pStyle w:val="BodyText"/>
        <w:numPr>
          <w:ilvl w:val="0"/>
          <w:numId w:val="193"/>
        </w:numPr>
        <w:tabs>
          <w:tab w:val="clear" w:pos="709"/>
          <w:tab w:val="left" w:pos="709" w:leader="none"/>
        </w:tabs>
        <w:bidi w:val="0"/>
        <w:ind w:hanging="283" w:start="709"/>
        <w:jc w:val="start"/>
        <w:rPr/>
      </w:pPr>
      <w:r>
        <w:rPr>
          <w:i/>
        </w:rPr>
        <w:t xml:space="preserve">"This is one of </w:t>
      </w:r>
      <w:r>
        <w:rPr>
          <w:b/>
          <w:i/>
        </w:rPr>
        <w:t>Warren Buffett's favorite criteria</w:t>
      </w:r>
      <w:r>
        <w:rPr>
          <w:i/>
        </w:rPr>
        <w:t xml:space="preserve"> in investing in a company."</w:t>
      </w:r>
    </w:p>
    <w:p>
      <w:pPr>
        <w:pStyle w:val="BodyText"/>
        <w:numPr>
          <w:ilvl w:val="0"/>
          <w:numId w:val="193"/>
        </w:numPr>
        <w:tabs>
          <w:tab w:val="clear" w:pos="709"/>
          <w:tab w:val="left" w:pos="709" w:leader="none"/>
        </w:tabs>
        <w:bidi w:val="0"/>
        <w:ind w:hanging="283" w:start="709"/>
        <w:jc w:val="start"/>
        <w:rPr/>
      </w:pPr>
      <w:r>
        <w:rPr>
          <w:b/>
        </w:rPr>
        <w:t>What it measures:</w:t>
      </w:r>
      <w:r>
        <w:rPr/>
        <w:t xml:space="preserve"> how good the company is at making money </w:t>
      </w:r>
      <w:r>
        <w:rPr>
          <w:b/>
        </w:rPr>
        <w:t>based on the shareholders' stake in the business</w:t>
      </w:r>
      <w:r>
        <w:rPr/>
        <w:t>.</w:t>
      </w:r>
    </w:p>
    <w:p>
      <w:pPr>
        <w:pStyle w:val="BodyText"/>
        <w:numPr>
          <w:ilvl w:val="0"/>
          <w:numId w:val="193"/>
        </w:numPr>
        <w:tabs>
          <w:tab w:val="clear" w:pos="709"/>
          <w:tab w:val="left" w:pos="709" w:leader="none"/>
        </w:tabs>
        <w:bidi w:val="0"/>
        <w:ind w:hanging="283" w:start="709"/>
        <w:jc w:val="start"/>
        <w:rPr/>
      </w:pPr>
      <w:r>
        <w:rPr>
          <w:b/>
        </w:rPr>
        <w:t>Worked example:</w:t>
      </w:r>
      <w:r>
        <w:rPr/>
        <w:t xml:space="preserve"> net income </w:t>
      </w:r>
      <w:r>
        <w:rPr>
          <w:b/>
        </w:rPr>
        <w:t>$126 million</w:t>
      </w:r>
      <w:r>
        <w:rPr/>
        <w:t xml:space="preserve"> ÷ shareholders' equity </w:t>
      </w:r>
      <w:r>
        <w:rPr>
          <w:b/>
        </w:rPr>
        <w:t>$420 million</w:t>
      </w:r>
      <w:r>
        <w:rPr/>
        <w:t xml:space="preserve"> = </w:t>
      </w:r>
      <w:r>
        <w:rPr>
          <w:b/>
        </w:rPr>
        <w:t>30% ROE</w:t>
      </w:r>
      <w:r>
        <w:rPr/>
        <w:t>.</w:t>
      </w:r>
    </w:p>
    <w:p>
      <w:pPr>
        <w:pStyle w:val="BodyText"/>
        <w:numPr>
          <w:ilvl w:val="0"/>
          <w:numId w:val="193"/>
        </w:numPr>
        <w:tabs>
          <w:tab w:val="clear" w:pos="709"/>
          <w:tab w:val="left" w:pos="709" w:leader="none"/>
        </w:tabs>
        <w:bidi w:val="0"/>
        <w:spacing w:before="0" w:after="0"/>
        <w:ind w:hanging="283" w:start="709"/>
        <w:jc w:val="start"/>
        <w:rPr/>
      </w:pPr>
      <w:r>
        <w:rPr>
          <w:b/>
        </w:rPr>
        <w:t>Thresholds:</w:t>
      </w:r>
    </w:p>
    <w:p>
      <w:pPr>
        <w:pStyle w:val="BodyText"/>
        <w:numPr>
          <w:ilvl w:val="1"/>
          <w:numId w:val="193"/>
        </w:numPr>
        <w:tabs>
          <w:tab w:val="clear" w:pos="709"/>
          <w:tab w:val="left" w:pos="1418" w:leader="none"/>
        </w:tabs>
        <w:bidi w:val="0"/>
        <w:ind w:hanging="283" w:start="1418"/>
        <w:jc w:val="start"/>
        <w:rPr/>
      </w:pPr>
      <w:r>
        <w:rPr>
          <w:b/>
        </w:rPr>
        <w:t>ROE of 12% → a good business</w:t>
      </w:r>
    </w:p>
    <w:p>
      <w:pPr>
        <w:pStyle w:val="BodyText"/>
        <w:numPr>
          <w:ilvl w:val="1"/>
          <w:numId w:val="193"/>
        </w:numPr>
        <w:tabs>
          <w:tab w:val="clear" w:pos="709"/>
          <w:tab w:val="left" w:pos="1418" w:leader="none"/>
        </w:tabs>
        <w:bidi w:val="0"/>
        <w:ind w:hanging="283" w:start="1418"/>
        <w:jc w:val="start"/>
        <w:rPr/>
      </w:pPr>
      <w:r>
        <w:rPr>
          <w:b/>
        </w:rPr>
        <w:t>ROE above 15% → an excellent investment</w:t>
      </w:r>
    </w:p>
    <w:p>
      <w:pPr>
        <w:pStyle w:val="BodyText"/>
        <w:numPr>
          <w:ilvl w:val="1"/>
          <w:numId w:val="193"/>
        </w:numPr>
        <w:tabs>
          <w:tab w:val="clear" w:pos="709"/>
          <w:tab w:val="left" w:pos="1418" w:leader="none"/>
        </w:tabs>
        <w:bidi w:val="0"/>
        <w:ind w:hanging="283" w:start="1418"/>
        <w:jc w:val="start"/>
        <w:rPr/>
      </w:pPr>
      <w:r>
        <w:rPr>
          <w:i/>
        </w:rPr>
        <w:t>"The majority of companies that I'm investing in, you find that the ROE is often above 15%."</w:t>
      </w:r>
    </w:p>
    <w:p>
      <w:pPr>
        <w:pStyle w:val="BodyText"/>
        <w:numPr>
          <w:ilvl w:val="0"/>
          <w:numId w:val="193"/>
        </w:numPr>
        <w:tabs>
          <w:tab w:val="clear" w:pos="709"/>
          <w:tab w:val="left" w:pos="709" w:leader="none"/>
        </w:tabs>
        <w:bidi w:val="0"/>
        <w:ind w:hanging="283" w:start="709"/>
        <w:jc w:val="start"/>
        <w:rPr/>
      </w:pPr>
      <w:r>
        <w:rPr>
          <w:b/>
        </w:rPr>
        <w:t>Look at ROE over the last 5 years</w:t>
      </w:r>
      <w:r>
        <w:rPr/>
        <w:t xml:space="preserve"> to ensure it is </w:t>
      </w:r>
      <w:r>
        <w:rPr>
          <w:b/>
        </w:rPr>
        <w:t>consistently above 12–15%</w:t>
      </w:r>
      <w:r>
        <w:rPr/>
        <w:t>.</w:t>
      </w:r>
    </w:p>
    <w:p>
      <w:pPr>
        <w:pStyle w:val="BodyText"/>
        <w:bidi w:val="0"/>
        <w:jc w:val="start"/>
        <w:rPr/>
      </w:pPr>
      <w:r>
        <w:rPr>
          <w:b/>
        </w:rPr>
        <w:t xml:space="preserve">⚠️ </w:t>
      </w:r>
      <w:r>
        <w:rPr>
          <w:b/>
        </w:rPr>
        <w:t>ROE when shareholders' equity is negative (McDonald's, Yum Brands):</w:t>
      </w:r>
    </w:p>
    <w:p>
      <w:pPr>
        <w:pStyle w:val="BodyText"/>
        <w:numPr>
          <w:ilvl w:val="0"/>
          <w:numId w:val="194"/>
        </w:numPr>
        <w:tabs>
          <w:tab w:val="clear" w:pos="709"/>
          <w:tab w:val="left" w:pos="709" w:leader="none"/>
        </w:tabs>
        <w:bidi w:val="0"/>
        <w:ind w:hanging="283" w:start="709"/>
        <w:jc w:val="start"/>
        <w:rPr/>
      </w:pPr>
      <w:r>
        <w:rPr/>
        <w:t xml:space="preserve">When equity is negative because of large treasury stock, </w:t>
      </w:r>
      <w:r>
        <w:rPr>
          <w:b/>
        </w:rPr>
        <w:t>ROE becomes undefined.</w:t>
      </w:r>
    </w:p>
    <w:p>
      <w:pPr>
        <w:pStyle w:val="BodyText"/>
        <w:numPr>
          <w:ilvl w:val="0"/>
          <w:numId w:val="194"/>
        </w:numPr>
        <w:tabs>
          <w:tab w:val="clear" w:pos="709"/>
          <w:tab w:val="left" w:pos="709" w:leader="none"/>
        </w:tabs>
        <w:bidi w:val="0"/>
        <w:ind w:hanging="283" w:start="709"/>
        <w:jc w:val="start"/>
        <w:rPr/>
      </w:pPr>
      <w:r>
        <w:rPr>
          <w:b/>
        </w:rPr>
        <w:t>Some websites report McDonald's ROE as negative — "that is actually not accurate,"</w:t>
      </w:r>
      <w:r>
        <w:rPr/>
        <w:t xml:space="preserve"> because profit generated from negative equity is </w:t>
      </w:r>
      <w:r>
        <w:rPr>
          <w:b/>
        </w:rPr>
        <w:t>effectively infinity</w:t>
      </w:r>
      <w:r>
        <w:rPr/>
        <w:t xml:space="preserve">. </w:t>
      </w:r>
      <w:r>
        <w:rPr>
          <w:b/>
        </w:rPr>
        <w:t>ROE is infinite, which is very good.</w:t>
      </w:r>
    </w:p>
    <w:p>
      <w:pPr>
        <w:pStyle w:val="BodyText"/>
        <w:numPr>
          <w:ilvl w:val="0"/>
          <w:numId w:val="194"/>
        </w:numPr>
        <w:tabs>
          <w:tab w:val="clear" w:pos="709"/>
          <w:tab w:val="left" w:pos="709" w:leader="none"/>
        </w:tabs>
        <w:bidi w:val="0"/>
        <w:ind w:hanging="283" w:start="709"/>
        <w:jc w:val="start"/>
        <w:rPr/>
      </w:pPr>
      <w:r>
        <w:rPr>
          <w:i/>
        </w:rPr>
        <w:t>"It basically means that company makes profit without having any equity."</w:t>
      </w:r>
    </w:p>
    <w:p>
      <w:pPr>
        <w:pStyle w:val="Heading4"/>
        <w:numPr>
          <w:ilvl w:val="0"/>
          <w:numId w:val="0"/>
        </w:numPr>
        <w:bidi w:val="0"/>
        <w:ind w:hanging="0" w:start="0"/>
        <w:jc w:val="start"/>
        <w:rPr/>
      </w:pPr>
      <w:r>
        <w:rPr/>
        <w:t>5.2 ROIC — Return on Invested Capital</w:t>
      </w:r>
    </w:p>
    <w:p>
      <w:pPr>
        <w:pStyle w:val="PreformattedText"/>
        <w:shd w:fill="E1E1E1" w:val="clear"/>
        <w:bidi w:val="0"/>
        <w:spacing w:before="0" w:after="283"/>
        <w:jc w:val="start"/>
        <w:rPr/>
      </w:pPr>
      <w:r>
        <w:rPr/>
        <w:t>Simplified:  ROIC = Profit ÷ (Equity + Debt)</w:t>
        <w:br/>
        <w:br/>
        <w:t>Full formula:</w:t>
        <w:br/>
        <w:t>ROIC = [ EBIT × (1 − tax rate) ] ÷ ( Shareholders' Equity + Total Debt − Cash and Equivalents )</w:t>
        <w:br/>
        <w:t>where EBIT = Earnings Before Interest and Taxes</w:t>
      </w:r>
    </w:p>
    <w:p>
      <w:pPr>
        <w:pStyle w:val="BodyText"/>
        <w:numPr>
          <w:ilvl w:val="0"/>
          <w:numId w:val="195"/>
        </w:numPr>
        <w:tabs>
          <w:tab w:val="clear" w:pos="709"/>
          <w:tab w:val="left" w:pos="709" w:leader="none"/>
        </w:tabs>
        <w:bidi w:val="0"/>
        <w:ind w:hanging="283" w:start="709"/>
        <w:jc w:val="start"/>
        <w:rPr/>
      </w:pPr>
      <w:r>
        <w:rPr>
          <w:b/>
        </w:rPr>
        <w:t>Why it exists:</w:t>
      </w:r>
      <w:r>
        <w:rPr/>
        <w:t xml:space="preserve"> ROE alone only tells you </w:t>
      </w:r>
      <w:r>
        <w:rPr>
          <w:b/>
        </w:rPr>
        <w:t>one part of the story</w:t>
      </w:r>
      <w:r>
        <w:rPr/>
        <w:t xml:space="preserve">. </w:t>
      </w:r>
      <w:r>
        <w:rPr>
          <w:b/>
        </w:rPr>
        <w:t>Some companies artificially inflate their ROE by taking on a lot of debt and using the debt to buy back shares.</w:t>
      </w:r>
      <w:r>
        <w:rPr/>
        <w:t xml:space="preserve"> </w:t>
      </w:r>
      <w:r>
        <w:rPr>
          <w:b/>
        </w:rPr>
        <w:t>ROIC penalizes companies that do that.</w:t>
      </w:r>
    </w:p>
    <w:p>
      <w:pPr>
        <w:pStyle w:val="BodyText"/>
        <w:numPr>
          <w:ilvl w:val="0"/>
          <w:numId w:val="195"/>
        </w:numPr>
        <w:tabs>
          <w:tab w:val="clear" w:pos="709"/>
          <w:tab w:val="left" w:pos="709" w:leader="none"/>
        </w:tabs>
        <w:bidi w:val="0"/>
        <w:ind w:hanging="283" w:start="709"/>
        <w:jc w:val="start"/>
        <w:rPr/>
      </w:pPr>
      <w:r>
        <w:rPr>
          <w:b/>
        </w:rPr>
        <w:t>What it measures:</w:t>
      </w:r>
      <w:r>
        <w:rPr/>
        <w:t xml:space="preserve"> how efficient a company is at using its </w:t>
      </w:r>
      <w:r>
        <w:rPr>
          <w:b/>
        </w:rPr>
        <w:t>total capital (equity AND debt)</w:t>
      </w:r>
      <w:r>
        <w:rPr/>
        <w:t xml:space="preserve"> to generate a profit.</w:t>
      </w:r>
    </w:p>
    <w:p>
      <w:pPr>
        <w:pStyle w:val="BodyText"/>
        <w:numPr>
          <w:ilvl w:val="0"/>
          <w:numId w:val="195"/>
        </w:numPr>
        <w:tabs>
          <w:tab w:val="clear" w:pos="709"/>
          <w:tab w:val="left" w:pos="709" w:leader="none"/>
        </w:tabs>
        <w:bidi w:val="0"/>
        <w:spacing w:before="0" w:after="0"/>
        <w:ind w:hanging="283" w:start="709"/>
        <w:jc w:val="start"/>
        <w:rPr/>
      </w:pPr>
      <w:r>
        <w:rPr>
          <w:b/>
        </w:rPr>
        <w:t>Thresholds (same as ROE):</w:t>
      </w:r>
    </w:p>
    <w:p>
      <w:pPr>
        <w:pStyle w:val="BodyText"/>
        <w:numPr>
          <w:ilvl w:val="1"/>
          <w:numId w:val="195"/>
        </w:numPr>
        <w:tabs>
          <w:tab w:val="clear" w:pos="709"/>
          <w:tab w:val="left" w:pos="1418" w:leader="none"/>
        </w:tabs>
        <w:bidi w:val="0"/>
        <w:ind w:hanging="283" w:start="1418"/>
        <w:jc w:val="start"/>
        <w:rPr/>
      </w:pPr>
      <w:r>
        <w:rPr>
          <w:b/>
        </w:rPr>
        <w:t>Over 12% → good</w:t>
      </w:r>
    </w:p>
    <w:p>
      <w:pPr>
        <w:pStyle w:val="BodyText"/>
        <w:numPr>
          <w:ilvl w:val="1"/>
          <w:numId w:val="195"/>
        </w:numPr>
        <w:tabs>
          <w:tab w:val="clear" w:pos="709"/>
          <w:tab w:val="left" w:pos="1418" w:leader="none"/>
        </w:tabs>
        <w:bidi w:val="0"/>
        <w:ind w:hanging="283" w:start="1418"/>
        <w:jc w:val="start"/>
        <w:rPr/>
      </w:pPr>
      <w:r>
        <w:rPr>
          <w:b/>
        </w:rPr>
        <w:t>Over 15% → excellent</w:t>
      </w:r>
    </w:p>
    <w:p>
      <w:pPr>
        <w:pStyle w:val="BodyText"/>
        <w:numPr>
          <w:ilvl w:val="0"/>
          <w:numId w:val="195"/>
        </w:numPr>
        <w:tabs>
          <w:tab w:val="clear" w:pos="709"/>
          <w:tab w:val="left" w:pos="709" w:leader="none"/>
        </w:tabs>
        <w:bidi w:val="0"/>
        <w:ind w:hanging="283" w:start="709"/>
        <w:jc w:val="start"/>
        <w:rPr/>
      </w:pPr>
      <w:r>
        <w:rPr>
          <w:b/>
        </w:rPr>
        <w:t xml:space="preserve">⚠️ </w:t>
      </w:r>
      <w:r>
        <w:rPr>
          <w:b/>
        </w:rPr>
        <w:t>ROIC does NOT apply to banks</w:t>
      </w:r>
      <w:r>
        <w:rPr/>
        <w:t xml:space="preserve"> — banks are </w:t>
      </w:r>
      <w:r>
        <w:rPr>
          <w:b/>
        </w:rPr>
        <w:t>highly leveraged by the nature of their business</w:t>
      </w:r>
      <w:r>
        <w:rPr/>
        <w:t xml:space="preserve">, which makes </w:t>
      </w:r>
      <w:r>
        <w:rPr>
          <w:b/>
        </w:rPr>
        <w:t>ROIC artificially very low</w:t>
      </w:r>
      <w:r>
        <w:rPr/>
        <w:t xml:space="preserve">. </w:t>
      </w:r>
      <w:r>
        <w:rPr>
          <w:b/>
        </w:rPr>
        <w:t>For banks, look at ROE only and ignore ROIC.</w:t>
      </w:r>
    </w:p>
    <w:p>
      <w:pPr>
        <w:pStyle w:val="BodyText"/>
        <w:numPr>
          <w:ilvl w:val="0"/>
          <w:numId w:val="195"/>
        </w:numPr>
        <w:tabs>
          <w:tab w:val="clear" w:pos="709"/>
          <w:tab w:val="left" w:pos="709" w:leader="none"/>
        </w:tabs>
        <w:bidi w:val="0"/>
        <w:ind w:hanging="283" w:start="709"/>
        <w:jc w:val="start"/>
        <w:rPr/>
      </w:pPr>
      <w:r>
        <w:rPr>
          <w:b/>
        </w:rPr>
        <w:t xml:space="preserve">⚠️ </w:t>
      </w:r>
      <w:r>
        <w:rPr>
          <w:b/>
        </w:rPr>
        <w:t>ROIC also does NOT apply to insurance companies.</w:t>
      </w:r>
      <w:r>
        <w:rPr/>
        <w:t xml:space="preserve"> (Ping An Insurance is both an insurance company and a bank → </w:t>
      </w:r>
      <w:r>
        <w:rPr>
          <w:b/>
        </w:rPr>
        <w:t>use ROE only</w:t>
      </w:r>
      <w:r>
        <w:rPr/>
        <w:t>.)</w:t>
      </w:r>
    </w:p>
    <w:p>
      <w:pPr>
        <w:pStyle w:val="BodyText"/>
        <w:numPr>
          <w:ilvl w:val="0"/>
          <w:numId w:val="195"/>
        </w:numPr>
        <w:tabs>
          <w:tab w:val="clear" w:pos="709"/>
          <w:tab w:val="left" w:pos="709" w:leader="none"/>
        </w:tabs>
        <w:bidi w:val="0"/>
        <w:ind w:hanging="283" w:start="709"/>
        <w:jc w:val="start"/>
        <w:rPr/>
      </w:pPr>
      <w:r>
        <w:rPr/>
        <w:t>You never calculate this by hand — it is pre-calculated on the websites.</w:t>
      </w:r>
    </w:p>
    <w:p>
      <w:pPr>
        <w:pStyle w:val="BodyText"/>
        <w:bidi w:val="0"/>
        <w:jc w:val="start"/>
        <w:rPr/>
      </w:pPr>
      <w:r>
        <w:rPr>
          <w:b/>
        </w:rPr>
        <w:t>Where to find ROE and ROIC:</w:t>
      </w:r>
    </w:p>
    <w:p>
      <w:pPr>
        <w:pStyle w:val="BodyText"/>
        <w:numPr>
          <w:ilvl w:val="0"/>
          <w:numId w:val="196"/>
        </w:numPr>
        <w:tabs>
          <w:tab w:val="clear" w:pos="709"/>
          <w:tab w:val="left" w:pos="709" w:leader="none"/>
        </w:tabs>
        <w:bidi w:val="0"/>
        <w:ind w:hanging="283" w:start="709"/>
        <w:jc w:val="start"/>
        <w:rPr/>
      </w:pPr>
      <w:r>
        <w:rPr>
          <w:b/>
        </w:rPr>
        <w:t>StockOracle → Company Metrics → scroll down → Profitability Ratios.</w:t>
      </w:r>
      <w:r>
        <w:rPr/>
        <w:t xml:space="preserve"> Shows the </w:t>
      </w:r>
      <w:r>
        <w:rPr>
          <w:b/>
        </w:rPr>
        <w:t>latest / last 12 months</w:t>
      </w:r>
      <w:r>
        <w:rPr/>
        <w:t xml:space="preserve">, the </w:t>
      </w:r>
      <w:r>
        <w:rPr>
          <w:b/>
        </w:rPr>
        <w:t>5-year average</w:t>
      </w:r>
      <w:r>
        <w:rPr/>
        <w:t xml:space="preserve"> and the </w:t>
      </w:r>
      <w:r>
        <w:rPr>
          <w:b/>
        </w:rPr>
        <w:t>10-year average</w:t>
      </w:r>
      <w:r>
        <w:rPr/>
        <w:t xml:space="preserve">. Pro account also gives multi-year numbers and </w:t>
      </w:r>
      <w:r>
        <w:rPr>
          <w:b/>
        </w:rPr>
        <w:t>trending charts</w:t>
      </w:r>
      <w:r>
        <w:rPr/>
        <w:t xml:space="preserve"> (line or bar).</w:t>
      </w:r>
    </w:p>
    <w:p>
      <w:pPr>
        <w:pStyle w:val="BodyText"/>
        <w:numPr>
          <w:ilvl w:val="0"/>
          <w:numId w:val="196"/>
        </w:numPr>
        <w:tabs>
          <w:tab w:val="clear" w:pos="709"/>
          <w:tab w:val="left" w:pos="709" w:leader="none"/>
        </w:tabs>
        <w:bidi w:val="0"/>
        <w:ind w:hanging="283" w:start="709"/>
        <w:jc w:val="start"/>
        <w:rPr/>
      </w:pPr>
      <w:r>
        <w:rPr>
          <w:b/>
        </w:rPr>
        <w:t>Fallback for non-US stocks: Morningstar.com free section → Key Metrics → Profit and Efficiency Ratios.</w:t>
      </w:r>
    </w:p>
    <w:p>
      <w:pPr>
        <w:pStyle w:val="BodyText"/>
        <w:bidi w:val="0"/>
        <w:jc w:val="start"/>
        <w:rPr/>
      </w:pPr>
      <w:r>
        <w:rPr>
          <w:b/>
        </w:rPr>
        <w:t>Worked example — MasterCard (StockOracle):</w:t>
      </w:r>
    </w:p>
    <w:p>
      <w:pPr>
        <w:pStyle w:val="BodyText"/>
        <w:numPr>
          <w:ilvl w:val="0"/>
          <w:numId w:val="197"/>
        </w:numPr>
        <w:tabs>
          <w:tab w:val="clear" w:pos="709"/>
          <w:tab w:val="left" w:pos="709" w:leader="none"/>
        </w:tabs>
        <w:bidi w:val="0"/>
        <w:ind w:hanging="283" w:start="709"/>
        <w:jc w:val="start"/>
        <w:rPr/>
      </w:pPr>
      <w:r>
        <w:rPr>
          <w:b/>
        </w:rPr>
        <w:t>ROE (last 12 months) = 210%</w:t>
      </w:r>
      <w:r>
        <w:rPr/>
        <w:t xml:space="preserve"> — </w:t>
      </w:r>
      <w:r>
        <w:rPr>
          <w:i/>
        </w:rPr>
        <w:t>"really, really good"</w:t>
      </w:r>
    </w:p>
    <w:p>
      <w:pPr>
        <w:pStyle w:val="BodyText"/>
        <w:numPr>
          <w:ilvl w:val="0"/>
          <w:numId w:val="197"/>
        </w:numPr>
        <w:tabs>
          <w:tab w:val="clear" w:pos="709"/>
          <w:tab w:val="left" w:pos="709" w:leader="none"/>
        </w:tabs>
        <w:bidi w:val="0"/>
        <w:ind w:hanging="283" w:start="709"/>
        <w:jc w:val="start"/>
        <w:rPr/>
      </w:pPr>
      <w:r>
        <w:rPr>
          <w:b/>
        </w:rPr>
        <w:t>ROIC (last 12 months) = 58.4% (58.41%)</w:t>
      </w:r>
      <w:r>
        <w:rPr/>
        <w:t xml:space="preserve"> — </w:t>
      </w:r>
      <w:r>
        <w:rPr>
          <w:i/>
        </w:rPr>
        <w:t>"really, really high"</w:t>
      </w:r>
    </w:p>
    <w:p>
      <w:pPr>
        <w:pStyle w:val="BodyText"/>
        <w:numPr>
          <w:ilvl w:val="0"/>
          <w:numId w:val="197"/>
        </w:numPr>
        <w:tabs>
          <w:tab w:val="clear" w:pos="709"/>
          <w:tab w:val="left" w:pos="709" w:leader="none"/>
        </w:tabs>
        <w:bidi w:val="0"/>
        <w:ind w:hanging="283" w:start="709"/>
        <w:jc w:val="start"/>
        <w:rPr/>
      </w:pPr>
      <w:r>
        <w:rPr/>
        <w:t xml:space="preserve">On the trend chart: ROE increasing, ROIC pretty consistent. </w:t>
      </w:r>
      <w:r>
        <w:rPr>
          <w:i/>
        </w:rPr>
        <w:t>"We don't need it to increase. As long as it is fairly consistent, it's 12 and above, that's a pretty good business — but of course if it's increasing that's even more powerful."</w:t>
      </w:r>
    </w:p>
    <w:p>
      <w:pPr>
        <w:pStyle w:val="Heading4"/>
        <w:numPr>
          <w:ilvl w:val="0"/>
          <w:numId w:val="0"/>
        </w:numPr>
        <w:bidi w:val="0"/>
        <w:ind w:hanging="0" w:start="0"/>
        <w:jc w:val="start"/>
        <w:rPr/>
      </w:pPr>
      <w:r>
        <w:rPr/>
        <w:t>5.3 Revenue growth vs Accounts Receivable growth — the fraud screen</w:t>
      </w:r>
    </w:p>
    <w:p>
      <w:pPr>
        <w:pStyle w:val="BodyText"/>
        <w:bidi w:val="0"/>
        <w:jc w:val="start"/>
        <w:rPr/>
      </w:pPr>
      <w:r>
        <w:rPr>
          <w:b/>
        </w:rPr>
        <w:t>RULE: Sales revenue must grow FASTER than accounts receivable. Accounts receivable must NOT grow faster than revenue.</w:t>
      </w:r>
    </w:p>
    <w:p>
      <w:pPr>
        <w:pStyle w:val="BodyText"/>
        <w:numPr>
          <w:ilvl w:val="0"/>
          <w:numId w:val="198"/>
        </w:numPr>
        <w:tabs>
          <w:tab w:val="clear" w:pos="709"/>
          <w:tab w:val="left" w:pos="709" w:leader="none"/>
        </w:tabs>
        <w:bidi w:val="0"/>
        <w:ind w:hanging="283" w:start="709"/>
        <w:jc w:val="start"/>
        <w:rPr/>
      </w:pPr>
      <w:r>
        <w:rPr>
          <w:b/>
        </w:rPr>
        <w:t>Accounts receivable</w:t>
      </w:r>
      <w:r>
        <w:rPr/>
        <w:t xml:space="preserve"> = the company sold a product (usually to another company) and </w:t>
      </w:r>
      <w:r>
        <w:rPr>
          <w:b/>
        </w:rPr>
        <w:t>has not been paid yet</w:t>
      </w:r>
      <w:r>
        <w:rPr/>
        <w:t xml:space="preserve"> — revenue that has </w:t>
      </w:r>
      <w:r>
        <w:rPr>
          <w:b/>
        </w:rPr>
        <w:t>not been converted to cash</w:t>
      </w:r>
      <w:r>
        <w:rPr/>
        <w:t>.</w:t>
      </w:r>
    </w:p>
    <w:p>
      <w:pPr>
        <w:pStyle w:val="BodyText"/>
        <w:numPr>
          <w:ilvl w:val="0"/>
          <w:numId w:val="198"/>
        </w:numPr>
        <w:tabs>
          <w:tab w:val="clear" w:pos="709"/>
          <w:tab w:val="left" w:pos="709" w:leader="none"/>
        </w:tabs>
        <w:bidi w:val="0"/>
        <w:ind w:hanging="283" w:start="709"/>
        <w:jc w:val="start"/>
        <w:rPr/>
      </w:pPr>
      <w:r>
        <w:rPr>
          <w:b/>
        </w:rPr>
        <w:t>Too much accounts receivable is not good</w:t>
      </w:r>
      <w:r>
        <w:rPr/>
        <w:t xml:space="preserve"> — it means </w:t>
      </w:r>
      <w:r>
        <w:rPr>
          <w:b/>
        </w:rPr>
        <w:t>the company is not collecting its debt quickly.</w:t>
      </w:r>
    </w:p>
    <w:p>
      <w:pPr>
        <w:pStyle w:val="BodyText"/>
        <w:numPr>
          <w:ilvl w:val="0"/>
          <w:numId w:val="198"/>
        </w:numPr>
        <w:tabs>
          <w:tab w:val="clear" w:pos="709"/>
          <w:tab w:val="left" w:pos="709" w:leader="none"/>
        </w:tabs>
        <w:bidi w:val="0"/>
        <w:spacing w:before="0" w:after="0"/>
        <w:ind w:hanging="283" w:start="709"/>
        <w:jc w:val="start"/>
        <w:rPr/>
      </w:pPr>
      <w:r>
        <w:rPr>
          <w:b/>
        </w:rPr>
        <w:t>If accounts receivable grow FASTER than revenue, that is very dangerous.</w:t>
      </w:r>
      <w:r>
        <w:rPr/>
        <w:t xml:space="preserve"> It means one of three things:</w:t>
      </w:r>
    </w:p>
    <w:p>
      <w:pPr>
        <w:pStyle w:val="BodyText"/>
        <w:numPr>
          <w:ilvl w:val="1"/>
          <w:numId w:val="198"/>
        </w:numPr>
        <w:tabs>
          <w:tab w:val="clear" w:pos="709"/>
          <w:tab w:val="left" w:pos="1418" w:leader="none"/>
        </w:tabs>
        <w:bidi w:val="0"/>
        <w:ind w:hanging="283" w:start="1418"/>
        <w:jc w:val="start"/>
        <w:rPr/>
      </w:pPr>
      <w:r>
        <w:rPr>
          <w:b/>
        </w:rPr>
        <w:t>The customers are in trouble</w:t>
      </w:r>
      <w:r>
        <w:rPr/>
        <w:t xml:space="preserve"> (can't pay)</w:t>
      </w:r>
    </w:p>
    <w:p>
      <w:pPr>
        <w:pStyle w:val="BodyText"/>
        <w:numPr>
          <w:ilvl w:val="1"/>
          <w:numId w:val="198"/>
        </w:numPr>
        <w:tabs>
          <w:tab w:val="clear" w:pos="709"/>
          <w:tab w:val="left" w:pos="1418" w:leader="none"/>
        </w:tabs>
        <w:bidi w:val="0"/>
        <w:ind w:hanging="283" w:start="1418"/>
        <w:jc w:val="start"/>
        <w:rPr/>
      </w:pPr>
      <w:r>
        <w:rPr>
          <w:b/>
        </w:rPr>
        <w:t>The company is bad at collecting payments</w:t>
      </w:r>
    </w:p>
    <w:p>
      <w:pPr>
        <w:pStyle w:val="BodyText"/>
        <w:numPr>
          <w:ilvl w:val="1"/>
          <w:numId w:val="198"/>
        </w:numPr>
        <w:tabs>
          <w:tab w:val="clear" w:pos="709"/>
          <w:tab w:val="left" w:pos="1418" w:leader="none"/>
        </w:tabs>
        <w:bidi w:val="0"/>
        <w:ind w:hanging="283" w:start="1418"/>
        <w:jc w:val="start"/>
        <w:rPr/>
      </w:pPr>
      <w:r>
        <w:rPr>
          <w:b/>
        </w:rPr>
        <w:t>The revenue is fictitious</w:t>
      </w:r>
      <w:r>
        <w:rPr/>
        <w:t xml:space="preserve"> — </w:t>
      </w:r>
      <w:r>
        <w:rPr>
          <w:i/>
        </w:rPr>
        <w:t>"Over the years, I've seen companies that have generated fictitious revenue, fake revenue. And when they record fake revenue, there's no money coming in. So to fool the public, they actually show it under accounts receivables."</w:t>
      </w:r>
    </w:p>
    <w:p>
      <w:pPr>
        <w:pStyle w:val="BodyText"/>
        <w:numPr>
          <w:ilvl w:val="0"/>
          <w:numId w:val="198"/>
        </w:numPr>
        <w:tabs>
          <w:tab w:val="clear" w:pos="709"/>
          <w:tab w:val="left" w:pos="709" w:leader="none"/>
        </w:tabs>
        <w:bidi w:val="0"/>
        <w:ind w:hanging="283" w:start="709"/>
        <w:jc w:val="start"/>
        <w:rPr/>
      </w:pPr>
      <w:r>
        <w:rPr>
          <w:b/>
        </w:rPr>
        <w:t>"A higher/increasing accounts receivable is a major red flag."</w:t>
      </w:r>
    </w:p>
    <w:p>
      <w:pPr>
        <w:pStyle w:val="BodyText"/>
        <w:bidi w:val="0"/>
        <w:jc w:val="start"/>
        <w:rPr/>
      </w:pPr>
      <w:r>
        <w:rPr>
          <w:b/>
        </w:rPr>
        <w:t>Where to check:</w:t>
      </w:r>
    </w:p>
    <w:p>
      <w:pPr>
        <w:pStyle w:val="BodyText"/>
        <w:numPr>
          <w:ilvl w:val="0"/>
          <w:numId w:val="199"/>
        </w:numPr>
        <w:tabs>
          <w:tab w:val="clear" w:pos="709"/>
          <w:tab w:val="left" w:pos="709" w:leader="none"/>
        </w:tabs>
        <w:bidi w:val="0"/>
        <w:ind w:hanging="283" w:start="709"/>
        <w:jc w:val="start"/>
        <w:rPr/>
      </w:pPr>
      <w:r>
        <w:rPr>
          <w:b/>
        </w:rPr>
        <w:t>StockOracle → Financials →</w:t>
      </w:r>
      <w:r>
        <w:rPr/>
        <w:t xml:space="preserve"> one of the </w:t>
      </w:r>
      <w:r>
        <w:rPr>
          <w:b/>
        </w:rPr>
        <w:t>preset default charts</w:t>
      </w:r>
      <w:r>
        <w:rPr/>
        <w:t xml:space="preserve"> plots sales revenue against accounts receivable. Example shown: </w:t>
      </w:r>
      <w:r>
        <w:rPr>
          <w:b/>
        </w:rPr>
        <w:t>MasterCard</w:t>
      </w:r>
      <w:r>
        <w:rPr/>
        <w:t xml:space="preserve"> — </w:t>
      </w:r>
      <w:r>
        <w:rPr>
          <w:i/>
        </w:rPr>
        <w:t>"the sales revenue is growing a lot faster than the accounts receivables. That's what I'm looking for."</w:t>
      </w:r>
    </w:p>
    <w:p>
      <w:pPr>
        <w:pStyle w:val="BodyText"/>
        <w:numPr>
          <w:ilvl w:val="0"/>
          <w:numId w:val="199"/>
        </w:numPr>
        <w:tabs>
          <w:tab w:val="clear" w:pos="709"/>
          <w:tab w:val="left" w:pos="709" w:leader="none"/>
        </w:tabs>
        <w:bidi w:val="0"/>
        <w:ind w:hanging="283" w:start="709"/>
        <w:jc w:val="start"/>
        <w:rPr/>
      </w:pPr>
      <w:r>
        <w:rPr>
          <w:b/>
        </w:rPr>
        <w:t>TradingView (manual):</w:t>
      </w:r>
      <w:r>
        <w:rPr/>
        <w:t xml:space="preserve"> ticker → choose the </w:t>
      </w:r>
      <w:r>
        <w:rPr>
          <w:b/>
        </w:rPr>
        <w:t>5-year timeframe</w:t>
      </w:r>
      <w:r>
        <w:rPr/>
        <w:t xml:space="preserve"> → </w:t>
      </w:r>
      <w:r>
        <w:rPr>
          <w:b/>
        </w:rPr>
        <w:t>Indicators</w:t>
      </w:r>
      <w:r>
        <w:rPr/>
        <w:t xml:space="preserve"> → add </w:t>
      </w:r>
      <w:r>
        <w:rPr>
          <w:b/>
        </w:rPr>
        <w:t>Revenue</w:t>
      </w:r>
      <w:r>
        <w:rPr/>
        <w:t xml:space="preserve"> and plot it against </w:t>
      </w:r>
      <w:r>
        <w:rPr>
          <w:b/>
        </w:rPr>
        <w:t>Accounts Receivable</w:t>
      </w:r>
      <w:r>
        <w:rPr/>
        <w:t>.</w:t>
      </w:r>
    </w:p>
    <w:p>
      <w:pPr>
        <w:pStyle w:val="BodyText"/>
        <w:numPr>
          <w:ilvl w:val="0"/>
          <w:numId w:val="199"/>
        </w:numPr>
        <w:tabs>
          <w:tab w:val="clear" w:pos="709"/>
          <w:tab w:val="left" w:pos="709" w:leader="none"/>
        </w:tabs>
        <w:bidi w:val="0"/>
        <w:spacing w:before="0" w:after="0"/>
        <w:ind w:hanging="283" w:start="709"/>
        <w:jc w:val="start"/>
        <w:rPr/>
      </w:pPr>
      <w:r>
        <w:rPr>
          <w:b/>
        </w:rPr>
        <w:t>TradingView (Piranha Profits custom indicator — recommended):</w:t>
      </w:r>
    </w:p>
    <w:p>
      <w:pPr>
        <w:pStyle w:val="BodyText"/>
        <w:numPr>
          <w:ilvl w:val="1"/>
          <w:numId w:val="199"/>
        </w:numPr>
        <w:tabs>
          <w:tab w:val="clear" w:pos="709"/>
          <w:tab w:val="left" w:pos="1418" w:leader="none"/>
        </w:tabs>
        <w:bidi w:val="0"/>
        <w:ind w:hanging="283" w:start="1418"/>
        <w:jc w:val="start"/>
        <w:rPr/>
      </w:pPr>
      <w:r>
        <w:rPr/>
        <w:t xml:space="preserve">Go to the </w:t>
      </w:r>
      <w:r>
        <w:rPr>
          <w:b/>
        </w:rPr>
        <w:t>Piranha Profits lesson page → Lesson 4 → "Course Notes and Resources"</w:t>
      </w:r>
      <w:r>
        <w:rPr/>
        <w:t xml:space="preserve"> at the end of the lesson.</w:t>
      </w:r>
    </w:p>
    <w:p>
      <w:pPr>
        <w:pStyle w:val="BodyText"/>
        <w:numPr>
          <w:ilvl w:val="1"/>
          <w:numId w:val="199"/>
        </w:numPr>
        <w:tabs>
          <w:tab w:val="clear" w:pos="709"/>
          <w:tab w:val="left" w:pos="1418" w:leader="none"/>
        </w:tabs>
        <w:bidi w:val="0"/>
        <w:ind w:hanging="283" w:start="1418"/>
        <w:jc w:val="start"/>
        <w:rPr/>
      </w:pPr>
      <w:r>
        <w:rPr/>
        <w:t xml:space="preserve">Below the course notes, find </w:t>
      </w:r>
      <w:r>
        <w:rPr>
          <w:b/>
        </w:rPr>
        <w:t>"Total Revenue vs Accounts Receivables" custom indicator for TradingView</w:t>
      </w:r>
      <w:r>
        <w:rPr/>
        <w:t xml:space="preserve"> and click the link.</w:t>
      </w:r>
    </w:p>
    <w:p>
      <w:pPr>
        <w:pStyle w:val="BodyText"/>
        <w:numPr>
          <w:ilvl w:val="1"/>
          <w:numId w:val="199"/>
        </w:numPr>
        <w:tabs>
          <w:tab w:val="clear" w:pos="709"/>
          <w:tab w:val="left" w:pos="1418" w:leader="none"/>
        </w:tabs>
        <w:bidi w:val="0"/>
        <w:ind w:hanging="283" w:start="1418"/>
        <w:jc w:val="start"/>
        <w:rPr/>
      </w:pPr>
      <w:r>
        <w:rPr/>
        <w:t xml:space="preserve">Scroll down and click </w:t>
      </w:r>
      <w:r>
        <w:rPr>
          <w:b/>
        </w:rPr>
        <w:t>"Add to Favorites"</w:t>
      </w:r>
      <w:r>
        <w:rPr/>
        <w:t xml:space="preserve">. (You need a </w:t>
      </w:r>
      <w:r>
        <w:rPr>
          <w:b/>
        </w:rPr>
        <w:t>TradingView account — a free account is fine</w:t>
      </w:r>
      <w:r>
        <w:rPr/>
        <w:t>; register and log in first.)</w:t>
      </w:r>
    </w:p>
    <w:p>
      <w:pPr>
        <w:pStyle w:val="BodyText"/>
        <w:numPr>
          <w:ilvl w:val="1"/>
          <w:numId w:val="199"/>
        </w:numPr>
        <w:tabs>
          <w:tab w:val="clear" w:pos="709"/>
          <w:tab w:val="left" w:pos="1418" w:leader="none"/>
        </w:tabs>
        <w:bidi w:val="0"/>
        <w:ind w:hanging="283" w:start="1418"/>
        <w:jc w:val="start"/>
        <w:rPr/>
      </w:pPr>
      <w:r>
        <w:rPr/>
        <w:t xml:space="preserve">In TradingView (web charts or the desktop app) → </w:t>
      </w:r>
      <w:r>
        <w:rPr>
          <w:b/>
        </w:rPr>
        <w:t>Indicators → Favorites → "Revenue vs Accounts Receivables"</w:t>
      </w:r>
      <w:r>
        <w:rPr/>
        <w:t>.</w:t>
      </w:r>
    </w:p>
    <w:p>
      <w:pPr>
        <w:pStyle w:val="BodyText"/>
        <w:numPr>
          <w:ilvl w:val="1"/>
          <w:numId w:val="199"/>
        </w:numPr>
        <w:tabs>
          <w:tab w:val="clear" w:pos="709"/>
          <w:tab w:val="left" w:pos="1418" w:leader="none"/>
        </w:tabs>
        <w:bidi w:val="0"/>
        <w:ind w:hanging="283" w:start="1418"/>
        <w:jc w:val="start"/>
        <w:rPr/>
      </w:pPr>
      <w:r>
        <w:rPr/>
        <w:t xml:space="preserve">It auto-plots </w:t>
      </w:r>
      <w:r>
        <w:rPr>
          <w:b/>
        </w:rPr>
        <w:t>revenue in green</w:t>
      </w:r>
      <w:r>
        <w:rPr/>
        <w:t xml:space="preserve"> vs </w:t>
      </w:r>
      <w:r>
        <w:rPr>
          <w:b/>
        </w:rPr>
        <w:t>accounts receivable in red</w:t>
      </w:r>
      <w:r>
        <w:rPr/>
        <w:t>.</w:t>
      </w:r>
    </w:p>
    <w:p>
      <w:pPr>
        <w:pStyle w:val="BodyText"/>
        <w:numPr>
          <w:ilvl w:val="0"/>
          <w:numId w:val="199"/>
        </w:numPr>
        <w:tabs>
          <w:tab w:val="clear" w:pos="709"/>
          <w:tab w:val="left" w:pos="709" w:leader="none"/>
        </w:tabs>
        <w:bidi w:val="0"/>
        <w:ind w:hanging="283" w:start="709"/>
        <w:jc w:val="start"/>
        <w:rPr/>
      </w:pPr>
      <w:r>
        <w:rPr/>
        <w:t xml:space="preserve">Example shown: </w:t>
      </w:r>
      <w:r>
        <w:rPr>
          <w:b/>
        </w:rPr>
        <w:t>Alphabet</w:t>
      </w:r>
      <w:r>
        <w:rPr/>
        <w:t xml:space="preserve"> — revenue growing faster than accounts receivable. </w:t>
      </w:r>
      <w:r>
        <w:rPr>
          <w:i/>
        </w:rPr>
        <w:t>"So that's great."</w:t>
      </w:r>
    </w:p>
    <w:p>
      <w:pPr>
        <w:pStyle w:val="Heading4"/>
        <w:numPr>
          <w:ilvl w:val="0"/>
          <w:numId w:val="0"/>
        </w:numPr>
        <w:bidi w:val="0"/>
        <w:ind w:hanging="0" w:start="0"/>
        <w:jc w:val="start"/>
        <w:rPr/>
      </w:pPr>
      <w:r>
        <w:rPr/>
        <w:t>5.4 CCC — Cash Conversion Cycle (management effectiveness)</w:t>
      </w:r>
    </w:p>
    <w:p>
      <w:pPr>
        <w:pStyle w:val="PreformattedText"/>
        <w:shd w:fill="E1E1E1" w:val="clear"/>
        <w:bidi w:val="0"/>
        <w:spacing w:before="0" w:after="283"/>
        <w:jc w:val="start"/>
        <w:rPr/>
      </w:pPr>
      <w:r>
        <w:rPr/>
        <w:t>CCC = DIO + DSO − DPO</w:t>
        <w:br/>
        <w:br/>
        <w:t>DIO (Days Inventory Outstanding)  = Average Inventory ÷ Cost of Goods Sold × 365</w:t>
        <w:br/>
        <w:t>DSO (Days Sales Outstanding)      = Accounts Receivable ÷ Net Credit Sales</w:t>
        <w:br/>
        <w:t>DPO (Days Payable Outstanding)</w:t>
      </w:r>
    </w:p>
    <w:p>
      <w:pPr>
        <w:pStyle w:val="BodyText"/>
        <w:numPr>
          <w:ilvl w:val="0"/>
          <w:numId w:val="200"/>
        </w:numPr>
        <w:tabs>
          <w:tab w:val="clear" w:pos="709"/>
          <w:tab w:val="left" w:pos="709" w:leader="none"/>
        </w:tabs>
        <w:bidi w:val="0"/>
        <w:ind w:hanging="283" w:start="709"/>
        <w:jc w:val="start"/>
        <w:rPr/>
      </w:pPr>
      <w:r>
        <w:rPr>
          <w:b/>
        </w:rPr>
        <w:t>What it measures:</w:t>
      </w:r>
      <w:r>
        <w:rPr/>
        <w:t xml:space="preserve"> </w:t>
      </w:r>
      <w:r>
        <w:rPr>
          <w:i/>
        </w:rPr>
        <w:t>"the length of time in days that it takes for a company to convert its investments in inventory and other resources into cash flows from sales."</w:t>
      </w:r>
    </w:p>
    <w:p>
      <w:pPr>
        <w:pStyle w:val="BodyText"/>
        <w:numPr>
          <w:ilvl w:val="0"/>
          <w:numId w:val="200"/>
        </w:numPr>
        <w:tabs>
          <w:tab w:val="clear" w:pos="709"/>
          <w:tab w:val="left" w:pos="709" w:leader="none"/>
        </w:tabs>
        <w:bidi w:val="0"/>
        <w:ind w:hanging="283" w:start="709"/>
        <w:jc w:val="start"/>
        <w:rPr/>
      </w:pPr>
      <w:r>
        <w:rPr>
          <w:b/>
        </w:rPr>
        <w:t xml:space="preserve">⚠️ </w:t>
      </w:r>
      <w:r>
        <w:rPr>
          <w:b/>
        </w:rPr>
        <w:t>APPLIES ONLY to retail companies that sell physical goods</w:t>
      </w:r>
      <w:r>
        <w:rPr/>
        <w:t xml:space="preserve"> — e.g. </w:t>
      </w:r>
      <w:r>
        <w:rPr>
          <w:b/>
        </w:rPr>
        <w:t>Nike, Apple, Walmart, Costco, Pepsi</w:t>
      </w:r>
      <w:r>
        <w:rPr/>
        <w:t xml:space="preserve">. </w:t>
      </w:r>
      <w:r>
        <w:rPr>
          <w:b/>
        </w:rPr>
        <w:t>Does NOT apply</w:t>
      </w:r>
      <w:r>
        <w:rPr/>
        <w:t xml:space="preserve"> to companies that do not sell a physical product — e.g. </w:t>
      </w:r>
      <w:r>
        <w:rPr>
          <w:b/>
        </w:rPr>
        <w:t>Google, YouTube, Microsoft</w:t>
      </w:r>
      <w:r>
        <w:rPr/>
        <w:t>.</w:t>
      </w:r>
    </w:p>
    <w:p>
      <w:pPr>
        <w:pStyle w:val="BodyText"/>
        <w:bidi w:val="0"/>
        <w:jc w:val="start"/>
        <w:rPr/>
      </w:pPr>
      <w:r>
        <w:rPr>
          <w:b/>
        </w:rPr>
        <w:t>Intuition examples:</w:t>
      </w:r>
    </w:p>
    <w:p>
      <w:pPr>
        <w:pStyle w:val="BodyText"/>
        <w:numPr>
          <w:ilvl w:val="0"/>
          <w:numId w:val="201"/>
        </w:numPr>
        <w:tabs>
          <w:tab w:val="clear" w:pos="709"/>
          <w:tab w:val="left" w:pos="709" w:leader="none"/>
        </w:tabs>
        <w:bidi w:val="0"/>
        <w:ind w:hanging="283" w:start="709"/>
        <w:jc w:val="start"/>
        <w:rPr/>
      </w:pPr>
      <w:r>
        <w:rPr>
          <w:b/>
        </w:rPr>
        <w:t>A restaurant:</w:t>
      </w:r>
      <w:r>
        <w:rPr/>
        <w:t xml:space="preserve"> take out cash → buy ingredients → cook → sell → customer pays. </w:t>
      </w:r>
      <w:r>
        <w:rPr>
          <w:b/>
        </w:rPr>
        <w:t>CCC ≈ 1 to 3 days.</w:t>
      </w:r>
    </w:p>
    <w:p>
      <w:pPr>
        <w:pStyle w:val="BodyText"/>
        <w:numPr>
          <w:ilvl w:val="0"/>
          <w:numId w:val="201"/>
        </w:numPr>
        <w:tabs>
          <w:tab w:val="clear" w:pos="709"/>
          <w:tab w:val="left" w:pos="709" w:leader="none"/>
        </w:tabs>
        <w:bidi w:val="0"/>
        <w:ind w:hanging="283" w:start="709"/>
        <w:jc w:val="start"/>
        <w:rPr/>
      </w:pPr>
      <w:r>
        <w:rPr>
          <w:b/>
        </w:rPr>
        <w:t>A real estate company:</w:t>
      </w:r>
      <w:r>
        <w:rPr/>
        <w:t xml:space="preserve"> take out cash → buy land → spend on marketing and materials → buyers pay progressively as construction proceeds. </w:t>
      </w:r>
      <w:r>
        <w:rPr>
          <w:b/>
        </w:rPr>
        <w:t>CCC ≈ 3 to 5 years / "two or three years."</w:t>
      </w:r>
    </w:p>
    <w:p>
      <w:pPr>
        <w:pStyle w:val="BodyText"/>
        <w:bidi w:val="0"/>
        <w:jc w:val="start"/>
        <w:rPr/>
      </w:pPr>
      <w:r>
        <w:rPr>
          <w:b/>
        </w:rPr>
        <w:t>The rule:</w:t>
      </w:r>
    </w:p>
    <w:p>
      <w:pPr>
        <w:pStyle w:val="BodyText"/>
        <w:numPr>
          <w:ilvl w:val="0"/>
          <w:numId w:val="202"/>
        </w:numPr>
        <w:tabs>
          <w:tab w:val="clear" w:pos="709"/>
          <w:tab w:val="left" w:pos="709" w:leader="none"/>
        </w:tabs>
        <w:bidi w:val="0"/>
        <w:ind w:hanging="283" w:start="709"/>
        <w:jc w:val="start"/>
        <w:rPr/>
      </w:pPr>
      <w:r>
        <w:rPr>
          <w:b/>
        </w:rPr>
        <w:t>It does not matter how long or short the CCC is — what matters is that it is CONSISTENT.</w:t>
      </w:r>
    </w:p>
    <w:p>
      <w:pPr>
        <w:pStyle w:val="BodyText"/>
        <w:numPr>
          <w:ilvl w:val="0"/>
          <w:numId w:val="202"/>
        </w:numPr>
        <w:tabs>
          <w:tab w:val="clear" w:pos="709"/>
          <w:tab w:val="left" w:pos="709" w:leader="none"/>
        </w:tabs>
        <w:bidi w:val="0"/>
        <w:ind w:hanging="283" w:start="709"/>
        <w:jc w:val="start"/>
        <w:rPr/>
      </w:pPr>
      <w:r>
        <w:rPr>
          <w:b/>
        </w:rPr>
        <w:t>Consistent or getting shorter = good</w:t>
      </w:r>
      <w:r>
        <w:rPr/>
        <w:t xml:space="preserve"> — the company is getting its money back faster and is </w:t>
      </w:r>
      <w:r>
        <w:rPr>
          <w:b/>
        </w:rPr>
        <w:t>very efficient at turning around its inventory.</w:t>
      </w:r>
    </w:p>
    <w:p>
      <w:pPr>
        <w:pStyle w:val="BodyText"/>
        <w:numPr>
          <w:ilvl w:val="0"/>
          <w:numId w:val="202"/>
        </w:numPr>
        <w:tabs>
          <w:tab w:val="clear" w:pos="709"/>
          <w:tab w:val="left" w:pos="709" w:leader="none"/>
        </w:tabs>
        <w:bidi w:val="0"/>
        <w:ind w:hanging="283" w:start="709"/>
        <w:jc w:val="start"/>
        <w:rPr/>
      </w:pPr>
      <w:r>
        <w:rPr>
          <w:b/>
        </w:rPr>
        <w:t>Getting longer and longer = RED FLAG</w:t>
      </w:r>
      <w:r>
        <w:rPr/>
        <w:t xml:space="preserve"> — the company </w:t>
      </w:r>
      <w:r>
        <w:rPr>
          <w:b/>
        </w:rPr>
        <w:t>could be in trouble because it's not able to sell the inventory fast enough to get back the cash.</w:t>
      </w:r>
    </w:p>
    <w:p>
      <w:pPr>
        <w:pStyle w:val="BodyText"/>
        <w:numPr>
          <w:ilvl w:val="0"/>
          <w:numId w:val="202"/>
        </w:numPr>
        <w:tabs>
          <w:tab w:val="clear" w:pos="709"/>
          <w:tab w:val="left" w:pos="709" w:leader="none"/>
        </w:tabs>
        <w:bidi w:val="0"/>
        <w:ind w:hanging="283" w:start="709"/>
        <w:jc w:val="start"/>
        <w:rPr/>
      </w:pPr>
      <w:r>
        <w:rPr>
          <w:b/>
        </w:rPr>
        <w:t>A NEGATIVE cash conversion cycle is the best</w:t>
      </w:r>
      <w:r>
        <w:rPr/>
        <w:t xml:space="preserve"> — it means </w:t>
      </w:r>
      <w:r>
        <w:rPr>
          <w:b/>
        </w:rPr>
        <w:t>the business collects cash upfront BEFORE it pays its suppliers.</w:t>
      </w:r>
      <w:r>
        <w:rPr/>
        <w:t xml:space="preserve"> </w:t>
      </w:r>
      <w:r>
        <w:rPr>
          <w:b/>
        </w:rPr>
        <w:t>Pepsi's CCC is negative all the way</w:t>
      </w:r>
      <w:r>
        <w:rPr/>
        <w:t xml:space="preserve"> — </w:t>
      </w:r>
      <w:r>
        <w:rPr>
          <w:i/>
        </w:rPr>
        <w:t>"that's very, very good."</w:t>
      </w:r>
    </w:p>
    <w:p>
      <w:pPr>
        <w:pStyle w:val="BodyText"/>
        <w:bidi w:val="0"/>
        <w:jc w:val="start"/>
        <w:rPr/>
      </w:pPr>
      <w:r>
        <w:rPr>
          <w:b/>
        </w:rPr>
        <w:t>Where to find it:</w:t>
      </w:r>
    </w:p>
    <w:p>
      <w:pPr>
        <w:pStyle w:val="BodyText"/>
        <w:numPr>
          <w:ilvl w:val="0"/>
          <w:numId w:val="203"/>
        </w:numPr>
        <w:tabs>
          <w:tab w:val="clear" w:pos="709"/>
          <w:tab w:val="left" w:pos="709" w:leader="none"/>
        </w:tabs>
        <w:bidi w:val="0"/>
        <w:ind w:hanging="283" w:start="709"/>
        <w:jc w:val="start"/>
        <w:rPr/>
      </w:pPr>
      <w:r>
        <w:rPr>
          <w:b/>
        </w:rPr>
        <w:t>TradingView:</w:t>
      </w:r>
      <w:r>
        <w:rPr/>
        <w:t xml:space="preserve"> ticker → 5-year timeframe → </w:t>
      </w:r>
      <w:r>
        <w:rPr>
          <w:b/>
        </w:rPr>
        <w:t>Financials → type "cash conversion cycle"</w:t>
      </w:r>
      <w:r>
        <w:rPr/>
        <w:t xml:space="preserve"> → choose </w:t>
      </w:r>
      <w:r>
        <w:rPr>
          <w:b/>
        </w:rPr>
        <w:t>quarterly</w:t>
      </w:r>
      <w:r>
        <w:rPr/>
        <w:t xml:space="preserve"> (more data points) or annual. Example: </w:t>
      </w:r>
      <w:r>
        <w:rPr>
          <w:b/>
        </w:rPr>
        <w:t>Nike</w:t>
      </w:r>
      <w:r>
        <w:rPr/>
        <w:t xml:space="preserve"> — trend is flat, one bump up then coming down again → </w:t>
      </w:r>
      <w:r>
        <w:rPr>
          <w:i/>
        </w:rPr>
        <w:t>"it looks fine."</w:t>
      </w:r>
    </w:p>
    <w:p>
      <w:pPr>
        <w:pStyle w:val="BodyText"/>
        <w:numPr>
          <w:ilvl w:val="0"/>
          <w:numId w:val="203"/>
        </w:numPr>
        <w:tabs>
          <w:tab w:val="clear" w:pos="709"/>
          <w:tab w:val="left" w:pos="709" w:leader="none"/>
        </w:tabs>
        <w:bidi w:val="0"/>
        <w:ind w:hanging="283" w:start="709"/>
        <w:jc w:val="start"/>
        <w:rPr/>
      </w:pPr>
      <w:r>
        <w:rPr>
          <w:b/>
        </w:rPr>
        <w:t>StockOracle:</w:t>
      </w:r>
      <w:r>
        <w:rPr/>
        <w:t xml:space="preserve"> </w:t>
      </w:r>
      <w:r>
        <w:rPr>
          <w:b/>
        </w:rPr>
        <w:t>Financials → scroll down → cash conversion cycle chart</w:t>
      </w:r>
      <w:r>
        <w:rPr/>
        <w:t xml:space="preserve"> (hover for numbers); </w:t>
      </w:r>
      <w:r>
        <w:rPr>
          <w:b/>
        </w:rPr>
        <w:t>or Company Metrics → Efficiency Ratios</w:t>
      </w:r>
      <w:r>
        <w:rPr/>
        <w:t xml:space="preserve"> → shows current, </w:t>
      </w:r>
      <w:r>
        <w:rPr>
          <w:b/>
        </w:rPr>
        <w:t>5-year average</w:t>
      </w:r>
      <w:r>
        <w:rPr/>
        <w:t xml:space="preserve"> and </w:t>
      </w:r>
      <w:r>
        <w:rPr>
          <w:b/>
        </w:rPr>
        <w:t>10-year average</w:t>
      </w:r>
      <w:r>
        <w:rPr/>
        <w:t xml:space="preserve"> (history depth depends on your package).</w:t>
      </w:r>
    </w:p>
    <w:p>
      <w:pPr>
        <w:pStyle w:val="HorizontalLine"/>
        <w:bidi w:val="0"/>
        <w:jc w:val="start"/>
        <w:rPr/>
      </w:pPr>
      <w:r>
        <w:rPr/>
      </w:r>
    </w:p>
    <w:p>
      <w:pPr>
        <w:pStyle w:val="Heading3"/>
        <w:bidi w:val="0"/>
        <w:ind w:hanging="0" w:start="0"/>
        <w:jc w:val="start"/>
        <w:rPr/>
      </w:pPr>
      <w:r>
        <w:rPr/>
        <w:t>6. The 12-Point Fundamental Checklist (Adam's Full Summary)</w:t>
      </w:r>
    </w:p>
    <w:p>
      <w:pPr>
        <w:pStyle w:val="BlockQuotation"/>
        <w:bidi w:val="0"/>
        <w:jc w:val="start"/>
        <w:rPr/>
      </w:pPr>
      <w:r>
        <w:rPr>
          <w:i/>
        </w:rPr>
        <w:t>"If you can ensure that the company you invest in checks all the 12 points, you know it's a great company: it's very profitable, it's very safe, and it's well managed."</w:t>
      </w:r>
    </w:p>
    <w:p>
      <w:pPr>
        <w:pStyle w:val="Heading4"/>
        <w:bidi w:val="0"/>
        <w:ind w:hanging="0" w:start="0"/>
        <w:jc w:val="start"/>
        <w:rPr/>
      </w:pPr>
      <w:r>
        <w:rPr/>
        <w:t>Group A — Is the company PROFITABLE? (metrics 1–6)</w:t>
      </w:r>
    </w:p>
    <w:tbl>
      <w:tblPr>
        <w:tblW w:w="5000" w:type="pct"/>
        <w:jc w:val="start"/>
        <w:tblInd w:w="-5" w:type="dxa"/>
        <w:tblLayout w:type="fixed"/>
        <w:tblCellMar>
          <w:top w:w="55" w:type="dxa"/>
          <w:start w:w="55" w:type="dxa"/>
          <w:bottom w:w="55" w:type="dxa"/>
          <w:end w:w="55" w:type="dxa"/>
        </w:tblCellMar>
      </w:tblPr>
      <w:tblGrid>
        <w:gridCol w:w="3212"/>
        <w:gridCol w:w="3213"/>
        <w:gridCol w:w="3213"/>
      </w:tblGrid>
      <w:tr>
        <w:trPr>
          <w:tblHeader w:val="true"/>
        </w:trPr>
        <w:tc>
          <w:tcPr>
            <w:tcW w:w="3212" w:type="dxa"/>
            <w:tcBorders>
              <w:top w:val="single" w:sz="4" w:space="0" w:color="000000"/>
              <w:start w:val="single" w:sz="4" w:space="0" w:color="000000"/>
              <w:bottom w:val="single" w:sz="4" w:space="0" w:color="000000"/>
            </w:tcBorders>
          </w:tcPr>
          <w:p>
            <w:pPr>
              <w:pStyle w:val="TableHeading"/>
              <w:bidi w:val="0"/>
              <w:jc w:val="start"/>
              <w:rPr/>
            </w:pPr>
            <w:r>
              <w:rPr/>
              <w:t>#</w:t>
            </w:r>
          </w:p>
        </w:tc>
        <w:tc>
          <w:tcPr>
            <w:tcW w:w="3213" w:type="dxa"/>
            <w:tcBorders>
              <w:top w:val="single" w:sz="4" w:space="0" w:color="000000"/>
              <w:start w:val="single" w:sz="4" w:space="0" w:color="000000"/>
              <w:bottom w:val="single" w:sz="4" w:space="0" w:color="000000"/>
            </w:tcBorders>
          </w:tcPr>
          <w:p>
            <w:pPr>
              <w:pStyle w:val="TableHeading"/>
              <w:bidi w:val="0"/>
              <w:jc w:val="start"/>
              <w:rPr/>
            </w:pPr>
            <w:r>
              <w:rPr/>
              <w:t>Check</w:t>
            </w:r>
          </w:p>
        </w:tc>
        <w:tc>
          <w:tcPr>
            <w:tcW w:w="3213"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Threshold / rule</w:t>
            </w:r>
          </w:p>
        </w:tc>
      </w:tr>
      <w:tr>
        <w:trPr/>
        <w:tc>
          <w:tcPr>
            <w:tcW w:w="3212" w:type="dxa"/>
            <w:tcBorders>
              <w:start w:val="single" w:sz="4" w:space="0" w:color="000000"/>
              <w:bottom w:val="single" w:sz="4" w:space="0" w:color="000000"/>
            </w:tcBorders>
          </w:tcPr>
          <w:p>
            <w:pPr>
              <w:pStyle w:val="TableContents"/>
              <w:bidi w:val="0"/>
              <w:jc w:val="start"/>
              <w:rPr/>
            </w:pPr>
            <w:r>
              <w:rPr/>
              <w:t>1</w:t>
            </w:r>
          </w:p>
        </w:tc>
        <w:tc>
          <w:tcPr>
            <w:tcW w:w="3213" w:type="dxa"/>
            <w:tcBorders>
              <w:start w:val="single" w:sz="4" w:space="0" w:color="000000"/>
              <w:bottom w:val="single" w:sz="4" w:space="0" w:color="000000"/>
            </w:tcBorders>
          </w:tcPr>
          <w:p>
            <w:pPr>
              <w:pStyle w:val="TableContents"/>
              <w:bidi w:val="0"/>
              <w:jc w:val="start"/>
              <w:rPr/>
            </w:pPr>
            <w:r>
              <w:rPr>
                <w:b/>
              </w:rPr>
              <w:t>Sales revenue AND net income increasing consistently</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 xml:space="preserve">Over the </w:t>
            </w:r>
            <w:r>
              <w:rPr>
                <w:b/>
              </w:rPr>
              <w:t>last 5 years</w:t>
            </w:r>
            <w:r>
              <w:rPr/>
              <w:t xml:space="preserve"> (10 better). If net income is not consistent, </w:t>
            </w:r>
            <w:r>
              <w:rPr>
                <w:b/>
              </w:rPr>
              <w:t>operating income</w:t>
            </w:r>
            <w:r>
              <w:rPr/>
              <w:t xml:space="preserve"> must be growing consistently.</w:t>
            </w:r>
          </w:p>
        </w:tc>
      </w:tr>
      <w:tr>
        <w:trPr/>
        <w:tc>
          <w:tcPr>
            <w:tcW w:w="3212" w:type="dxa"/>
            <w:tcBorders>
              <w:start w:val="single" w:sz="4" w:space="0" w:color="000000"/>
              <w:bottom w:val="single" w:sz="4" w:space="0" w:color="000000"/>
            </w:tcBorders>
          </w:tcPr>
          <w:p>
            <w:pPr>
              <w:pStyle w:val="TableContents"/>
              <w:bidi w:val="0"/>
              <w:jc w:val="start"/>
              <w:rPr/>
            </w:pPr>
            <w:r>
              <w:rPr/>
              <w:t>2</w:t>
            </w:r>
          </w:p>
        </w:tc>
        <w:tc>
          <w:tcPr>
            <w:tcW w:w="3213" w:type="dxa"/>
            <w:tcBorders>
              <w:start w:val="single" w:sz="4" w:space="0" w:color="000000"/>
              <w:bottom w:val="single" w:sz="4" w:space="0" w:color="000000"/>
            </w:tcBorders>
          </w:tcPr>
          <w:p>
            <w:pPr>
              <w:pStyle w:val="TableContents"/>
              <w:bidi w:val="0"/>
              <w:jc w:val="start"/>
              <w:rPr/>
            </w:pPr>
            <w:r>
              <w:rPr>
                <w:b/>
              </w:rPr>
              <w:t>Cash flow from operations increasing consistently</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 xml:space="preserve">Over the </w:t>
            </w:r>
            <w:r>
              <w:rPr>
                <w:b/>
              </w:rPr>
              <w:t>last 5 years</w:t>
            </w:r>
          </w:p>
        </w:tc>
      </w:tr>
      <w:tr>
        <w:trPr/>
        <w:tc>
          <w:tcPr>
            <w:tcW w:w="3212" w:type="dxa"/>
            <w:tcBorders>
              <w:start w:val="single" w:sz="4" w:space="0" w:color="000000"/>
              <w:bottom w:val="single" w:sz="4" w:space="0" w:color="000000"/>
            </w:tcBorders>
          </w:tcPr>
          <w:p>
            <w:pPr>
              <w:pStyle w:val="TableContents"/>
              <w:bidi w:val="0"/>
              <w:jc w:val="start"/>
              <w:rPr/>
            </w:pPr>
            <w:r>
              <w:rPr/>
              <w:t>3</w:t>
            </w:r>
          </w:p>
        </w:tc>
        <w:tc>
          <w:tcPr>
            <w:tcW w:w="3213" w:type="dxa"/>
            <w:tcBorders>
              <w:start w:val="single" w:sz="4" w:space="0" w:color="000000"/>
              <w:bottom w:val="single" w:sz="4" w:space="0" w:color="000000"/>
            </w:tcBorders>
          </w:tcPr>
          <w:p>
            <w:pPr>
              <w:pStyle w:val="TableContents"/>
              <w:bidi w:val="0"/>
              <w:jc w:val="start"/>
              <w:rPr/>
            </w:pPr>
            <w:r>
              <w:rPr>
                <w:b/>
              </w:rPr>
              <w:t>Free cash flow consistently positive</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FCF = OCF − capex</w:t>
            </w:r>
          </w:p>
        </w:tc>
      </w:tr>
      <w:tr>
        <w:trPr/>
        <w:tc>
          <w:tcPr>
            <w:tcW w:w="3212" w:type="dxa"/>
            <w:tcBorders>
              <w:start w:val="single" w:sz="4" w:space="0" w:color="000000"/>
              <w:bottom w:val="single" w:sz="4" w:space="0" w:color="000000"/>
            </w:tcBorders>
          </w:tcPr>
          <w:p>
            <w:pPr>
              <w:pStyle w:val="TableContents"/>
              <w:bidi w:val="0"/>
              <w:jc w:val="start"/>
              <w:rPr/>
            </w:pPr>
            <w:r>
              <w:rPr/>
              <w:t>4</w:t>
            </w:r>
          </w:p>
        </w:tc>
        <w:tc>
          <w:tcPr>
            <w:tcW w:w="3213" w:type="dxa"/>
            <w:tcBorders>
              <w:start w:val="single" w:sz="4" w:space="0" w:color="000000"/>
              <w:bottom w:val="single" w:sz="4" w:space="0" w:color="000000"/>
            </w:tcBorders>
          </w:tcPr>
          <w:p>
            <w:pPr>
              <w:pStyle w:val="TableContents"/>
              <w:bidi w:val="0"/>
              <w:jc w:val="start"/>
              <w:rPr/>
            </w:pPr>
            <w:r>
              <w:rPr>
                <w:b/>
              </w:rPr>
              <w:t>Gross profit margin and net profit margin consistent or increasing</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Not decreasing; compare vs closest competitors too</w:t>
            </w:r>
          </w:p>
        </w:tc>
      </w:tr>
      <w:tr>
        <w:trPr/>
        <w:tc>
          <w:tcPr>
            <w:tcW w:w="3212" w:type="dxa"/>
            <w:tcBorders>
              <w:start w:val="single" w:sz="4" w:space="0" w:color="000000"/>
              <w:bottom w:val="single" w:sz="4" w:space="0" w:color="000000"/>
            </w:tcBorders>
          </w:tcPr>
          <w:p>
            <w:pPr>
              <w:pStyle w:val="TableContents"/>
              <w:bidi w:val="0"/>
              <w:jc w:val="start"/>
              <w:rPr/>
            </w:pPr>
            <w:r>
              <w:rPr/>
              <w:t>5</w:t>
            </w:r>
          </w:p>
        </w:tc>
        <w:tc>
          <w:tcPr>
            <w:tcW w:w="3213" w:type="dxa"/>
            <w:tcBorders>
              <w:start w:val="single" w:sz="4" w:space="0" w:color="000000"/>
              <w:bottom w:val="single" w:sz="4" w:space="0" w:color="000000"/>
            </w:tcBorders>
          </w:tcPr>
          <w:p>
            <w:pPr>
              <w:pStyle w:val="TableContents"/>
              <w:bidi w:val="0"/>
              <w:jc w:val="start"/>
              <w:rPr/>
            </w:pPr>
            <w:r>
              <w:rPr>
                <w:b/>
              </w:rPr>
              <w:t>ROE</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b/>
              </w:rPr>
              <w:t>12–15% or higher</w:t>
            </w:r>
          </w:p>
        </w:tc>
      </w:tr>
      <w:tr>
        <w:trPr/>
        <w:tc>
          <w:tcPr>
            <w:tcW w:w="3212" w:type="dxa"/>
            <w:tcBorders>
              <w:start w:val="single" w:sz="4" w:space="0" w:color="000000"/>
              <w:bottom w:val="single" w:sz="4" w:space="0" w:color="000000"/>
            </w:tcBorders>
          </w:tcPr>
          <w:p>
            <w:pPr>
              <w:pStyle w:val="TableContents"/>
              <w:bidi w:val="0"/>
              <w:jc w:val="start"/>
              <w:rPr/>
            </w:pPr>
            <w:r>
              <w:rPr/>
              <w:t>6</w:t>
            </w:r>
          </w:p>
        </w:tc>
        <w:tc>
          <w:tcPr>
            <w:tcW w:w="3213" w:type="dxa"/>
            <w:tcBorders>
              <w:start w:val="single" w:sz="4" w:space="0" w:color="000000"/>
              <w:bottom w:val="single" w:sz="4" w:space="0" w:color="000000"/>
            </w:tcBorders>
          </w:tcPr>
          <w:p>
            <w:pPr>
              <w:pStyle w:val="TableContents"/>
              <w:bidi w:val="0"/>
              <w:jc w:val="start"/>
              <w:rPr/>
            </w:pPr>
            <w:r>
              <w:rPr>
                <w:b/>
              </w:rPr>
              <w:t>ROIC</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b/>
              </w:rPr>
              <w:t>12–15% or higher</w:t>
            </w:r>
          </w:p>
        </w:tc>
      </w:tr>
    </w:tbl>
    <w:p>
      <w:pPr>
        <w:pStyle w:val="BodyText"/>
        <w:bidi w:val="0"/>
        <w:jc w:val="start"/>
        <w:rPr/>
      </w:pPr>
      <w:r>
        <w:rPr/>
      </w:r>
    </w:p>
    <w:p>
      <w:pPr>
        <w:pStyle w:val="Heading4"/>
        <w:bidi w:val="0"/>
        <w:ind w:hanging="0" w:start="0"/>
        <w:jc w:val="start"/>
        <w:rPr/>
      </w:pPr>
      <w:r>
        <w:rPr/>
        <w:t>Group B — Is the company FINANCIALLY STRONG? (metrics 7–10)</w:t>
      </w:r>
    </w:p>
    <w:p>
      <w:pPr>
        <w:pStyle w:val="BlockQuotation"/>
        <w:bidi w:val="0"/>
        <w:jc w:val="start"/>
        <w:rPr/>
      </w:pPr>
      <w:r>
        <w:rPr>
          <w:i/>
        </w:rPr>
        <w:t>"It's not going to go bankrupt easily. In fact, it's something you can buy and you can sleep soundly at night."</w:t>
      </w:r>
    </w:p>
    <w:tbl>
      <w:tblPr>
        <w:tblW w:w="5000" w:type="pct"/>
        <w:jc w:val="start"/>
        <w:tblInd w:w="-5" w:type="dxa"/>
        <w:tblLayout w:type="fixed"/>
        <w:tblCellMar>
          <w:top w:w="55" w:type="dxa"/>
          <w:start w:w="55" w:type="dxa"/>
          <w:bottom w:w="55" w:type="dxa"/>
          <w:end w:w="55" w:type="dxa"/>
        </w:tblCellMar>
      </w:tblPr>
      <w:tblGrid>
        <w:gridCol w:w="3212"/>
        <w:gridCol w:w="3213"/>
        <w:gridCol w:w="3213"/>
      </w:tblGrid>
      <w:tr>
        <w:trPr>
          <w:tblHeader w:val="true"/>
        </w:trPr>
        <w:tc>
          <w:tcPr>
            <w:tcW w:w="3212" w:type="dxa"/>
            <w:tcBorders>
              <w:top w:val="single" w:sz="4" w:space="0" w:color="000000"/>
              <w:start w:val="single" w:sz="4" w:space="0" w:color="000000"/>
              <w:bottom w:val="single" w:sz="4" w:space="0" w:color="000000"/>
            </w:tcBorders>
          </w:tcPr>
          <w:p>
            <w:pPr>
              <w:pStyle w:val="TableHeading"/>
              <w:bidi w:val="0"/>
              <w:jc w:val="start"/>
              <w:rPr/>
            </w:pPr>
            <w:r>
              <w:rPr/>
              <w:t>#</w:t>
            </w:r>
          </w:p>
        </w:tc>
        <w:tc>
          <w:tcPr>
            <w:tcW w:w="3213" w:type="dxa"/>
            <w:tcBorders>
              <w:top w:val="single" w:sz="4" w:space="0" w:color="000000"/>
              <w:start w:val="single" w:sz="4" w:space="0" w:color="000000"/>
              <w:bottom w:val="single" w:sz="4" w:space="0" w:color="000000"/>
            </w:tcBorders>
          </w:tcPr>
          <w:p>
            <w:pPr>
              <w:pStyle w:val="TableHeading"/>
              <w:bidi w:val="0"/>
              <w:jc w:val="start"/>
              <w:rPr/>
            </w:pPr>
            <w:r>
              <w:rPr/>
              <w:t>Check</w:t>
            </w:r>
          </w:p>
        </w:tc>
        <w:tc>
          <w:tcPr>
            <w:tcW w:w="3213"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Threshold</w:t>
            </w:r>
          </w:p>
        </w:tc>
      </w:tr>
      <w:tr>
        <w:trPr/>
        <w:tc>
          <w:tcPr>
            <w:tcW w:w="3212" w:type="dxa"/>
            <w:tcBorders>
              <w:start w:val="single" w:sz="4" w:space="0" w:color="000000"/>
              <w:bottom w:val="single" w:sz="4" w:space="0" w:color="000000"/>
            </w:tcBorders>
          </w:tcPr>
          <w:p>
            <w:pPr>
              <w:pStyle w:val="TableContents"/>
              <w:bidi w:val="0"/>
              <w:jc w:val="start"/>
              <w:rPr/>
            </w:pPr>
            <w:r>
              <w:rPr/>
              <w:t>7</w:t>
            </w:r>
          </w:p>
        </w:tc>
        <w:tc>
          <w:tcPr>
            <w:tcW w:w="3213" w:type="dxa"/>
            <w:tcBorders>
              <w:start w:val="single" w:sz="4" w:space="0" w:color="000000"/>
              <w:bottom w:val="single" w:sz="4" w:space="0" w:color="000000"/>
            </w:tcBorders>
          </w:tcPr>
          <w:p>
            <w:pPr>
              <w:pStyle w:val="TableContents"/>
              <w:bidi w:val="0"/>
              <w:jc w:val="start"/>
              <w:rPr/>
            </w:pPr>
            <w:r>
              <w:rPr>
                <w:b/>
              </w:rPr>
              <w:t>Current ratio</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b/>
              </w:rPr>
              <w:t>1 or more</w:t>
            </w:r>
          </w:p>
        </w:tc>
      </w:tr>
      <w:tr>
        <w:trPr/>
        <w:tc>
          <w:tcPr>
            <w:tcW w:w="3212" w:type="dxa"/>
            <w:tcBorders>
              <w:start w:val="single" w:sz="4" w:space="0" w:color="000000"/>
              <w:bottom w:val="single" w:sz="4" w:space="0" w:color="000000"/>
            </w:tcBorders>
          </w:tcPr>
          <w:p>
            <w:pPr>
              <w:pStyle w:val="TableContents"/>
              <w:bidi w:val="0"/>
              <w:jc w:val="start"/>
              <w:rPr/>
            </w:pPr>
            <w:r>
              <w:rPr/>
              <w:t>8</w:t>
            </w:r>
          </w:p>
        </w:tc>
        <w:tc>
          <w:tcPr>
            <w:tcW w:w="3213" w:type="dxa"/>
            <w:tcBorders>
              <w:start w:val="single" w:sz="4" w:space="0" w:color="000000"/>
              <w:bottom w:val="single" w:sz="4" w:space="0" w:color="000000"/>
            </w:tcBorders>
          </w:tcPr>
          <w:p>
            <w:pPr>
              <w:pStyle w:val="TableContents"/>
              <w:bidi w:val="0"/>
              <w:jc w:val="start"/>
              <w:rPr/>
            </w:pPr>
            <w:r>
              <w:rPr>
                <w:b/>
              </w:rPr>
              <w:t>Debt to EBITDA ratio</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b/>
              </w:rPr>
              <w:t>3 or less</w:t>
            </w:r>
          </w:p>
        </w:tc>
      </w:tr>
      <w:tr>
        <w:trPr/>
        <w:tc>
          <w:tcPr>
            <w:tcW w:w="3212" w:type="dxa"/>
            <w:tcBorders>
              <w:start w:val="single" w:sz="4" w:space="0" w:color="000000"/>
              <w:bottom w:val="single" w:sz="4" w:space="0" w:color="000000"/>
            </w:tcBorders>
          </w:tcPr>
          <w:p>
            <w:pPr>
              <w:pStyle w:val="TableContents"/>
              <w:bidi w:val="0"/>
              <w:jc w:val="start"/>
              <w:rPr/>
            </w:pPr>
            <w:r>
              <w:rPr/>
              <w:t>9</w:t>
            </w:r>
          </w:p>
        </w:tc>
        <w:tc>
          <w:tcPr>
            <w:tcW w:w="3213" w:type="dxa"/>
            <w:tcBorders>
              <w:start w:val="single" w:sz="4" w:space="0" w:color="000000"/>
              <w:bottom w:val="single" w:sz="4" w:space="0" w:color="000000"/>
            </w:tcBorders>
          </w:tcPr>
          <w:p>
            <w:pPr>
              <w:pStyle w:val="TableContents"/>
              <w:bidi w:val="0"/>
              <w:jc w:val="start"/>
              <w:rPr/>
            </w:pPr>
            <w:r>
              <w:rPr>
                <w:b/>
              </w:rPr>
              <w:t>Debt servicing ratio</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b/>
              </w:rPr>
              <w:t>Less than 30%</w:t>
            </w:r>
          </w:p>
        </w:tc>
      </w:tr>
      <w:tr>
        <w:trPr/>
        <w:tc>
          <w:tcPr>
            <w:tcW w:w="3212" w:type="dxa"/>
            <w:tcBorders>
              <w:start w:val="single" w:sz="4" w:space="0" w:color="000000"/>
              <w:bottom w:val="single" w:sz="4" w:space="0" w:color="000000"/>
            </w:tcBorders>
          </w:tcPr>
          <w:p>
            <w:pPr>
              <w:pStyle w:val="TableContents"/>
              <w:bidi w:val="0"/>
              <w:jc w:val="start"/>
              <w:rPr/>
            </w:pPr>
            <w:r>
              <w:rPr/>
              <w:t>10</w:t>
            </w:r>
          </w:p>
        </w:tc>
        <w:tc>
          <w:tcPr>
            <w:tcW w:w="3213" w:type="dxa"/>
            <w:tcBorders>
              <w:start w:val="single" w:sz="4" w:space="0" w:color="000000"/>
              <w:bottom w:val="single" w:sz="4" w:space="0" w:color="000000"/>
            </w:tcBorders>
          </w:tcPr>
          <w:p>
            <w:pPr>
              <w:pStyle w:val="TableContents"/>
              <w:bidi w:val="0"/>
              <w:jc w:val="start"/>
              <w:rPr/>
            </w:pPr>
            <w:r>
              <w:rPr>
                <w:b/>
              </w:rPr>
              <w:t>Special cases</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b/>
              </w:rPr>
              <w:t>Banks: Common Equity Tier 1 ratio &gt; 10%.</w:t>
            </w:r>
            <w:r>
              <w:rPr/>
              <w:t xml:space="preserve"> </w:t>
            </w:r>
            <w:r>
              <w:rPr>
                <w:b/>
              </w:rPr>
              <w:t>REITs: gearing ratio &lt; 45%.</w:t>
            </w:r>
          </w:p>
        </w:tc>
      </w:tr>
    </w:tbl>
    <w:p>
      <w:pPr>
        <w:pStyle w:val="BodyText"/>
        <w:bidi w:val="0"/>
        <w:jc w:val="start"/>
        <w:rPr/>
      </w:pPr>
      <w:r>
        <w:rPr/>
      </w:r>
    </w:p>
    <w:p>
      <w:pPr>
        <w:pStyle w:val="Heading4"/>
        <w:bidi w:val="0"/>
        <w:ind w:hanging="0" w:start="0"/>
        <w:jc w:val="start"/>
        <w:rPr/>
      </w:pPr>
      <w:r>
        <w:rPr/>
        <w:t>Group C — Is MANAGEMENT EFFECTIVE? (metrics 11–12)</w:t>
      </w:r>
    </w:p>
    <w:tbl>
      <w:tblPr>
        <w:tblW w:w="5000" w:type="pct"/>
        <w:jc w:val="start"/>
        <w:tblInd w:w="-5" w:type="dxa"/>
        <w:tblLayout w:type="fixed"/>
        <w:tblCellMar>
          <w:top w:w="55" w:type="dxa"/>
          <w:start w:w="55" w:type="dxa"/>
          <w:bottom w:w="55" w:type="dxa"/>
          <w:end w:w="55" w:type="dxa"/>
        </w:tblCellMar>
      </w:tblPr>
      <w:tblGrid>
        <w:gridCol w:w="3212"/>
        <w:gridCol w:w="3213"/>
        <w:gridCol w:w="3213"/>
      </w:tblGrid>
      <w:tr>
        <w:trPr>
          <w:tblHeader w:val="true"/>
        </w:trPr>
        <w:tc>
          <w:tcPr>
            <w:tcW w:w="3212" w:type="dxa"/>
            <w:tcBorders>
              <w:top w:val="single" w:sz="4" w:space="0" w:color="000000"/>
              <w:start w:val="single" w:sz="4" w:space="0" w:color="000000"/>
              <w:bottom w:val="single" w:sz="4" w:space="0" w:color="000000"/>
            </w:tcBorders>
          </w:tcPr>
          <w:p>
            <w:pPr>
              <w:pStyle w:val="TableHeading"/>
              <w:bidi w:val="0"/>
              <w:jc w:val="start"/>
              <w:rPr/>
            </w:pPr>
            <w:r>
              <w:rPr/>
              <w:t>#</w:t>
            </w:r>
          </w:p>
        </w:tc>
        <w:tc>
          <w:tcPr>
            <w:tcW w:w="3213" w:type="dxa"/>
            <w:tcBorders>
              <w:top w:val="single" w:sz="4" w:space="0" w:color="000000"/>
              <w:start w:val="single" w:sz="4" w:space="0" w:color="000000"/>
              <w:bottom w:val="single" w:sz="4" w:space="0" w:color="000000"/>
            </w:tcBorders>
          </w:tcPr>
          <w:p>
            <w:pPr>
              <w:pStyle w:val="TableHeading"/>
              <w:bidi w:val="0"/>
              <w:jc w:val="start"/>
              <w:rPr/>
            </w:pPr>
            <w:r>
              <w:rPr/>
              <w:t>Check</w:t>
            </w:r>
          </w:p>
        </w:tc>
        <w:tc>
          <w:tcPr>
            <w:tcW w:w="3213"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Threshold</w:t>
            </w:r>
          </w:p>
        </w:tc>
      </w:tr>
      <w:tr>
        <w:trPr/>
        <w:tc>
          <w:tcPr>
            <w:tcW w:w="3212" w:type="dxa"/>
            <w:tcBorders>
              <w:start w:val="single" w:sz="4" w:space="0" w:color="000000"/>
              <w:bottom w:val="single" w:sz="4" w:space="0" w:color="000000"/>
            </w:tcBorders>
          </w:tcPr>
          <w:p>
            <w:pPr>
              <w:pStyle w:val="TableContents"/>
              <w:bidi w:val="0"/>
              <w:jc w:val="start"/>
              <w:rPr/>
            </w:pPr>
            <w:r>
              <w:rPr/>
              <w:t>11</w:t>
            </w:r>
          </w:p>
        </w:tc>
        <w:tc>
          <w:tcPr>
            <w:tcW w:w="3213" w:type="dxa"/>
            <w:tcBorders>
              <w:start w:val="single" w:sz="4" w:space="0" w:color="000000"/>
              <w:bottom w:val="single" w:sz="4" w:space="0" w:color="000000"/>
            </w:tcBorders>
          </w:tcPr>
          <w:p>
            <w:pPr>
              <w:pStyle w:val="TableContents"/>
              <w:bidi w:val="0"/>
              <w:jc w:val="start"/>
              <w:rPr/>
            </w:pPr>
            <w:r>
              <w:rPr>
                <w:b/>
              </w:rPr>
              <w:t>Cash conversion cycle</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b/>
              </w:rPr>
              <w:t>Consistent or declining, NOT increasing.</w:t>
            </w:r>
            <w:r>
              <w:rPr/>
              <w:t xml:space="preserve"> </w:t>
            </w:r>
            <w:r>
              <w:rPr>
                <w:i/>
              </w:rPr>
              <w:t>Applies only to retail companies selling physical goods.</w:t>
            </w:r>
          </w:p>
        </w:tc>
      </w:tr>
      <w:tr>
        <w:trPr/>
        <w:tc>
          <w:tcPr>
            <w:tcW w:w="3212" w:type="dxa"/>
            <w:tcBorders>
              <w:start w:val="single" w:sz="4" w:space="0" w:color="000000"/>
              <w:bottom w:val="single" w:sz="4" w:space="0" w:color="000000"/>
            </w:tcBorders>
          </w:tcPr>
          <w:p>
            <w:pPr>
              <w:pStyle w:val="TableContents"/>
              <w:bidi w:val="0"/>
              <w:jc w:val="start"/>
              <w:rPr/>
            </w:pPr>
            <w:r>
              <w:rPr/>
              <w:t>12</w:t>
            </w:r>
          </w:p>
        </w:tc>
        <w:tc>
          <w:tcPr>
            <w:tcW w:w="3213" w:type="dxa"/>
            <w:tcBorders>
              <w:start w:val="single" w:sz="4" w:space="0" w:color="000000"/>
              <w:bottom w:val="single" w:sz="4" w:space="0" w:color="000000"/>
            </w:tcBorders>
          </w:tcPr>
          <w:p>
            <w:pPr>
              <w:pStyle w:val="TableContents"/>
              <w:bidi w:val="0"/>
              <w:jc w:val="start"/>
              <w:rPr/>
            </w:pPr>
            <w:r>
              <w:rPr>
                <w:b/>
              </w:rPr>
              <w:t>Accounts receivable vs sales revenue</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b/>
              </w:rPr>
              <w:t>Accounts receivable must NOT be growing faster than sales revenue.</w:t>
            </w:r>
          </w:p>
        </w:tc>
      </w:tr>
    </w:tbl>
    <w:p>
      <w:pPr>
        <w:pStyle w:val="BodyText"/>
        <w:bidi w:val="0"/>
        <w:jc w:val="start"/>
        <w:rPr/>
      </w:pPr>
      <w:r>
        <w:rPr/>
      </w:r>
    </w:p>
    <w:p>
      <w:pPr>
        <w:pStyle w:val="HorizontalLine"/>
        <w:bidi w:val="0"/>
        <w:jc w:val="start"/>
        <w:rPr/>
      </w:pPr>
      <w:r>
        <w:rPr/>
      </w:r>
    </w:p>
    <w:p>
      <w:pPr>
        <w:pStyle w:val="Heading3"/>
        <w:bidi w:val="0"/>
        <w:ind w:hanging="0" w:start="0"/>
        <w:jc w:val="start"/>
        <w:rPr/>
      </w:pPr>
      <w:r>
        <w:rPr/>
        <w:t>7. Case Study — HYFLUX (how the 12 metrics would have saved you)</w:t>
      </w:r>
    </w:p>
    <w:p>
      <w:pPr>
        <w:pStyle w:val="Heading4"/>
        <w:bidi w:val="0"/>
        <w:ind w:hanging="0" w:start="0"/>
        <w:jc w:val="start"/>
        <w:rPr/>
      </w:pPr>
      <w:r>
        <w:rPr/>
        <w:t>7.1 What Hyflux was</w:t>
      </w:r>
    </w:p>
    <w:p>
      <w:pPr>
        <w:pStyle w:val="BodyText"/>
        <w:numPr>
          <w:ilvl w:val="0"/>
          <w:numId w:val="204"/>
        </w:numPr>
        <w:tabs>
          <w:tab w:val="clear" w:pos="709"/>
          <w:tab w:val="left" w:pos="709" w:leader="none"/>
        </w:tabs>
        <w:bidi w:val="0"/>
        <w:ind w:hanging="283" w:start="709"/>
        <w:jc w:val="start"/>
        <w:rPr/>
      </w:pPr>
      <w:r>
        <w:rPr/>
        <w:t xml:space="preserve">A </w:t>
      </w:r>
      <w:r>
        <w:rPr>
          <w:b/>
        </w:rPr>
        <w:t>water treatment company</w:t>
      </w:r>
      <w:r>
        <w:rPr/>
        <w:t xml:space="preserve">, a </w:t>
      </w:r>
      <w:r>
        <w:rPr>
          <w:b/>
        </w:rPr>
        <w:t>blue chip in Singapore</w:t>
      </w:r>
      <w:r>
        <w:rPr/>
        <w:t xml:space="preserve">, and </w:t>
      </w:r>
      <w:r>
        <w:rPr>
          <w:i/>
        </w:rPr>
        <w:t>"once upon a time the darling of the Singapore Stock Exchange."</w:t>
      </w:r>
    </w:p>
    <w:p>
      <w:pPr>
        <w:pStyle w:val="BodyText"/>
        <w:numPr>
          <w:ilvl w:val="0"/>
          <w:numId w:val="204"/>
        </w:numPr>
        <w:tabs>
          <w:tab w:val="clear" w:pos="709"/>
          <w:tab w:val="left" w:pos="709" w:leader="none"/>
        </w:tabs>
        <w:bidi w:val="0"/>
        <w:ind w:hanging="283" w:start="709"/>
        <w:jc w:val="start"/>
        <w:rPr/>
      </w:pPr>
      <w:r>
        <w:rPr>
          <w:b/>
        </w:rPr>
        <w:t>Widely promoted by analysts and stockbrokers.</w:t>
      </w:r>
    </w:p>
    <w:p>
      <w:pPr>
        <w:pStyle w:val="BodyText"/>
        <w:numPr>
          <w:ilvl w:val="0"/>
          <w:numId w:val="204"/>
        </w:numPr>
        <w:tabs>
          <w:tab w:val="clear" w:pos="709"/>
          <w:tab w:val="left" w:pos="709" w:leader="none"/>
        </w:tabs>
        <w:bidi w:val="0"/>
        <w:ind w:hanging="283" w:start="709"/>
        <w:jc w:val="start"/>
        <w:rPr/>
      </w:pPr>
      <w:r>
        <w:rPr/>
        <w:t xml:space="preserve">On the surface it looked good: </w:t>
      </w:r>
      <w:r>
        <w:rPr>
          <w:b/>
        </w:rPr>
        <w:t>profits were going up, revenue was going up.</w:t>
      </w:r>
    </w:p>
    <w:p>
      <w:pPr>
        <w:pStyle w:val="BodyText"/>
        <w:numPr>
          <w:ilvl w:val="0"/>
          <w:numId w:val="204"/>
        </w:numPr>
        <w:tabs>
          <w:tab w:val="clear" w:pos="709"/>
          <w:tab w:val="left" w:pos="709" w:leader="none"/>
        </w:tabs>
        <w:bidi w:val="0"/>
        <w:ind w:hanging="283" w:start="709"/>
        <w:jc w:val="start"/>
        <w:rPr/>
      </w:pPr>
      <w:r>
        <w:rPr>
          <w:b/>
        </w:rPr>
        <w:t>Temasek Holdings</w:t>
      </w:r>
      <w:r>
        <w:rPr/>
        <w:t xml:space="preserve"> — the </w:t>
      </w:r>
      <w:r>
        <w:rPr>
          <w:b/>
        </w:rPr>
        <w:t>Singapore government sovereign wealth fund</w:t>
      </w:r>
      <w:r>
        <w:rPr/>
        <w:t xml:space="preserve"> — was a big backer of the stock, which gave people a lot of confidence.</w:t>
      </w:r>
    </w:p>
    <w:p>
      <w:pPr>
        <w:pStyle w:val="Heading4"/>
        <w:numPr>
          <w:ilvl w:val="0"/>
          <w:numId w:val="0"/>
        </w:numPr>
        <w:bidi w:val="0"/>
        <w:ind w:hanging="0" w:start="0"/>
        <w:jc w:val="start"/>
        <w:rPr/>
      </w:pPr>
      <w:r>
        <w:rPr/>
        <w:t>7.2 What happened</w:t>
      </w:r>
    </w:p>
    <w:p>
      <w:pPr>
        <w:pStyle w:val="BodyText"/>
        <w:numPr>
          <w:ilvl w:val="0"/>
          <w:numId w:val="205"/>
        </w:numPr>
        <w:tabs>
          <w:tab w:val="clear" w:pos="709"/>
          <w:tab w:val="left" w:pos="709" w:leader="none"/>
        </w:tabs>
        <w:bidi w:val="0"/>
        <w:ind w:hanging="283" w:start="709"/>
        <w:jc w:val="start"/>
        <w:rPr/>
      </w:pPr>
      <w:r>
        <w:rPr/>
        <w:t xml:space="preserve">Share price collapsed from </w:t>
      </w:r>
      <w:r>
        <w:rPr>
          <w:b/>
        </w:rPr>
        <w:t>about $2 / $2.50 a share → 4 cents → eventually zero.</w:t>
      </w:r>
    </w:p>
    <w:p>
      <w:pPr>
        <w:pStyle w:val="BodyText"/>
        <w:numPr>
          <w:ilvl w:val="0"/>
          <w:numId w:val="205"/>
        </w:numPr>
        <w:tabs>
          <w:tab w:val="clear" w:pos="709"/>
          <w:tab w:val="left" w:pos="709" w:leader="none"/>
        </w:tabs>
        <w:bidi w:val="0"/>
        <w:ind w:hanging="283" w:start="709"/>
        <w:jc w:val="start"/>
        <w:rPr/>
      </w:pPr>
      <w:r>
        <w:rPr>
          <w:b/>
        </w:rPr>
        <w:t>Not only stock investors lost everything — bond investors lost hope of recovering any money at all.</w:t>
      </w:r>
    </w:p>
    <w:p>
      <w:pPr>
        <w:pStyle w:val="BodyText"/>
        <w:numPr>
          <w:ilvl w:val="0"/>
          <w:numId w:val="205"/>
        </w:numPr>
        <w:tabs>
          <w:tab w:val="clear" w:pos="709"/>
          <w:tab w:val="left" w:pos="709" w:leader="none"/>
        </w:tabs>
        <w:bidi w:val="0"/>
        <w:ind w:hanging="283" w:start="709"/>
        <w:jc w:val="start"/>
        <w:rPr/>
      </w:pPr>
      <w:r>
        <w:rPr/>
        <w:t xml:space="preserve">Adam </w:t>
      </w:r>
      <w:r>
        <w:rPr>
          <w:b/>
        </w:rPr>
        <w:t>never bought it and told his students to stay away</w:t>
      </w:r>
      <w:r>
        <w:rPr/>
        <w:t xml:space="preserve"> because </w:t>
      </w:r>
      <w:r>
        <w:rPr>
          <w:b/>
        </w:rPr>
        <w:t>the fundamentals failed many of the metrics.</w:t>
      </w:r>
    </w:p>
    <w:p>
      <w:pPr>
        <w:pStyle w:val="Heading4"/>
        <w:numPr>
          <w:ilvl w:val="0"/>
          <w:numId w:val="0"/>
        </w:numPr>
        <w:bidi w:val="0"/>
        <w:ind w:hanging="0" w:start="0"/>
        <w:jc w:val="start"/>
        <w:rPr/>
      </w:pPr>
      <w:r>
        <w:rPr/>
        <w:t>7.3 The warning signs, in the financial statements, years in advance</w:t>
      </w:r>
    </w:p>
    <w:p>
      <w:pPr>
        <w:pStyle w:val="BlockQuotation"/>
        <w:bidi w:val="0"/>
        <w:jc w:val="start"/>
        <w:rPr/>
      </w:pPr>
      <w:r>
        <w:rPr>
          <w:i/>
        </w:rPr>
        <w:t>"It didn't go bust overnight. Over the years, a lot of warning signs could be seen in the financial statements."</w:t>
      </w:r>
      <w:r>
        <w:rPr/>
        <w:t> </w:t>
      </w:r>
      <w:r>
        <w:rPr>
          <w:i/>
        </w:rPr>
        <w:t>"On the surface, revenue was growing, profit was growing — but if you dig deeper into the statement of cash flows, that's where you find problems. That's why I keep saying the statement of cash flows is the most important statement of all."</w:t>
      </w:r>
    </w:p>
    <w:p>
      <w:pPr>
        <w:pStyle w:val="BodyText"/>
        <w:bidi w:val="0"/>
        <w:jc w:val="start"/>
        <w:rPr/>
      </w:pPr>
      <w:r>
        <w:rPr>
          <w:b/>
        </w:rPr>
        <w:t xml:space="preserve">🚩 </w:t>
      </w:r>
      <w:r>
        <w:rPr>
          <w:b/>
        </w:rPr>
        <w:t>Red flag 1 — Negative and inconsistent operating cash flow (as far back as 2006)</w:t>
      </w:r>
    </w:p>
    <w:p>
      <w:pPr>
        <w:pStyle w:val="BodyText"/>
        <w:numPr>
          <w:ilvl w:val="0"/>
          <w:numId w:val="206"/>
        </w:numPr>
        <w:tabs>
          <w:tab w:val="clear" w:pos="709"/>
          <w:tab w:val="left" w:pos="709" w:leader="none"/>
        </w:tabs>
        <w:bidi w:val="0"/>
        <w:ind w:hanging="283" w:start="709"/>
        <w:jc w:val="start"/>
        <w:rPr/>
      </w:pPr>
      <w:r>
        <w:rPr>
          <w:b/>
        </w:rPr>
        <w:t>2006 through 2011</w:t>
      </w:r>
      <w:r>
        <w:rPr/>
        <w:t xml:space="preserve"> operating cash flow figures cited: </w:t>
      </w:r>
      <w:r>
        <w:rPr>
          <w:b/>
        </w:rPr>
        <w:t>−26.8 million, 74 million, 29 million, 60 million, −49.5 million</w:t>
      </w:r>
      <w:r>
        <w:rPr/>
        <w:t xml:space="preserve"> — </w:t>
      </w:r>
      <w:r>
        <w:rPr>
          <w:i/>
        </w:rPr>
        <w:t>"extremely inconsistent, negative, negative, negative."</w:t>
      </w:r>
    </w:p>
    <w:p>
      <w:pPr>
        <w:pStyle w:val="BodyText"/>
        <w:numPr>
          <w:ilvl w:val="0"/>
          <w:numId w:val="206"/>
        </w:numPr>
        <w:tabs>
          <w:tab w:val="clear" w:pos="709"/>
          <w:tab w:val="left" w:pos="709" w:leader="none"/>
        </w:tabs>
        <w:bidi w:val="0"/>
        <w:ind w:hanging="283" w:start="709"/>
        <w:jc w:val="start"/>
        <w:rPr/>
      </w:pPr>
      <w:r>
        <w:rPr/>
        <w:t xml:space="preserve">The rule is that operating cash flow must be </w:t>
      </w:r>
      <w:r>
        <w:rPr>
          <w:b/>
        </w:rPr>
        <w:t>increasing consistently</w:t>
      </w:r>
      <w:r>
        <w:rPr/>
        <w:t xml:space="preserve"> — Hyflux's was neither consistent nor reliably positive.</w:t>
      </w:r>
    </w:p>
    <w:p>
      <w:pPr>
        <w:pStyle w:val="BodyText"/>
        <w:bidi w:val="0"/>
        <w:jc w:val="start"/>
        <w:rPr/>
      </w:pPr>
      <w:r>
        <w:rPr>
          <w:b/>
        </w:rPr>
        <w:t xml:space="preserve">🚩 </w:t>
      </w:r>
      <w:r>
        <w:rPr>
          <w:b/>
        </w:rPr>
        <w:t>Red flag 2 — Negative free cash flow</w:t>
      </w:r>
    </w:p>
    <w:p>
      <w:pPr>
        <w:pStyle w:val="BodyText"/>
        <w:numPr>
          <w:ilvl w:val="0"/>
          <w:numId w:val="207"/>
        </w:numPr>
        <w:tabs>
          <w:tab w:val="clear" w:pos="709"/>
          <w:tab w:val="left" w:pos="709" w:leader="none"/>
        </w:tabs>
        <w:bidi w:val="0"/>
        <w:ind w:hanging="283" w:start="709"/>
        <w:jc w:val="start"/>
        <w:rPr/>
      </w:pPr>
      <w:r>
        <w:rPr/>
        <w:t xml:space="preserve">FCF = operating cash flow − </w:t>
      </w:r>
      <w:r>
        <w:rPr>
          <w:b/>
        </w:rPr>
        <w:t>purchase of PPE (property, plant and equipment) = capex</w:t>
      </w:r>
      <w:r>
        <w:rPr/>
        <w:t>.</w:t>
      </w:r>
    </w:p>
    <w:p>
      <w:pPr>
        <w:pStyle w:val="BodyText"/>
        <w:numPr>
          <w:ilvl w:val="0"/>
          <w:numId w:val="207"/>
        </w:numPr>
        <w:tabs>
          <w:tab w:val="clear" w:pos="709"/>
          <w:tab w:val="left" w:pos="709" w:leader="none"/>
        </w:tabs>
        <w:bidi w:val="0"/>
        <w:ind w:hanging="283" w:start="709"/>
        <w:jc w:val="start"/>
        <w:rPr/>
      </w:pPr>
      <w:r>
        <w:rPr>
          <w:b/>
        </w:rPr>
        <w:t>−</w:t>
      </w:r>
      <w:r>
        <w:rPr>
          <w:b/>
        </w:rPr>
        <w:t>26 million OCF − 19 million capex → negative free cash flow.</w:t>
      </w:r>
    </w:p>
    <w:p>
      <w:pPr>
        <w:pStyle w:val="BodyText"/>
        <w:numPr>
          <w:ilvl w:val="0"/>
          <w:numId w:val="207"/>
        </w:numPr>
        <w:tabs>
          <w:tab w:val="clear" w:pos="709"/>
          <w:tab w:val="left" w:pos="709" w:leader="none"/>
        </w:tabs>
        <w:bidi w:val="0"/>
        <w:ind w:hanging="283" w:start="709"/>
        <w:jc w:val="start"/>
        <w:rPr/>
      </w:pPr>
      <w:r>
        <w:rPr>
          <w:b/>
        </w:rPr>
        <w:t>29 million − 18 million → still positive</w:t>
      </w:r>
      <w:r>
        <w:rPr/>
        <w:t xml:space="preserve">, but </w:t>
      </w:r>
      <w:r>
        <w:rPr>
          <w:b/>
        </w:rPr>
        <w:t>it turns negative again</w:t>
      </w:r>
      <w:r>
        <w:rPr/>
        <w:t xml:space="preserve"> in following years.</w:t>
      </w:r>
    </w:p>
    <w:p>
      <w:pPr>
        <w:pStyle w:val="BodyText"/>
        <w:bidi w:val="0"/>
        <w:jc w:val="start"/>
        <w:rPr/>
      </w:pPr>
      <w:r>
        <w:rPr>
          <w:b/>
        </w:rPr>
        <w:t xml:space="preserve">🚩 </w:t>
      </w:r>
      <w:r>
        <w:rPr>
          <w:b/>
        </w:rPr>
        <w:t>Red flag 3 — Paying dividends while free cash flow was negative</w:t>
      </w:r>
    </w:p>
    <w:p>
      <w:pPr>
        <w:pStyle w:val="BodyText"/>
        <w:numPr>
          <w:ilvl w:val="0"/>
          <w:numId w:val="208"/>
        </w:numPr>
        <w:tabs>
          <w:tab w:val="clear" w:pos="709"/>
          <w:tab w:val="left" w:pos="709" w:leader="none"/>
        </w:tabs>
        <w:bidi w:val="0"/>
        <w:ind w:hanging="283" w:start="709"/>
        <w:jc w:val="start"/>
        <w:rPr/>
      </w:pPr>
      <w:r>
        <w:rPr>
          <w:i/>
        </w:rPr>
        <w:t>"If your company has negative free cash flow, should you be paying out dividends? No. You should be conserving cash… You should only pay out dividends if your free cash flow is positive and you have got excess cash."</w:t>
      </w:r>
    </w:p>
    <w:p>
      <w:pPr>
        <w:pStyle w:val="BodyText"/>
        <w:bidi w:val="0"/>
        <w:jc w:val="start"/>
        <w:rPr/>
      </w:pPr>
      <w:r>
        <w:rPr>
          <w:b/>
        </w:rPr>
        <w:t xml:space="preserve">🚩 </w:t>
      </w:r>
      <w:r>
        <w:rPr>
          <w:b/>
        </w:rPr>
        <w:t>Red flag 4 — Accounts receivable exploding vs revenue</w:t>
      </w:r>
    </w:p>
    <w:tbl>
      <w:tblPr>
        <w:tblW w:w="5000" w:type="pct"/>
        <w:jc w:val="start"/>
        <w:tblInd w:w="-5" w:type="dxa"/>
        <w:tblLayout w:type="fixed"/>
        <w:tblCellMar>
          <w:top w:w="55" w:type="dxa"/>
          <w:start w:w="55" w:type="dxa"/>
          <w:bottom w:w="55" w:type="dxa"/>
          <w:end w:w="55" w:type="dxa"/>
        </w:tblCellMar>
      </w:tblPr>
      <w:tblGrid>
        <w:gridCol w:w="3212"/>
        <w:gridCol w:w="3213"/>
        <w:gridCol w:w="3213"/>
      </w:tblGrid>
      <w:tr>
        <w:trPr>
          <w:tblHeader w:val="true"/>
        </w:trPr>
        <w:tc>
          <w:tcPr>
            <w:tcW w:w="3212" w:type="dxa"/>
            <w:tcBorders>
              <w:top w:val="single" w:sz="4" w:space="0" w:color="000000"/>
              <w:start w:val="single" w:sz="4" w:space="0" w:color="000000"/>
              <w:bottom w:val="single" w:sz="4" w:space="0" w:color="000000"/>
            </w:tcBorders>
          </w:tcPr>
          <w:p>
            <w:pPr>
              <w:pStyle w:val="TableHeading"/>
              <w:bidi w:val="0"/>
              <w:jc w:val="start"/>
              <w:rPr/>
            </w:pPr>
            <w:r>
              <w:rPr/>
              <w:t>Year sequence</w:t>
            </w:r>
          </w:p>
        </w:tc>
        <w:tc>
          <w:tcPr>
            <w:tcW w:w="3213" w:type="dxa"/>
            <w:tcBorders>
              <w:top w:val="single" w:sz="4" w:space="0" w:color="000000"/>
              <w:start w:val="single" w:sz="4" w:space="0" w:color="000000"/>
              <w:bottom w:val="single" w:sz="4" w:space="0" w:color="000000"/>
            </w:tcBorders>
          </w:tcPr>
          <w:p>
            <w:pPr>
              <w:pStyle w:val="TableHeading"/>
              <w:bidi w:val="0"/>
              <w:jc w:val="start"/>
              <w:rPr/>
            </w:pPr>
            <w:r>
              <w:rPr/>
              <w:t>Revenue</w:t>
            </w:r>
          </w:p>
        </w:tc>
        <w:tc>
          <w:tcPr>
            <w:tcW w:w="3213"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Trade / accounts receivable</w:t>
            </w:r>
          </w:p>
        </w:tc>
      </w:tr>
      <w:tr>
        <w:trPr/>
        <w:tc>
          <w:tcPr>
            <w:tcW w:w="3212" w:type="dxa"/>
            <w:tcBorders>
              <w:start w:val="single" w:sz="4" w:space="0" w:color="000000"/>
              <w:bottom w:val="single" w:sz="4" w:space="0" w:color="000000"/>
            </w:tcBorders>
          </w:tcPr>
          <w:p>
            <w:pPr>
              <w:pStyle w:val="TableContents"/>
              <w:bidi w:val="0"/>
              <w:jc w:val="start"/>
              <w:rPr/>
            </w:pPr>
            <w:r>
              <w:rPr/>
            </w:r>
          </w:p>
        </w:tc>
        <w:tc>
          <w:tcPr>
            <w:tcW w:w="3213" w:type="dxa"/>
            <w:tcBorders>
              <w:start w:val="single" w:sz="4" w:space="0" w:color="000000"/>
              <w:bottom w:val="single" w:sz="4" w:space="0" w:color="000000"/>
            </w:tcBorders>
          </w:tcPr>
          <w:p>
            <w:pPr>
              <w:pStyle w:val="TableContents"/>
              <w:bidi w:val="0"/>
              <w:jc w:val="start"/>
              <w:rPr/>
            </w:pPr>
            <w:r>
              <w:rPr>
                <w:b/>
              </w:rPr>
              <w:t>142 million</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b/>
              </w:rPr>
              <w:t>30 million</w:t>
            </w:r>
          </w:p>
        </w:tc>
      </w:tr>
      <w:tr>
        <w:trPr/>
        <w:tc>
          <w:tcPr>
            <w:tcW w:w="3212" w:type="dxa"/>
            <w:tcBorders>
              <w:start w:val="single" w:sz="4" w:space="0" w:color="000000"/>
              <w:bottom w:val="single" w:sz="4" w:space="0" w:color="000000"/>
            </w:tcBorders>
          </w:tcPr>
          <w:p>
            <w:pPr>
              <w:pStyle w:val="TableContents"/>
              <w:bidi w:val="0"/>
              <w:jc w:val="start"/>
              <w:rPr/>
            </w:pPr>
            <w:r>
              <w:rPr/>
            </w:r>
          </w:p>
        </w:tc>
        <w:tc>
          <w:tcPr>
            <w:tcW w:w="3213" w:type="dxa"/>
            <w:tcBorders>
              <w:start w:val="single" w:sz="4" w:space="0" w:color="000000"/>
              <w:bottom w:val="single" w:sz="4" w:space="0" w:color="000000"/>
            </w:tcBorders>
          </w:tcPr>
          <w:p>
            <w:pPr>
              <w:pStyle w:val="TableContents"/>
              <w:bidi w:val="0"/>
              <w:jc w:val="start"/>
              <w:rPr/>
            </w:pPr>
            <w:r>
              <w:rPr>
                <w:b/>
              </w:rPr>
              <w:t>192 million</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b/>
              </w:rPr>
              <w:t>46 million</w:t>
            </w:r>
          </w:p>
        </w:tc>
      </w:tr>
      <w:tr>
        <w:trPr/>
        <w:tc>
          <w:tcPr>
            <w:tcW w:w="3212" w:type="dxa"/>
            <w:tcBorders>
              <w:start w:val="single" w:sz="4" w:space="0" w:color="000000"/>
              <w:bottom w:val="single" w:sz="4" w:space="0" w:color="000000"/>
            </w:tcBorders>
          </w:tcPr>
          <w:p>
            <w:pPr>
              <w:pStyle w:val="TableContents"/>
              <w:bidi w:val="0"/>
              <w:jc w:val="start"/>
              <w:rPr/>
            </w:pPr>
            <w:r>
              <w:rPr/>
            </w:r>
          </w:p>
        </w:tc>
        <w:tc>
          <w:tcPr>
            <w:tcW w:w="3213" w:type="dxa"/>
            <w:tcBorders>
              <w:start w:val="single" w:sz="4" w:space="0" w:color="000000"/>
              <w:bottom w:val="single" w:sz="4" w:space="0" w:color="000000"/>
            </w:tcBorders>
          </w:tcPr>
          <w:p>
            <w:pPr>
              <w:pStyle w:val="TableContents"/>
              <w:bidi w:val="0"/>
              <w:jc w:val="start"/>
              <w:rPr/>
            </w:pPr>
            <w:r>
              <w:rPr>
                <w:b/>
              </w:rPr>
              <w:t>554 million</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b/>
              </w:rPr>
              <w:t>41 million</w:t>
            </w:r>
          </w:p>
        </w:tc>
      </w:tr>
      <w:tr>
        <w:trPr/>
        <w:tc>
          <w:tcPr>
            <w:tcW w:w="3212" w:type="dxa"/>
            <w:tcBorders>
              <w:start w:val="single" w:sz="4" w:space="0" w:color="000000"/>
              <w:bottom w:val="single" w:sz="4" w:space="0" w:color="000000"/>
            </w:tcBorders>
          </w:tcPr>
          <w:p>
            <w:pPr>
              <w:pStyle w:val="TableContents"/>
              <w:bidi w:val="0"/>
              <w:jc w:val="start"/>
              <w:rPr/>
            </w:pPr>
            <w:r>
              <w:rPr/>
            </w:r>
          </w:p>
        </w:tc>
        <w:tc>
          <w:tcPr>
            <w:tcW w:w="3213" w:type="dxa"/>
            <w:tcBorders>
              <w:start w:val="single" w:sz="4" w:space="0" w:color="000000"/>
              <w:bottom w:val="single" w:sz="4" w:space="0" w:color="000000"/>
            </w:tcBorders>
          </w:tcPr>
          <w:p>
            <w:pPr>
              <w:pStyle w:val="TableContents"/>
              <w:bidi w:val="0"/>
              <w:jc w:val="start"/>
              <w:rPr/>
            </w:pPr>
            <w:r>
              <w:rPr>
                <w:b/>
              </w:rPr>
              <w:t>524 million</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b/>
              </w:rPr>
              <w:t>27 million</w:t>
            </w:r>
          </w:p>
        </w:tc>
      </w:tr>
      <w:tr>
        <w:trPr/>
        <w:tc>
          <w:tcPr>
            <w:tcW w:w="3212" w:type="dxa"/>
            <w:tcBorders>
              <w:start w:val="single" w:sz="4" w:space="0" w:color="000000"/>
              <w:bottom w:val="single" w:sz="4" w:space="0" w:color="000000"/>
            </w:tcBorders>
          </w:tcPr>
          <w:p>
            <w:pPr>
              <w:pStyle w:val="TableContents"/>
              <w:bidi w:val="0"/>
              <w:jc w:val="start"/>
              <w:rPr/>
            </w:pPr>
            <w:r>
              <w:rPr/>
            </w:r>
          </w:p>
        </w:tc>
        <w:tc>
          <w:tcPr>
            <w:tcW w:w="3213" w:type="dxa"/>
            <w:tcBorders>
              <w:start w:val="single" w:sz="4" w:space="0" w:color="000000"/>
              <w:bottom w:val="single" w:sz="4" w:space="0" w:color="000000"/>
            </w:tcBorders>
          </w:tcPr>
          <w:p>
            <w:pPr>
              <w:pStyle w:val="TableContents"/>
              <w:bidi w:val="0"/>
              <w:jc w:val="start"/>
              <w:rPr/>
            </w:pPr>
            <w:r>
              <w:rPr>
                <w:b/>
              </w:rPr>
              <w:t>569 million</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b/>
              </w:rPr>
              <w:t>182 million</w:t>
            </w:r>
          </w:p>
        </w:tc>
      </w:tr>
    </w:tbl>
    <w:p>
      <w:pPr>
        <w:pStyle w:val="BodyText"/>
        <w:bidi w:val="0"/>
        <w:jc w:val="start"/>
        <w:rPr/>
      </w:pPr>
      <w:r>
        <w:rPr/>
      </w:r>
    </w:p>
    <w:p>
      <w:pPr>
        <w:pStyle w:val="BodyText"/>
        <w:numPr>
          <w:ilvl w:val="0"/>
          <w:numId w:val="209"/>
        </w:numPr>
        <w:tabs>
          <w:tab w:val="clear" w:pos="709"/>
          <w:tab w:val="left" w:pos="709" w:leader="none"/>
        </w:tabs>
        <w:bidi w:val="0"/>
        <w:ind w:hanging="283" w:start="709"/>
        <w:jc w:val="start"/>
        <w:rPr/>
      </w:pPr>
      <w:r>
        <w:rPr>
          <w:b/>
        </w:rPr>
        <w:t>In 2010, revenue grew 8% while accounts receivable grew 575%.</w:t>
      </w:r>
    </w:p>
    <w:p>
      <w:pPr>
        <w:pStyle w:val="BodyText"/>
        <w:numPr>
          <w:ilvl w:val="0"/>
          <w:numId w:val="209"/>
        </w:numPr>
        <w:tabs>
          <w:tab w:val="clear" w:pos="709"/>
          <w:tab w:val="left" w:pos="709" w:leader="none"/>
        </w:tabs>
        <w:bidi w:val="0"/>
        <w:ind w:hanging="283" w:start="709"/>
        <w:jc w:val="start"/>
        <w:rPr/>
      </w:pPr>
      <w:r>
        <w:rPr>
          <w:i/>
        </w:rPr>
        <w:t>"When accounts receivables suddenly jumps a lot higher than revenue, something's wrong with the business."</w:t>
      </w:r>
    </w:p>
    <w:p>
      <w:pPr>
        <w:pStyle w:val="BodyText"/>
        <w:bidi w:val="0"/>
        <w:jc w:val="start"/>
        <w:rPr/>
      </w:pPr>
      <w:r>
        <w:rPr>
          <w:b/>
        </w:rPr>
        <w:t xml:space="preserve">🚩 </w:t>
      </w:r>
      <w:r>
        <w:rPr>
          <w:b/>
        </w:rPr>
        <w:t>Red flag 5 — Unsustainable debt levels (Debt/EBITDA fail)</w:t>
      </w:r>
    </w:p>
    <w:p>
      <w:pPr>
        <w:pStyle w:val="BodyText"/>
        <w:numPr>
          <w:ilvl w:val="0"/>
          <w:numId w:val="210"/>
        </w:numPr>
        <w:tabs>
          <w:tab w:val="clear" w:pos="709"/>
          <w:tab w:val="left" w:pos="709" w:leader="none"/>
        </w:tabs>
        <w:bidi w:val="0"/>
        <w:ind w:hanging="283" w:start="709"/>
        <w:jc w:val="start"/>
        <w:rPr/>
      </w:pPr>
      <w:r>
        <w:rPr/>
        <w:t xml:space="preserve">Short-term debt: </w:t>
      </w:r>
      <w:r>
        <w:rPr>
          <w:b/>
        </w:rPr>
        <w:t>"loans and borrowings" of 95 million in 2010</w:t>
      </w:r>
      <w:r>
        <w:rPr/>
        <w:t xml:space="preserve"> (under current liabilities) </w:t>
      </w:r>
      <w:r>
        <w:rPr>
          <w:b/>
        </w:rPr>
        <w:t>+ long-term debt</w:t>
      </w:r>
    </w:p>
    <w:p>
      <w:pPr>
        <w:pStyle w:val="BodyText"/>
        <w:numPr>
          <w:ilvl w:val="0"/>
          <w:numId w:val="210"/>
        </w:numPr>
        <w:tabs>
          <w:tab w:val="clear" w:pos="709"/>
          <w:tab w:val="left" w:pos="709" w:leader="none"/>
        </w:tabs>
        <w:bidi w:val="0"/>
        <w:ind w:hanging="283" w:start="709"/>
        <w:jc w:val="start"/>
        <w:rPr/>
      </w:pPr>
      <w:r>
        <w:rPr>
          <w:b/>
        </w:rPr>
        <w:t>Total debt = $599 million</w:t>
      </w:r>
    </w:p>
    <w:p>
      <w:pPr>
        <w:pStyle w:val="BodyText"/>
        <w:numPr>
          <w:ilvl w:val="0"/>
          <w:numId w:val="210"/>
        </w:numPr>
        <w:tabs>
          <w:tab w:val="clear" w:pos="709"/>
          <w:tab w:val="left" w:pos="709" w:leader="none"/>
        </w:tabs>
        <w:bidi w:val="0"/>
        <w:ind w:hanging="283" w:start="709"/>
        <w:jc w:val="start"/>
        <w:rPr/>
      </w:pPr>
      <w:r>
        <w:rPr>
          <w:b/>
        </w:rPr>
        <w:t>EBITDA = 106 million</w:t>
      </w:r>
    </w:p>
    <w:p>
      <w:pPr>
        <w:pStyle w:val="BodyText"/>
        <w:numPr>
          <w:ilvl w:val="0"/>
          <w:numId w:val="210"/>
        </w:numPr>
        <w:tabs>
          <w:tab w:val="clear" w:pos="709"/>
          <w:tab w:val="left" w:pos="709" w:leader="none"/>
        </w:tabs>
        <w:bidi w:val="0"/>
        <w:ind w:hanging="283" w:start="709"/>
        <w:jc w:val="start"/>
        <w:rPr/>
      </w:pPr>
      <w:r>
        <w:rPr>
          <w:b/>
        </w:rPr>
        <w:t>Debt / EBITDA = 5.64</w:t>
      </w:r>
      <w:r>
        <w:rPr/>
        <w:t xml:space="preserve"> vs the threshold of </w:t>
      </w:r>
      <w:r>
        <w:rPr>
          <w:b/>
        </w:rPr>
        <w:t>3 or less</w:t>
      </w:r>
      <w:r>
        <w:rPr/>
        <w:t xml:space="preserve"> → </w:t>
      </w:r>
      <w:r>
        <w:rPr>
          <w:b/>
        </w:rPr>
        <w:t>"a big fail."</w:t>
      </w:r>
    </w:p>
    <w:p>
      <w:pPr>
        <w:pStyle w:val="Heading4"/>
        <w:numPr>
          <w:ilvl w:val="0"/>
          <w:numId w:val="0"/>
        </w:numPr>
        <w:bidi w:val="0"/>
        <w:ind w:hanging="0" w:start="0"/>
        <w:jc w:val="start"/>
        <w:rPr/>
      </w:pPr>
      <w:r>
        <w:rPr/>
        <w:t>7.4 Why so many investors still bought it</w:t>
      </w:r>
    </w:p>
    <w:p>
      <w:pPr>
        <w:pStyle w:val="BlockQuotation"/>
        <w:bidi w:val="0"/>
        <w:jc w:val="start"/>
        <w:rPr/>
      </w:pPr>
      <w:r>
        <w:rPr>
          <w:i/>
        </w:rPr>
        <w:t>"The trouble is most investors are lazy, or they're incompetent — they don't do a deep-dive research into the fundamentals of the business. They buy simply because of what they read in the media, because of what they are told by their bankers or their analysts or their brokers."</w:t>
      </w:r>
    </w:p>
    <w:p>
      <w:pPr>
        <w:pStyle w:val="BodyText"/>
        <w:numPr>
          <w:ilvl w:val="0"/>
          <w:numId w:val="211"/>
        </w:numPr>
        <w:tabs>
          <w:tab w:val="clear" w:pos="709"/>
          <w:tab w:val="left" w:pos="709" w:leader="none"/>
        </w:tabs>
        <w:bidi w:val="0"/>
        <w:spacing w:before="0" w:after="0"/>
        <w:ind w:hanging="283" w:start="709"/>
        <w:jc w:val="start"/>
        <w:rPr/>
      </w:pPr>
      <w:r>
        <w:rPr>
          <w:b/>
        </w:rPr>
        <w:t>"Temasek Holdings is a major investor, so it must be safe."</w:t>
      </w:r>
      <w:r>
        <w:rPr/>
        <w:t xml:space="preserve"> — </w:t>
      </w:r>
      <w:r>
        <w:rPr>
          <w:i/>
        </w:rPr>
        <w:t>"a very, very wrong belief system."</w:t>
      </w:r>
    </w:p>
    <w:p>
      <w:pPr>
        <w:pStyle w:val="BodyText"/>
        <w:numPr>
          <w:ilvl w:val="1"/>
          <w:numId w:val="211"/>
        </w:numPr>
        <w:tabs>
          <w:tab w:val="clear" w:pos="709"/>
          <w:tab w:val="left" w:pos="1418" w:leader="none"/>
        </w:tabs>
        <w:bidi w:val="0"/>
        <w:ind w:hanging="283" w:start="1418"/>
        <w:jc w:val="start"/>
        <w:rPr/>
      </w:pPr>
      <w:r>
        <w:rPr>
          <w:b/>
        </w:rPr>
        <w:t>What people didn't realize: Temasek invested in Hyflux very early on and had already sold most of its shares for a big profit. They were already out of the stock by the time retail investors were buying.</w:t>
      </w:r>
    </w:p>
    <w:p>
      <w:pPr>
        <w:pStyle w:val="BodyText"/>
        <w:numPr>
          <w:ilvl w:val="0"/>
          <w:numId w:val="211"/>
        </w:numPr>
        <w:tabs>
          <w:tab w:val="clear" w:pos="709"/>
          <w:tab w:val="left" w:pos="709" w:leader="none"/>
        </w:tabs>
        <w:bidi w:val="0"/>
        <w:ind w:hanging="283" w:start="709"/>
        <w:jc w:val="start"/>
        <w:rPr/>
      </w:pPr>
      <w:r>
        <w:rPr>
          <w:b/>
        </w:rPr>
        <w:t>The celebrity status of the CEO, Olivia Lum</w:t>
      </w:r>
      <w:r>
        <w:rPr/>
        <w:t xml:space="preserve"> — featured in </w:t>
      </w:r>
      <w:r>
        <w:rPr>
          <w:b/>
        </w:rPr>
        <w:t>Forbes Magazine</w:t>
      </w:r>
      <w:r>
        <w:rPr/>
        <w:t xml:space="preserve">, </w:t>
      </w:r>
      <w:r>
        <w:rPr>
          <w:b/>
        </w:rPr>
        <w:t>Entrepreneur of the Year</w:t>
      </w:r>
      <w:r>
        <w:rPr/>
        <w:t xml:space="preserve">, a </w:t>
      </w:r>
      <w:r>
        <w:rPr>
          <w:b/>
        </w:rPr>
        <w:t>Nominated Member of Parliament</w:t>
      </w:r>
      <w:r>
        <w:rPr/>
        <w:t xml:space="preserve">. </w:t>
      </w:r>
      <w:r>
        <w:rPr>
          <w:i/>
        </w:rPr>
        <w:t>"I'm not saying she's not a good businesswoman — in fact I think she's a very good businesswoman. But no matter how great you are, you make mistakes as well, so do I. Don't just be seduced by how good someone is."</w:t>
      </w:r>
    </w:p>
    <w:p>
      <w:pPr>
        <w:pStyle w:val="BodyText"/>
        <w:numPr>
          <w:ilvl w:val="0"/>
          <w:numId w:val="211"/>
        </w:numPr>
        <w:tabs>
          <w:tab w:val="clear" w:pos="709"/>
          <w:tab w:val="left" w:pos="709" w:leader="none"/>
        </w:tabs>
        <w:bidi w:val="0"/>
        <w:ind w:hanging="283" w:start="709"/>
        <w:jc w:val="start"/>
        <w:rPr/>
      </w:pPr>
      <w:r>
        <w:rPr>
          <w:b/>
        </w:rPr>
        <w:t>Blindly following analyst and bank recommendations</w:t>
      </w:r>
      <w:r>
        <w:rPr/>
        <w:t xml:space="preserve"> — e.g. </w:t>
      </w:r>
      <w:r>
        <w:rPr>
          <w:b/>
        </w:rPr>
        <w:t>Daiwa Capital Markets</w:t>
      </w:r>
      <w:r>
        <w:rPr/>
        <w:t xml:space="preserve"> said it believed Hyflux's share price had </w:t>
      </w:r>
      <w:r>
        <w:rPr>
          <w:b/>
        </w:rPr>
        <w:t>reached an inflection point on 7 March</w:t>
      </w:r>
      <w:r>
        <w:rPr/>
        <w:t xml:space="preserve">, expected the share price </w:t>
      </w:r>
      <w:r>
        <w:rPr>
          <w:b/>
        </w:rPr>
        <w:t>to continue to rise as sentiment improves</w:t>
      </w:r>
      <w:r>
        <w:rPr/>
        <w:t xml:space="preserve">, issued a </w:t>
      </w:r>
      <w:r>
        <w:rPr>
          <w:b/>
        </w:rPr>
        <w:t>BUY rating with a target price of $2.40.</w:t>
      </w:r>
      <w:r>
        <w:rPr/>
        <w:t xml:space="preserve"> The stock then collapsed to </w:t>
      </w:r>
      <w:r>
        <w:rPr>
          <w:b/>
        </w:rPr>
        <w:t>4 cents and then zero.</w:t>
      </w:r>
    </w:p>
    <w:p>
      <w:pPr>
        <w:pStyle w:val="BodyText"/>
        <w:numPr>
          <w:ilvl w:val="0"/>
          <w:numId w:val="211"/>
        </w:numPr>
        <w:tabs>
          <w:tab w:val="clear" w:pos="709"/>
          <w:tab w:val="left" w:pos="709" w:leader="none"/>
        </w:tabs>
        <w:bidi w:val="0"/>
        <w:ind w:hanging="283" w:start="709"/>
        <w:jc w:val="start"/>
        <w:rPr/>
      </w:pPr>
      <w:r>
        <w:rPr>
          <w:b/>
        </w:rPr>
        <w:t>"It's a water treatment business, so it must be a strategic investment — everyone needs water."</w:t>
      </w:r>
    </w:p>
    <w:p>
      <w:pPr>
        <w:pStyle w:val="BlockQuotation"/>
        <w:bidi w:val="0"/>
        <w:jc w:val="start"/>
        <w:rPr/>
      </w:pPr>
      <w:r>
        <w:rPr>
          <w:b/>
        </w:rPr>
        <w:t>Lesson:</w:t>
      </w:r>
      <w:r>
        <w:rPr/>
        <w:t xml:space="preserve"> </w:t>
      </w:r>
      <w:r>
        <w:rPr>
          <w:i/>
        </w:rPr>
        <w:t>"Do not be fooled by all these surface reasons for investing. You can always dig deep into the financial metrics of any investment."</w:t>
      </w:r>
    </w:p>
    <w:p>
      <w:pPr>
        <w:pStyle w:val="HorizontalLine"/>
        <w:bidi w:val="0"/>
        <w:jc w:val="start"/>
        <w:rPr/>
      </w:pPr>
      <w:r>
        <w:rPr/>
      </w:r>
    </w:p>
    <w:p>
      <w:pPr>
        <w:pStyle w:val="Heading3"/>
        <w:bidi w:val="0"/>
        <w:ind w:hanging="0" w:start="0"/>
        <w:jc w:val="start"/>
        <w:rPr/>
      </w:pPr>
      <w:r>
        <w:rPr/>
        <w:t>8. Great Business Models — The Pillars of a Great Business</w:t>
      </w:r>
    </w:p>
    <w:p>
      <w:pPr>
        <w:pStyle w:val="BlockQuotation"/>
        <w:bidi w:val="0"/>
        <w:jc w:val="start"/>
        <w:rPr/>
      </w:pPr>
      <w:r>
        <w:rPr>
          <w:i/>
        </w:rPr>
        <w:t>"We only want to invest in the best businesses in the world — businesses with great business models that can survive and thrive through all economic conditions."</w:t>
      </w:r>
    </w:p>
    <w:p>
      <w:pPr>
        <w:pStyle w:val="BodyText"/>
        <w:bidi w:val="0"/>
        <w:jc w:val="start"/>
        <w:rPr/>
      </w:pPr>
      <w:r>
        <w:rPr/>
        <w:t xml:space="preserve">Adam opens by listing </w:t>
      </w:r>
      <w:r>
        <w:rPr>
          <w:b/>
        </w:rPr>
        <w:t>six pillars</w:t>
      </w:r>
      <w:r>
        <w:rPr/>
        <w:t xml:space="preserve"> and then walks through them (the walkthrough order differs slightly from the opening list, and at the very end he says "seven pillars" — the substance is the six below):</w:t>
      </w:r>
    </w:p>
    <w:p>
      <w:pPr>
        <w:pStyle w:val="BodyText"/>
        <w:bidi w:val="0"/>
        <w:jc w:val="start"/>
        <w:rPr/>
      </w:pPr>
      <w:r>
        <w:rPr>
          <w:b/>
        </w:rPr>
        <w:t>Opening list:</w:t>
      </w:r>
      <w:r>
        <w:rPr/>
        <w:t xml:space="preserve"> ① reduce input costs over time ② increase output of products and services ③ self-finance its growth ④ weak suppliers ⑤ growing customers / huge customer base ⑥ weak competition.</w:t>
      </w:r>
    </w:p>
    <w:p>
      <w:pPr>
        <w:pStyle w:val="BodyText"/>
        <w:bidi w:val="0"/>
        <w:jc w:val="start"/>
        <w:rPr/>
      </w:pPr>
      <w:r>
        <w:rPr>
          <w:b/>
        </w:rPr>
        <w:t>Walkthrough order:</w:t>
      </w:r>
      <w:r>
        <w:rPr/>
        <w:t xml:space="preserve"> ① input costs ② output &amp; pricing power ③ customers ④ weak suppliers ⑤ protection from competition / economic moat </w:t>
      </w:r>
      <w:r>
        <w:rPr>
          <w:i/>
        </w:rPr>
        <w:t>(described as "the most important one")</w:t>
      </w:r>
      <w:r>
        <w:rPr/>
        <w:t xml:space="preserve"> ⑥ self-financing.</w:t>
      </w:r>
    </w:p>
    <w:p>
      <w:pPr>
        <w:pStyle w:val="Heading4"/>
        <w:bidi w:val="0"/>
        <w:ind w:hanging="0" w:start="0"/>
        <w:jc w:val="start"/>
        <w:rPr/>
      </w:pPr>
      <w:r>
        <w:rPr/>
        <w:t>PILLAR 1 — Ability to REDUCE INPUT COSTS over time</w:t>
      </w:r>
    </w:p>
    <w:p>
      <w:pPr>
        <w:pStyle w:val="BodyText"/>
        <w:bidi w:val="0"/>
        <w:jc w:val="start"/>
        <w:rPr/>
      </w:pPr>
      <w:r>
        <w:rPr/>
        <w:t xml:space="preserve">There are </w:t>
      </w:r>
      <w:r>
        <w:rPr>
          <w:b/>
        </w:rPr>
        <w:t>three main input costs</w:t>
      </w:r>
      <w:r>
        <w:rPr/>
        <w:t>:</w:t>
      </w:r>
    </w:p>
    <w:p>
      <w:pPr>
        <w:pStyle w:val="BodyText"/>
        <w:bidi w:val="0"/>
        <w:jc w:val="start"/>
        <w:rPr/>
      </w:pPr>
      <w:r>
        <w:rPr>
          <w:b/>
        </w:rPr>
        <w:t>1a. Infrastructure and capital equipment</w:t>
      </w:r>
    </w:p>
    <w:p>
      <w:pPr>
        <w:pStyle w:val="BodyText"/>
        <w:numPr>
          <w:ilvl w:val="0"/>
          <w:numId w:val="212"/>
        </w:numPr>
        <w:tabs>
          <w:tab w:val="clear" w:pos="709"/>
          <w:tab w:val="left" w:pos="709" w:leader="none"/>
        </w:tabs>
        <w:bidi w:val="0"/>
        <w:ind w:hanging="283" w:start="709"/>
        <w:jc w:val="start"/>
        <w:rPr/>
      </w:pPr>
      <w:r>
        <w:rPr/>
        <w:t xml:space="preserve">You want a business that can </w:t>
      </w:r>
      <w:r>
        <w:rPr>
          <w:b/>
        </w:rPr>
        <w:t>grow without constantly spending more and more on new infrastructure and new equipment</w:t>
      </w:r>
      <w:r>
        <w:rPr/>
        <w:t xml:space="preserve"> — </w:t>
      </w:r>
      <w:r>
        <w:rPr>
          <w:b/>
        </w:rPr>
        <w:t>spend one time, then scale on that same infrastructure.</w:t>
      </w:r>
    </w:p>
    <w:p>
      <w:pPr>
        <w:pStyle w:val="BodyText"/>
        <w:numPr>
          <w:ilvl w:val="0"/>
          <w:numId w:val="212"/>
        </w:numPr>
        <w:tabs>
          <w:tab w:val="clear" w:pos="709"/>
          <w:tab w:val="left" w:pos="709" w:leader="none"/>
        </w:tabs>
        <w:bidi w:val="0"/>
        <w:spacing w:before="0" w:after="0"/>
        <w:ind w:hanging="283" w:start="709"/>
        <w:jc w:val="start"/>
        <w:rPr/>
      </w:pPr>
      <w:r>
        <w:rPr>
          <w:b/>
        </w:rPr>
        <w:t xml:space="preserve">❌ </w:t>
      </w:r>
      <w:r>
        <w:rPr>
          <w:b/>
        </w:rPr>
        <w:t>Businesses Adam avoids on this test:</w:t>
      </w:r>
    </w:p>
    <w:p>
      <w:pPr>
        <w:pStyle w:val="BodyText"/>
        <w:numPr>
          <w:ilvl w:val="1"/>
          <w:numId w:val="212"/>
        </w:numPr>
        <w:tabs>
          <w:tab w:val="clear" w:pos="709"/>
          <w:tab w:val="left" w:pos="1418" w:leader="none"/>
        </w:tabs>
        <w:bidi w:val="0"/>
        <w:ind w:hanging="283" w:start="1418"/>
        <w:jc w:val="start"/>
        <w:rPr/>
      </w:pPr>
      <w:r>
        <w:rPr>
          <w:b/>
        </w:rPr>
        <w:t>Airlines</w:t>
      </w:r>
      <w:r>
        <w:rPr/>
        <w:t xml:space="preserve"> — to grow they must </w:t>
      </w:r>
      <w:r>
        <w:rPr>
          <w:b/>
        </w:rPr>
        <w:t>constantly buy new planes</w:t>
      </w:r>
      <w:r>
        <w:rPr/>
        <w:t xml:space="preserve">, causing large cash outflow, </w:t>
      </w:r>
      <w:r>
        <w:rPr>
          <w:b/>
        </w:rPr>
        <w:t>constant new capex to replace old planes</w:t>
      </w:r>
      <w:r>
        <w:rPr/>
        <w:t xml:space="preserve">, plus </w:t>
      </w:r>
      <w:r>
        <w:rPr>
          <w:b/>
        </w:rPr>
        <w:t>continuous maintenance and repair spending</w:t>
      </w:r>
      <w:r>
        <w:rPr/>
        <w:t xml:space="preserve"> → </w:t>
      </w:r>
      <w:r>
        <w:rPr>
          <w:b/>
        </w:rPr>
        <w:t>reduces profitability over time</w:t>
      </w:r>
      <w:r>
        <w:rPr/>
        <w:t>.</w:t>
      </w:r>
    </w:p>
    <w:p>
      <w:pPr>
        <w:pStyle w:val="BodyText"/>
        <w:numPr>
          <w:ilvl w:val="1"/>
          <w:numId w:val="212"/>
        </w:numPr>
        <w:tabs>
          <w:tab w:val="clear" w:pos="709"/>
          <w:tab w:val="left" w:pos="1418" w:leader="none"/>
        </w:tabs>
        <w:bidi w:val="0"/>
        <w:ind w:hanging="283" w:start="1418"/>
        <w:jc w:val="start"/>
        <w:rPr/>
      </w:pPr>
      <w:r>
        <w:rPr>
          <w:b/>
        </w:rPr>
        <w:t>Shipping companies</w:t>
      </w:r>
      <w:r>
        <w:rPr/>
        <w:t xml:space="preserve"> — must </w:t>
      </w:r>
      <w:r>
        <w:rPr>
          <w:b/>
        </w:rPr>
        <w:t>buy new ships to replace old ships and repair the ships</w:t>
      </w:r>
      <w:r>
        <w:rPr/>
        <w:t>.</w:t>
      </w:r>
    </w:p>
    <w:p>
      <w:pPr>
        <w:pStyle w:val="BodyText"/>
        <w:numPr>
          <w:ilvl w:val="1"/>
          <w:numId w:val="212"/>
        </w:numPr>
        <w:tabs>
          <w:tab w:val="clear" w:pos="709"/>
          <w:tab w:val="left" w:pos="1418" w:leader="none"/>
        </w:tabs>
        <w:bidi w:val="0"/>
        <w:ind w:hanging="283" w:start="1418"/>
        <w:jc w:val="start"/>
        <w:rPr/>
      </w:pPr>
      <w:r>
        <w:rPr>
          <w:b/>
        </w:rPr>
        <w:t>Auto manufacturers</w:t>
      </w:r>
      <w:r>
        <w:rPr/>
        <w:t xml:space="preserve"> — must </w:t>
      </w:r>
      <w:r>
        <w:rPr>
          <w:b/>
        </w:rPr>
        <w:t>constantly invest in new factories and new equipment</w:t>
      </w:r>
      <w:r>
        <w:rPr/>
        <w:t xml:space="preserve"> to build cars more efficiently. </w:t>
      </w:r>
      <w:r>
        <w:rPr>
          <w:i/>
        </w:rPr>
        <w:t>"All this sucks up their cash flow and creates a very low free cash flow in the business."</w:t>
      </w:r>
    </w:p>
    <w:p>
      <w:pPr>
        <w:pStyle w:val="BodyText"/>
        <w:numPr>
          <w:ilvl w:val="0"/>
          <w:numId w:val="212"/>
        </w:numPr>
        <w:tabs>
          <w:tab w:val="clear" w:pos="709"/>
          <w:tab w:val="left" w:pos="709" w:leader="none"/>
        </w:tabs>
        <w:bidi w:val="0"/>
        <w:spacing w:before="0" w:after="0"/>
        <w:ind w:hanging="283" w:start="709"/>
        <w:jc w:val="start"/>
        <w:rPr/>
      </w:pPr>
      <w:r>
        <w:rPr>
          <w:b/>
        </w:rPr>
        <w:t xml:space="preserve">✅ </w:t>
      </w:r>
      <w:r>
        <w:rPr>
          <w:b/>
        </w:rPr>
        <w:t>Businesses Adam likes — invest once, then scale without adding cost:</w:t>
      </w:r>
    </w:p>
    <w:p>
      <w:pPr>
        <w:pStyle w:val="BodyText"/>
        <w:numPr>
          <w:ilvl w:val="1"/>
          <w:numId w:val="212"/>
        </w:numPr>
        <w:tabs>
          <w:tab w:val="clear" w:pos="709"/>
          <w:tab w:val="left" w:pos="1418" w:leader="none"/>
        </w:tabs>
        <w:bidi w:val="0"/>
        <w:ind w:hanging="283" w:start="1418"/>
        <w:jc w:val="start"/>
        <w:rPr/>
      </w:pPr>
      <w:r>
        <w:rPr>
          <w:b/>
        </w:rPr>
        <w:t>Credit card / payment technology companies — Visa, MasterCard.</w:t>
      </w:r>
      <w:r>
        <w:rPr/>
        <w:t xml:space="preserve"> They invested heavily in payment infrastructure once; now they </w:t>
      </w:r>
      <w:r>
        <w:rPr>
          <w:b/>
        </w:rPr>
        <w:t>dominate the industry and can expand to all countries and many platforms without incurring additional cost.</w:t>
      </w:r>
    </w:p>
    <w:p>
      <w:pPr>
        <w:pStyle w:val="BodyText"/>
        <w:numPr>
          <w:ilvl w:val="1"/>
          <w:numId w:val="212"/>
        </w:numPr>
        <w:tabs>
          <w:tab w:val="clear" w:pos="709"/>
          <w:tab w:val="left" w:pos="1418" w:leader="none"/>
        </w:tabs>
        <w:bidi w:val="0"/>
        <w:ind w:hanging="283" w:start="1418"/>
        <w:jc w:val="start"/>
        <w:rPr/>
      </w:pPr>
      <w:r>
        <w:rPr>
          <w:b/>
        </w:rPr>
        <w:t>Software companies</w:t>
      </w:r>
      <w:r>
        <w:rPr/>
        <w:t xml:space="preserve"> — once the software is made, they can </w:t>
      </w:r>
      <w:r>
        <w:rPr>
          <w:b/>
        </w:rPr>
        <w:t>scale production without investing a lot more in capital equipment.</w:t>
      </w:r>
    </w:p>
    <w:p>
      <w:pPr>
        <w:pStyle w:val="BodyText"/>
        <w:numPr>
          <w:ilvl w:val="0"/>
          <w:numId w:val="212"/>
        </w:numPr>
        <w:tabs>
          <w:tab w:val="clear" w:pos="709"/>
          <w:tab w:val="left" w:pos="709" w:leader="none"/>
        </w:tabs>
        <w:bidi w:val="0"/>
        <w:spacing w:before="0" w:after="0"/>
        <w:ind w:hanging="283" w:start="709"/>
        <w:jc w:val="start"/>
        <w:rPr/>
      </w:pPr>
      <w:r>
        <w:rPr>
          <w:b/>
        </w:rPr>
        <w:t>The general principle: "I like companies that have very little physical assets, physical equipment. I like companies with more INTELLECTUAL assets."</w:t>
      </w:r>
    </w:p>
    <w:p>
      <w:pPr>
        <w:pStyle w:val="BodyText"/>
        <w:numPr>
          <w:ilvl w:val="1"/>
          <w:numId w:val="212"/>
        </w:numPr>
        <w:tabs>
          <w:tab w:val="clear" w:pos="709"/>
          <w:tab w:val="left" w:pos="1418" w:leader="none"/>
        </w:tabs>
        <w:bidi w:val="0"/>
        <w:ind w:hanging="283" w:start="1418"/>
        <w:jc w:val="start"/>
        <w:rPr/>
      </w:pPr>
      <w:r>
        <w:rPr>
          <w:b/>
        </w:rPr>
        <w:t>Nike</w:t>
      </w:r>
      <w:r>
        <w:rPr/>
        <w:t xml:space="preserve"> — doesn't make its own shoes. It </w:t>
      </w:r>
      <w:r>
        <w:rPr>
          <w:b/>
        </w:rPr>
        <w:t>designs the shoes, owns the intellectual property, and outsources manufacturing to China or Vietnam</w:t>
      </w:r>
      <w:r>
        <w:rPr/>
        <w:t xml:space="preserve">, where </w:t>
      </w:r>
      <w:r>
        <w:rPr>
          <w:b/>
        </w:rPr>
        <w:t>the manufacturers</w:t>
      </w:r>
      <w:r>
        <w:rPr/>
        <w:t xml:space="preserve"> carry the capital equipment burden, not Nike.</w:t>
      </w:r>
    </w:p>
    <w:p>
      <w:pPr>
        <w:pStyle w:val="BodyText"/>
        <w:numPr>
          <w:ilvl w:val="1"/>
          <w:numId w:val="212"/>
        </w:numPr>
        <w:tabs>
          <w:tab w:val="clear" w:pos="709"/>
          <w:tab w:val="left" w:pos="1418" w:leader="none"/>
        </w:tabs>
        <w:bidi w:val="0"/>
        <w:ind w:hanging="283" w:start="1418"/>
        <w:jc w:val="start"/>
        <w:rPr/>
      </w:pPr>
      <w:r>
        <w:rPr>
          <w:b/>
        </w:rPr>
        <w:t>Apple</w:t>
      </w:r>
      <w:r>
        <w:rPr/>
        <w:t xml:space="preserve"> — doesn't make its own iPhones or laptops. It </w:t>
      </w:r>
      <w:r>
        <w:rPr>
          <w:b/>
        </w:rPr>
        <w:t>designs them, creates the software, owns the IP and the brand</w:t>
      </w:r>
      <w:r>
        <w:rPr/>
        <w:t>; manufacturing is outsourced.</w:t>
      </w:r>
    </w:p>
    <w:p>
      <w:pPr>
        <w:pStyle w:val="BodyText"/>
        <w:numPr>
          <w:ilvl w:val="1"/>
          <w:numId w:val="212"/>
        </w:numPr>
        <w:tabs>
          <w:tab w:val="clear" w:pos="709"/>
          <w:tab w:val="left" w:pos="1418" w:leader="none"/>
        </w:tabs>
        <w:bidi w:val="0"/>
        <w:ind w:hanging="283" w:start="1418"/>
        <w:jc w:val="start"/>
        <w:rPr/>
      </w:pPr>
      <w:r>
        <w:rPr>
          <w:b/>
        </w:rPr>
        <w:t>Coca-Cola</w:t>
      </w:r>
      <w:r>
        <w:rPr/>
        <w:t xml:space="preserve"> — doesn't bottle its own drinks. It </w:t>
      </w:r>
      <w:r>
        <w:rPr>
          <w:b/>
        </w:rPr>
        <w:t>owns the syrup and the brand "Coke"</w:t>
      </w:r>
      <w:r>
        <w:rPr/>
        <w:t xml:space="preserve"> and </w:t>
      </w:r>
      <w:r>
        <w:rPr>
          <w:b/>
        </w:rPr>
        <w:t>outsources the bottling and production to its suppliers</w:t>
      </w:r>
      <w:r>
        <w:rPr/>
        <w:t>.</w:t>
      </w:r>
    </w:p>
    <w:p>
      <w:pPr>
        <w:pStyle w:val="BodyText"/>
        <w:numPr>
          <w:ilvl w:val="1"/>
          <w:numId w:val="212"/>
        </w:numPr>
        <w:tabs>
          <w:tab w:val="clear" w:pos="709"/>
          <w:tab w:val="left" w:pos="1418" w:leader="none"/>
        </w:tabs>
        <w:bidi w:val="0"/>
        <w:ind w:hanging="283" w:start="1418"/>
        <w:jc w:val="start"/>
        <w:rPr/>
      </w:pPr>
      <w:r>
        <w:rPr>
          <w:b/>
        </w:rPr>
        <w:t>McDonald's and Yum Brands (owner of KFC and Pizza Hut)</w:t>
      </w:r>
      <w:r>
        <w:rPr/>
        <w:t xml:space="preserve"> — a </w:t>
      </w:r>
      <w:r>
        <w:rPr>
          <w:b/>
        </w:rPr>
        <w:t>franchise model</w:t>
      </w:r>
      <w:r>
        <w:rPr/>
        <w:t xml:space="preserve">. They don't really own their own restaurants or invest in capital equipment; they </w:t>
      </w:r>
      <w:r>
        <w:rPr>
          <w:b/>
        </w:rPr>
        <w:t>own the brand and the recipes and sell the franchise.</w:t>
      </w:r>
    </w:p>
    <w:p>
      <w:pPr>
        <w:pStyle w:val="BodyText"/>
        <w:numPr>
          <w:ilvl w:val="0"/>
          <w:numId w:val="212"/>
        </w:numPr>
        <w:tabs>
          <w:tab w:val="clear" w:pos="709"/>
          <w:tab w:val="left" w:pos="709" w:leader="none"/>
        </w:tabs>
        <w:bidi w:val="0"/>
        <w:ind w:hanging="283" w:start="709"/>
        <w:jc w:val="start"/>
        <w:rPr/>
      </w:pPr>
      <w:r>
        <w:rPr>
          <w:b/>
        </w:rPr>
        <w:t>Inflation benefit:</w:t>
      </w:r>
      <w:r>
        <w:rPr/>
        <w:t xml:space="preserve"> these companies </w:t>
      </w:r>
      <w:r>
        <w:rPr>
          <w:b/>
        </w:rPr>
        <w:t>are not affected by inflation because they don't have to keep spending more and more money on input cost.</w:t>
      </w:r>
    </w:p>
    <w:p>
      <w:pPr>
        <w:pStyle w:val="BodyText"/>
        <w:bidi w:val="0"/>
        <w:jc w:val="start"/>
        <w:rPr/>
      </w:pPr>
      <w:r>
        <w:rPr>
          <w:b/>
        </w:rPr>
        <w:t>1b. Raw materials</w:t>
      </w:r>
    </w:p>
    <w:p>
      <w:pPr>
        <w:pStyle w:val="BodyText"/>
        <w:numPr>
          <w:ilvl w:val="0"/>
          <w:numId w:val="213"/>
        </w:numPr>
        <w:tabs>
          <w:tab w:val="clear" w:pos="709"/>
          <w:tab w:val="left" w:pos="709" w:leader="none"/>
        </w:tabs>
        <w:bidi w:val="0"/>
        <w:ind w:hanging="283" w:start="709"/>
        <w:jc w:val="start"/>
        <w:rPr/>
      </w:pPr>
      <w:r>
        <w:rPr/>
        <w:t xml:space="preserve">Ask: </w:t>
      </w:r>
      <w:r>
        <w:rPr>
          <w:b/>
        </w:rPr>
        <w:t>could raw material costs go up?</w:t>
      </w:r>
    </w:p>
    <w:p>
      <w:pPr>
        <w:pStyle w:val="BodyText"/>
        <w:numPr>
          <w:ilvl w:val="0"/>
          <w:numId w:val="213"/>
        </w:numPr>
        <w:tabs>
          <w:tab w:val="clear" w:pos="709"/>
          <w:tab w:val="left" w:pos="709" w:leader="none"/>
        </w:tabs>
        <w:bidi w:val="0"/>
        <w:ind w:hanging="283" w:start="709"/>
        <w:jc w:val="start"/>
        <w:rPr/>
      </w:pPr>
      <w:r>
        <w:rPr>
          <w:b/>
        </w:rPr>
        <w:t>Starbucks</w:t>
      </w:r>
      <w:r>
        <w:rPr/>
        <w:t xml:space="preserve"> — raw materials are </w:t>
      </w:r>
      <w:r>
        <w:rPr>
          <w:b/>
        </w:rPr>
        <w:t>coffee and sugar</w:t>
      </w:r>
      <w:r>
        <w:rPr/>
        <w:t xml:space="preserve">. If </w:t>
      </w:r>
      <w:r>
        <w:rPr>
          <w:b/>
        </w:rPr>
        <w:t>sugar prices</w:t>
      </w:r>
      <w:r>
        <w:rPr/>
        <w:t xml:space="preserve"> or </w:t>
      </w:r>
      <w:r>
        <w:rPr>
          <w:b/>
        </w:rPr>
        <w:t>cocoa bean prices</w:t>
      </w:r>
      <w:r>
        <w:rPr/>
        <w:t xml:space="preserve"> go up, </w:t>
      </w:r>
      <w:r>
        <w:rPr>
          <w:b/>
        </w:rPr>
        <w:t>input costs rise and profits could drop.</w:t>
      </w:r>
    </w:p>
    <w:p>
      <w:pPr>
        <w:pStyle w:val="BodyText"/>
        <w:numPr>
          <w:ilvl w:val="0"/>
          <w:numId w:val="213"/>
        </w:numPr>
        <w:tabs>
          <w:tab w:val="clear" w:pos="709"/>
          <w:tab w:val="left" w:pos="709" w:leader="none"/>
        </w:tabs>
        <w:bidi w:val="0"/>
        <w:ind w:hanging="283" w:start="709"/>
        <w:jc w:val="start"/>
        <w:rPr/>
      </w:pPr>
      <w:r>
        <w:rPr>
          <w:b/>
        </w:rPr>
        <w:t>The test:</w:t>
      </w:r>
      <w:r>
        <w:rPr/>
        <w:t xml:space="preserve"> if raw material costs rise and the company </w:t>
      </w:r>
      <w:r>
        <w:rPr>
          <w:b/>
        </w:rPr>
        <w:t>can raise the price of its drinks and pass the cost to customers, that's OK — they are hedged against inflation.</w:t>
      </w:r>
      <w:r>
        <w:rPr/>
        <w:t xml:space="preserve"> But if the company </w:t>
      </w:r>
      <w:r>
        <w:rPr>
          <w:b/>
        </w:rPr>
        <w:t>cannot pass on the cost and has to absorb it, that really screws up profitability and profit margins.</w:t>
      </w:r>
    </w:p>
    <w:p>
      <w:pPr>
        <w:pStyle w:val="BodyText"/>
        <w:bidi w:val="0"/>
        <w:jc w:val="start"/>
        <w:rPr/>
      </w:pPr>
      <w:r>
        <w:rPr>
          <w:b/>
        </w:rPr>
        <w:t>1c. Labour costs</w:t>
      </w:r>
    </w:p>
    <w:p>
      <w:pPr>
        <w:pStyle w:val="BodyText"/>
        <w:numPr>
          <w:ilvl w:val="0"/>
          <w:numId w:val="214"/>
        </w:numPr>
        <w:tabs>
          <w:tab w:val="clear" w:pos="709"/>
          <w:tab w:val="left" w:pos="709" w:leader="none"/>
        </w:tabs>
        <w:bidi w:val="0"/>
        <w:spacing w:before="0" w:after="0"/>
        <w:ind w:hanging="283" w:start="709"/>
        <w:jc w:val="start"/>
        <w:rPr/>
      </w:pPr>
      <w:r>
        <w:rPr>
          <w:b/>
        </w:rPr>
        <w:t>Key man risk</w:t>
      </w:r>
      <w:r>
        <w:rPr/>
        <w:t xml:space="preserve"> — </w:t>
      </w:r>
      <w:r>
        <w:rPr>
          <w:i/>
        </w:rPr>
        <w:t>"I tend to avoid investing in companies where the success of the company is based on the brilliance of one man."</w:t>
      </w:r>
    </w:p>
    <w:p>
      <w:pPr>
        <w:pStyle w:val="BodyText"/>
        <w:numPr>
          <w:ilvl w:val="1"/>
          <w:numId w:val="214"/>
        </w:numPr>
        <w:tabs>
          <w:tab w:val="clear" w:pos="709"/>
          <w:tab w:val="left" w:pos="1418" w:leader="none"/>
        </w:tabs>
        <w:bidi w:val="0"/>
        <w:ind w:hanging="283" w:start="1418"/>
        <w:jc w:val="start"/>
        <w:rPr/>
      </w:pPr>
      <w:r>
        <w:rPr/>
        <w:t xml:space="preserve">Example: </w:t>
      </w:r>
      <w:r>
        <w:rPr>
          <w:b/>
        </w:rPr>
        <w:t>Elon Musk.</w:t>
      </w:r>
      <w:r>
        <w:rPr/>
        <w:t xml:space="preserve"> </w:t>
      </w:r>
      <w:r>
        <w:rPr>
          <w:i/>
        </w:rPr>
        <w:t>"One reason why I'm very nervous to invest in Tesla or SpaceX, because a lot is driven by his personality, his vision. Now what if he dies? What if he gets hit by a truck?"</w:t>
      </w:r>
    </w:p>
    <w:p>
      <w:pPr>
        <w:pStyle w:val="BodyText"/>
        <w:numPr>
          <w:ilvl w:val="1"/>
          <w:numId w:val="214"/>
        </w:numPr>
        <w:tabs>
          <w:tab w:val="clear" w:pos="709"/>
          <w:tab w:val="left" w:pos="1418" w:leader="none"/>
        </w:tabs>
        <w:bidi w:val="0"/>
        <w:ind w:hanging="283" w:start="1418"/>
        <w:jc w:val="start"/>
        <w:rPr/>
      </w:pPr>
      <w:r>
        <w:rPr>
          <w:b/>
        </w:rPr>
        <w:t>Old saying (Adam attributes it to Warren Buffett): "It's best to invest in a company where any idiot can run the business — because one day an idiot may run the business."</w:t>
      </w:r>
      <w:r>
        <w:rPr/>
        <w:t xml:space="preserve"> You want a business to be great </w:t>
      </w:r>
      <w:r>
        <w:rPr>
          <w:b/>
        </w:rPr>
        <w:t>because of the business model itself</w:t>
      </w:r>
      <w:r>
        <w:rPr/>
        <w:t xml:space="preserve">, not because of one man, so </w:t>
      </w:r>
      <w:r>
        <w:rPr>
          <w:b/>
        </w:rPr>
        <w:t>anyone can run it</w:t>
      </w:r>
      <w:r>
        <w:rPr/>
        <w:t>.</w:t>
      </w:r>
    </w:p>
    <w:p>
      <w:pPr>
        <w:pStyle w:val="BodyText"/>
        <w:numPr>
          <w:ilvl w:val="0"/>
          <w:numId w:val="214"/>
        </w:numPr>
        <w:tabs>
          <w:tab w:val="clear" w:pos="709"/>
          <w:tab w:val="left" w:pos="709" w:leader="none"/>
        </w:tabs>
        <w:bidi w:val="0"/>
        <w:ind w:hanging="283" w:start="709"/>
        <w:jc w:val="start"/>
        <w:rPr/>
      </w:pPr>
      <w:r>
        <w:rPr>
          <w:b/>
        </w:rPr>
        <w:t>Unique talent requirement</w:t>
      </w:r>
      <w:r>
        <w:rPr/>
        <w:t xml:space="preserve"> — </w:t>
      </w:r>
      <w:r>
        <w:rPr>
          <w:i/>
        </w:rPr>
        <w:t>"Is unique talent required to maintain the competitive advantage?"</w:t>
      </w:r>
      <w:r>
        <w:rPr/>
        <w:t xml:space="preserve"> If special talent is needed to maintain the company's advantage, </w:t>
      </w:r>
      <w:r>
        <w:rPr>
          <w:b/>
        </w:rPr>
        <w:t>that's dangerous — once you lose the talent, the whole business is gone.</w:t>
      </w:r>
    </w:p>
    <w:p>
      <w:pPr>
        <w:pStyle w:val="BodyText"/>
        <w:numPr>
          <w:ilvl w:val="0"/>
          <w:numId w:val="214"/>
        </w:numPr>
        <w:tabs>
          <w:tab w:val="clear" w:pos="709"/>
          <w:tab w:val="left" w:pos="709" w:leader="none"/>
        </w:tabs>
        <w:bidi w:val="0"/>
        <w:ind w:hanging="283" w:start="709"/>
        <w:jc w:val="start"/>
        <w:rPr/>
      </w:pPr>
      <w:r>
        <w:rPr>
          <w:b/>
        </w:rPr>
        <w:t>Strong unions</w:t>
      </w:r>
      <w:r>
        <w:rPr/>
        <w:t xml:space="preserve"> — Adam </w:t>
      </w:r>
      <w:r>
        <w:rPr>
          <w:b/>
        </w:rPr>
        <w:t>avoids companies with very strong unions</w:t>
      </w:r>
      <w:r>
        <w:rPr/>
        <w:t xml:space="preserve">. Another reason he avoids </w:t>
      </w:r>
      <w:r>
        <w:rPr>
          <w:b/>
        </w:rPr>
        <w:t>airline companies, especially in the US and European countries</w:t>
      </w:r>
      <w:r>
        <w:rPr/>
        <w:t xml:space="preserve">: if the </w:t>
      </w:r>
      <w:r>
        <w:rPr>
          <w:b/>
        </w:rPr>
        <w:t>pilots strike, the cabin crew strike, it brings the entire company to its knees.</w:t>
      </w:r>
    </w:p>
    <w:p>
      <w:pPr>
        <w:pStyle w:val="Heading4"/>
        <w:numPr>
          <w:ilvl w:val="0"/>
          <w:numId w:val="0"/>
        </w:numPr>
        <w:bidi w:val="0"/>
        <w:ind w:hanging="0" w:start="0"/>
        <w:jc w:val="start"/>
        <w:rPr/>
      </w:pPr>
      <w:r>
        <w:rPr/>
        <w:t>PILLAR 2 — Ability to INCREASE OUTPUT (products and services)</w:t>
      </w:r>
    </w:p>
    <w:p>
      <w:pPr>
        <w:pStyle w:val="BodyText"/>
        <w:bidi w:val="0"/>
        <w:jc w:val="start"/>
        <w:rPr/>
      </w:pPr>
      <w:r>
        <w:rPr/>
        <w:t xml:space="preserve">More output → </w:t>
      </w:r>
      <w:r>
        <w:rPr>
          <w:b/>
        </w:rPr>
        <w:t>more revenue, more profits.</w:t>
      </w:r>
      <w:r>
        <w:rPr/>
        <w:t xml:space="preserve"> Four sub-tests:</w:t>
      </w:r>
    </w:p>
    <w:p>
      <w:pPr>
        <w:pStyle w:val="BodyText"/>
        <w:numPr>
          <w:ilvl w:val="0"/>
          <w:numId w:val="215"/>
        </w:numPr>
        <w:tabs>
          <w:tab w:val="clear" w:pos="709"/>
          <w:tab w:val="left" w:pos="709" w:leader="none"/>
        </w:tabs>
        <w:bidi w:val="0"/>
        <w:ind w:hanging="283" w:start="709"/>
        <w:jc w:val="start"/>
        <w:rPr/>
      </w:pPr>
      <w:r>
        <w:rPr>
          <w:b/>
        </w:rPr>
        <w:t>Pricing power</w:t>
      </w:r>
      <w:r>
        <w:rPr/>
        <w:t xml:space="preserve"> — </w:t>
      </w:r>
      <w:r>
        <w:rPr>
          <w:i/>
        </w:rPr>
        <w:t>"the business must be unique enough to command pricing power."</w:t>
      </w:r>
      <w:r>
        <w:rPr/>
        <w:t xml:space="preserve"> You want companies </w:t>
      </w:r>
      <w:r>
        <w:rPr>
          <w:b/>
        </w:rPr>
        <w:t>able to raise their price every year</w:t>
      </w:r>
      <w:r>
        <w:rPr/>
        <w:t xml:space="preserve">, because then </w:t>
      </w:r>
      <w:r>
        <w:rPr>
          <w:b/>
        </w:rPr>
        <w:t>revenue rises even if the quantity sold stays the same</w:t>
      </w:r>
      <w:r>
        <w:rPr/>
        <w:t xml:space="preserve">, and the company is </w:t>
      </w:r>
      <w:r>
        <w:rPr>
          <w:b/>
        </w:rPr>
        <w:t>hedged against inflation</w:t>
      </w:r>
      <w:r>
        <w:rPr/>
        <w:t xml:space="preserve"> — if labour and raw material costs rise, they simply raise prices.</w:t>
      </w:r>
    </w:p>
    <w:p>
      <w:pPr>
        <w:pStyle w:val="BodyText"/>
        <w:numPr>
          <w:ilvl w:val="0"/>
          <w:numId w:val="215"/>
        </w:numPr>
        <w:tabs>
          <w:tab w:val="clear" w:pos="709"/>
          <w:tab w:val="left" w:pos="709" w:leader="none"/>
        </w:tabs>
        <w:bidi w:val="0"/>
        <w:spacing w:before="0" w:after="0"/>
        <w:ind w:hanging="283" w:start="709"/>
        <w:jc w:val="start"/>
        <w:rPr/>
      </w:pPr>
      <w:r>
        <w:rPr>
          <w:b/>
        </w:rPr>
        <w:t>High switching costs</w:t>
      </w:r>
      <w:r>
        <w:rPr/>
        <w:t xml:space="preserve"> — once a customer buys, it must be </w:t>
      </w:r>
      <w:r>
        <w:rPr>
          <w:b/>
        </w:rPr>
        <w:t>very expensive or very difficult to change to another brand</w:t>
      </w:r>
      <w:r>
        <w:rPr/>
        <w:t xml:space="preserve">, so customers are </w:t>
      </w:r>
      <w:r>
        <w:rPr>
          <w:b/>
        </w:rPr>
        <w:t>stuck to that brand for the rest of their life</w:t>
      </w:r>
      <w:r>
        <w:rPr/>
        <w:t>.</w:t>
      </w:r>
    </w:p>
    <w:p>
      <w:pPr>
        <w:pStyle w:val="BodyText"/>
        <w:numPr>
          <w:ilvl w:val="1"/>
          <w:numId w:val="215"/>
        </w:numPr>
        <w:tabs>
          <w:tab w:val="clear" w:pos="709"/>
          <w:tab w:val="left" w:pos="1418" w:leader="none"/>
        </w:tabs>
        <w:bidi w:val="0"/>
        <w:ind w:hanging="283" w:start="1418"/>
        <w:jc w:val="start"/>
        <w:rPr/>
      </w:pPr>
      <w:r>
        <w:rPr>
          <w:b/>
        </w:rPr>
        <w:t>Microsoft</w:t>
      </w:r>
      <w:r>
        <w:rPr/>
        <w:t xml:space="preserve"> — once people are familiar with </w:t>
      </w:r>
      <w:r>
        <w:rPr>
          <w:b/>
        </w:rPr>
        <w:t>Office, PowerPoint and Word</w:t>
      </w:r>
      <w:r>
        <w:rPr/>
        <w:t xml:space="preserve">, it's very difficult to change to another word processor or spreadsheet app. </w:t>
      </w:r>
      <w:r>
        <w:rPr>
          <w:b/>
        </w:rPr>
        <w:t>It locks in the customers.</w:t>
      </w:r>
    </w:p>
    <w:p>
      <w:pPr>
        <w:pStyle w:val="BodyText"/>
        <w:numPr>
          <w:ilvl w:val="0"/>
          <w:numId w:val="215"/>
        </w:numPr>
        <w:tabs>
          <w:tab w:val="clear" w:pos="709"/>
          <w:tab w:val="left" w:pos="709" w:leader="none"/>
        </w:tabs>
        <w:bidi w:val="0"/>
        <w:spacing w:before="0" w:after="0"/>
        <w:ind w:hanging="283" w:start="709"/>
        <w:jc w:val="start"/>
        <w:rPr/>
      </w:pPr>
      <w:r>
        <w:rPr>
          <w:b/>
        </w:rPr>
        <w:t>Recurring income</w:t>
      </w:r>
      <w:r>
        <w:rPr/>
        <w:t xml:space="preserve"> — </w:t>
      </w:r>
      <w:r>
        <w:rPr>
          <w:i/>
        </w:rPr>
        <w:t>"once customers buy one time, they keep paying year after year after year. I don't like businesses where they sell the product once and that's it."</w:t>
      </w:r>
    </w:p>
    <w:p>
      <w:pPr>
        <w:pStyle w:val="BodyText"/>
        <w:numPr>
          <w:ilvl w:val="1"/>
          <w:numId w:val="215"/>
        </w:numPr>
        <w:tabs>
          <w:tab w:val="clear" w:pos="709"/>
          <w:tab w:val="left" w:pos="1418" w:leader="none"/>
        </w:tabs>
        <w:bidi w:val="0"/>
        <w:ind w:hanging="283" w:start="1418"/>
        <w:jc w:val="start"/>
        <w:rPr/>
      </w:pPr>
      <w:r>
        <w:rPr/>
        <w:t xml:space="preserve">Adam invests in </w:t>
      </w:r>
      <w:r>
        <w:rPr>
          <w:b/>
        </w:rPr>
        <w:t>Adobe, Microsoft, Salesforce</w:t>
      </w:r>
      <w:r>
        <w:rPr/>
        <w:t xml:space="preserve"> because of recurring subscription revenue.</w:t>
      </w:r>
    </w:p>
    <w:p>
      <w:pPr>
        <w:pStyle w:val="BodyText"/>
        <w:numPr>
          <w:ilvl w:val="0"/>
          <w:numId w:val="215"/>
        </w:numPr>
        <w:tabs>
          <w:tab w:val="clear" w:pos="709"/>
          <w:tab w:val="left" w:pos="709" w:leader="none"/>
        </w:tabs>
        <w:bidi w:val="0"/>
        <w:spacing w:before="0" w:after="0"/>
        <w:ind w:hanging="283" w:start="709"/>
        <w:jc w:val="start"/>
        <w:rPr/>
      </w:pPr>
      <w:r>
        <w:rPr>
          <w:b/>
        </w:rPr>
        <w:t>Multiple product revenue streams</w:t>
      </w:r>
    </w:p>
    <w:p>
      <w:pPr>
        <w:pStyle w:val="BodyText"/>
        <w:numPr>
          <w:ilvl w:val="1"/>
          <w:numId w:val="215"/>
        </w:numPr>
        <w:tabs>
          <w:tab w:val="clear" w:pos="709"/>
          <w:tab w:val="left" w:pos="1418" w:leader="none"/>
        </w:tabs>
        <w:bidi w:val="0"/>
        <w:ind w:hanging="283" w:start="1418"/>
        <w:jc w:val="start"/>
        <w:rPr/>
      </w:pPr>
      <w:r>
        <w:rPr>
          <w:b/>
        </w:rPr>
        <w:t xml:space="preserve">❌ </w:t>
      </w:r>
      <w:r>
        <w:rPr>
          <w:b/>
        </w:rPr>
        <w:t>Zoom</w:t>
      </w:r>
      <w:r>
        <w:rPr/>
        <w:t xml:space="preserve"> — </w:t>
      </w:r>
      <w:r>
        <w:rPr>
          <w:i/>
        </w:rPr>
        <w:t>"a one trick pony"</w:t>
      </w:r>
      <w:r>
        <w:rPr/>
        <w:t xml:space="preserve"> with only the Zoom video-sharing software. If users get sick of it or jump to </w:t>
      </w:r>
      <w:r>
        <w:rPr>
          <w:b/>
        </w:rPr>
        <w:t>Microsoft Teams</w:t>
      </w:r>
      <w:r>
        <w:rPr/>
        <w:t xml:space="preserve"> or a competitor, </w:t>
      </w:r>
      <w:r>
        <w:rPr>
          <w:b/>
        </w:rPr>
        <w:t>they're done.</w:t>
      </w:r>
      <w:r>
        <w:rPr/>
        <w:t xml:space="preserve"> This is why Adam doesn't invest in Zoom.</w:t>
      </w:r>
    </w:p>
    <w:p>
      <w:pPr>
        <w:pStyle w:val="BodyText"/>
        <w:numPr>
          <w:ilvl w:val="1"/>
          <w:numId w:val="215"/>
        </w:numPr>
        <w:tabs>
          <w:tab w:val="clear" w:pos="709"/>
          <w:tab w:val="left" w:pos="1418" w:leader="none"/>
        </w:tabs>
        <w:bidi w:val="0"/>
        <w:ind w:hanging="283" w:start="1418"/>
        <w:jc w:val="start"/>
        <w:rPr/>
      </w:pPr>
      <w:r>
        <w:rPr>
          <w:b/>
        </w:rPr>
        <w:t xml:space="preserve">✅ </w:t>
      </w:r>
      <w:r>
        <w:rPr>
          <w:b/>
        </w:rPr>
        <w:t>Alphabet</w:t>
      </w:r>
      <w:r>
        <w:rPr/>
        <w:t xml:space="preserve"> — multiple product lines: </w:t>
      </w:r>
      <w:r>
        <w:rPr>
          <w:b/>
        </w:rPr>
        <w:t>YouTube, Google Search, Google Maps</w:t>
      </w:r>
      <w:r>
        <w:rPr/>
        <w:t xml:space="preserve"> — diversified revenue streams.</w:t>
      </w:r>
    </w:p>
    <w:p>
      <w:pPr>
        <w:pStyle w:val="BodyText"/>
        <w:numPr>
          <w:ilvl w:val="1"/>
          <w:numId w:val="215"/>
        </w:numPr>
        <w:tabs>
          <w:tab w:val="clear" w:pos="709"/>
          <w:tab w:val="left" w:pos="1418" w:leader="none"/>
        </w:tabs>
        <w:bidi w:val="0"/>
        <w:ind w:hanging="283" w:start="1418"/>
        <w:jc w:val="start"/>
        <w:rPr/>
      </w:pPr>
      <w:r>
        <w:rPr>
          <w:b/>
        </w:rPr>
        <w:t xml:space="preserve">✅ </w:t>
      </w:r>
      <w:r>
        <w:rPr>
          <w:b/>
        </w:rPr>
        <w:t>Disney</w:t>
      </w:r>
      <w:r>
        <w:rPr/>
        <w:t xml:space="preserve"> — </w:t>
      </w:r>
      <w:r>
        <w:rPr>
          <w:b/>
        </w:rPr>
        <w:t>Disney Parks / Recreation / Experiences, Disney+, ESPN, Hulu, Network TV.</w:t>
      </w:r>
      <w:r>
        <w:rPr/>
        <w:t xml:space="preserve"> </w:t>
      </w:r>
      <w:r>
        <w:rPr>
          <w:i/>
        </w:rPr>
        <w:t>"Very diversified in their revenue streams — that's a lot safer."</w:t>
      </w:r>
    </w:p>
    <w:p>
      <w:pPr>
        <w:pStyle w:val="BlockQuotation"/>
        <w:bidi w:val="0"/>
        <w:jc w:val="start"/>
        <w:rPr/>
      </w:pPr>
      <w:r>
        <w:rPr>
          <w:b/>
        </w:rPr>
        <w:t>How to verify Pillars 1 and 2 quantitatively:</w:t>
      </w:r>
      <w:r>
        <w:rPr/>
        <w:t xml:space="preserve"> </w:t>
      </w:r>
      <w:r>
        <w:rPr>
          <w:i/>
        </w:rPr>
        <w:t>"Very simple, look at the profit margins."</w:t>
      </w:r>
      <w:r>
        <w:rPr/>
        <w:t xml:space="preserve"> </w:t>
      </w:r>
      <w:r>
        <w:rPr>
          <w:b/>
        </w:rPr>
        <w:t>As long as gross profit margins and net profit margins are consistent or increasing over the last five years, that's a reflection of the first two pillars.</w:t>
      </w:r>
    </w:p>
    <w:p>
      <w:pPr>
        <w:pStyle w:val="Heading4"/>
        <w:bidi w:val="0"/>
        <w:ind w:hanging="0" w:start="0"/>
        <w:jc w:val="start"/>
        <w:rPr/>
      </w:pPr>
      <w:r>
        <w:rPr/>
        <w:t>PILLAR 3 — Growing, strengthening CUSTOMERS</w:t>
      </w:r>
    </w:p>
    <w:p>
      <w:pPr>
        <w:pStyle w:val="BodyText"/>
        <w:bidi w:val="0"/>
        <w:jc w:val="start"/>
        <w:rPr/>
      </w:pPr>
      <w:r>
        <w:rPr/>
        <w:t xml:space="preserve">We want the customer base to be </w:t>
      </w:r>
      <w:r>
        <w:rPr>
          <w:b/>
        </w:rPr>
        <w:t>growing</w:t>
      </w:r>
      <w:r>
        <w:rPr/>
        <w:t xml:space="preserve"> and also </w:t>
      </w:r>
      <w:r>
        <w:rPr>
          <w:b/>
        </w:rPr>
        <w:t>able to buy more products and services over time</w:t>
      </w:r>
      <w:r>
        <w:rPr/>
        <w:t xml:space="preserve"> (rising purchasing power). Four questions:</w:t>
      </w:r>
    </w:p>
    <w:p>
      <w:pPr>
        <w:pStyle w:val="BodyText"/>
        <w:numPr>
          <w:ilvl w:val="0"/>
          <w:numId w:val="216"/>
        </w:numPr>
        <w:tabs>
          <w:tab w:val="clear" w:pos="709"/>
          <w:tab w:val="left" w:pos="709" w:leader="none"/>
        </w:tabs>
        <w:bidi w:val="0"/>
        <w:ind w:hanging="283" w:start="709"/>
        <w:jc w:val="start"/>
        <w:rPr/>
      </w:pPr>
      <w:r>
        <w:rPr>
          <w:b/>
        </w:rPr>
        <w:t>Is the customer base sizable and growing?</w:t>
      </w:r>
    </w:p>
    <w:p>
      <w:pPr>
        <w:pStyle w:val="BodyText"/>
        <w:numPr>
          <w:ilvl w:val="0"/>
          <w:numId w:val="216"/>
        </w:numPr>
        <w:tabs>
          <w:tab w:val="clear" w:pos="709"/>
          <w:tab w:val="left" w:pos="709" w:leader="none"/>
        </w:tabs>
        <w:bidi w:val="0"/>
        <w:ind w:hanging="283" w:start="709"/>
        <w:jc w:val="start"/>
        <w:rPr/>
      </w:pPr>
      <w:r>
        <w:rPr>
          <w:b/>
        </w:rPr>
        <w:t>Are the customers' wages rising?</w:t>
      </w:r>
      <w:r>
        <w:rPr/>
        <w:t xml:space="preserve"> If customers earn more, they can </w:t>
      </w:r>
      <w:r>
        <w:rPr>
          <w:b/>
        </w:rPr>
        <w:t>buy more from your business</w:t>
      </w:r>
      <w:r>
        <w:rPr/>
        <w:t xml:space="preserve"> or </w:t>
      </w:r>
      <w:r>
        <w:rPr>
          <w:b/>
        </w:rPr>
        <w:t>pay more as you raise prices.</w:t>
      </w:r>
    </w:p>
    <w:p>
      <w:pPr>
        <w:pStyle w:val="BodyText"/>
        <w:numPr>
          <w:ilvl w:val="0"/>
          <w:numId w:val="216"/>
        </w:numPr>
        <w:tabs>
          <w:tab w:val="clear" w:pos="709"/>
          <w:tab w:val="left" w:pos="709" w:leader="none"/>
        </w:tabs>
        <w:bidi w:val="0"/>
        <w:spacing w:before="0" w:after="0"/>
        <w:ind w:hanging="283" w:start="709"/>
        <w:jc w:val="start"/>
        <w:rPr/>
      </w:pPr>
      <w:r>
        <w:rPr>
          <w:b/>
        </w:rPr>
        <w:t>Is there customer concentration risk?</w:t>
      </w:r>
    </w:p>
    <w:p>
      <w:pPr>
        <w:pStyle w:val="BodyText"/>
        <w:numPr>
          <w:ilvl w:val="1"/>
          <w:numId w:val="216"/>
        </w:numPr>
        <w:tabs>
          <w:tab w:val="clear" w:pos="709"/>
          <w:tab w:val="left" w:pos="1418" w:leader="none"/>
        </w:tabs>
        <w:bidi w:val="0"/>
        <w:ind w:hanging="283" w:start="1418"/>
        <w:jc w:val="start"/>
        <w:rPr/>
      </w:pPr>
      <w:r>
        <w:rPr/>
        <w:t>Adam avoids companies with very few customers.</w:t>
      </w:r>
    </w:p>
    <w:p>
      <w:pPr>
        <w:pStyle w:val="BodyText"/>
        <w:numPr>
          <w:ilvl w:val="1"/>
          <w:numId w:val="216"/>
        </w:numPr>
        <w:tabs>
          <w:tab w:val="clear" w:pos="709"/>
          <w:tab w:val="left" w:pos="1418" w:leader="none"/>
        </w:tabs>
        <w:bidi w:val="0"/>
        <w:ind w:hanging="283" w:start="1418"/>
        <w:jc w:val="start"/>
        <w:rPr/>
      </w:pPr>
      <w:r>
        <w:rPr>
          <w:b/>
        </w:rPr>
        <w:t>Example: Upstart (ticker UPST, given in the transcript as "UPSD")</w:t>
      </w:r>
      <w:r>
        <w:rPr/>
        <w:t xml:space="preserve"> — a </w:t>
      </w:r>
      <w:r>
        <w:rPr>
          <w:b/>
        </w:rPr>
        <w:t>fintech company providing credit-rating software services to banks and property developers</w:t>
      </w:r>
      <w:r>
        <w:rPr/>
        <w:t xml:space="preserve">, rating the credit of customers so a bank knows whether to give a loan. The business model is interesting, </w:t>
      </w:r>
      <w:r>
        <w:rPr>
          <w:b/>
        </w:rPr>
        <w:t>but 80% of Upstart's revenue comes from just three customers.</w:t>
      </w:r>
      <w:r>
        <w:rPr/>
        <w:t xml:space="preserve"> </w:t>
      </w:r>
      <w:r>
        <w:rPr>
          <w:i/>
        </w:rPr>
        <w:t>"That's what I call customer concentration risk. If they lose one customer, or lose all three, they're done."</w:t>
      </w:r>
    </w:p>
    <w:p>
      <w:pPr>
        <w:pStyle w:val="BodyText"/>
        <w:numPr>
          <w:ilvl w:val="1"/>
          <w:numId w:val="216"/>
        </w:numPr>
        <w:tabs>
          <w:tab w:val="clear" w:pos="709"/>
          <w:tab w:val="left" w:pos="1418" w:leader="none"/>
        </w:tabs>
        <w:bidi w:val="0"/>
        <w:ind w:hanging="283" w:start="1418"/>
        <w:jc w:val="start"/>
        <w:rPr/>
      </w:pPr>
      <w:r>
        <w:rPr>
          <w:b/>
        </w:rPr>
        <w:t>What you want instead:</w:t>
      </w:r>
      <w:r>
        <w:rPr/>
        <w:t xml:space="preserve"> </w:t>
      </w:r>
      <w:r>
        <w:rPr>
          <w:i/>
        </w:rPr>
        <w:t>"a business that has got thousands or hundreds of customers — so if they lose one or two or three or four, it doesn't matter."</w:t>
      </w:r>
    </w:p>
    <w:p>
      <w:pPr>
        <w:pStyle w:val="BodyText"/>
        <w:numPr>
          <w:ilvl w:val="0"/>
          <w:numId w:val="216"/>
        </w:numPr>
        <w:tabs>
          <w:tab w:val="clear" w:pos="709"/>
          <w:tab w:val="left" w:pos="709" w:leader="none"/>
        </w:tabs>
        <w:bidi w:val="0"/>
        <w:spacing w:before="0" w:after="0"/>
        <w:ind w:hanging="283" w:start="709"/>
        <w:jc w:val="start"/>
        <w:rPr/>
      </w:pPr>
      <w:r>
        <w:rPr>
          <w:b/>
        </w:rPr>
        <w:t>Can customers switch to substitutes or competitors easily? Are they loyal to the brand?</w:t>
      </w:r>
    </w:p>
    <w:p>
      <w:pPr>
        <w:pStyle w:val="BodyText"/>
        <w:numPr>
          <w:ilvl w:val="1"/>
          <w:numId w:val="216"/>
        </w:numPr>
        <w:tabs>
          <w:tab w:val="clear" w:pos="709"/>
          <w:tab w:val="left" w:pos="1418" w:leader="none"/>
        </w:tabs>
        <w:bidi w:val="0"/>
        <w:ind w:hanging="283" w:start="1418"/>
        <w:jc w:val="start"/>
        <w:rPr/>
      </w:pPr>
      <w:r>
        <w:rPr/>
        <w:t xml:space="preserve">Easy switching + no brand loyalty = </w:t>
      </w:r>
      <w:r>
        <w:rPr>
          <w:b/>
        </w:rPr>
        <w:t>a lousy business.</w:t>
      </w:r>
    </w:p>
    <w:p>
      <w:pPr>
        <w:pStyle w:val="BodyText"/>
        <w:numPr>
          <w:ilvl w:val="1"/>
          <w:numId w:val="216"/>
        </w:numPr>
        <w:tabs>
          <w:tab w:val="clear" w:pos="709"/>
          <w:tab w:val="left" w:pos="1418" w:leader="none"/>
        </w:tabs>
        <w:bidi w:val="0"/>
        <w:ind w:hanging="283" w:start="1418"/>
        <w:jc w:val="start"/>
        <w:rPr/>
      </w:pPr>
      <w:r>
        <w:rPr>
          <w:b/>
        </w:rPr>
        <w:t xml:space="preserve">✅ </w:t>
      </w:r>
      <w:r>
        <w:rPr>
          <w:b/>
        </w:rPr>
        <w:t>Apple</w:t>
      </w:r>
      <w:r>
        <w:rPr/>
        <w:t xml:space="preserve"> — even though </w:t>
      </w:r>
      <w:r>
        <w:rPr>
          <w:b/>
        </w:rPr>
        <w:t>Samsung or Huawei</w:t>
      </w:r>
      <w:r>
        <w:rPr/>
        <w:t xml:space="preserve"> offer cheaper phones with more features, people still buy iPhone because they are </w:t>
      </w:r>
      <w:r>
        <w:rPr>
          <w:b/>
        </w:rPr>
        <w:t>in the ecosystem where everything works seamlessly</w:t>
      </w:r>
      <w:r>
        <w:rPr/>
        <w:t xml:space="preserve"> — </w:t>
      </w:r>
      <w:r>
        <w:rPr>
          <w:b/>
        </w:rPr>
        <w:t>locked into the Apple ecosystem</w:t>
      </w:r>
      <w:r>
        <w:rPr/>
        <w:t xml:space="preserve"> = </w:t>
      </w:r>
      <w:r>
        <w:rPr>
          <w:b/>
        </w:rPr>
        <w:t>high switching cost + brand loyalty</w:t>
      </w:r>
      <w:r>
        <w:rPr/>
        <w:t xml:space="preserve">. Apple customers also </w:t>
      </w:r>
      <w:r>
        <w:rPr>
          <w:b/>
        </w:rPr>
        <w:t>tend to have higher disposable income</w:t>
      </w:r>
      <w:r>
        <w:rPr/>
        <w:t xml:space="preserve">, are </w:t>
      </w:r>
      <w:r>
        <w:rPr>
          <w:b/>
        </w:rPr>
        <w:t>willing to pay more for a premium product</w:t>
      </w:r>
      <w:r>
        <w:rPr/>
        <w:t xml:space="preserve">, and </w:t>
      </w:r>
      <w:r>
        <w:rPr>
          <w:b/>
        </w:rPr>
        <w:t>the customer base is growing all around the world.</w:t>
      </w:r>
    </w:p>
    <w:p>
      <w:pPr>
        <w:pStyle w:val="BodyText"/>
        <w:numPr>
          <w:ilvl w:val="1"/>
          <w:numId w:val="216"/>
        </w:numPr>
        <w:tabs>
          <w:tab w:val="clear" w:pos="709"/>
          <w:tab w:val="left" w:pos="1418" w:leader="none"/>
        </w:tabs>
        <w:bidi w:val="0"/>
        <w:ind w:hanging="283" w:start="1418"/>
        <w:jc w:val="start"/>
        <w:rPr/>
      </w:pPr>
      <w:r>
        <w:rPr>
          <w:b/>
        </w:rPr>
        <w:t xml:space="preserve">✅ </w:t>
      </w:r>
      <w:r>
        <w:rPr>
          <w:b/>
        </w:rPr>
        <w:t>Costco</w:t>
      </w:r>
      <w:r>
        <w:rPr/>
        <w:t xml:space="preserve"> — people </w:t>
      </w:r>
      <w:r>
        <w:rPr>
          <w:b/>
        </w:rPr>
        <w:t>pay membership fees every year in the US</w:t>
      </w:r>
      <w:r>
        <w:rPr/>
        <w:t xml:space="preserve">, so </w:t>
      </w:r>
      <w:r>
        <w:rPr>
          <w:b/>
        </w:rPr>
        <w:t>they keep coming back</w:t>
      </w:r>
      <w:r>
        <w:rPr/>
        <w:t>; strong brand loyalty.</w:t>
      </w:r>
    </w:p>
    <w:p>
      <w:pPr>
        <w:pStyle w:val="Heading4"/>
        <w:numPr>
          <w:ilvl w:val="0"/>
          <w:numId w:val="0"/>
        </w:numPr>
        <w:bidi w:val="0"/>
        <w:ind w:hanging="0" w:start="0"/>
        <w:jc w:val="start"/>
        <w:rPr/>
      </w:pPr>
      <w:r>
        <w:rPr/>
        <w:t>PILLAR 4 — WEAK SUPPLIERS</w:t>
      </w:r>
    </w:p>
    <w:p>
      <w:pPr>
        <w:pStyle w:val="BodyText"/>
        <w:numPr>
          <w:ilvl w:val="0"/>
          <w:numId w:val="217"/>
        </w:numPr>
        <w:tabs>
          <w:tab w:val="clear" w:pos="709"/>
          <w:tab w:val="left" w:pos="709" w:leader="none"/>
        </w:tabs>
        <w:bidi w:val="0"/>
        <w:ind w:hanging="283" w:start="709"/>
        <w:jc w:val="start"/>
        <w:rPr/>
      </w:pPr>
      <w:r>
        <w:rPr/>
        <w:t xml:space="preserve">The opposite of Pillar 3: while you want </w:t>
      </w:r>
      <w:r>
        <w:rPr>
          <w:b/>
        </w:rPr>
        <w:t>customers strong and growing</w:t>
      </w:r>
      <w:r>
        <w:rPr/>
        <w:t xml:space="preserve">, you want the </w:t>
      </w:r>
      <w:r>
        <w:rPr>
          <w:b/>
        </w:rPr>
        <w:t>suppliers to your business to be WEAK relative to the business.</w:t>
      </w:r>
    </w:p>
    <w:p>
      <w:pPr>
        <w:pStyle w:val="BodyText"/>
        <w:numPr>
          <w:ilvl w:val="0"/>
          <w:numId w:val="217"/>
        </w:numPr>
        <w:tabs>
          <w:tab w:val="clear" w:pos="709"/>
          <w:tab w:val="left" w:pos="709" w:leader="none"/>
        </w:tabs>
        <w:bidi w:val="0"/>
        <w:ind w:hanging="283" w:start="709"/>
        <w:jc w:val="start"/>
        <w:rPr/>
      </w:pPr>
      <w:r>
        <w:rPr/>
        <w:t xml:space="preserve">You want your business to have </w:t>
      </w:r>
      <w:r>
        <w:rPr>
          <w:b/>
        </w:rPr>
        <w:t>stronger bargaining power than its suppliers</w:t>
      </w:r>
      <w:r>
        <w:rPr/>
        <w:t xml:space="preserve">, so it can </w:t>
      </w:r>
      <w:r>
        <w:rPr>
          <w:b/>
        </w:rPr>
        <w:t>squeeze the suppliers for lower input costs.</w:t>
      </w:r>
    </w:p>
    <w:p>
      <w:pPr>
        <w:pStyle w:val="BodyText"/>
        <w:numPr>
          <w:ilvl w:val="0"/>
          <w:numId w:val="217"/>
        </w:numPr>
        <w:tabs>
          <w:tab w:val="clear" w:pos="709"/>
          <w:tab w:val="left" w:pos="709" w:leader="none"/>
        </w:tabs>
        <w:bidi w:val="0"/>
        <w:ind w:hanging="283" w:start="709"/>
        <w:jc w:val="start"/>
        <w:rPr/>
      </w:pPr>
      <w:r>
        <w:rPr>
          <w:b/>
        </w:rPr>
        <w:t>If suppliers are stronger than your business, they can easily raise their price and increase your business's costs.</w:t>
      </w:r>
    </w:p>
    <w:p>
      <w:pPr>
        <w:pStyle w:val="BodyText"/>
        <w:numPr>
          <w:ilvl w:val="0"/>
          <w:numId w:val="217"/>
        </w:numPr>
        <w:tabs>
          <w:tab w:val="clear" w:pos="709"/>
          <w:tab w:val="left" w:pos="709" w:leader="none"/>
        </w:tabs>
        <w:bidi w:val="0"/>
        <w:ind w:hanging="283" w:start="709"/>
        <w:jc w:val="start"/>
        <w:rPr/>
      </w:pPr>
      <w:r>
        <w:rPr>
          <w:b/>
        </w:rPr>
        <w:t>Test: does the business have many alternative suppliers?</w:t>
      </w:r>
      <w:r>
        <w:rPr/>
        <w:t xml:space="preserve"> If one supplier raises price, the company can go to another, and another. </w:t>
      </w:r>
      <w:r>
        <w:rPr>
          <w:b/>
        </w:rPr>
        <w:t>You want suppliers to have weak bargaining power.</w:t>
      </w:r>
    </w:p>
    <w:p>
      <w:pPr>
        <w:pStyle w:val="Heading4"/>
        <w:numPr>
          <w:ilvl w:val="0"/>
          <w:numId w:val="0"/>
        </w:numPr>
        <w:bidi w:val="0"/>
        <w:ind w:hanging="0" w:start="0"/>
        <w:jc w:val="start"/>
        <w:rPr/>
      </w:pPr>
      <w:r>
        <w:rPr/>
        <w:t>PILLAR 5 — PROTECTION FROM COMPETITION / STRONG ECONOMIC MOAT ("the most important one")</w:t>
      </w:r>
    </w:p>
    <w:p>
      <w:pPr>
        <w:pStyle w:val="BodyText"/>
        <w:numPr>
          <w:ilvl w:val="0"/>
          <w:numId w:val="218"/>
        </w:numPr>
        <w:tabs>
          <w:tab w:val="clear" w:pos="709"/>
          <w:tab w:val="left" w:pos="709" w:leader="none"/>
        </w:tabs>
        <w:bidi w:val="0"/>
        <w:ind w:hanging="283" w:start="709"/>
        <w:jc w:val="start"/>
        <w:rPr/>
      </w:pPr>
      <w:r>
        <w:rPr>
          <w:i/>
        </w:rPr>
        <w:t>"The one thing that can kill your business or reduce its revenue and profits would be competition wanting to take away your customers."</w:t>
      </w:r>
    </w:p>
    <w:p>
      <w:pPr>
        <w:pStyle w:val="BodyText"/>
        <w:numPr>
          <w:ilvl w:val="0"/>
          <w:numId w:val="218"/>
        </w:numPr>
        <w:tabs>
          <w:tab w:val="clear" w:pos="709"/>
          <w:tab w:val="left" w:pos="709" w:leader="none"/>
        </w:tabs>
        <w:bidi w:val="0"/>
        <w:ind w:hanging="283" w:start="709"/>
        <w:jc w:val="start"/>
        <w:rPr/>
      </w:pPr>
      <w:r>
        <w:rPr>
          <w:b/>
        </w:rPr>
        <w:t>A great business is one that's able to protect itself against potential competition so competitors cannot take away its customers and market share.</w:t>
      </w:r>
      <w:r>
        <w:rPr/>
        <w:t xml:space="preserve"> This only happens if the business has a </w:t>
      </w:r>
      <w:r>
        <w:rPr>
          <w:b/>
        </w:rPr>
        <w:t>strong economic moat.</w:t>
      </w:r>
      <w:r>
        <w:rPr/>
        <w:t xml:space="preserve"> (Introduced in the previous lesson under the three steps of investing; covered in detail in </w:t>
      </w:r>
      <w:r>
        <w:rPr>
          <w:b/>
        </w:rPr>
        <w:t>Lesson 7 — the seven-step Value Momentum Investing formula.</w:t>
      </w:r>
      <w:r>
        <w:rPr/>
        <w:t>)</w:t>
      </w:r>
    </w:p>
    <w:p>
      <w:pPr>
        <w:pStyle w:val="BodyText"/>
        <w:numPr>
          <w:ilvl w:val="0"/>
          <w:numId w:val="218"/>
        </w:numPr>
        <w:tabs>
          <w:tab w:val="clear" w:pos="709"/>
          <w:tab w:val="left" w:pos="709" w:leader="none"/>
        </w:tabs>
        <w:bidi w:val="0"/>
        <w:spacing w:before="0" w:after="0"/>
        <w:ind w:hanging="283" w:start="709"/>
        <w:jc w:val="start"/>
        <w:rPr/>
      </w:pPr>
      <w:r>
        <w:rPr>
          <w:b/>
        </w:rPr>
        <w:t>Sources of a strong moat / competitive advantage:</w:t>
      </w:r>
    </w:p>
    <w:p>
      <w:pPr>
        <w:pStyle w:val="BodyText"/>
        <w:numPr>
          <w:ilvl w:val="1"/>
          <w:numId w:val="218"/>
        </w:numPr>
        <w:tabs>
          <w:tab w:val="clear" w:pos="709"/>
          <w:tab w:val="left" w:pos="1418" w:leader="none"/>
        </w:tabs>
        <w:bidi w:val="0"/>
        <w:ind w:hanging="283" w:start="1418"/>
        <w:jc w:val="start"/>
        <w:rPr/>
      </w:pPr>
      <w:r>
        <w:rPr>
          <w:b/>
        </w:rPr>
        <w:t>Brand monopoly</w:t>
      </w:r>
      <w:r>
        <w:rPr/>
        <w:t xml:space="preserve"> — e.g. </w:t>
      </w:r>
      <w:r>
        <w:rPr>
          <w:b/>
        </w:rPr>
        <w:t>Google</w:t>
      </w:r>
      <w:r>
        <w:rPr/>
        <w:t xml:space="preserve"> in search; </w:t>
      </w:r>
      <w:r>
        <w:rPr>
          <w:b/>
        </w:rPr>
        <w:t>Facebook / Instagram</w:t>
      </w:r>
      <w:r>
        <w:rPr/>
        <w:t xml:space="preserve"> in social media.</w:t>
      </w:r>
    </w:p>
    <w:p>
      <w:pPr>
        <w:pStyle w:val="BodyText"/>
        <w:numPr>
          <w:ilvl w:val="1"/>
          <w:numId w:val="218"/>
        </w:numPr>
        <w:tabs>
          <w:tab w:val="clear" w:pos="709"/>
          <w:tab w:val="left" w:pos="1418" w:leader="none"/>
        </w:tabs>
        <w:bidi w:val="0"/>
        <w:ind w:hanging="283" w:start="1418"/>
        <w:jc w:val="start"/>
        <w:rPr/>
      </w:pPr>
      <w:r>
        <w:rPr>
          <w:b/>
        </w:rPr>
        <w:t>High switching costs</w:t>
      </w:r>
      <w:r>
        <w:rPr/>
        <w:t xml:space="preserve"> that lock in the customer for life.</w:t>
      </w:r>
    </w:p>
    <w:p>
      <w:pPr>
        <w:pStyle w:val="BodyText"/>
        <w:numPr>
          <w:ilvl w:val="1"/>
          <w:numId w:val="218"/>
        </w:numPr>
        <w:tabs>
          <w:tab w:val="clear" w:pos="709"/>
          <w:tab w:val="left" w:pos="1418" w:leader="none"/>
        </w:tabs>
        <w:bidi w:val="0"/>
        <w:ind w:hanging="283" w:start="1418"/>
        <w:jc w:val="start"/>
        <w:rPr/>
      </w:pPr>
      <w:r>
        <w:rPr>
          <w:b/>
        </w:rPr>
        <w:t>Huge economies of scale</w:t>
      </w:r>
      <w:r>
        <w:rPr/>
        <w:t xml:space="preserve"> that competitors cannot compete with.</w:t>
      </w:r>
    </w:p>
    <w:p>
      <w:pPr>
        <w:pStyle w:val="BodyText"/>
        <w:numPr>
          <w:ilvl w:val="1"/>
          <w:numId w:val="218"/>
        </w:numPr>
        <w:tabs>
          <w:tab w:val="clear" w:pos="709"/>
          <w:tab w:val="left" w:pos="1418" w:leader="none"/>
        </w:tabs>
        <w:bidi w:val="0"/>
        <w:ind w:hanging="283" w:start="1418"/>
        <w:jc w:val="start"/>
        <w:rPr/>
      </w:pPr>
      <w:r>
        <w:rPr>
          <w:b/>
        </w:rPr>
        <w:t>High barriers to entry</w:t>
      </w:r>
      <w:r>
        <w:rPr/>
        <w:t xml:space="preserve"> — difficult for new players to enter the industry because of </w:t>
      </w:r>
      <w:r>
        <w:rPr>
          <w:b/>
        </w:rPr>
        <w:t>regulations</w:t>
      </w:r>
      <w:r>
        <w:rPr/>
        <w:t xml:space="preserve"> or </w:t>
      </w:r>
      <w:r>
        <w:rPr>
          <w:b/>
        </w:rPr>
        <w:t>high cost of entry</w:t>
      </w:r>
      <w:r>
        <w:rPr/>
        <w:t>.</w:t>
      </w:r>
    </w:p>
    <w:p>
      <w:pPr>
        <w:pStyle w:val="BodyText"/>
        <w:numPr>
          <w:ilvl w:val="0"/>
          <w:numId w:val="218"/>
        </w:numPr>
        <w:tabs>
          <w:tab w:val="clear" w:pos="709"/>
          <w:tab w:val="left" w:pos="709" w:leader="none"/>
        </w:tabs>
        <w:bidi w:val="0"/>
        <w:spacing w:before="0" w:after="0"/>
        <w:ind w:hanging="283" w:start="709"/>
        <w:jc w:val="start"/>
        <w:rPr/>
      </w:pPr>
      <w:r>
        <w:rPr>
          <w:b/>
        </w:rPr>
        <w:t>What makes competition WEAK:</w:t>
      </w:r>
    </w:p>
    <w:p>
      <w:pPr>
        <w:pStyle w:val="BodyText"/>
        <w:numPr>
          <w:ilvl w:val="1"/>
          <w:numId w:val="218"/>
        </w:numPr>
        <w:tabs>
          <w:tab w:val="clear" w:pos="709"/>
          <w:tab w:val="left" w:pos="1418" w:leader="none"/>
        </w:tabs>
        <w:bidi w:val="0"/>
        <w:ind w:hanging="283" w:start="1418"/>
        <w:jc w:val="start"/>
        <w:rPr/>
      </w:pPr>
      <w:r>
        <w:rPr>
          <w:b/>
        </w:rPr>
        <w:t>Few competitors</w:t>
      </w:r>
      <w:r>
        <w:rPr/>
        <w:t xml:space="preserve"> (many competitors is bad)</w:t>
      </w:r>
    </w:p>
    <w:p>
      <w:pPr>
        <w:pStyle w:val="BodyText"/>
        <w:numPr>
          <w:ilvl w:val="1"/>
          <w:numId w:val="218"/>
        </w:numPr>
        <w:tabs>
          <w:tab w:val="clear" w:pos="709"/>
          <w:tab w:val="left" w:pos="1418" w:leader="none"/>
        </w:tabs>
        <w:bidi w:val="0"/>
        <w:ind w:hanging="283" w:start="1418"/>
        <w:jc w:val="start"/>
        <w:rPr/>
      </w:pPr>
      <w:r>
        <w:rPr/>
        <w:t xml:space="preserve">Competitors with </w:t>
      </w:r>
      <w:r>
        <w:rPr>
          <w:b/>
        </w:rPr>
        <w:t>very small market share</w:t>
      </w:r>
    </w:p>
    <w:p>
      <w:pPr>
        <w:pStyle w:val="BodyText"/>
        <w:numPr>
          <w:ilvl w:val="1"/>
          <w:numId w:val="218"/>
        </w:numPr>
        <w:tabs>
          <w:tab w:val="clear" w:pos="709"/>
          <w:tab w:val="left" w:pos="1418" w:leader="none"/>
        </w:tabs>
        <w:bidi w:val="0"/>
        <w:ind w:hanging="283" w:start="1418"/>
        <w:jc w:val="start"/>
        <w:rPr/>
      </w:pPr>
      <w:r>
        <w:rPr/>
        <w:t xml:space="preserve">Competitors with a </w:t>
      </w:r>
      <w:r>
        <w:rPr>
          <w:b/>
        </w:rPr>
        <w:t>weaker competitive position</w:t>
      </w:r>
    </w:p>
    <w:p>
      <w:pPr>
        <w:pStyle w:val="BodyText"/>
        <w:numPr>
          <w:ilvl w:val="0"/>
          <w:numId w:val="218"/>
        </w:numPr>
        <w:tabs>
          <w:tab w:val="clear" w:pos="709"/>
          <w:tab w:val="left" w:pos="709" w:leader="none"/>
        </w:tabs>
        <w:bidi w:val="0"/>
        <w:ind w:hanging="283" w:start="709"/>
        <w:jc w:val="start"/>
        <w:rPr/>
      </w:pPr>
      <w:r>
        <w:rPr>
          <w:b/>
        </w:rPr>
        <w:t>Adam's practice:</w:t>
      </w:r>
      <w:r>
        <w:rPr/>
        <w:t xml:space="preserve"> </w:t>
      </w:r>
      <w:r>
        <w:rPr>
          <w:i/>
        </w:rPr>
        <w:t>"Before investing in a business I always look at all the closest competitors, to ensure the closest competitors are always weaker than the business I want to invest in. If the competitor is stronger, then I'd rather invest in the competitor."</w:t>
      </w:r>
    </w:p>
    <w:p>
      <w:pPr>
        <w:pStyle w:val="BodyText"/>
        <w:numPr>
          <w:ilvl w:val="0"/>
          <w:numId w:val="218"/>
        </w:numPr>
        <w:tabs>
          <w:tab w:val="clear" w:pos="709"/>
          <w:tab w:val="left" w:pos="709" w:leader="none"/>
        </w:tabs>
        <w:bidi w:val="0"/>
        <w:ind w:hanging="283" w:start="709"/>
        <w:jc w:val="start"/>
        <w:rPr/>
      </w:pPr>
      <w:r>
        <w:rPr>
          <w:b/>
        </w:rPr>
        <w:t>"You always want to invest in the top dog — the strongest business within the industry. And if there's no one strong business, forget it, don't even invest in that. You want to invest in an industry where there's clearly one leader, and you want to be with that leader."</w:t>
      </w:r>
    </w:p>
    <w:p>
      <w:pPr>
        <w:pStyle w:val="BodyText"/>
        <w:numPr>
          <w:ilvl w:val="0"/>
          <w:numId w:val="218"/>
        </w:numPr>
        <w:tabs>
          <w:tab w:val="clear" w:pos="709"/>
          <w:tab w:val="left" w:pos="709" w:leader="none"/>
        </w:tabs>
        <w:bidi w:val="0"/>
        <w:ind w:hanging="283" w:start="709"/>
        <w:jc w:val="start"/>
        <w:rPr/>
      </w:pPr>
      <w:r>
        <w:rPr>
          <w:b/>
        </w:rPr>
        <w:t>How this shows up in the numbers:</w:t>
      </w:r>
      <w:r>
        <w:rPr/>
        <w:t xml:space="preserve"> when a company has a strong competitive advantage and weak competition, it is </w:t>
      </w:r>
      <w:r>
        <w:rPr>
          <w:b/>
        </w:rPr>
        <w:t>able to increase revenue and income consistently, has consistently growing cash flow from operations, and its free cash flow is positive.</w:t>
      </w:r>
      <w:r>
        <w:rPr/>
        <w:t xml:space="preserve"> </w:t>
      </w:r>
      <w:r>
        <w:rPr>
          <w:i/>
        </w:rPr>
        <w:t>"All this is reflected in those financial metrics you have learned — but now you understand what goes behind creating those metrics."</w:t>
      </w:r>
    </w:p>
    <w:p>
      <w:pPr>
        <w:pStyle w:val="Heading4"/>
        <w:numPr>
          <w:ilvl w:val="0"/>
          <w:numId w:val="0"/>
        </w:numPr>
        <w:bidi w:val="0"/>
        <w:ind w:hanging="0" w:start="0"/>
        <w:jc w:val="start"/>
        <w:rPr/>
      </w:pPr>
      <w:r>
        <w:rPr/>
        <w:t>PILLAR 6 — Ability to SELF-FINANCE growth</w:t>
      </w:r>
    </w:p>
    <w:p>
      <w:pPr>
        <w:pStyle w:val="BodyText"/>
        <w:numPr>
          <w:ilvl w:val="0"/>
          <w:numId w:val="219"/>
        </w:numPr>
        <w:tabs>
          <w:tab w:val="clear" w:pos="709"/>
          <w:tab w:val="left" w:pos="709" w:leader="none"/>
        </w:tabs>
        <w:bidi w:val="0"/>
        <w:ind w:hanging="283" w:start="709"/>
        <w:jc w:val="start"/>
        <w:rPr/>
      </w:pPr>
      <w:r>
        <w:rPr/>
        <w:t xml:space="preserve">As a business grows it needs money to grow. </w:t>
      </w:r>
      <w:r>
        <w:rPr>
          <w:b/>
        </w:rPr>
        <w:t>We want businesses that grow ORGANICALLY — generating enough cash to grow themselves, without borrowing more money and without selling more shares.</w:t>
      </w:r>
    </w:p>
    <w:p>
      <w:pPr>
        <w:pStyle w:val="BodyText"/>
        <w:numPr>
          <w:ilvl w:val="0"/>
          <w:numId w:val="219"/>
        </w:numPr>
        <w:tabs>
          <w:tab w:val="clear" w:pos="709"/>
          <w:tab w:val="left" w:pos="709" w:leader="none"/>
        </w:tabs>
        <w:bidi w:val="0"/>
        <w:spacing w:before="0" w:after="0"/>
        <w:ind w:hanging="283" w:start="709"/>
        <w:jc w:val="start"/>
        <w:rPr/>
      </w:pPr>
      <w:r>
        <w:rPr>
          <w:b/>
        </w:rPr>
        <w:t>Questions to ask:</w:t>
      </w:r>
    </w:p>
    <w:p>
      <w:pPr>
        <w:pStyle w:val="BodyText"/>
        <w:numPr>
          <w:ilvl w:val="1"/>
          <w:numId w:val="219"/>
        </w:numPr>
        <w:tabs>
          <w:tab w:val="clear" w:pos="709"/>
          <w:tab w:val="left" w:pos="1418" w:leader="none"/>
        </w:tabs>
        <w:bidi w:val="0"/>
        <w:ind w:hanging="283" w:start="1418"/>
        <w:jc w:val="start"/>
        <w:rPr/>
      </w:pPr>
      <w:r>
        <w:rPr>
          <w:b/>
        </w:rPr>
        <w:t>Is the company able to grow without issuing new shares or new debt?</w:t>
      </w:r>
      <w:r>
        <w:rPr/>
        <w:t xml:space="preserve"> If yes, </w:t>
      </w:r>
      <w:r>
        <w:rPr>
          <w:b/>
        </w:rPr>
        <w:t>that's a great business.</w:t>
      </w:r>
    </w:p>
    <w:p>
      <w:pPr>
        <w:pStyle w:val="BodyText"/>
        <w:numPr>
          <w:ilvl w:val="1"/>
          <w:numId w:val="219"/>
        </w:numPr>
        <w:tabs>
          <w:tab w:val="clear" w:pos="709"/>
          <w:tab w:val="left" w:pos="1418" w:leader="none"/>
        </w:tabs>
        <w:bidi w:val="0"/>
        <w:ind w:hanging="283" w:start="1418"/>
        <w:jc w:val="start"/>
        <w:rPr/>
      </w:pPr>
      <w:r>
        <w:rPr>
          <w:b/>
        </w:rPr>
        <w:t>Does the company have a conservative debt structure?</w:t>
      </w:r>
    </w:p>
    <w:p>
      <w:pPr>
        <w:pStyle w:val="BodyText"/>
        <w:numPr>
          <w:ilvl w:val="1"/>
          <w:numId w:val="219"/>
        </w:numPr>
        <w:tabs>
          <w:tab w:val="clear" w:pos="709"/>
          <w:tab w:val="left" w:pos="1418" w:leader="none"/>
        </w:tabs>
        <w:bidi w:val="0"/>
        <w:ind w:hanging="283" w:start="1418"/>
        <w:jc w:val="start"/>
        <w:rPr/>
      </w:pPr>
      <w:r>
        <w:rPr>
          <w:b/>
        </w:rPr>
        <w:t>Is the company buying back shares?</w:t>
      </w:r>
    </w:p>
    <w:p>
      <w:pPr>
        <w:pStyle w:val="BodyText"/>
        <w:numPr>
          <w:ilvl w:val="0"/>
          <w:numId w:val="219"/>
        </w:numPr>
        <w:tabs>
          <w:tab w:val="clear" w:pos="709"/>
          <w:tab w:val="left" w:pos="709" w:leader="none"/>
        </w:tabs>
        <w:bidi w:val="0"/>
        <w:spacing w:before="0" w:after="0"/>
        <w:ind w:hanging="283" w:start="709"/>
        <w:jc w:val="start"/>
        <w:rPr/>
      </w:pPr>
      <w:r>
        <w:rPr>
          <w:b/>
        </w:rPr>
        <w:t>"Conservative debt structure" = exactly the metrics already taught:</w:t>
      </w:r>
    </w:p>
    <w:p>
      <w:pPr>
        <w:pStyle w:val="BodyText"/>
        <w:numPr>
          <w:ilvl w:val="1"/>
          <w:numId w:val="219"/>
        </w:numPr>
        <w:tabs>
          <w:tab w:val="clear" w:pos="709"/>
          <w:tab w:val="left" w:pos="1418" w:leader="none"/>
        </w:tabs>
        <w:bidi w:val="0"/>
        <w:ind w:hanging="283" w:start="1418"/>
        <w:jc w:val="start"/>
        <w:rPr/>
      </w:pPr>
      <w:r>
        <w:rPr>
          <w:b/>
        </w:rPr>
        <w:t>Current ratio more than 1</w:t>
      </w:r>
    </w:p>
    <w:p>
      <w:pPr>
        <w:pStyle w:val="BodyText"/>
        <w:numPr>
          <w:ilvl w:val="1"/>
          <w:numId w:val="219"/>
        </w:numPr>
        <w:tabs>
          <w:tab w:val="clear" w:pos="709"/>
          <w:tab w:val="left" w:pos="1418" w:leader="none"/>
        </w:tabs>
        <w:bidi w:val="0"/>
        <w:ind w:hanging="283" w:start="1418"/>
        <w:jc w:val="start"/>
        <w:rPr/>
      </w:pPr>
      <w:r>
        <w:rPr>
          <w:b/>
        </w:rPr>
        <w:t>Debt/EBITDA ratio 3 or less</w:t>
      </w:r>
    </w:p>
    <w:p>
      <w:pPr>
        <w:pStyle w:val="BodyText"/>
        <w:numPr>
          <w:ilvl w:val="1"/>
          <w:numId w:val="219"/>
        </w:numPr>
        <w:tabs>
          <w:tab w:val="clear" w:pos="709"/>
          <w:tab w:val="left" w:pos="1418" w:leader="none"/>
        </w:tabs>
        <w:bidi w:val="0"/>
        <w:ind w:hanging="283" w:start="1418"/>
        <w:jc w:val="start"/>
        <w:rPr/>
      </w:pPr>
      <w:r>
        <w:rPr>
          <w:b/>
        </w:rPr>
        <w:t>Debt servicing ratio less than 30%</w:t>
      </w:r>
    </w:p>
    <w:p>
      <w:pPr>
        <w:pStyle w:val="BodyText"/>
        <w:numPr>
          <w:ilvl w:val="1"/>
          <w:numId w:val="219"/>
        </w:numPr>
        <w:tabs>
          <w:tab w:val="clear" w:pos="709"/>
          <w:tab w:val="left" w:pos="1418" w:leader="none"/>
        </w:tabs>
        <w:bidi w:val="0"/>
        <w:ind w:hanging="283" w:start="1418"/>
        <w:jc w:val="start"/>
        <w:rPr/>
      </w:pPr>
      <w:r>
        <w:rPr>
          <w:b/>
        </w:rPr>
        <w:t>ROE and ROIC above 12% or above 15%</w:t>
      </w:r>
    </w:p>
    <w:p>
      <w:pPr>
        <w:pStyle w:val="BodyText"/>
        <w:numPr>
          <w:ilvl w:val="0"/>
          <w:numId w:val="219"/>
        </w:numPr>
        <w:tabs>
          <w:tab w:val="clear" w:pos="709"/>
          <w:tab w:val="left" w:pos="709" w:leader="none"/>
        </w:tabs>
        <w:bidi w:val="0"/>
        <w:ind w:hanging="283" w:start="709"/>
        <w:jc w:val="start"/>
        <w:rPr/>
      </w:pPr>
      <w:r>
        <w:rPr>
          <w:b/>
        </w:rPr>
        <w:t>On buybacks:</w:t>
      </w:r>
      <w:r>
        <w:rPr/>
        <w:t xml:space="preserve"> </w:t>
      </w:r>
      <w:r>
        <w:rPr>
          <w:i/>
        </w:rPr>
        <w:t>"In general, we like companies to buy back their own shares — provided they are profitable and provided the shares are undervalued in the first place."</w:t>
      </w:r>
    </w:p>
    <w:p>
      <w:pPr>
        <w:pStyle w:val="BlockQuotation"/>
        <w:bidi w:val="0"/>
        <w:jc w:val="start"/>
        <w:rPr/>
      </w:pPr>
      <w:r>
        <w:rPr>
          <w:b/>
        </w:rPr>
        <w:t>Closing:</w:t>
      </w:r>
      <w:r>
        <w:rPr/>
        <w:t xml:space="preserve"> </w:t>
      </w:r>
      <w:r>
        <w:rPr>
          <w:i/>
        </w:rPr>
        <w:t>"If it is able to meet these pillars and it is reflected in all the financial metrics, then I know I've got the confidence to invest in this business, and over time it will grow under all economic conditions and thrive."</w:t>
      </w:r>
    </w:p>
    <w:p>
      <w:pPr>
        <w:pStyle w:val="HorizontalLine"/>
        <w:bidi w:val="0"/>
        <w:jc w:val="start"/>
        <w:rPr/>
      </w:pPr>
      <w:r>
        <w:rPr/>
      </w:r>
    </w:p>
    <w:p>
      <w:pPr>
        <w:pStyle w:val="Heading3"/>
        <w:bidi w:val="0"/>
        <w:ind w:hanging="0" w:start="0"/>
        <w:jc w:val="start"/>
        <w:rPr/>
      </w:pPr>
      <w:r>
        <w:rPr/>
        <w:t>9. Key Takeaways</w:t>
      </w:r>
    </w:p>
    <w:p>
      <w:pPr>
        <w:pStyle w:val="BodyText"/>
        <w:numPr>
          <w:ilvl w:val="0"/>
          <w:numId w:val="220"/>
        </w:numPr>
        <w:tabs>
          <w:tab w:val="clear" w:pos="709"/>
          <w:tab w:val="left" w:pos="709" w:leader="none"/>
        </w:tabs>
        <w:bidi w:val="0"/>
        <w:ind w:hanging="283" w:start="709"/>
        <w:jc w:val="start"/>
        <w:rPr/>
      </w:pPr>
      <w:r>
        <w:rPr>
          <w:b/>
        </w:rPr>
        <w:t>You are buying a business, not a ticker.</w:t>
      </w:r>
      <w:r>
        <w:rPr/>
        <w:t xml:space="preserve"> 70% of the investment decision rests on fundamentals. If the business does well, the stock does well over time.</w:t>
      </w:r>
    </w:p>
    <w:p>
      <w:pPr>
        <w:pStyle w:val="BodyText"/>
        <w:numPr>
          <w:ilvl w:val="0"/>
          <w:numId w:val="220"/>
        </w:numPr>
        <w:tabs>
          <w:tab w:val="clear" w:pos="709"/>
          <w:tab w:val="left" w:pos="709" w:leader="none"/>
        </w:tabs>
        <w:bidi w:val="0"/>
        <w:ind w:hanging="283" w:start="709"/>
        <w:jc w:val="start"/>
        <w:rPr/>
      </w:pPr>
      <w:r>
        <w:rPr>
          <w:b/>
        </w:rPr>
        <w:t>The purpose of fundamental analysis is defensive first.</w:t>
      </w:r>
      <w:r>
        <w:rPr/>
        <w:t xml:space="preserve"> Finding great companies matters, but </w:t>
      </w:r>
      <w:r>
        <w:rPr>
          <w:b/>
        </w:rPr>
        <w:t>avoiding lousy businesses is what saves you</w:t>
      </w:r>
      <w:r>
        <w:rPr/>
        <w:t xml:space="preserve"> — investors lose money mainly by owning bad businesses whose prices crash and never recover.</w:t>
      </w:r>
    </w:p>
    <w:p>
      <w:pPr>
        <w:pStyle w:val="BodyText"/>
        <w:numPr>
          <w:ilvl w:val="0"/>
          <w:numId w:val="220"/>
        </w:numPr>
        <w:tabs>
          <w:tab w:val="clear" w:pos="709"/>
          <w:tab w:val="left" w:pos="709" w:leader="none"/>
        </w:tabs>
        <w:bidi w:val="0"/>
        <w:ind w:hanging="283" w:start="709"/>
        <w:jc w:val="start"/>
        <w:rPr/>
      </w:pPr>
      <w:r>
        <w:rPr>
          <w:b/>
        </w:rPr>
        <w:t>"Blue chip" is not a safety label.</w:t>
      </w:r>
      <w:r>
        <w:rPr/>
        <w:t xml:space="preserve"> Noble Group, Hyflux and China Evergrande were all blue chips. </w:t>
      </w:r>
      <w:r>
        <w:rPr>
          <w:b/>
        </w:rPr>
        <w:t>"Blue chip can get blue black."</w:t>
      </w:r>
    </w:p>
    <w:p>
      <w:pPr>
        <w:pStyle w:val="BodyText"/>
        <w:numPr>
          <w:ilvl w:val="0"/>
          <w:numId w:val="220"/>
        </w:numPr>
        <w:tabs>
          <w:tab w:val="clear" w:pos="709"/>
          <w:tab w:val="left" w:pos="709" w:leader="none"/>
        </w:tabs>
        <w:bidi w:val="0"/>
        <w:ind w:hanging="283" w:start="709"/>
        <w:jc w:val="start"/>
        <w:rPr/>
      </w:pPr>
      <w:r>
        <w:rPr>
          <w:b/>
        </w:rPr>
        <w:t>The statement of cash flows is the most important of the three statements.</w:t>
      </w:r>
      <w:r>
        <w:rPr/>
        <w:t xml:space="preserve"> Profits can be manufactured (uncollected sales booked as revenue; asset revaluation gains). </w:t>
      </w:r>
      <w:r>
        <w:rPr>
          <w:b/>
        </w:rPr>
        <w:t>Cash cannot be faked.</w:t>
      </w:r>
    </w:p>
    <w:p>
      <w:pPr>
        <w:pStyle w:val="BodyText"/>
        <w:numPr>
          <w:ilvl w:val="0"/>
          <w:numId w:val="220"/>
        </w:numPr>
        <w:tabs>
          <w:tab w:val="clear" w:pos="709"/>
          <w:tab w:val="left" w:pos="709" w:leader="none"/>
        </w:tabs>
        <w:bidi w:val="0"/>
        <w:ind w:hanging="283" w:start="709"/>
        <w:jc w:val="start"/>
        <w:rPr/>
      </w:pPr>
      <w:r>
        <w:rPr>
          <w:b/>
        </w:rPr>
        <w:t>Income statement: only three numbers matter</w:t>
      </w:r>
      <w:r>
        <w:rPr/>
        <w:t xml:space="preserve"> — revenue, operating income, net income after tax. All three should trend up over 5 (ideally 10) years. If net income is lumpy because of one-off items, </w:t>
      </w:r>
      <w:r>
        <w:rPr>
          <w:b/>
        </w:rPr>
        <w:t>operating income is the clean read.</w:t>
      </w:r>
    </w:p>
    <w:p>
      <w:pPr>
        <w:pStyle w:val="BodyText"/>
        <w:numPr>
          <w:ilvl w:val="0"/>
          <w:numId w:val="220"/>
        </w:numPr>
        <w:tabs>
          <w:tab w:val="clear" w:pos="709"/>
          <w:tab w:val="left" w:pos="709" w:leader="none"/>
        </w:tabs>
        <w:bidi w:val="0"/>
        <w:ind w:hanging="283" w:start="709"/>
        <w:jc w:val="start"/>
        <w:rPr/>
      </w:pPr>
      <w:r>
        <w:rPr>
          <w:b/>
        </w:rPr>
        <w:t>Balance sheet: only two numbers matter for Adam's work</w:t>
      </w:r>
      <w:r>
        <w:rPr/>
        <w:t xml:space="preserve"> — </w:t>
      </w:r>
      <w:r>
        <w:rPr>
          <w:b/>
        </w:rPr>
        <w:t>cash + short-term investments</w:t>
      </w:r>
      <w:r>
        <w:rPr/>
        <w:t xml:space="preserve"> and </w:t>
      </w:r>
      <w:r>
        <w:rPr>
          <w:b/>
        </w:rPr>
        <w:t>total debt (short-term + long-term)</w:t>
      </w:r>
      <w:r>
        <w:rPr/>
        <w:t>. Both feed the intrinsic value calculation later.</w:t>
      </w:r>
    </w:p>
    <w:p>
      <w:pPr>
        <w:pStyle w:val="BodyText"/>
        <w:numPr>
          <w:ilvl w:val="0"/>
          <w:numId w:val="220"/>
        </w:numPr>
        <w:tabs>
          <w:tab w:val="clear" w:pos="709"/>
          <w:tab w:val="left" w:pos="709" w:leader="none"/>
        </w:tabs>
        <w:bidi w:val="0"/>
        <w:ind w:hanging="283" w:start="709"/>
        <w:jc w:val="start"/>
        <w:rPr/>
      </w:pPr>
      <w:r>
        <w:rPr>
          <w:b/>
        </w:rPr>
        <w:t>Balance sheet uses the LATEST QUARTERLY report</w:t>
      </w:r>
      <w:r>
        <w:rPr/>
        <w:t xml:space="preserve"> (a point in time). </w:t>
      </w:r>
      <w:r>
        <w:rPr>
          <w:b/>
        </w:rPr>
        <w:t>Income statement and cash flow statement use ANNUAL figures</w:t>
      </w:r>
      <w:r>
        <w:rPr/>
        <w:t xml:space="preserve"> (a period of time).</w:t>
      </w:r>
    </w:p>
    <w:p>
      <w:pPr>
        <w:pStyle w:val="BodyText"/>
        <w:numPr>
          <w:ilvl w:val="0"/>
          <w:numId w:val="220"/>
        </w:numPr>
        <w:tabs>
          <w:tab w:val="clear" w:pos="709"/>
          <w:tab w:val="left" w:pos="709" w:leader="none"/>
        </w:tabs>
        <w:bidi w:val="0"/>
        <w:ind w:hanging="283" w:start="709"/>
        <w:jc w:val="start"/>
        <w:rPr/>
      </w:pPr>
      <w:r>
        <w:rPr>
          <w:b/>
        </w:rPr>
        <w:t>Negative shareholders' equity is not automatically bad</w:t>
      </w:r>
      <w:r>
        <w:rPr/>
        <w:t xml:space="preserve"> — check whether it is caused by large treasury stock from years of buybacks (McDonald's, Domino's, Yum Brands). In that case ROE is effectively infinite, not negative.</w:t>
      </w:r>
    </w:p>
    <w:p>
      <w:pPr>
        <w:pStyle w:val="BodyText"/>
        <w:numPr>
          <w:ilvl w:val="0"/>
          <w:numId w:val="220"/>
        </w:numPr>
        <w:tabs>
          <w:tab w:val="clear" w:pos="709"/>
          <w:tab w:val="left" w:pos="709" w:leader="none"/>
        </w:tabs>
        <w:bidi w:val="0"/>
        <w:ind w:hanging="283" w:start="709"/>
        <w:jc w:val="start"/>
        <w:rPr/>
      </w:pPr>
      <w:r>
        <w:rPr>
          <w:b/>
        </w:rPr>
        <w:t>A current ratio below 1 is not automatically bad</w:t>
      </w:r>
      <w:r>
        <w:rPr/>
        <w:t xml:space="preserve"> — Pepsi does it deliberately by stretching supplier payments; subscription companies like ServiceNow do it because deferred revenue inflates current liabilities. </w:t>
      </w:r>
      <w:r>
        <w:rPr>
          <w:b/>
        </w:rPr>
        <w:t>Never read one ratio in isolation.</w:t>
      </w:r>
    </w:p>
    <w:p>
      <w:pPr>
        <w:pStyle w:val="BodyText"/>
        <w:numPr>
          <w:ilvl w:val="0"/>
          <w:numId w:val="220"/>
        </w:numPr>
        <w:tabs>
          <w:tab w:val="clear" w:pos="709"/>
          <w:tab w:val="left" w:pos="709" w:leader="none"/>
        </w:tabs>
        <w:bidi w:val="0"/>
        <w:ind w:hanging="283" w:start="709"/>
        <w:jc w:val="start"/>
        <w:rPr/>
      </w:pPr>
      <w:r>
        <w:rPr>
          <w:b/>
        </w:rPr>
        <w:t>Operating cash flow must be positive and rising; free cash flow must be consistently positive.</w:t>
      </w:r>
      <w:r>
        <w:rPr/>
        <w:t xml:space="preserve"> Two-to-three consecutive years of negative FCF is dangerous — it forces dilution or more debt.</w:t>
      </w:r>
    </w:p>
    <w:p>
      <w:pPr>
        <w:pStyle w:val="BodyText"/>
        <w:numPr>
          <w:ilvl w:val="0"/>
          <w:numId w:val="220"/>
        </w:numPr>
        <w:tabs>
          <w:tab w:val="clear" w:pos="709"/>
          <w:tab w:val="left" w:pos="709" w:leader="none"/>
        </w:tabs>
        <w:bidi w:val="0"/>
        <w:ind w:hanging="283" w:start="709"/>
        <w:jc w:val="start"/>
        <w:rPr/>
      </w:pPr>
      <w:r>
        <w:rPr>
          <w:b/>
        </w:rPr>
        <w:t>A falling FCF is only alarming if operating cash flow is falling.</w:t>
      </w:r>
      <w:r>
        <w:rPr/>
        <w:t xml:space="preserve"> If FCF fell because of a temporary capex surge (the AI data-center build-out at Microsoft, Google, Meta, Nvidia) while OCF keeps rising, that is fine and even strengthens the future moat.</w:t>
      </w:r>
    </w:p>
    <w:p>
      <w:pPr>
        <w:pStyle w:val="BodyText"/>
        <w:numPr>
          <w:ilvl w:val="0"/>
          <w:numId w:val="220"/>
        </w:numPr>
        <w:tabs>
          <w:tab w:val="clear" w:pos="709"/>
          <w:tab w:val="left" w:pos="709" w:leader="none"/>
        </w:tabs>
        <w:bidi w:val="0"/>
        <w:ind w:hanging="283" w:start="709"/>
        <w:jc w:val="start"/>
        <w:rPr/>
      </w:pPr>
      <w:r>
        <w:rPr>
          <w:b/>
        </w:rPr>
        <w:t>Certain industries are structurally excluded from the standard debt tests</w:t>
      </w:r>
      <w:r>
        <w:rPr/>
        <w:t xml:space="preserve"> — banks, insurers, property developers, REITs, commodity companies (all naturally highly leveraged). Banks use </w:t>
      </w:r>
      <w:r>
        <w:rPr>
          <w:b/>
        </w:rPr>
        <w:t>CET1 &gt; 10%</w:t>
      </w:r>
      <w:r>
        <w:rPr/>
        <w:t xml:space="preserve"> and </w:t>
      </w:r>
      <w:r>
        <w:rPr>
          <w:b/>
        </w:rPr>
        <w:t>NPL &lt; 5%</w:t>
      </w:r>
      <w:r>
        <w:rPr/>
        <w:t xml:space="preserve">; REITs use </w:t>
      </w:r>
      <w:r>
        <w:rPr>
          <w:b/>
        </w:rPr>
        <w:t>gearing &lt; 45%</w:t>
      </w:r>
      <w:r>
        <w:rPr/>
        <w:t>. Adam avoids property developers and commodity companies entirely.</w:t>
      </w:r>
    </w:p>
    <w:p>
      <w:pPr>
        <w:pStyle w:val="BodyText"/>
        <w:numPr>
          <w:ilvl w:val="0"/>
          <w:numId w:val="220"/>
        </w:numPr>
        <w:tabs>
          <w:tab w:val="clear" w:pos="709"/>
          <w:tab w:val="left" w:pos="709" w:leader="none"/>
        </w:tabs>
        <w:bidi w:val="0"/>
        <w:ind w:hanging="283" w:start="709"/>
        <w:jc w:val="start"/>
        <w:rPr/>
      </w:pPr>
      <w:r>
        <w:rPr>
          <w:b/>
        </w:rPr>
        <w:t>Avoid structurally hard industries</w:t>
      </w:r>
      <w:r>
        <w:rPr/>
        <w:t xml:space="preserve"> — airlines (cyclical, huge maintenance capex, fuel costs, strong unions, brutal competition), shipping, auto manufacturing. Singapore Airlines is a great airline and still not investable. </w:t>
      </w:r>
      <w:r>
        <w:rPr>
          <w:i/>
        </w:rPr>
        <w:t>"It's not the fault of the management. It's the nature of the industry."</w:t>
      </w:r>
    </w:p>
    <w:p>
      <w:pPr>
        <w:pStyle w:val="BodyText"/>
        <w:numPr>
          <w:ilvl w:val="0"/>
          <w:numId w:val="220"/>
        </w:numPr>
        <w:tabs>
          <w:tab w:val="clear" w:pos="709"/>
          <w:tab w:val="left" w:pos="709" w:leader="none"/>
        </w:tabs>
        <w:bidi w:val="0"/>
        <w:ind w:hanging="283" w:start="709"/>
        <w:jc w:val="start"/>
        <w:rPr/>
      </w:pPr>
      <w:r>
        <w:rPr>
          <w:b/>
        </w:rPr>
        <w:t>Accounts receivable growing faster than revenue is a major red flag</w:t>
      </w:r>
      <w:r>
        <w:rPr/>
        <w:t xml:space="preserve"> — it means customers in trouble, poor collection, or </w:t>
      </w:r>
      <w:r>
        <w:rPr>
          <w:b/>
        </w:rPr>
        <w:t>fake revenue</w:t>
      </w:r>
      <w:r>
        <w:rPr/>
        <w:t>.</w:t>
      </w:r>
    </w:p>
    <w:p>
      <w:pPr>
        <w:pStyle w:val="BodyText"/>
        <w:numPr>
          <w:ilvl w:val="0"/>
          <w:numId w:val="220"/>
        </w:numPr>
        <w:tabs>
          <w:tab w:val="clear" w:pos="709"/>
          <w:tab w:val="left" w:pos="709" w:leader="none"/>
        </w:tabs>
        <w:bidi w:val="0"/>
        <w:ind w:hanging="283" w:start="709"/>
        <w:jc w:val="start"/>
        <w:rPr/>
      </w:pPr>
      <w:r>
        <w:rPr>
          <w:b/>
        </w:rPr>
        <w:t>Hyflux showed every warning sign for over a decade</w:t>
      </w:r>
      <w:r>
        <w:rPr/>
        <w:t xml:space="preserve"> — negative/inconsistent OCF from 2006, negative FCF, dividends paid despite negative FCF, receivables +575% against revenue +8% in 2010, and Debt/EBITDA of 5.64 versus the threshold of 3. </w:t>
      </w:r>
      <w:r>
        <w:rPr>
          <w:b/>
        </w:rPr>
        <w:t>None of it required insider knowledge — just reading the cash flow statement.</w:t>
      </w:r>
    </w:p>
    <w:p>
      <w:pPr>
        <w:pStyle w:val="BodyText"/>
        <w:numPr>
          <w:ilvl w:val="0"/>
          <w:numId w:val="220"/>
        </w:numPr>
        <w:tabs>
          <w:tab w:val="clear" w:pos="709"/>
          <w:tab w:val="left" w:pos="709" w:leader="none"/>
        </w:tabs>
        <w:bidi w:val="0"/>
        <w:ind w:hanging="283" w:start="709"/>
        <w:jc w:val="start"/>
        <w:rPr/>
      </w:pPr>
      <w:r>
        <w:rPr>
          <w:b/>
        </w:rPr>
        <w:t>Never outsource conviction.</w:t>
      </w:r>
      <w:r>
        <w:rPr/>
        <w:t xml:space="preserve"> Not to a sovereign wealth fund's presence (Temasek had already sold most of its Hyflux stake at a profit), not to a celebrated CEO, and not to an analyst's buy rating with a $2.40 target on a stock heading to zero.</w:t>
      </w:r>
    </w:p>
    <w:p>
      <w:pPr>
        <w:pStyle w:val="BodyText"/>
        <w:numPr>
          <w:ilvl w:val="0"/>
          <w:numId w:val="220"/>
        </w:numPr>
        <w:tabs>
          <w:tab w:val="clear" w:pos="709"/>
          <w:tab w:val="left" w:pos="709" w:leader="none"/>
        </w:tabs>
        <w:bidi w:val="0"/>
        <w:ind w:hanging="283" w:start="709"/>
        <w:jc w:val="start"/>
        <w:rPr/>
      </w:pPr>
      <w:r>
        <w:rPr>
          <w:b/>
        </w:rPr>
        <w:t>Great business models share six traits:</w:t>
      </w:r>
      <w:r>
        <w:rPr/>
        <w:t xml:space="preserve"> falling/low input costs (asset-light, IP-heavy, outsourced manufacturing), the ability to increase output with pricing power / high switching costs / recurring income / multiple revenue streams, a large and growing customer base with no concentration risk, weak suppliers, a strong economic moat against weak competition, and the ability to self-finance growth without issuing shares or debt.</w:t>
      </w:r>
    </w:p>
    <w:p>
      <w:pPr>
        <w:pStyle w:val="BodyText"/>
        <w:numPr>
          <w:ilvl w:val="0"/>
          <w:numId w:val="220"/>
        </w:numPr>
        <w:tabs>
          <w:tab w:val="clear" w:pos="709"/>
          <w:tab w:val="left" w:pos="709" w:leader="none"/>
        </w:tabs>
        <w:bidi w:val="0"/>
        <w:ind w:hanging="283" w:start="709"/>
        <w:jc w:val="start"/>
        <w:rPr/>
      </w:pPr>
      <w:r>
        <w:rPr>
          <w:b/>
        </w:rPr>
        <w:t>"It's best to invest in a company where any idiot can run the business — because one day an idiot may run the business."</w:t>
      </w:r>
      <w:r>
        <w:rPr/>
        <w:t xml:space="preserve"> Avoid key-man risk.</w:t>
      </w:r>
    </w:p>
    <w:p>
      <w:pPr>
        <w:pStyle w:val="BodyText"/>
        <w:numPr>
          <w:ilvl w:val="0"/>
          <w:numId w:val="220"/>
        </w:numPr>
        <w:tabs>
          <w:tab w:val="clear" w:pos="709"/>
          <w:tab w:val="left" w:pos="709" w:leader="none"/>
        </w:tabs>
        <w:bidi w:val="0"/>
        <w:ind w:hanging="283" w:start="709"/>
        <w:jc w:val="start"/>
        <w:rPr/>
      </w:pPr>
      <w:r>
        <w:rPr>
          <w:b/>
        </w:rPr>
        <w:t>All ratios are pre-calculated for you.</w:t>
      </w:r>
      <w:r>
        <w:rPr/>
        <w:t xml:space="preserve"> You never need to compute ROIC, CCC, debt/EBITDA or CET1 by hand — you only need to know </w:t>
      </w:r>
      <w:r>
        <w:rPr>
          <w:b/>
        </w:rPr>
        <w:t>what they mean, where to find them, and what the threshold is.</w:t>
      </w:r>
    </w:p>
    <w:p>
      <w:pPr>
        <w:pStyle w:val="BodyText"/>
        <w:numPr>
          <w:ilvl w:val="0"/>
          <w:numId w:val="220"/>
        </w:numPr>
        <w:tabs>
          <w:tab w:val="clear" w:pos="709"/>
          <w:tab w:val="left" w:pos="709" w:leader="none"/>
        </w:tabs>
        <w:bidi w:val="0"/>
        <w:ind w:hanging="283" w:start="709"/>
        <w:jc w:val="start"/>
        <w:rPr/>
      </w:pPr>
      <w:r>
        <w:rPr>
          <w:b/>
        </w:rPr>
        <w:t>Pass 12 of 12 and you own a great company. Two out of three on the debt ratios is acceptable to Adam.</w:t>
      </w:r>
    </w:p>
    <w:p>
      <w:pPr>
        <w:pStyle w:val="HorizontalLine"/>
        <w:bidi w:val="0"/>
        <w:jc w:val="start"/>
        <w:rPr/>
      </w:pPr>
      <w:r>
        <w:rPr/>
      </w:r>
    </w:p>
    <w:p>
      <w:pPr>
        <w:pStyle w:val="Heading3"/>
        <w:bidi w:val="0"/>
        <w:ind w:hanging="0" w:start="0"/>
        <w:jc w:val="start"/>
        <w:rPr/>
      </w:pPr>
      <w:r>
        <w:rPr/>
        <w:t>10. Quick Reference — All Metrics and Thresholds</w:t>
      </w:r>
    </w:p>
    <w:p>
      <w:pPr>
        <w:pStyle w:val="Heading4"/>
        <w:bidi w:val="0"/>
        <w:ind w:hanging="0" w:start="0"/>
        <w:jc w:val="start"/>
        <w:rPr/>
      </w:pPr>
      <w:r>
        <w:rPr/>
        <w:t>Profitability</w:t>
      </w:r>
    </w:p>
    <w:tbl>
      <w:tblPr>
        <w:tblW w:w="5000" w:type="pct"/>
        <w:jc w:val="start"/>
        <w:tblInd w:w="-5" w:type="dxa"/>
        <w:tblLayout w:type="fixed"/>
        <w:tblCellMar>
          <w:top w:w="55" w:type="dxa"/>
          <w:start w:w="55" w:type="dxa"/>
          <w:bottom w:w="55" w:type="dxa"/>
          <w:end w:w="55" w:type="dxa"/>
        </w:tblCellMar>
      </w:tblPr>
      <w:tblGrid>
        <w:gridCol w:w="2409"/>
        <w:gridCol w:w="2410"/>
        <w:gridCol w:w="2409"/>
        <w:gridCol w:w="2410"/>
      </w:tblGrid>
      <w:tr>
        <w:trPr>
          <w:tblHeader w:val="true"/>
        </w:trPr>
        <w:tc>
          <w:tcPr>
            <w:tcW w:w="2409" w:type="dxa"/>
            <w:tcBorders>
              <w:top w:val="single" w:sz="4" w:space="0" w:color="000000"/>
              <w:start w:val="single" w:sz="4" w:space="0" w:color="000000"/>
              <w:bottom w:val="single" w:sz="4" w:space="0" w:color="000000"/>
            </w:tcBorders>
          </w:tcPr>
          <w:p>
            <w:pPr>
              <w:pStyle w:val="TableHeading"/>
              <w:bidi w:val="0"/>
              <w:jc w:val="start"/>
              <w:rPr/>
            </w:pPr>
            <w:r>
              <w:rPr/>
              <w:t>Metric</w:t>
            </w:r>
          </w:p>
        </w:tc>
        <w:tc>
          <w:tcPr>
            <w:tcW w:w="2410" w:type="dxa"/>
            <w:tcBorders>
              <w:top w:val="single" w:sz="4" w:space="0" w:color="000000"/>
              <w:start w:val="single" w:sz="4" w:space="0" w:color="000000"/>
              <w:bottom w:val="single" w:sz="4" w:space="0" w:color="000000"/>
            </w:tcBorders>
          </w:tcPr>
          <w:p>
            <w:pPr>
              <w:pStyle w:val="TableHeading"/>
              <w:bidi w:val="0"/>
              <w:jc w:val="start"/>
              <w:rPr/>
            </w:pPr>
            <w:r>
              <w:rPr/>
              <w:t>Formula</w:t>
            </w:r>
          </w:p>
        </w:tc>
        <w:tc>
          <w:tcPr>
            <w:tcW w:w="2409" w:type="dxa"/>
            <w:tcBorders>
              <w:top w:val="single" w:sz="4" w:space="0" w:color="000000"/>
              <w:start w:val="single" w:sz="4" w:space="0" w:color="000000"/>
              <w:bottom w:val="single" w:sz="4" w:space="0" w:color="000000"/>
            </w:tcBorders>
          </w:tcPr>
          <w:p>
            <w:pPr>
              <w:pStyle w:val="TableHeading"/>
              <w:bidi w:val="0"/>
              <w:jc w:val="start"/>
              <w:rPr/>
            </w:pPr>
            <w:r>
              <w:rPr/>
              <w:t>Threshold / Rule</w:t>
            </w:r>
          </w:p>
        </w:tc>
        <w:tc>
          <w:tcPr>
            <w:tcW w:w="2410"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Exceptions &amp; notes</w:t>
            </w:r>
          </w:p>
        </w:tc>
      </w:tr>
      <w:tr>
        <w:trPr/>
        <w:tc>
          <w:tcPr>
            <w:tcW w:w="2409" w:type="dxa"/>
            <w:tcBorders>
              <w:start w:val="single" w:sz="4" w:space="0" w:color="000000"/>
              <w:bottom w:val="single" w:sz="4" w:space="0" w:color="000000"/>
            </w:tcBorders>
          </w:tcPr>
          <w:p>
            <w:pPr>
              <w:pStyle w:val="TableContents"/>
              <w:bidi w:val="0"/>
              <w:jc w:val="start"/>
              <w:rPr/>
            </w:pPr>
            <w:r>
              <w:rPr>
                <w:b/>
              </w:rPr>
              <w:t>Sales revenue</w:t>
            </w:r>
          </w:p>
        </w:tc>
        <w:tc>
          <w:tcPr>
            <w:tcW w:w="2410" w:type="dxa"/>
            <w:tcBorders>
              <w:start w:val="single" w:sz="4" w:space="0" w:color="000000"/>
              <w:bottom w:val="single" w:sz="4" w:space="0" w:color="000000"/>
            </w:tcBorders>
          </w:tcPr>
          <w:p>
            <w:pPr>
              <w:pStyle w:val="TableContents"/>
              <w:bidi w:val="0"/>
              <w:jc w:val="start"/>
              <w:rPr/>
            </w:pPr>
            <w:r>
              <w:rPr/>
              <w:t>—</w:t>
            </w:r>
          </w:p>
        </w:tc>
        <w:tc>
          <w:tcPr>
            <w:tcW w:w="2409" w:type="dxa"/>
            <w:tcBorders>
              <w:start w:val="single" w:sz="4" w:space="0" w:color="000000"/>
              <w:bottom w:val="single" w:sz="4" w:space="0" w:color="000000"/>
            </w:tcBorders>
          </w:tcPr>
          <w:p>
            <w:pPr>
              <w:pStyle w:val="TableContents"/>
              <w:bidi w:val="0"/>
              <w:jc w:val="start"/>
              <w:rPr/>
            </w:pPr>
            <w:r>
              <w:rPr>
                <w:b/>
              </w:rPr>
              <w:t>Increasing consistently</w:t>
            </w:r>
            <w:r>
              <w:rPr/>
              <w:t xml:space="preserve"> over 5 yrs (10 better)</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One or two down years fine if the trend is up</w:t>
            </w:r>
          </w:p>
        </w:tc>
      </w:tr>
      <w:tr>
        <w:trPr/>
        <w:tc>
          <w:tcPr>
            <w:tcW w:w="2409" w:type="dxa"/>
            <w:tcBorders>
              <w:start w:val="single" w:sz="4" w:space="0" w:color="000000"/>
              <w:bottom w:val="single" w:sz="4" w:space="0" w:color="000000"/>
            </w:tcBorders>
          </w:tcPr>
          <w:p>
            <w:pPr>
              <w:pStyle w:val="TableContents"/>
              <w:bidi w:val="0"/>
              <w:jc w:val="start"/>
              <w:rPr/>
            </w:pPr>
            <w:r>
              <w:rPr>
                <w:b/>
              </w:rPr>
              <w:t>Net income (net profit after tax)</w:t>
            </w:r>
          </w:p>
        </w:tc>
        <w:tc>
          <w:tcPr>
            <w:tcW w:w="2410" w:type="dxa"/>
            <w:tcBorders>
              <w:start w:val="single" w:sz="4" w:space="0" w:color="000000"/>
              <w:bottom w:val="single" w:sz="4" w:space="0" w:color="000000"/>
            </w:tcBorders>
          </w:tcPr>
          <w:p>
            <w:pPr>
              <w:pStyle w:val="TableContents"/>
              <w:bidi w:val="0"/>
              <w:jc w:val="start"/>
              <w:rPr/>
            </w:pPr>
            <w:r>
              <w:rPr/>
              <w:t>Revenue − all costs &amp; taxes</w:t>
            </w:r>
          </w:p>
        </w:tc>
        <w:tc>
          <w:tcPr>
            <w:tcW w:w="2409" w:type="dxa"/>
            <w:tcBorders>
              <w:start w:val="single" w:sz="4" w:space="0" w:color="000000"/>
              <w:bottom w:val="single" w:sz="4" w:space="0" w:color="000000"/>
            </w:tcBorders>
          </w:tcPr>
          <w:p>
            <w:pPr>
              <w:pStyle w:val="TableContents"/>
              <w:bidi w:val="0"/>
              <w:jc w:val="start"/>
              <w:rPr/>
            </w:pPr>
            <w:r>
              <w:rPr>
                <w:b/>
              </w:rPr>
              <w:t>Increasing consistently</w:t>
            </w:r>
            <w:r>
              <w:rPr/>
              <w:t xml:space="preserve"> over 5 yrs</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 xml:space="preserve">If distorted by one-off items → use </w:t>
            </w:r>
            <w:r>
              <w:rPr>
                <w:b/>
              </w:rPr>
              <w:t>operating income</w:t>
            </w:r>
            <w:r>
              <w:rPr/>
              <w:t xml:space="preserve"> instead</w:t>
            </w:r>
          </w:p>
        </w:tc>
      </w:tr>
      <w:tr>
        <w:trPr/>
        <w:tc>
          <w:tcPr>
            <w:tcW w:w="2409" w:type="dxa"/>
            <w:tcBorders>
              <w:start w:val="single" w:sz="4" w:space="0" w:color="000000"/>
              <w:bottom w:val="single" w:sz="4" w:space="0" w:color="000000"/>
            </w:tcBorders>
          </w:tcPr>
          <w:p>
            <w:pPr>
              <w:pStyle w:val="TableContents"/>
              <w:bidi w:val="0"/>
              <w:jc w:val="start"/>
              <w:rPr/>
            </w:pPr>
            <w:r>
              <w:rPr>
                <w:b/>
              </w:rPr>
              <w:t>Operating income</w:t>
            </w:r>
          </w:p>
        </w:tc>
        <w:tc>
          <w:tcPr>
            <w:tcW w:w="2410" w:type="dxa"/>
            <w:tcBorders>
              <w:start w:val="single" w:sz="4" w:space="0" w:color="000000"/>
              <w:bottom w:val="single" w:sz="4" w:space="0" w:color="000000"/>
            </w:tcBorders>
          </w:tcPr>
          <w:p>
            <w:pPr>
              <w:pStyle w:val="TableContents"/>
              <w:bidi w:val="0"/>
              <w:jc w:val="start"/>
              <w:rPr/>
            </w:pPr>
            <w:r>
              <w:rPr/>
              <w:t>Gross profit − OPEX</w:t>
            </w:r>
          </w:p>
        </w:tc>
        <w:tc>
          <w:tcPr>
            <w:tcW w:w="2409" w:type="dxa"/>
            <w:tcBorders>
              <w:start w:val="single" w:sz="4" w:space="0" w:color="000000"/>
              <w:bottom w:val="single" w:sz="4" w:space="0" w:color="000000"/>
            </w:tcBorders>
          </w:tcPr>
          <w:p>
            <w:pPr>
              <w:pStyle w:val="TableContents"/>
              <w:bidi w:val="0"/>
              <w:jc w:val="start"/>
              <w:rPr/>
            </w:pPr>
            <w:r>
              <w:rPr>
                <w:b/>
              </w:rPr>
              <w:t>Increasing consistently</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Excludes tax, interest, lawsuits, restructuring, write-offs, dividend/capital-gain/interest/forex income</w:t>
            </w:r>
          </w:p>
        </w:tc>
      </w:tr>
      <w:tr>
        <w:trPr/>
        <w:tc>
          <w:tcPr>
            <w:tcW w:w="2409" w:type="dxa"/>
            <w:tcBorders>
              <w:start w:val="single" w:sz="4" w:space="0" w:color="000000"/>
              <w:bottom w:val="single" w:sz="4" w:space="0" w:color="000000"/>
            </w:tcBorders>
          </w:tcPr>
          <w:p>
            <w:pPr>
              <w:pStyle w:val="TableContents"/>
              <w:bidi w:val="0"/>
              <w:jc w:val="start"/>
              <w:rPr/>
            </w:pPr>
            <w:r>
              <w:rPr>
                <w:b/>
              </w:rPr>
              <w:t>Gross profit margin</w:t>
            </w:r>
          </w:p>
        </w:tc>
        <w:tc>
          <w:tcPr>
            <w:tcW w:w="2410" w:type="dxa"/>
            <w:tcBorders>
              <w:start w:val="single" w:sz="4" w:space="0" w:color="000000"/>
              <w:bottom w:val="single" w:sz="4" w:space="0" w:color="000000"/>
            </w:tcBorders>
          </w:tcPr>
          <w:p>
            <w:pPr>
              <w:pStyle w:val="TableContents"/>
              <w:bidi w:val="0"/>
              <w:jc w:val="start"/>
              <w:rPr/>
            </w:pPr>
            <w:r>
              <w:rPr/>
              <w:t>Gross profit ÷ Sales revenue</w:t>
            </w:r>
          </w:p>
        </w:tc>
        <w:tc>
          <w:tcPr>
            <w:tcW w:w="2409" w:type="dxa"/>
            <w:tcBorders>
              <w:start w:val="single" w:sz="4" w:space="0" w:color="000000"/>
              <w:bottom w:val="single" w:sz="4" w:space="0" w:color="000000"/>
            </w:tcBorders>
          </w:tcPr>
          <w:p>
            <w:pPr>
              <w:pStyle w:val="TableContents"/>
              <w:bidi w:val="0"/>
              <w:jc w:val="start"/>
              <w:rPr/>
            </w:pPr>
            <w:r>
              <w:rPr>
                <w:b/>
              </w:rPr>
              <w:t>Consistent or increasing</w:t>
            </w:r>
            <w:r>
              <w:rPr/>
              <w:t xml:space="preserve"> over 5 yrs; </w:t>
            </w:r>
            <w:r>
              <w:rPr>
                <w:b/>
              </w:rPr>
              <w:t>≥ closest competitors</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Falling gross margin = rising production cost = bad sign</w:t>
            </w:r>
          </w:p>
        </w:tc>
      </w:tr>
      <w:tr>
        <w:trPr/>
        <w:tc>
          <w:tcPr>
            <w:tcW w:w="2409" w:type="dxa"/>
            <w:tcBorders>
              <w:start w:val="single" w:sz="4" w:space="0" w:color="000000"/>
              <w:bottom w:val="single" w:sz="4" w:space="0" w:color="000000"/>
            </w:tcBorders>
          </w:tcPr>
          <w:p>
            <w:pPr>
              <w:pStyle w:val="TableContents"/>
              <w:bidi w:val="0"/>
              <w:jc w:val="start"/>
              <w:rPr/>
            </w:pPr>
            <w:r>
              <w:rPr>
                <w:b/>
              </w:rPr>
              <w:t>Net profit margin</w:t>
            </w:r>
          </w:p>
        </w:tc>
        <w:tc>
          <w:tcPr>
            <w:tcW w:w="2410" w:type="dxa"/>
            <w:tcBorders>
              <w:start w:val="single" w:sz="4" w:space="0" w:color="000000"/>
              <w:bottom w:val="single" w:sz="4" w:space="0" w:color="000000"/>
            </w:tcBorders>
          </w:tcPr>
          <w:p>
            <w:pPr>
              <w:pStyle w:val="TableContents"/>
              <w:bidi w:val="0"/>
              <w:jc w:val="start"/>
              <w:rPr/>
            </w:pPr>
            <w:r>
              <w:rPr/>
              <w:t>Net profit after tax ÷ Sales revenue</w:t>
            </w:r>
          </w:p>
        </w:tc>
        <w:tc>
          <w:tcPr>
            <w:tcW w:w="2409" w:type="dxa"/>
            <w:tcBorders>
              <w:start w:val="single" w:sz="4" w:space="0" w:color="000000"/>
              <w:bottom w:val="single" w:sz="4" w:space="0" w:color="000000"/>
            </w:tcBorders>
          </w:tcPr>
          <w:p>
            <w:pPr>
              <w:pStyle w:val="TableContents"/>
              <w:bidi w:val="0"/>
              <w:jc w:val="start"/>
              <w:rPr/>
            </w:pPr>
            <w:r>
              <w:rPr>
                <w:b/>
              </w:rPr>
              <w:t>Consistent or increasing</w:t>
            </w:r>
            <w:r>
              <w:rPr/>
              <w:t xml:space="preserve">; </w:t>
            </w:r>
            <w:r>
              <w:rPr>
                <w:b/>
              </w:rPr>
              <w:t>≥ closest competitors</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 xml:space="preserve">If lumpy, use </w:t>
            </w:r>
            <w:r>
              <w:rPr>
                <w:b/>
              </w:rPr>
              <w:t>operating profit margin</w:t>
            </w:r>
          </w:p>
        </w:tc>
      </w:tr>
      <w:tr>
        <w:trPr/>
        <w:tc>
          <w:tcPr>
            <w:tcW w:w="2409" w:type="dxa"/>
            <w:tcBorders>
              <w:start w:val="single" w:sz="4" w:space="0" w:color="000000"/>
              <w:bottom w:val="single" w:sz="4" w:space="0" w:color="000000"/>
            </w:tcBorders>
          </w:tcPr>
          <w:p>
            <w:pPr>
              <w:pStyle w:val="TableContents"/>
              <w:bidi w:val="0"/>
              <w:jc w:val="start"/>
              <w:rPr/>
            </w:pPr>
            <w:r>
              <w:rPr>
                <w:b/>
              </w:rPr>
              <w:t>Operating profit margin</w:t>
            </w:r>
          </w:p>
        </w:tc>
        <w:tc>
          <w:tcPr>
            <w:tcW w:w="2410" w:type="dxa"/>
            <w:tcBorders>
              <w:start w:val="single" w:sz="4" w:space="0" w:color="000000"/>
              <w:bottom w:val="single" w:sz="4" w:space="0" w:color="000000"/>
            </w:tcBorders>
          </w:tcPr>
          <w:p>
            <w:pPr>
              <w:pStyle w:val="TableContents"/>
              <w:bidi w:val="0"/>
              <w:jc w:val="start"/>
              <w:rPr/>
            </w:pPr>
            <w:r>
              <w:rPr/>
              <w:t>Operating income ÷ Sales revenue</w:t>
            </w:r>
          </w:p>
        </w:tc>
        <w:tc>
          <w:tcPr>
            <w:tcW w:w="2409" w:type="dxa"/>
            <w:tcBorders>
              <w:start w:val="single" w:sz="4" w:space="0" w:color="000000"/>
              <w:bottom w:val="single" w:sz="4" w:space="0" w:color="000000"/>
            </w:tcBorders>
          </w:tcPr>
          <w:p>
            <w:pPr>
              <w:pStyle w:val="TableContents"/>
              <w:bidi w:val="0"/>
              <w:jc w:val="start"/>
              <w:rPr/>
            </w:pPr>
            <w:r>
              <w:rPr>
                <w:b/>
              </w:rPr>
              <w:t>Consistent or increasing</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Backup for a distorted net margin</w:t>
            </w:r>
          </w:p>
        </w:tc>
      </w:tr>
      <w:tr>
        <w:trPr/>
        <w:tc>
          <w:tcPr>
            <w:tcW w:w="2409" w:type="dxa"/>
            <w:tcBorders>
              <w:start w:val="single" w:sz="4" w:space="0" w:color="000000"/>
              <w:bottom w:val="single" w:sz="4" w:space="0" w:color="000000"/>
            </w:tcBorders>
          </w:tcPr>
          <w:p>
            <w:pPr>
              <w:pStyle w:val="TableContents"/>
              <w:bidi w:val="0"/>
              <w:jc w:val="start"/>
              <w:rPr/>
            </w:pPr>
            <w:r>
              <w:rPr>
                <w:b/>
              </w:rPr>
              <w:t>ROE (Return on Equity)</w:t>
            </w:r>
          </w:p>
        </w:tc>
        <w:tc>
          <w:tcPr>
            <w:tcW w:w="2410" w:type="dxa"/>
            <w:tcBorders>
              <w:start w:val="single" w:sz="4" w:space="0" w:color="000000"/>
              <w:bottom w:val="single" w:sz="4" w:space="0" w:color="000000"/>
            </w:tcBorders>
          </w:tcPr>
          <w:p>
            <w:pPr>
              <w:pStyle w:val="TableContents"/>
              <w:bidi w:val="0"/>
              <w:jc w:val="start"/>
              <w:rPr/>
            </w:pPr>
            <w:r>
              <w:rPr/>
              <w:t>Net profit after tax ÷ Shareholders' equity</w:t>
            </w:r>
          </w:p>
        </w:tc>
        <w:tc>
          <w:tcPr>
            <w:tcW w:w="2409" w:type="dxa"/>
            <w:tcBorders>
              <w:start w:val="single" w:sz="4" w:space="0" w:color="000000"/>
              <w:bottom w:val="single" w:sz="4" w:space="0" w:color="000000"/>
            </w:tcBorders>
          </w:tcPr>
          <w:p>
            <w:pPr>
              <w:pStyle w:val="TableContents"/>
              <w:bidi w:val="0"/>
              <w:jc w:val="start"/>
              <w:rPr/>
            </w:pPr>
            <w:r>
              <w:rPr>
                <w:b/>
              </w:rPr>
              <w:t xml:space="preserve">≥ </w:t>
            </w:r>
            <w:r>
              <w:rPr>
                <w:b/>
              </w:rPr>
              <w:t>12% good; &gt; 15% excellent</w:t>
            </w:r>
            <w:r>
              <w:rPr/>
              <w:t>; consistent over 5 yrs</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 xml:space="preserve">Warren Buffett's favourite. </w:t>
            </w:r>
            <w:r>
              <w:rPr>
                <w:b/>
              </w:rPr>
              <w:t>Undefined/infinite (good) when equity is negative from treasury stock</w:t>
            </w:r>
          </w:p>
        </w:tc>
      </w:tr>
      <w:tr>
        <w:trPr/>
        <w:tc>
          <w:tcPr>
            <w:tcW w:w="2409" w:type="dxa"/>
            <w:tcBorders>
              <w:start w:val="single" w:sz="4" w:space="0" w:color="000000"/>
              <w:bottom w:val="single" w:sz="4" w:space="0" w:color="000000"/>
            </w:tcBorders>
          </w:tcPr>
          <w:p>
            <w:pPr>
              <w:pStyle w:val="TableContents"/>
              <w:bidi w:val="0"/>
              <w:jc w:val="start"/>
              <w:rPr/>
            </w:pPr>
            <w:r>
              <w:rPr>
                <w:b/>
              </w:rPr>
              <w:t>ROIC (Return on Invested Capital)</w:t>
            </w:r>
          </w:p>
        </w:tc>
        <w:tc>
          <w:tcPr>
            <w:tcW w:w="2410" w:type="dxa"/>
            <w:tcBorders>
              <w:start w:val="single" w:sz="4" w:space="0" w:color="000000"/>
              <w:bottom w:val="single" w:sz="4" w:space="0" w:color="000000"/>
            </w:tcBorders>
          </w:tcPr>
          <w:p>
            <w:pPr>
              <w:pStyle w:val="TableContents"/>
              <w:bidi w:val="0"/>
              <w:jc w:val="start"/>
              <w:rPr/>
            </w:pPr>
            <w:r>
              <w:rPr/>
              <w:t>EBIT × (1 − tax rate) ÷ (Equity + Total debt − Cash &amp; equivalents)</w:t>
            </w:r>
          </w:p>
        </w:tc>
        <w:tc>
          <w:tcPr>
            <w:tcW w:w="2409" w:type="dxa"/>
            <w:tcBorders>
              <w:start w:val="single" w:sz="4" w:space="0" w:color="000000"/>
              <w:bottom w:val="single" w:sz="4" w:space="0" w:color="000000"/>
            </w:tcBorders>
          </w:tcPr>
          <w:p>
            <w:pPr>
              <w:pStyle w:val="TableContents"/>
              <w:bidi w:val="0"/>
              <w:jc w:val="start"/>
              <w:rPr/>
            </w:pPr>
            <w:r>
              <w:rPr>
                <w:b/>
              </w:rPr>
              <w:t xml:space="preserve">≥ </w:t>
            </w:r>
            <w:r>
              <w:rPr>
                <w:b/>
              </w:rPr>
              <w:t>12% good; &gt; 15% excellent</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b/>
              </w:rPr>
              <w:t>Does NOT apply to banks or insurance companies</w:t>
            </w:r>
            <w:r>
              <w:rPr/>
              <w:t xml:space="preserve"> (leverage makes it artificially low)</w:t>
            </w:r>
          </w:p>
        </w:tc>
      </w:tr>
    </w:tbl>
    <w:p>
      <w:pPr>
        <w:pStyle w:val="BodyText"/>
        <w:bidi w:val="0"/>
        <w:jc w:val="start"/>
        <w:rPr/>
      </w:pPr>
      <w:r>
        <w:rPr/>
      </w:r>
    </w:p>
    <w:p>
      <w:pPr>
        <w:pStyle w:val="Heading4"/>
        <w:bidi w:val="0"/>
        <w:ind w:hanging="0" w:start="0"/>
        <w:jc w:val="start"/>
        <w:rPr/>
      </w:pPr>
      <w:r>
        <w:rPr/>
        <w:t>Cash Flow</w:t>
      </w:r>
    </w:p>
    <w:tbl>
      <w:tblPr>
        <w:tblW w:w="5000" w:type="pct"/>
        <w:jc w:val="start"/>
        <w:tblInd w:w="-5" w:type="dxa"/>
        <w:tblLayout w:type="fixed"/>
        <w:tblCellMar>
          <w:top w:w="55" w:type="dxa"/>
          <w:start w:w="55" w:type="dxa"/>
          <w:bottom w:w="55" w:type="dxa"/>
          <w:end w:w="55" w:type="dxa"/>
        </w:tblCellMar>
      </w:tblPr>
      <w:tblGrid>
        <w:gridCol w:w="2409"/>
        <w:gridCol w:w="2410"/>
        <w:gridCol w:w="2409"/>
        <w:gridCol w:w="2410"/>
      </w:tblGrid>
      <w:tr>
        <w:trPr>
          <w:tblHeader w:val="true"/>
        </w:trPr>
        <w:tc>
          <w:tcPr>
            <w:tcW w:w="2409" w:type="dxa"/>
            <w:tcBorders>
              <w:top w:val="single" w:sz="4" w:space="0" w:color="000000"/>
              <w:start w:val="single" w:sz="4" w:space="0" w:color="000000"/>
              <w:bottom w:val="single" w:sz="4" w:space="0" w:color="000000"/>
            </w:tcBorders>
          </w:tcPr>
          <w:p>
            <w:pPr>
              <w:pStyle w:val="TableHeading"/>
              <w:bidi w:val="0"/>
              <w:jc w:val="start"/>
              <w:rPr/>
            </w:pPr>
            <w:r>
              <w:rPr/>
              <w:t>Metric</w:t>
            </w:r>
          </w:p>
        </w:tc>
        <w:tc>
          <w:tcPr>
            <w:tcW w:w="2410" w:type="dxa"/>
            <w:tcBorders>
              <w:top w:val="single" w:sz="4" w:space="0" w:color="000000"/>
              <w:start w:val="single" w:sz="4" w:space="0" w:color="000000"/>
              <w:bottom w:val="single" w:sz="4" w:space="0" w:color="000000"/>
            </w:tcBorders>
          </w:tcPr>
          <w:p>
            <w:pPr>
              <w:pStyle w:val="TableHeading"/>
              <w:bidi w:val="0"/>
              <w:jc w:val="start"/>
              <w:rPr/>
            </w:pPr>
            <w:r>
              <w:rPr/>
              <w:t>Formula</w:t>
            </w:r>
          </w:p>
        </w:tc>
        <w:tc>
          <w:tcPr>
            <w:tcW w:w="2409" w:type="dxa"/>
            <w:tcBorders>
              <w:top w:val="single" w:sz="4" w:space="0" w:color="000000"/>
              <w:start w:val="single" w:sz="4" w:space="0" w:color="000000"/>
              <w:bottom w:val="single" w:sz="4" w:space="0" w:color="000000"/>
            </w:tcBorders>
          </w:tcPr>
          <w:p>
            <w:pPr>
              <w:pStyle w:val="TableHeading"/>
              <w:bidi w:val="0"/>
              <w:jc w:val="start"/>
              <w:rPr/>
            </w:pPr>
            <w:r>
              <w:rPr/>
              <w:t>Threshold / Rule</w:t>
            </w:r>
          </w:p>
        </w:tc>
        <w:tc>
          <w:tcPr>
            <w:tcW w:w="2410"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Exceptions &amp; notes</w:t>
            </w:r>
          </w:p>
        </w:tc>
      </w:tr>
      <w:tr>
        <w:trPr/>
        <w:tc>
          <w:tcPr>
            <w:tcW w:w="2409" w:type="dxa"/>
            <w:tcBorders>
              <w:start w:val="single" w:sz="4" w:space="0" w:color="000000"/>
              <w:bottom w:val="single" w:sz="4" w:space="0" w:color="000000"/>
            </w:tcBorders>
          </w:tcPr>
          <w:p>
            <w:pPr>
              <w:pStyle w:val="TableContents"/>
              <w:bidi w:val="0"/>
              <w:jc w:val="start"/>
              <w:rPr/>
            </w:pPr>
            <w:r>
              <w:rPr>
                <w:b/>
              </w:rPr>
              <w:t>Cash flow from operations (OCF)</w:t>
            </w:r>
          </w:p>
        </w:tc>
        <w:tc>
          <w:tcPr>
            <w:tcW w:w="2410" w:type="dxa"/>
            <w:tcBorders>
              <w:start w:val="single" w:sz="4" w:space="0" w:color="000000"/>
              <w:bottom w:val="single" w:sz="4" w:space="0" w:color="000000"/>
            </w:tcBorders>
          </w:tcPr>
          <w:p>
            <w:pPr>
              <w:pStyle w:val="TableContents"/>
              <w:bidi w:val="0"/>
              <w:jc w:val="start"/>
              <w:rPr/>
            </w:pPr>
            <w:r>
              <w:rPr/>
              <w:t>—</w:t>
            </w:r>
          </w:p>
        </w:tc>
        <w:tc>
          <w:tcPr>
            <w:tcW w:w="2409" w:type="dxa"/>
            <w:tcBorders>
              <w:start w:val="single" w:sz="4" w:space="0" w:color="000000"/>
              <w:bottom w:val="single" w:sz="4" w:space="0" w:color="000000"/>
            </w:tcBorders>
          </w:tcPr>
          <w:p>
            <w:pPr>
              <w:pStyle w:val="TableContents"/>
              <w:bidi w:val="0"/>
              <w:jc w:val="start"/>
              <w:rPr/>
            </w:pPr>
            <w:r>
              <w:rPr>
                <w:b/>
              </w:rPr>
              <w:t>Positive AND increasing consistently over 5 yrs</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b/>
              </w:rPr>
              <w:t>Does NOT apply to banks, commodity companies, property developers</w:t>
            </w:r>
            <w:r>
              <w:rPr/>
              <w:t xml:space="preserve"> (naturally inconsistent)</w:t>
            </w:r>
          </w:p>
        </w:tc>
      </w:tr>
      <w:tr>
        <w:trPr/>
        <w:tc>
          <w:tcPr>
            <w:tcW w:w="2409" w:type="dxa"/>
            <w:tcBorders>
              <w:start w:val="single" w:sz="4" w:space="0" w:color="000000"/>
              <w:bottom w:val="single" w:sz="4" w:space="0" w:color="000000"/>
            </w:tcBorders>
          </w:tcPr>
          <w:p>
            <w:pPr>
              <w:pStyle w:val="TableContents"/>
              <w:bidi w:val="0"/>
              <w:jc w:val="start"/>
              <w:rPr/>
            </w:pPr>
            <w:r>
              <w:rPr>
                <w:b/>
              </w:rPr>
              <w:t>Free cash flow (FCF)</w:t>
            </w:r>
          </w:p>
        </w:tc>
        <w:tc>
          <w:tcPr>
            <w:tcW w:w="2410" w:type="dxa"/>
            <w:tcBorders>
              <w:start w:val="single" w:sz="4" w:space="0" w:color="000000"/>
              <w:bottom w:val="single" w:sz="4" w:space="0" w:color="000000"/>
            </w:tcBorders>
          </w:tcPr>
          <w:p>
            <w:pPr>
              <w:pStyle w:val="TableContents"/>
              <w:bidi w:val="0"/>
              <w:jc w:val="start"/>
              <w:rPr/>
            </w:pPr>
            <w:r>
              <w:rPr>
                <w:b/>
              </w:rPr>
              <w:t>OCF − Capex</w:t>
            </w:r>
          </w:p>
        </w:tc>
        <w:tc>
          <w:tcPr>
            <w:tcW w:w="2409" w:type="dxa"/>
            <w:tcBorders>
              <w:start w:val="single" w:sz="4" w:space="0" w:color="000000"/>
              <w:bottom w:val="single" w:sz="4" w:space="0" w:color="000000"/>
            </w:tcBorders>
          </w:tcPr>
          <w:p>
            <w:pPr>
              <w:pStyle w:val="TableContents"/>
              <w:bidi w:val="0"/>
              <w:jc w:val="start"/>
              <w:rPr/>
            </w:pPr>
            <w:r>
              <w:rPr>
                <w:b/>
              </w:rPr>
              <w:t>Consistently positive</w:t>
            </w:r>
            <w:r>
              <w:rPr/>
              <w:t xml:space="preserve"> (ideally increasing)</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 xml:space="preserve">1–2 negative years OK; </w:t>
            </w:r>
            <w:r>
              <w:rPr>
                <w:b/>
              </w:rPr>
              <w:t>2–3 consecutive negative years = dangerous</w:t>
            </w:r>
            <w:r>
              <w:rPr/>
              <w:t xml:space="preserve"> → dilution/debt. Falling FCF is fine if caused by temporary capex while OCF rises</w:t>
            </w:r>
          </w:p>
        </w:tc>
      </w:tr>
      <w:tr>
        <w:trPr/>
        <w:tc>
          <w:tcPr>
            <w:tcW w:w="2409" w:type="dxa"/>
            <w:tcBorders>
              <w:start w:val="single" w:sz="4" w:space="0" w:color="000000"/>
              <w:bottom w:val="single" w:sz="4" w:space="0" w:color="000000"/>
            </w:tcBorders>
          </w:tcPr>
          <w:p>
            <w:pPr>
              <w:pStyle w:val="TableContents"/>
              <w:bidi w:val="0"/>
              <w:jc w:val="start"/>
              <w:rPr/>
            </w:pPr>
            <w:r>
              <w:rPr>
                <w:b/>
              </w:rPr>
              <w:t>Cash flow from investing</w:t>
            </w:r>
          </w:p>
        </w:tc>
        <w:tc>
          <w:tcPr>
            <w:tcW w:w="2410" w:type="dxa"/>
            <w:tcBorders>
              <w:start w:val="single" w:sz="4" w:space="0" w:color="000000"/>
              <w:bottom w:val="single" w:sz="4" w:space="0" w:color="000000"/>
            </w:tcBorders>
          </w:tcPr>
          <w:p>
            <w:pPr>
              <w:pStyle w:val="TableContents"/>
              <w:bidi w:val="0"/>
              <w:jc w:val="start"/>
              <w:rPr/>
            </w:pPr>
            <w:r>
              <w:rPr/>
              <w:t>—</w:t>
            </w:r>
          </w:p>
        </w:tc>
        <w:tc>
          <w:tcPr>
            <w:tcW w:w="2409" w:type="dxa"/>
            <w:tcBorders>
              <w:start w:val="single" w:sz="4" w:space="0" w:color="000000"/>
              <w:bottom w:val="single" w:sz="4" w:space="0" w:color="000000"/>
            </w:tcBorders>
          </w:tcPr>
          <w:p>
            <w:pPr>
              <w:pStyle w:val="TableContents"/>
              <w:bidi w:val="0"/>
              <w:jc w:val="start"/>
              <w:rPr/>
            </w:pPr>
            <w:r>
              <w:rPr>
                <w:b/>
              </w:rPr>
              <w:t>No good/bad sign.</w:t>
            </w:r>
            <w:r>
              <w:rPr/>
              <w:t xml:space="preserve"> Negative = buying assets (capex); positive = selling assets</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w:t>
            </w:r>
          </w:p>
        </w:tc>
      </w:tr>
      <w:tr>
        <w:trPr/>
        <w:tc>
          <w:tcPr>
            <w:tcW w:w="2409" w:type="dxa"/>
            <w:tcBorders>
              <w:start w:val="single" w:sz="4" w:space="0" w:color="000000"/>
              <w:bottom w:val="single" w:sz="4" w:space="0" w:color="000000"/>
            </w:tcBorders>
          </w:tcPr>
          <w:p>
            <w:pPr>
              <w:pStyle w:val="TableContents"/>
              <w:bidi w:val="0"/>
              <w:jc w:val="start"/>
              <w:rPr/>
            </w:pPr>
            <w:r>
              <w:rPr>
                <w:b/>
              </w:rPr>
              <w:t>Cash flow from financing</w:t>
            </w:r>
          </w:p>
        </w:tc>
        <w:tc>
          <w:tcPr>
            <w:tcW w:w="2410" w:type="dxa"/>
            <w:tcBorders>
              <w:start w:val="single" w:sz="4" w:space="0" w:color="000000"/>
              <w:bottom w:val="single" w:sz="4" w:space="0" w:color="000000"/>
            </w:tcBorders>
          </w:tcPr>
          <w:p>
            <w:pPr>
              <w:pStyle w:val="TableContents"/>
              <w:bidi w:val="0"/>
              <w:jc w:val="start"/>
              <w:rPr/>
            </w:pPr>
            <w:r>
              <w:rPr/>
              <w:t>—</w:t>
            </w:r>
          </w:p>
        </w:tc>
        <w:tc>
          <w:tcPr>
            <w:tcW w:w="2409" w:type="dxa"/>
            <w:tcBorders>
              <w:start w:val="single" w:sz="4" w:space="0" w:color="000000"/>
              <w:bottom w:val="single" w:sz="4" w:space="0" w:color="000000"/>
            </w:tcBorders>
          </w:tcPr>
          <w:p>
            <w:pPr>
              <w:pStyle w:val="TableContents"/>
              <w:bidi w:val="0"/>
              <w:jc w:val="start"/>
              <w:rPr/>
            </w:pPr>
            <w:r>
              <w:rPr>
                <w:b/>
              </w:rPr>
              <w:t>No good/bad sign.</w:t>
            </w:r>
            <w:r>
              <w:rPr/>
              <w:t xml:space="preserve"> Positive = raising money (loans, bonds, new shares); negative = repaying debt, buybacks, dividends</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Negative is typical of mature, cash-rich companies — good for shareholders</w:t>
            </w:r>
          </w:p>
        </w:tc>
      </w:tr>
    </w:tbl>
    <w:p>
      <w:pPr>
        <w:pStyle w:val="BodyText"/>
        <w:bidi w:val="0"/>
        <w:jc w:val="start"/>
        <w:rPr/>
      </w:pPr>
      <w:r>
        <w:rPr/>
      </w:r>
    </w:p>
    <w:p>
      <w:pPr>
        <w:pStyle w:val="Heading4"/>
        <w:bidi w:val="0"/>
        <w:ind w:hanging="0" w:start="0"/>
        <w:jc w:val="start"/>
        <w:rPr/>
      </w:pPr>
      <w:r>
        <w:rPr/>
        <w:t>Financial Strength / Debt</w:t>
      </w:r>
    </w:p>
    <w:tbl>
      <w:tblPr>
        <w:tblW w:w="5000" w:type="pct"/>
        <w:jc w:val="start"/>
        <w:tblInd w:w="-5" w:type="dxa"/>
        <w:tblLayout w:type="fixed"/>
        <w:tblCellMar>
          <w:top w:w="55" w:type="dxa"/>
          <w:start w:w="55" w:type="dxa"/>
          <w:bottom w:w="55" w:type="dxa"/>
          <w:end w:w="55" w:type="dxa"/>
        </w:tblCellMar>
      </w:tblPr>
      <w:tblGrid>
        <w:gridCol w:w="2409"/>
        <w:gridCol w:w="2410"/>
        <w:gridCol w:w="2409"/>
        <w:gridCol w:w="2410"/>
      </w:tblGrid>
      <w:tr>
        <w:trPr>
          <w:tblHeader w:val="true"/>
        </w:trPr>
        <w:tc>
          <w:tcPr>
            <w:tcW w:w="2409" w:type="dxa"/>
            <w:tcBorders>
              <w:top w:val="single" w:sz="4" w:space="0" w:color="000000"/>
              <w:start w:val="single" w:sz="4" w:space="0" w:color="000000"/>
              <w:bottom w:val="single" w:sz="4" w:space="0" w:color="000000"/>
            </w:tcBorders>
          </w:tcPr>
          <w:p>
            <w:pPr>
              <w:pStyle w:val="TableHeading"/>
              <w:bidi w:val="0"/>
              <w:jc w:val="start"/>
              <w:rPr/>
            </w:pPr>
            <w:r>
              <w:rPr/>
              <w:t>Metric</w:t>
            </w:r>
          </w:p>
        </w:tc>
        <w:tc>
          <w:tcPr>
            <w:tcW w:w="2410" w:type="dxa"/>
            <w:tcBorders>
              <w:top w:val="single" w:sz="4" w:space="0" w:color="000000"/>
              <w:start w:val="single" w:sz="4" w:space="0" w:color="000000"/>
              <w:bottom w:val="single" w:sz="4" w:space="0" w:color="000000"/>
            </w:tcBorders>
          </w:tcPr>
          <w:p>
            <w:pPr>
              <w:pStyle w:val="TableHeading"/>
              <w:bidi w:val="0"/>
              <w:jc w:val="start"/>
              <w:rPr/>
            </w:pPr>
            <w:r>
              <w:rPr/>
              <w:t>Formula</w:t>
            </w:r>
          </w:p>
        </w:tc>
        <w:tc>
          <w:tcPr>
            <w:tcW w:w="2409" w:type="dxa"/>
            <w:tcBorders>
              <w:top w:val="single" w:sz="4" w:space="0" w:color="000000"/>
              <w:start w:val="single" w:sz="4" w:space="0" w:color="000000"/>
              <w:bottom w:val="single" w:sz="4" w:space="0" w:color="000000"/>
            </w:tcBorders>
          </w:tcPr>
          <w:p>
            <w:pPr>
              <w:pStyle w:val="TableHeading"/>
              <w:bidi w:val="0"/>
              <w:jc w:val="start"/>
              <w:rPr/>
            </w:pPr>
            <w:r>
              <w:rPr/>
              <w:t>Threshold</w:t>
            </w:r>
          </w:p>
        </w:tc>
        <w:tc>
          <w:tcPr>
            <w:tcW w:w="2410"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Exceptions &amp; notes</w:t>
            </w:r>
          </w:p>
        </w:tc>
      </w:tr>
      <w:tr>
        <w:trPr/>
        <w:tc>
          <w:tcPr>
            <w:tcW w:w="2409" w:type="dxa"/>
            <w:tcBorders>
              <w:start w:val="single" w:sz="4" w:space="0" w:color="000000"/>
              <w:bottom w:val="single" w:sz="4" w:space="0" w:color="000000"/>
            </w:tcBorders>
          </w:tcPr>
          <w:p>
            <w:pPr>
              <w:pStyle w:val="TableContents"/>
              <w:bidi w:val="0"/>
              <w:jc w:val="start"/>
              <w:rPr/>
            </w:pPr>
            <w:r>
              <w:rPr>
                <w:b/>
              </w:rPr>
              <w:t>Current ratio</w:t>
            </w:r>
          </w:p>
        </w:tc>
        <w:tc>
          <w:tcPr>
            <w:tcW w:w="2410" w:type="dxa"/>
            <w:tcBorders>
              <w:start w:val="single" w:sz="4" w:space="0" w:color="000000"/>
              <w:bottom w:val="single" w:sz="4" w:space="0" w:color="000000"/>
            </w:tcBorders>
          </w:tcPr>
          <w:p>
            <w:pPr>
              <w:pStyle w:val="TableContents"/>
              <w:bidi w:val="0"/>
              <w:jc w:val="start"/>
              <w:rPr/>
            </w:pPr>
            <w:r>
              <w:rPr/>
              <w:t>Current assets ÷ Current liabilities</w:t>
            </w:r>
          </w:p>
        </w:tc>
        <w:tc>
          <w:tcPr>
            <w:tcW w:w="2409" w:type="dxa"/>
            <w:tcBorders>
              <w:start w:val="single" w:sz="4" w:space="0" w:color="000000"/>
              <w:bottom w:val="single" w:sz="4" w:space="0" w:color="000000"/>
            </w:tcBorders>
          </w:tcPr>
          <w:p>
            <w:pPr>
              <w:pStyle w:val="TableContents"/>
              <w:bidi w:val="0"/>
              <w:jc w:val="start"/>
              <w:rPr/>
            </w:pPr>
            <w:r>
              <w:rPr>
                <w:b/>
              </w:rPr>
              <w:t>&gt; 1</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 xml:space="preserve">Below 1 OK if other ratios strong — e.g. </w:t>
            </w:r>
            <w:r>
              <w:rPr>
                <w:b/>
              </w:rPr>
              <w:t>Pepsi 0.85</w:t>
            </w:r>
            <w:r>
              <w:rPr/>
              <w:t xml:space="preserve"> (supplier payment drag), </w:t>
            </w:r>
            <w:r>
              <w:rPr>
                <w:b/>
              </w:rPr>
              <w:t>ServiceNow 0.95</w:t>
            </w:r>
            <w:r>
              <w:rPr/>
              <w:t xml:space="preserve"> (deferred revenue)</w:t>
            </w:r>
          </w:p>
        </w:tc>
      </w:tr>
      <w:tr>
        <w:trPr/>
        <w:tc>
          <w:tcPr>
            <w:tcW w:w="2409" w:type="dxa"/>
            <w:tcBorders>
              <w:start w:val="single" w:sz="4" w:space="0" w:color="000000"/>
              <w:bottom w:val="single" w:sz="4" w:space="0" w:color="000000"/>
            </w:tcBorders>
          </w:tcPr>
          <w:p>
            <w:pPr>
              <w:pStyle w:val="TableContents"/>
              <w:bidi w:val="0"/>
              <w:jc w:val="start"/>
              <w:rPr/>
            </w:pPr>
            <w:r>
              <w:rPr>
                <w:b/>
              </w:rPr>
              <w:t>Debt / EBITDA</w:t>
            </w:r>
          </w:p>
        </w:tc>
        <w:tc>
          <w:tcPr>
            <w:tcW w:w="2410" w:type="dxa"/>
            <w:tcBorders>
              <w:start w:val="single" w:sz="4" w:space="0" w:color="000000"/>
              <w:bottom w:val="single" w:sz="4" w:space="0" w:color="000000"/>
            </w:tcBorders>
          </w:tcPr>
          <w:p>
            <w:pPr>
              <w:pStyle w:val="TableContents"/>
              <w:bidi w:val="0"/>
              <w:jc w:val="start"/>
              <w:rPr/>
            </w:pPr>
            <w:r>
              <w:rPr/>
              <w:t>(Short-term debt + Long-term debt) ÷ EBITDA</w:t>
            </w:r>
          </w:p>
        </w:tc>
        <w:tc>
          <w:tcPr>
            <w:tcW w:w="2409" w:type="dxa"/>
            <w:tcBorders>
              <w:start w:val="single" w:sz="4" w:space="0" w:color="000000"/>
              <w:bottom w:val="single" w:sz="4" w:space="0" w:color="000000"/>
            </w:tcBorders>
          </w:tcPr>
          <w:p>
            <w:pPr>
              <w:pStyle w:val="TableContents"/>
              <w:bidi w:val="0"/>
              <w:jc w:val="start"/>
              <w:rPr/>
            </w:pPr>
            <w:r>
              <w:rPr>
                <w:b/>
              </w:rPr>
              <w:t>&lt; 3</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 xml:space="preserve">= years of pre-interest/tax/D&amp;A profit needed to repay all debt. </w:t>
            </w:r>
            <w:r>
              <w:rPr>
                <w:b/>
              </w:rPr>
              <w:t>Hyflux was 5.64 = big fail</w:t>
            </w:r>
          </w:p>
        </w:tc>
      </w:tr>
      <w:tr>
        <w:trPr/>
        <w:tc>
          <w:tcPr>
            <w:tcW w:w="2409" w:type="dxa"/>
            <w:tcBorders>
              <w:start w:val="single" w:sz="4" w:space="0" w:color="000000"/>
              <w:bottom w:val="single" w:sz="4" w:space="0" w:color="000000"/>
            </w:tcBorders>
          </w:tcPr>
          <w:p>
            <w:pPr>
              <w:pStyle w:val="TableContents"/>
              <w:bidi w:val="0"/>
              <w:jc w:val="start"/>
              <w:rPr/>
            </w:pPr>
            <w:r>
              <w:rPr>
                <w:b/>
              </w:rPr>
              <w:t>Debt servicing ratio</w:t>
            </w:r>
          </w:p>
        </w:tc>
        <w:tc>
          <w:tcPr>
            <w:tcW w:w="2410" w:type="dxa"/>
            <w:tcBorders>
              <w:start w:val="single" w:sz="4" w:space="0" w:color="000000"/>
              <w:bottom w:val="single" w:sz="4" w:space="0" w:color="000000"/>
            </w:tcBorders>
          </w:tcPr>
          <w:p>
            <w:pPr>
              <w:pStyle w:val="TableContents"/>
              <w:bidi w:val="0"/>
              <w:jc w:val="start"/>
              <w:rPr/>
            </w:pPr>
            <w:r>
              <w:rPr/>
              <w:t>Net interest expense ÷ Cash flow from operations × 100%</w:t>
            </w:r>
          </w:p>
        </w:tc>
        <w:tc>
          <w:tcPr>
            <w:tcW w:w="2409" w:type="dxa"/>
            <w:tcBorders>
              <w:start w:val="single" w:sz="4" w:space="0" w:color="000000"/>
              <w:bottom w:val="single" w:sz="4" w:space="0" w:color="000000"/>
            </w:tcBorders>
          </w:tcPr>
          <w:p>
            <w:pPr>
              <w:pStyle w:val="TableContents"/>
              <w:bidi w:val="0"/>
              <w:jc w:val="start"/>
              <w:rPr/>
            </w:pPr>
            <w:r>
              <w:rPr>
                <w:b/>
              </w:rPr>
              <w:t>&lt; 30%</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&gt; 30% = very dangerous</w:t>
            </w:r>
          </w:p>
        </w:tc>
      </w:tr>
      <w:tr>
        <w:trPr/>
        <w:tc>
          <w:tcPr>
            <w:tcW w:w="2409" w:type="dxa"/>
            <w:tcBorders>
              <w:start w:val="single" w:sz="4" w:space="0" w:color="000000"/>
              <w:bottom w:val="single" w:sz="4" w:space="0" w:color="000000"/>
            </w:tcBorders>
          </w:tcPr>
          <w:p>
            <w:pPr>
              <w:pStyle w:val="TableContents"/>
              <w:bidi w:val="0"/>
              <w:jc w:val="start"/>
              <w:rPr/>
            </w:pPr>
            <w:r>
              <w:rPr>
                <w:b/>
              </w:rPr>
              <w:t>Interest coverage ratio</w:t>
            </w:r>
            <w:r>
              <w:rPr/>
              <w:t xml:space="preserve"> </w:t>
            </w:r>
            <w:r>
              <w:rPr>
                <w:i/>
              </w:rPr>
              <w:t>(optional)</w:t>
            </w:r>
          </w:p>
        </w:tc>
        <w:tc>
          <w:tcPr>
            <w:tcW w:w="2410" w:type="dxa"/>
            <w:tcBorders>
              <w:start w:val="single" w:sz="4" w:space="0" w:color="000000"/>
              <w:bottom w:val="single" w:sz="4" w:space="0" w:color="000000"/>
            </w:tcBorders>
          </w:tcPr>
          <w:p>
            <w:pPr>
              <w:pStyle w:val="TableContents"/>
              <w:bidi w:val="0"/>
              <w:jc w:val="start"/>
              <w:rPr/>
            </w:pPr>
            <w:r>
              <w:rPr/>
              <w:t>EBITDA ÷ Net interest expense</w:t>
            </w:r>
          </w:p>
        </w:tc>
        <w:tc>
          <w:tcPr>
            <w:tcW w:w="2409" w:type="dxa"/>
            <w:tcBorders>
              <w:start w:val="single" w:sz="4" w:space="0" w:color="000000"/>
              <w:bottom w:val="single" w:sz="4" w:space="0" w:color="000000"/>
            </w:tcBorders>
          </w:tcPr>
          <w:p>
            <w:pPr>
              <w:pStyle w:val="TableContents"/>
              <w:bidi w:val="0"/>
              <w:jc w:val="start"/>
              <w:rPr/>
            </w:pPr>
            <w:r>
              <w:rPr>
                <w:b/>
              </w:rPr>
              <w:t xml:space="preserve">≥ </w:t>
            </w:r>
            <w:r>
              <w:rPr>
                <w:b/>
              </w:rPr>
              <w:t>3 safe; ≥ 5 very safe; &lt; 3 risky; &lt; 2 dangerous</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Adam doesn't use it — overlaps with the others</w:t>
            </w:r>
          </w:p>
        </w:tc>
      </w:tr>
      <w:tr>
        <w:trPr/>
        <w:tc>
          <w:tcPr>
            <w:tcW w:w="2409" w:type="dxa"/>
            <w:tcBorders>
              <w:start w:val="single" w:sz="4" w:space="0" w:color="000000"/>
              <w:bottom w:val="single" w:sz="4" w:space="0" w:color="000000"/>
            </w:tcBorders>
          </w:tcPr>
          <w:p>
            <w:pPr>
              <w:pStyle w:val="TableContents"/>
              <w:bidi w:val="0"/>
              <w:jc w:val="start"/>
              <w:rPr/>
            </w:pPr>
            <w:r>
              <w:rPr>
                <w:b/>
              </w:rPr>
              <w:t>Cash ratio</w:t>
            </w:r>
            <w:r>
              <w:rPr/>
              <w:t xml:space="preserve"> </w:t>
            </w:r>
            <w:r>
              <w:rPr>
                <w:i/>
              </w:rPr>
              <w:t>(optional)</w:t>
            </w:r>
          </w:p>
        </w:tc>
        <w:tc>
          <w:tcPr>
            <w:tcW w:w="2410" w:type="dxa"/>
            <w:tcBorders>
              <w:start w:val="single" w:sz="4" w:space="0" w:color="000000"/>
              <w:bottom w:val="single" w:sz="4" w:space="0" w:color="000000"/>
            </w:tcBorders>
          </w:tcPr>
          <w:p>
            <w:pPr>
              <w:pStyle w:val="TableContents"/>
              <w:bidi w:val="0"/>
              <w:jc w:val="start"/>
              <w:rPr/>
            </w:pPr>
            <w:r>
              <w:rPr/>
              <w:t>Cash &amp; equivalents ÷ Current liabilities</w:t>
            </w:r>
          </w:p>
        </w:tc>
        <w:tc>
          <w:tcPr>
            <w:tcW w:w="2409" w:type="dxa"/>
            <w:tcBorders>
              <w:start w:val="single" w:sz="4" w:space="0" w:color="000000"/>
              <w:bottom w:val="single" w:sz="4" w:space="0" w:color="000000"/>
            </w:tcBorders>
          </w:tcPr>
          <w:p>
            <w:pPr>
              <w:pStyle w:val="TableContents"/>
              <w:bidi w:val="0"/>
              <w:jc w:val="start"/>
              <w:rPr/>
            </w:pPr>
            <w:r>
              <w:rPr>
                <w:b/>
              </w:rPr>
              <w:t xml:space="preserve">≥ </w:t>
            </w:r>
            <w:r>
              <w:rPr>
                <w:b/>
              </w:rPr>
              <w:t>0.5 very safe; &lt; 0.3 risky</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Excludes receivables and inventory. Adam doesn't use it</w:t>
            </w:r>
          </w:p>
        </w:tc>
      </w:tr>
      <w:tr>
        <w:trPr/>
        <w:tc>
          <w:tcPr>
            <w:tcW w:w="2409" w:type="dxa"/>
            <w:tcBorders>
              <w:start w:val="single" w:sz="4" w:space="0" w:color="000000"/>
              <w:bottom w:val="single" w:sz="4" w:space="0" w:color="000000"/>
            </w:tcBorders>
          </w:tcPr>
          <w:p>
            <w:pPr>
              <w:pStyle w:val="TableContents"/>
              <w:bidi w:val="0"/>
              <w:jc w:val="start"/>
              <w:rPr/>
            </w:pPr>
            <w:r>
              <w:rPr>
                <w:b/>
              </w:rPr>
              <w:t>CET1 ratio — BANKS ONLY</w:t>
            </w:r>
          </w:p>
        </w:tc>
        <w:tc>
          <w:tcPr>
            <w:tcW w:w="2410" w:type="dxa"/>
            <w:tcBorders>
              <w:start w:val="single" w:sz="4" w:space="0" w:color="000000"/>
              <w:bottom w:val="single" w:sz="4" w:space="0" w:color="000000"/>
            </w:tcBorders>
          </w:tcPr>
          <w:p>
            <w:pPr>
              <w:pStyle w:val="TableContents"/>
              <w:bidi w:val="0"/>
              <w:jc w:val="start"/>
              <w:rPr/>
            </w:pPr>
            <w:r>
              <w:rPr/>
              <w:t>Common Equity Tier 1 (cash + common stock + retained earnings) ÷ Risk-weighted assets</w:t>
            </w:r>
          </w:p>
        </w:tc>
        <w:tc>
          <w:tcPr>
            <w:tcW w:w="2409" w:type="dxa"/>
            <w:tcBorders>
              <w:start w:val="single" w:sz="4" w:space="0" w:color="000000"/>
              <w:bottom w:val="single" w:sz="4" w:space="0" w:color="000000"/>
            </w:tcBorders>
          </w:tcPr>
          <w:p>
            <w:pPr>
              <w:pStyle w:val="TableContents"/>
              <w:bidi w:val="0"/>
              <w:jc w:val="start"/>
              <w:rPr/>
            </w:pPr>
            <w:r>
              <w:rPr>
                <w:b/>
              </w:rPr>
              <w:t>Basel III minimum 4.5%; Adam requires &gt; 10%</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 xml:space="preserve">DBS </w:t>
            </w:r>
            <w:r>
              <w:rPr>
                <w:b/>
              </w:rPr>
              <w:t>14.1%</w:t>
            </w:r>
            <w:r>
              <w:rPr/>
              <w:t xml:space="preserve">, JP Morgan </w:t>
            </w:r>
            <w:r>
              <w:rPr>
                <w:b/>
              </w:rPr>
              <w:t>12.4%</w:t>
            </w:r>
            <w:r>
              <w:rPr/>
              <w:t xml:space="preserve">, Bank of China </w:t>
            </w:r>
            <w:r>
              <w:rPr>
                <w:b/>
              </w:rPr>
              <w:t>11.28%</w:t>
            </w:r>
            <w:r>
              <w:rPr/>
              <w:t>. Just Google it</w:t>
            </w:r>
          </w:p>
        </w:tc>
      </w:tr>
      <w:tr>
        <w:trPr/>
        <w:tc>
          <w:tcPr>
            <w:tcW w:w="2409" w:type="dxa"/>
            <w:tcBorders>
              <w:start w:val="single" w:sz="4" w:space="0" w:color="000000"/>
              <w:bottom w:val="single" w:sz="4" w:space="0" w:color="000000"/>
            </w:tcBorders>
          </w:tcPr>
          <w:p>
            <w:pPr>
              <w:pStyle w:val="TableContents"/>
              <w:bidi w:val="0"/>
              <w:jc w:val="start"/>
              <w:rPr/>
            </w:pPr>
            <w:r>
              <w:rPr>
                <w:b/>
              </w:rPr>
              <w:t>NPL ratio — BANKS ONLY</w:t>
            </w:r>
          </w:p>
        </w:tc>
        <w:tc>
          <w:tcPr>
            <w:tcW w:w="2410" w:type="dxa"/>
            <w:tcBorders>
              <w:start w:val="single" w:sz="4" w:space="0" w:color="000000"/>
              <w:bottom w:val="single" w:sz="4" w:space="0" w:color="000000"/>
            </w:tcBorders>
          </w:tcPr>
          <w:p>
            <w:pPr>
              <w:pStyle w:val="TableContents"/>
              <w:bidi w:val="0"/>
              <w:jc w:val="start"/>
              <w:rPr/>
            </w:pPr>
            <w:r>
              <w:rPr/>
              <w:t>Non-performing loans ÷ Total loans</w:t>
            </w:r>
          </w:p>
        </w:tc>
        <w:tc>
          <w:tcPr>
            <w:tcW w:w="2409" w:type="dxa"/>
            <w:tcBorders>
              <w:start w:val="single" w:sz="4" w:space="0" w:color="000000"/>
              <w:bottom w:val="single" w:sz="4" w:space="0" w:color="000000"/>
            </w:tcBorders>
          </w:tcPr>
          <w:p>
            <w:pPr>
              <w:pStyle w:val="TableContents"/>
              <w:bidi w:val="0"/>
              <w:jc w:val="start"/>
              <w:rPr/>
            </w:pPr>
            <w:r>
              <w:rPr>
                <w:b/>
              </w:rPr>
              <w:t>&lt; 5%</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 xml:space="preserve">DBS </w:t>
            </w:r>
            <w:r>
              <w:rPr>
                <w:b/>
              </w:rPr>
              <w:t>1.5%</w:t>
            </w:r>
          </w:p>
        </w:tc>
      </w:tr>
      <w:tr>
        <w:trPr/>
        <w:tc>
          <w:tcPr>
            <w:tcW w:w="2409" w:type="dxa"/>
            <w:tcBorders>
              <w:start w:val="single" w:sz="4" w:space="0" w:color="000000"/>
              <w:bottom w:val="single" w:sz="4" w:space="0" w:color="000000"/>
            </w:tcBorders>
          </w:tcPr>
          <w:p>
            <w:pPr>
              <w:pStyle w:val="TableContents"/>
              <w:bidi w:val="0"/>
              <w:jc w:val="start"/>
              <w:rPr/>
            </w:pPr>
            <w:r>
              <w:rPr>
                <w:b/>
              </w:rPr>
              <w:t>Gearing ratio / Aggregate leverage — REITS ONLY</w:t>
            </w:r>
          </w:p>
        </w:tc>
        <w:tc>
          <w:tcPr>
            <w:tcW w:w="2410" w:type="dxa"/>
            <w:tcBorders>
              <w:start w:val="single" w:sz="4" w:space="0" w:color="000000"/>
              <w:bottom w:val="single" w:sz="4" w:space="0" w:color="000000"/>
            </w:tcBorders>
          </w:tcPr>
          <w:p>
            <w:pPr>
              <w:pStyle w:val="TableContents"/>
              <w:bidi w:val="0"/>
              <w:jc w:val="start"/>
              <w:rPr/>
            </w:pPr>
            <w:r>
              <w:rPr/>
              <w:t>Total debt ÷ Total assets</w:t>
            </w:r>
          </w:p>
        </w:tc>
        <w:tc>
          <w:tcPr>
            <w:tcW w:w="2409" w:type="dxa"/>
            <w:tcBorders>
              <w:start w:val="single" w:sz="4" w:space="0" w:color="000000"/>
              <w:bottom w:val="single" w:sz="4" w:space="0" w:color="000000"/>
            </w:tcBorders>
          </w:tcPr>
          <w:p>
            <w:pPr>
              <w:pStyle w:val="TableContents"/>
              <w:bidi w:val="0"/>
              <w:jc w:val="start"/>
              <w:rPr/>
            </w:pPr>
            <w:r>
              <w:rPr>
                <w:b/>
              </w:rPr>
              <w:t>&lt; 45%</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 xml:space="preserve">Ascendas REIT </w:t>
            </w:r>
            <w:r>
              <w:rPr>
                <w:b/>
              </w:rPr>
              <w:t>37.6%</w:t>
            </w:r>
            <w:r>
              <w:rPr/>
              <w:t>. Find it in the REIT's own annual report / presentations</w:t>
            </w:r>
          </w:p>
        </w:tc>
      </w:tr>
    </w:tbl>
    <w:p>
      <w:pPr>
        <w:pStyle w:val="BodyText"/>
        <w:bidi w:val="0"/>
        <w:jc w:val="start"/>
        <w:rPr/>
      </w:pPr>
      <w:r>
        <w:rPr/>
      </w:r>
    </w:p>
    <w:p>
      <w:pPr>
        <w:pStyle w:val="BodyText"/>
        <w:bidi w:val="0"/>
        <w:jc w:val="start"/>
        <w:rPr/>
      </w:pPr>
      <w:r>
        <w:rPr>
          <w:i/>
        </w:rPr>
        <w:t xml:space="preserve">The three core debt ratios (current, debt/EBITDA, debt servicing) do </w:t>
      </w:r>
      <w:r>
        <w:rPr>
          <w:b/>
          <w:i/>
        </w:rPr>
        <w:t>not</w:t>
      </w:r>
      <w:r>
        <w:rPr>
          <w:i/>
        </w:rPr>
        <w:t xml:space="preserve"> apply to: banks, insurance/financial companies, property developers, REITs, commodity companies. </w:t>
      </w:r>
      <w:r>
        <w:rPr>
          <w:b/>
          <w:i/>
        </w:rPr>
        <w:t>Passing 2 out of 3 is acceptable.</w:t>
      </w:r>
    </w:p>
    <w:p>
      <w:pPr>
        <w:pStyle w:val="Heading4"/>
        <w:bidi w:val="0"/>
        <w:ind w:hanging="0" w:start="0"/>
        <w:jc w:val="start"/>
        <w:rPr/>
      </w:pPr>
      <w:r>
        <w:rPr/>
        <w:t>Management Effectiveness</w:t>
      </w:r>
    </w:p>
    <w:tbl>
      <w:tblPr>
        <w:tblW w:w="5000" w:type="pct"/>
        <w:jc w:val="start"/>
        <w:tblInd w:w="-5" w:type="dxa"/>
        <w:tblLayout w:type="fixed"/>
        <w:tblCellMar>
          <w:top w:w="55" w:type="dxa"/>
          <w:start w:w="55" w:type="dxa"/>
          <w:bottom w:w="55" w:type="dxa"/>
          <w:end w:w="55" w:type="dxa"/>
        </w:tblCellMar>
      </w:tblPr>
      <w:tblGrid>
        <w:gridCol w:w="2409"/>
        <w:gridCol w:w="2410"/>
        <w:gridCol w:w="2409"/>
        <w:gridCol w:w="2410"/>
      </w:tblGrid>
      <w:tr>
        <w:trPr>
          <w:tblHeader w:val="true"/>
        </w:trPr>
        <w:tc>
          <w:tcPr>
            <w:tcW w:w="2409" w:type="dxa"/>
            <w:tcBorders>
              <w:top w:val="single" w:sz="4" w:space="0" w:color="000000"/>
              <w:start w:val="single" w:sz="4" w:space="0" w:color="000000"/>
              <w:bottom w:val="single" w:sz="4" w:space="0" w:color="000000"/>
            </w:tcBorders>
          </w:tcPr>
          <w:p>
            <w:pPr>
              <w:pStyle w:val="TableHeading"/>
              <w:bidi w:val="0"/>
              <w:jc w:val="start"/>
              <w:rPr/>
            </w:pPr>
            <w:r>
              <w:rPr/>
              <w:t>Metric</w:t>
            </w:r>
          </w:p>
        </w:tc>
        <w:tc>
          <w:tcPr>
            <w:tcW w:w="2410" w:type="dxa"/>
            <w:tcBorders>
              <w:top w:val="single" w:sz="4" w:space="0" w:color="000000"/>
              <w:start w:val="single" w:sz="4" w:space="0" w:color="000000"/>
              <w:bottom w:val="single" w:sz="4" w:space="0" w:color="000000"/>
            </w:tcBorders>
          </w:tcPr>
          <w:p>
            <w:pPr>
              <w:pStyle w:val="TableHeading"/>
              <w:bidi w:val="0"/>
              <w:jc w:val="start"/>
              <w:rPr/>
            </w:pPr>
            <w:r>
              <w:rPr/>
              <w:t>Formula</w:t>
            </w:r>
          </w:p>
        </w:tc>
        <w:tc>
          <w:tcPr>
            <w:tcW w:w="2409" w:type="dxa"/>
            <w:tcBorders>
              <w:top w:val="single" w:sz="4" w:space="0" w:color="000000"/>
              <w:start w:val="single" w:sz="4" w:space="0" w:color="000000"/>
              <w:bottom w:val="single" w:sz="4" w:space="0" w:color="000000"/>
            </w:tcBorders>
          </w:tcPr>
          <w:p>
            <w:pPr>
              <w:pStyle w:val="TableHeading"/>
              <w:bidi w:val="0"/>
              <w:jc w:val="start"/>
              <w:rPr/>
            </w:pPr>
            <w:r>
              <w:rPr/>
              <w:t>Threshold</w:t>
            </w:r>
          </w:p>
        </w:tc>
        <w:tc>
          <w:tcPr>
            <w:tcW w:w="2410"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Exceptions &amp; notes</w:t>
            </w:r>
          </w:p>
        </w:tc>
      </w:tr>
      <w:tr>
        <w:trPr/>
        <w:tc>
          <w:tcPr>
            <w:tcW w:w="2409" w:type="dxa"/>
            <w:tcBorders>
              <w:start w:val="single" w:sz="4" w:space="0" w:color="000000"/>
              <w:bottom w:val="single" w:sz="4" w:space="0" w:color="000000"/>
            </w:tcBorders>
          </w:tcPr>
          <w:p>
            <w:pPr>
              <w:pStyle w:val="TableContents"/>
              <w:bidi w:val="0"/>
              <w:jc w:val="start"/>
              <w:rPr/>
            </w:pPr>
            <w:r>
              <w:rPr>
                <w:b/>
              </w:rPr>
              <w:t>Cash conversion cycle (CCC)</w:t>
            </w:r>
          </w:p>
        </w:tc>
        <w:tc>
          <w:tcPr>
            <w:tcW w:w="2410" w:type="dxa"/>
            <w:tcBorders>
              <w:start w:val="single" w:sz="4" w:space="0" w:color="000000"/>
              <w:bottom w:val="single" w:sz="4" w:space="0" w:color="000000"/>
            </w:tcBorders>
          </w:tcPr>
          <w:p>
            <w:pPr>
              <w:pStyle w:val="TableContents"/>
              <w:bidi w:val="0"/>
              <w:jc w:val="start"/>
              <w:rPr/>
            </w:pPr>
            <w:r>
              <w:rPr/>
              <w:t>DIO + DSO − DPO — where DIO = Avg inventory ÷ COGS × 365; DSO = Accounts receivable ÷ Net credit sales; DPO = Days payable outstanding</w:t>
            </w:r>
          </w:p>
        </w:tc>
        <w:tc>
          <w:tcPr>
            <w:tcW w:w="2409" w:type="dxa"/>
            <w:tcBorders>
              <w:start w:val="single" w:sz="4" w:space="0" w:color="000000"/>
              <w:bottom w:val="single" w:sz="4" w:space="0" w:color="000000"/>
            </w:tcBorders>
          </w:tcPr>
          <w:p>
            <w:pPr>
              <w:pStyle w:val="TableContents"/>
              <w:bidi w:val="0"/>
              <w:jc w:val="start"/>
              <w:rPr/>
            </w:pPr>
            <w:r>
              <w:rPr>
                <w:b/>
              </w:rPr>
              <w:t>Consistent or DECLINING. Increasing = red flag.</w:t>
            </w:r>
            <w:r>
              <w:rPr/>
              <w:t xml:space="preserve"> </w:t>
            </w:r>
            <w:r>
              <w:rPr>
                <w:b/>
              </w:rPr>
              <w:t>Negative CCC is best</w:t>
            </w:r>
            <w:r>
              <w:rPr/>
              <w:t xml:space="preserve"> (collects cash before paying suppliers, e.g. Pepsi)</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b/>
              </w:rPr>
              <w:t>Only for retail companies selling physical goods</w:t>
            </w:r>
            <w:r>
              <w:rPr/>
              <w:t xml:space="preserve"> (Nike, Apple, Walmart, Costco, Pepsi). </w:t>
            </w:r>
            <w:r>
              <w:rPr>
                <w:b/>
              </w:rPr>
              <w:t>Not</w:t>
            </w:r>
            <w:r>
              <w:rPr/>
              <w:t xml:space="preserve"> for Google, YouTube, Microsoft</w:t>
            </w:r>
          </w:p>
        </w:tc>
      </w:tr>
      <w:tr>
        <w:trPr/>
        <w:tc>
          <w:tcPr>
            <w:tcW w:w="2409" w:type="dxa"/>
            <w:tcBorders>
              <w:start w:val="single" w:sz="4" w:space="0" w:color="000000"/>
              <w:bottom w:val="single" w:sz="4" w:space="0" w:color="000000"/>
            </w:tcBorders>
          </w:tcPr>
          <w:p>
            <w:pPr>
              <w:pStyle w:val="TableContents"/>
              <w:bidi w:val="0"/>
              <w:jc w:val="start"/>
              <w:rPr/>
            </w:pPr>
            <w:r>
              <w:rPr>
                <w:b/>
              </w:rPr>
              <w:t>Revenue growth vs Accounts receivable growth</w:t>
            </w:r>
          </w:p>
        </w:tc>
        <w:tc>
          <w:tcPr>
            <w:tcW w:w="2410" w:type="dxa"/>
            <w:tcBorders>
              <w:start w:val="single" w:sz="4" w:space="0" w:color="000000"/>
              <w:bottom w:val="single" w:sz="4" w:space="0" w:color="000000"/>
            </w:tcBorders>
          </w:tcPr>
          <w:p>
            <w:pPr>
              <w:pStyle w:val="TableContents"/>
              <w:bidi w:val="0"/>
              <w:jc w:val="start"/>
              <w:rPr/>
            </w:pPr>
            <w:r>
              <w:rPr/>
              <w:t>Compare the two growth rates</w:t>
            </w:r>
          </w:p>
        </w:tc>
        <w:tc>
          <w:tcPr>
            <w:tcW w:w="2409" w:type="dxa"/>
            <w:tcBorders>
              <w:start w:val="single" w:sz="4" w:space="0" w:color="000000"/>
              <w:bottom w:val="single" w:sz="4" w:space="0" w:color="000000"/>
            </w:tcBorders>
          </w:tcPr>
          <w:p>
            <w:pPr>
              <w:pStyle w:val="TableContents"/>
              <w:bidi w:val="0"/>
              <w:jc w:val="start"/>
              <w:rPr/>
            </w:pPr>
            <w:r>
              <w:rPr>
                <w:b/>
              </w:rPr>
              <w:t>Revenue must grow faster.</w:t>
            </w:r>
            <w:r>
              <w:rPr/>
              <w:t xml:space="preserve"> Receivables growing faster = </w:t>
            </w:r>
            <w:r>
              <w:rPr>
                <w:b/>
              </w:rPr>
              <w:t>major red flag</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 xml:space="preserve">Signals customers in trouble, poor collection, or </w:t>
            </w:r>
            <w:r>
              <w:rPr>
                <w:b/>
              </w:rPr>
              <w:t>fictitious revenue</w:t>
            </w:r>
            <w:r>
              <w:rPr/>
              <w:t>. Hyflux 2010: revenue +8%, receivables +575%</w:t>
            </w:r>
          </w:p>
        </w:tc>
      </w:tr>
    </w:tbl>
    <w:p>
      <w:pPr>
        <w:pStyle w:val="BodyText"/>
        <w:bidi w:val="0"/>
        <w:jc w:val="start"/>
        <w:rPr/>
      </w:pPr>
      <w:r>
        <w:rPr/>
      </w:r>
    </w:p>
    <w:p>
      <w:pPr>
        <w:pStyle w:val="Heading4"/>
        <w:bidi w:val="0"/>
        <w:ind w:hanging="0" w:start="0"/>
        <w:jc w:val="start"/>
        <w:rPr/>
      </w:pPr>
      <w:r>
        <w:rPr/>
        <w:t>Data Sources Cheat Sheet</w:t>
      </w:r>
    </w:p>
    <w:tbl>
      <w:tblPr>
        <w:tblW w:w="5000" w:type="pct"/>
        <w:jc w:val="start"/>
        <w:tblInd w:w="-5" w:type="dxa"/>
        <w:tblLayout w:type="fixed"/>
        <w:tblCellMar>
          <w:top w:w="55" w:type="dxa"/>
          <w:start w:w="55" w:type="dxa"/>
          <w:bottom w:w="55" w:type="dxa"/>
          <w:end w:w="55" w:type="dxa"/>
        </w:tblCellMar>
      </w:tblPr>
      <w:tblGrid>
        <w:gridCol w:w="4819"/>
        <w:gridCol w:w="4819"/>
      </w:tblGrid>
      <w:tr>
        <w:trPr>
          <w:tblHeader w:val="true"/>
        </w:trPr>
        <w:tc>
          <w:tcPr>
            <w:tcW w:w="4819" w:type="dxa"/>
            <w:tcBorders>
              <w:top w:val="single" w:sz="4" w:space="0" w:color="000000"/>
              <w:start w:val="single" w:sz="4" w:space="0" w:color="000000"/>
              <w:bottom w:val="single" w:sz="4" w:space="0" w:color="000000"/>
            </w:tcBorders>
          </w:tcPr>
          <w:p>
            <w:pPr>
              <w:pStyle w:val="TableHeading"/>
              <w:bidi w:val="0"/>
              <w:jc w:val="start"/>
              <w:rPr/>
            </w:pPr>
            <w:r>
              <w:rPr/>
              <w:t>Need</w:t>
            </w:r>
          </w:p>
        </w:tc>
        <w:tc>
          <w:tcPr>
            <w:tcW w:w="4819"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Go to</w:t>
            </w:r>
          </w:p>
        </w:tc>
      </w:tr>
      <w:tr>
        <w:trPr/>
        <w:tc>
          <w:tcPr>
            <w:tcW w:w="4819" w:type="dxa"/>
            <w:tcBorders>
              <w:start w:val="single" w:sz="4" w:space="0" w:color="000000"/>
              <w:bottom w:val="single" w:sz="4" w:space="0" w:color="000000"/>
            </w:tcBorders>
          </w:tcPr>
          <w:p>
            <w:pPr>
              <w:pStyle w:val="TableContents"/>
              <w:bidi w:val="0"/>
              <w:jc w:val="start"/>
              <w:rPr/>
            </w:pPr>
            <w:r>
              <w:rPr/>
              <w:t>US financial statements, ratios, visual charts</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b/>
              </w:rPr>
              <w:t>StockOracle</w:t>
            </w:r>
            <w:r>
              <w:rPr/>
              <w:t xml:space="preserve"> → Financials / Company Metrics (free = 5 yrs, paid = 10 yrs)</w:t>
            </w:r>
          </w:p>
        </w:tc>
      </w:tr>
      <w:tr>
        <w:trPr/>
        <w:tc>
          <w:tcPr>
            <w:tcW w:w="4819" w:type="dxa"/>
            <w:tcBorders>
              <w:start w:val="single" w:sz="4" w:space="0" w:color="000000"/>
              <w:bottom w:val="single" w:sz="4" w:space="0" w:color="000000"/>
            </w:tcBorders>
          </w:tcPr>
          <w:p>
            <w:pPr>
              <w:pStyle w:val="TableContents"/>
              <w:bidi w:val="0"/>
              <w:jc w:val="start"/>
              <w:rPr/>
            </w:pPr>
            <w:r>
              <w:rPr/>
              <w:t>Non-US financial statements (Singapore, HK, etc.)</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b/>
              </w:rPr>
              <w:t>Yahoo Finance</w:t>
            </w:r>
            <w:r>
              <w:rPr/>
              <w:t xml:space="preserve"> → ticker (e.g. DBS = </w:t>
            </w:r>
            <w:r>
              <w:rPr>
                <w:b/>
              </w:rPr>
              <w:t>D05</w:t>
            </w:r>
            <w:r>
              <w:rPr/>
              <w:t xml:space="preserve">) → Financials (data right-to-left, </w:t>
            </w:r>
            <w:r>
              <w:rPr>
                <w:b/>
              </w:rPr>
              <w:t>in thousands</w:t>
            </w:r>
            <w:r>
              <w:rPr/>
              <w:t>)</w:t>
            </w:r>
          </w:p>
        </w:tc>
      </w:tr>
      <w:tr>
        <w:trPr/>
        <w:tc>
          <w:tcPr>
            <w:tcW w:w="4819" w:type="dxa"/>
            <w:tcBorders>
              <w:start w:val="single" w:sz="4" w:space="0" w:color="000000"/>
              <w:bottom w:val="single" w:sz="4" w:space="0" w:color="000000"/>
            </w:tcBorders>
          </w:tcPr>
          <w:p>
            <w:pPr>
              <w:pStyle w:val="TableContents"/>
              <w:bidi w:val="0"/>
              <w:jc w:val="start"/>
              <w:rPr/>
            </w:pPr>
            <w:r>
              <w:rPr/>
              <w:t>ROE / ROIC for foreign stocks</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b/>
              </w:rPr>
              <w:t>Morningstar.com</w:t>
            </w:r>
            <w:r>
              <w:rPr/>
              <w:t xml:space="preserve"> free section → Key Metrics → Profit and Efficiency Ratios</w:t>
            </w:r>
          </w:p>
        </w:tc>
      </w:tr>
      <w:tr>
        <w:trPr/>
        <w:tc>
          <w:tcPr>
            <w:tcW w:w="4819" w:type="dxa"/>
            <w:tcBorders>
              <w:start w:val="single" w:sz="4" w:space="0" w:color="000000"/>
              <w:bottom w:val="single" w:sz="4" w:space="0" w:color="000000"/>
            </w:tcBorders>
          </w:tcPr>
          <w:p>
            <w:pPr>
              <w:pStyle w:val="TableContents"/>
              <w:bidi w:val="0"/>
              <w:jc w:val="start"/>
              <w:rPr/>
            </w:pPr>
            <w:r>
              <w:rPr/>
              <w:t>Next earnings date</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b/>
              </w:rPr>
              <w:t>TradingView</w:t>
            </w:r>
            <w:r>
              <w:rPr/>
              <w:t xml:space="preserve"> "E" icon, or </w:t>
            </w:r>
            <w:r>
              <w:rPr>
                <w:b/>
              </w:rPr>
              <w:t>finance.yahoo.com/calendar/earnings</w:t>
            </w:r>
            <w:r>
              <w:rPr/>
              <w:t>, or the StockOracle company page</w:t>
            </w:r>
          </w:p>
        </w:tc>
      </w:tr>
      <w:tr>
        <w:trPr/>
        <w:tc>
          <w:tcPr>
            <w:tcW w:w="4819" w:type="dxa"/>
            <w:tcBorders>
              <w:start w:val="single" w:sz="4" w:space="0" w:color="000000"/>
              <w:bottom w:val="single" w:sz="4" w:space="0" w:color="000000"/>
            </w:tcBorders>
          </w:tcPr>
          <w:p>
            <w:pPr>
              <w:pStyle w:val="TableContents"/>
              <w:bidi w:val="0"/>
              <w:jc w:val="start"/>
              <w:rPr/>
            </w:pPr>
            <w:r>
              <w:rPr/>
              <w:t>Revenue vs accounts receivable chart</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b/>
              </w:rPr>
              <w:t>StockOracle</w:t>
            </w:r>
            <w:r>
              <w:rPr/>
              <w:t xml:space="preserve"> preset chart, or </w:t>
            </w:r>
            <w:r>
              <w:rPr>
                <w:b/>
              </w:rPr>
              <w:t>TradingView</w:t>
            </w:r>
            <w:r>
              <w:rPr/>
              <w:t xml:space="preserve"> with the </w:t>
            </w:r>
            <w:r>
              <w:rPr>
                <w:b/>
              </w:rPr>
              <w:t>Piranha Profits custom indicator</w:t>
            </w:r>
            <w:r>
              <w:rPr/>
              <w:t xml:space="preserve"> (Lesson 4 → Course Notes and Resources → Add to Favorites)</w:t>
            </w:r>
          </w:p>
        </w:tc>
      </w:tr>
      <w:tr>
        <w:trPr/>
        <w:tc>
          <w:tcPr>
            <w:tcW w:w="4819" w:type="dxa"/>
            <w:tcBorders>
              <w:start w:val="single" w:sz="4" w:space="0" w:color="000000"/>
              <w:bottom w:val="single" w:sz="4" w:space="0" w:color="000000"/>
            </w:tcBorders>
          </w:tcPr>
          <w:p>
            <w:pPr>
              <w:pStyle w:val="TableContents"/>
              <w:bidi w:val="0"/>
              <w:jc w:val="start"/>
              <w:rPr/>
            </w:pPr>
            <w:r>
              <w:rPr/>
              <w:t>Cash conversion cycle</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b/>
              </w:rPr>
              <w:t>TradingView</w:t>
            </w:r>
            <w:r>
              <w:rPr/>
              <w:t xml:space="preserve"> → Financials → search "cash conversion cycle", or </w:t>
            </w:r>
            <w:r>
              <w:rPr>
                <w:b/>
              </w:rPr>
              <w:t>StockOracle</w:t>
            </w:r>
            <w:r>
              <w:rPr/>
              <w:t xml:space="preserve"> → Financials chart / Company Metrics → Efficiency Ratios</w:t>
            </w:r>
          </w:p>
        </w:tc>
      </w:tr>
      <w:tr>
        <w:trPr/>
        <w:tc>
          <w:tcPr>
            <w:tcW w:w="4819" w:type="dxa"/>
            <w:tcBorders>
              <w:start w:val="single" w:sz="4" w:space="0" w:color="000000"/>
              <w:bottom w:val="single" w:sz="4" w:space="0" w:color="000000"/>
            </w:tcBorders>
          </w:tcPr>
          <w:p>
            <w:pPr>
              <w:pStyle w:val="TableContents"/>
              <w:bidi w:val="0"/>
              <w:jc w:val="start"/>
              <w:rPr/>
            </w:pPr>
            <w:r>
              <w:rPr/>
              <w:t>Bank CET1 and NPL ratios</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b/>
              </w:rPr>
              <w:t>Google search</w:t>
            </w:r>
            <w:r>
              <w:rPr/>
              <w:t xml:space="preserve"> the bank name + ratio name</w:t>
            </w:r>
          </w:p>
        </w:tc>
      </w:tr>
      <w:tr>
        <w:trPr/>
        <w:tc>
          <w:tcPr>
            <w:tcW w:w="4819" w:type="dxa"/>
            <w:tcBorders>
              <w:start w:val="single" w:sz="4" w:space="0" w:color="000000"/>
              <w:bottom w:val="single" w:sz="4" w:space="0" w:color="000000"/>
            </w:tcBorders>
          </w:tcPr>
          <w:p>
            <w:pPr>
              <w:pStyle w:val="TableContents"/>
              <w:bidi w:val="0"/>
              <w:jc w:val="start"/>
              <w:rPr/>
            </w:pPr>
            <w:r>
              <w:rPr/>
              <w:t>REIT gearing ratio</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 xml:space="preserve">The </w:t>
            </w:r>
            <w:r>
              <w:rPr>
                <w:b/>
              </w:rPr>
              <w:t>REIT's own website</w:t>
            </w:r>
            <w:r>
              <w:rPr/>
              <w:t xml:space="preserve"> → annual report / investor presentations</w:t>
            </w:r>
          </w:p>
        </w:tc>
      </w:tr>
      <w:tr>
        <w:trPr/>
        <w:tc>
          <w:tcPr>
            <w:tcW w:w="4819" w:type="dxa"/>
            <w:tcBorders>
              <w:start w:val="single" w:sz="4" w:space="0" w:color="000000"/>
              <w:bottom w:val="single" w:sz="4" w:space="0" w:color="000000"/>
            </w:tcBorders>
          </w:tcPr>
          <w:p>
            <w:pPr>
              <w:pStyle w:val="TableContents"/>
              <w:bidi w:val="0"/>
              <w:jc w:val="start"/>
              <w:rPr/>
            </w:pPr>
            <w:r>
              <w:rPr/>
              <w:t>Raw source documents</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 xml:space="preserve">Company website: </w:t>
            </w:r>
            <w:r>
              <w:rPr>
                <w:b/>
              </w:rPr>
              <w:t>quarterly reports, annual reports</w:t>
            </w:r>
            <w:r>
              <w:rPr/>
              <w:t xml:space="preserve">; also read the </w:t>
            </w:r>
            <w:r>
              <w:rPr>
                <w:b/>
              </w:rPr>
              <w:t>CEO conference call transcript</w:t>
            </w:r>
            <w:r>
              <w:rPr/>
              <w:t xml:space="preserve"> after results</w:t>
            </w:r>
          </w:p>
        </w:tc>
      </w:tr>
    </w:tbl>
    <w:p>
      <w:pPr>
        <w:pStyle w:val="BodyText"/>
        <w:bidi w:val="0"/>
        <w:jc w:val="start"/>
        <w:rPr/>
      </w:pPr>
      <w:r>
        <w:rPr/>
      </w:r>
    </w:p>
    <w:p>
      <w:pPr>
        <w:pStyle w:val="HorizontalLine"/>
        <w:bidi w:val="0"/>
        <w:jc w:val="start"/>
        <w:rPr/>
      </w:pPr>
      <w:r>
        <w:rPr/>
      </w:r>
    </w:p>
    <w:p>
      <w:pPr>
        <w:pStyle w:val="Heading1"/>
        <w:bidi w:val="0"/>
        <w:ind w:hanging="0" w:start="0"/>
        <w:jc w:val="start"/>
        <w:rPr/>
      </w:pPr>
      <w:r>
        <w:rPr/>
        <w:t>Part IV — Stock Valuation: Calculating Intrinsic Value</w:t>
      </w:r>
    </w:p>
    <w:p>
      <w:pPr>
        <w:pStyle w:val="Heading2"/>
        <w:bidi w:val="0"/>
        <w:ind w:hanging="0" w:start="0"/>
        <w:jc w:val="start"/>
        <w:rPr/>
      </w:pPr>
      <w:r>
        <w:rPr/>
        <w:t>Lesson 5 — Stock Valuation</w:t>
      </w:r>
    </w:p>
    <w:p>
      <w:pPr>
        <w:pStyle w:val="BodyText"/>
        <w:bidi w:val="0"/>
        <w:jc w:val="start"/>
        <w:rPr/>
      </w:pPr>
      <w:r>
        <w:rPr>
          <w:i/>
        </w:rPr>
        <w:t>Source videos: 36 (Introduction &amp; PEG Ratio), 37 (DCF Part 1), 38 (DCF Part 2), 39 (Discounted Net Income), 40 (Price/Book &amp; Banks), 41 (REITs &amp; Price/Sales)</w:t>
      </w:r>
    </w:p>
    <w:p>
      <w:pPr>
        <w:pStyle w:val="HorizontalLine"/>
        <w:bidi w:val="0"/>
        <w:jc w:val="start"/>
        <w:rPr/>
      </w:pPr>
      <w:r>
        <w:rPr/>
      </w:r>
    </w:p>
    <w:p>
      <w:pPr>
        <w:pStyle w:val="Heading3"/>
        <w:bidi w:val="0"/>
        <w:ind w:hanging="0" w:start="0"/>
        <w:jc w:val="start"/>
        <w:rPr/>
      </w:pPr>
      <w:r>
        <w:rPr/>
        <w:t>1. Why Valuation Matters</w:t>
      </w:r>
    </w:p>
    <w:p>
      <w:pPr>
        <w:pStyle w:val="Heading4"/>
        <w:bidi w:val="0"/>
        <w:ind w:hanging="0" w:start="0"/>
        <w:jc w:val="start"/>
        <w:rPr/>
      </w:pPr>
      <w:r>
        <w:rPr/>
        <w:t>1.1 The core premise</w:t>
      </w:r>
    </w:p>
    <w:p>
      <w:pPr>
        <w:pStyle w:val="BodyText"/>
        <w:numPr>
          <w:ilvl w:val="0"/>
          <w:numId w:val="221"/>
        </w:numPr>
        <w:tabs>
          <w:tab w:val="clear" w:pos="709"/>
          <w:tab w:val="left" w:pos="709" w:leader="none"/>
        </w:tabs>
        <w:bidi w:val="0"/>
        <w:ind w:hanging="283" w:start="709"/>
        <w:jc w:val="start"/>
        <w:rPr/>
      </w:pPr>
      <w:r>
        <w:rPr/>
        <w:t xml:space="preserve">Previous lessons taught how to identify a </w:t>
      </w:r>
      <w:r>
        <w:rPr>
          <w:b/>
        </w:rPr>
        <w:t>great business</w:t>
      </w:r>
      <w:r>
        <w:rPr/>
        <w:t xml:space="preserve">. This lesson teaches how to know whether the </w:t>
      </w:r>
      <w:r>
        <w:rPr>
          <w:b/>
        </w:rPr>
        <w:t>shares</w:t>
      </w:r>
      <w:r>
        <w:rPr/>
        <w:t xml:space="preserve"> of that business are expensive or cheap.</w:t>
      </w:r>
    </w:p>
    <w:p>
      <w:pPr>
        <w:pStyle w:val="BodyText"/>
        <w:numPr>
          <w:ilvl w:val="0"/>
          <w:numId w:val="221"/>
        </w:numPr>
        <w:tabs>
          <w:tab w:val="clear" w:pos="709"/>
          <w:tab w:val="left" w:pos="709" w:leader="none"/>
        </w:tabs>
        <w:bidi w:val="0"/>
        <w:ind w:hanging="283" w:start="709"/>
        <w:jc w:val="start"/>
        <w:rPr/>
      </w:pPr>
      <w:r>
        <w:rPr/>
        <w:t xml:space="preserve">A great business can be a lousy investment if you pay too high a price. A great business becomes an </w:t>
      </w:r>
      <w:r>
        <w:rPr>
          <w:b/>
        </w:rPr>
        <w:t>excellent investment only when bought below intrinsic value</w:t>
      </w:r>
      <w:r>
        <w:rPr/>
        <w:t>.</w:t>
      </w:r>
    </w:p>
    <w:p>
      <w:pPr>
        <w:pStyle w:val="BodyText"/>
        <w:numPr>
          <w:ilvl w:val="0"/>
          <w:numId w:val="221"/>
        </w:numPr>
        <w:tabs>
          <w:tab w:val="clear" w:pos="709"/>
          <w:tab w:val="left" w:pos="709" w:leader="none"/>
        </w:tabs>
        <w:bidi w:val="0"/>
        <w:spacing w:before="0" w:after="0"/>
        <w:ind w:hanging="283" w:start="709"/>
        <w:jc w:val="start"/>
        <w:rPr/>
      </w:pPr>
      <w:r>
        <w:rPr>
          <w:b/>
        </w:rPr>
        <w:t>Property analogy:</w:t>
      </w:r>
    </w:p>
    <w:p>
      <w:pPr>
        <w:pStyle w:val="BodyText"/>
        <w:numPr>
          <w:ilvl w:val="1"/>
          <w:numId w:val="221"/>
        </w:numPr>
        <w:tabs>
          <w:tab w:val="clear" w:pos="709"/>
          <w:tab w:val="left" w:pos="1418" w:leader="none"/>
        </w:tabs>
        <w:bidi w:val="0"/>
        <w:ind w:hanging="283" w:start="1418"/>
        <w:jc w:val="start"/>
        <w:rPr/>
      </w:pPr>
      <w:r>
        <w:rPr/>
        <w:t>Great apartment, bank values it at $1,000,000, seller asks $2,000,000. If you pay $2M for a $1M asset, it is very hard to make money on resale unless you wait many years.</w:t>
      </w:r>
    </w:p>
    <w:p>
      <w:pPr>
        <w:pStyle w:val="BodyText"/>
        <w:numPr>
          <w:ilvl w:val="1"/>
          <w:numId w:val="221"/>
        </w:numPr>
        <w:tabs>
          <w:tab w:val="clear" w:pos="709"/>
          <w:tab w:val="left" w:pos="1418" w:leader="none"/>
        </w:tabs>
        <w:bidi w:val="0"/>
        <w:ind w:hanging="283" w:start="1418"/>
        <w:jc w:val="start"/>
        <w:rPr/>
      </w:pPr>
      <w:r>
        <w:rPr/>
        <w:t>If the seller is desperate and you buy at $800,000 — 20% below valuation — that is a big deal.</w:t>
      </w:r>
    </w:p>
    <w:p>
      <w:pPr>
        <w:pStyle w:val="BodyText"/>
        <w:numPr>
          <w:ilvl w:val="1"/>
          <w:numId w:val="221"/>
        </w:numPr>
        <w:tabs>
          <w:tab w:val="clear" w:pos="709"/>
          <w:tab w:val="left" w:pos="1418" w:leader="none"/>
        </w:tabs>
        <w:bidi w:val="0"/>
        <w:ind w:hanging="283" w:start="1418"/>
        <w:jc w:val="start"/>
        <w:rPr/>
      </w:pPr>
      <w:r>
        <w:rPr/>
        <w:t xml:space="preserve">In the stock market </w:t>
      </w:r>
      <w:r>
        <w:rPr>
          <w:b/>
        </w:rPr>
        <w:t>no bank does the valuation for you</w:t>
      </w:r>
      <w:r>
        <w:rPr/>
        <w:t>. You must do your own.</w:t>
      </w:r>
    </w:p>
    <w:p>
      <w:pPr>
        <w:pStyle w:val="Heading4"/>
        <w:numPr>
          <w:ilvl w:val="0"/>
          <w:numId w:val="0"/>
        </w:numPr>
        <w:bidi w:val="0"/>
        <w:ind w:hanging="0" w:start="0"/>
        <w:jc w:val="start"/>
        <w:rPr/>
      </w:pPr>
      <w:r>
        <w:rPr/>
        <w:t>1.2 Buffett's priority ordering</w:t>
      </w:r>
    </w:p>
    <w:p>
      <w:pPr>
        <w:pStyle w:val="BodyText"/>
        <w:numPr>
          <w:ilvl w:val="0"/>
          <w:numId w:val="222"/>
        </w:numPr>
        <w:tabs>
          <w:tab w:val="clear" w:pos="709"/>
          <w:tab w:val="left" w:pos="709" w:leader="none"/>
        </w:tabs>
        <w:bidi w:val="0"/>
        <w:ind w:hanging="283" w:start="709"/>
        <w:jc w:val="start"/>
        <w:rPr/>
      </w:pPr>
      <w:r>
        <w:rPr/>
        <w:t>Buffett: it is far better to buy a wonderful company at a fair price than a fair company at a wonderful price.</w:t>
      </w:r>
    </w:p>
    <w:p>
      <w:pPr>
        <w:pStyle w:val="BodyText"/>
        <w:numPr>
          <w:ilvl w:val="0"/>
          <w:numId w:val="222"/>
        </w:numPr>
        <w:tabs>
          <w:tab w:val="clear" w:pos="709"/>
          <w:tab w:val="left" w:pos="709" w:leader="none"/>
        </w:tabs>
        <w:bidi w:val="0"/>
        <w:ind w:hanging="283" w:start="709"/>
        <w:jc w:val="start"/>
        <w:rPr/>
      </w:pPr>
      <w:r>
        <w:rPr/>
        <w:t xml:space="preserve">Adam's restatement: </w:t>
      </w:r>
      <w:r>
        <w:rPr>
          <w:b/>
        </w:rPr>
        <w:t>"cheap crap is still crap."</w:t>
      </w:r>
      <w:r>
        <w:rPr/>
        <w:t xml:space="preserve"> Only buy an excellent business when it is cheap.</w:t>
      </w:r>
    </w:p>
    <w:p>
      <w:pPr>
        <w:pStyle w:val="BodyText"/>
        <w:numPr>
          <w:ilvl w:val="0"/>
          <w:numId w:val="222"/>
        </w:numPr>
        <w:tabs>
          <w:tab w:val="clear" w:pos="709"/>
          <w:tab w:val="left" w:pos="709" w:leader="none"/>
        </w:tabs>
        <w:bidi w:val="0"/>
        <w:ind w:hanging="283" w:start="709"/>
        <w:jc w:val="start"/>
        <w:rPr/>
      </w:pPr>
      <w:r>
        <w:rPr>
          <w:b/>
        </w:rPr>
        <w:t>Priority: great business FIRST, valuation SECOND.</w:t>
      </w:r>
      <w:r>
        <w:rPr/>
        <w:t xml:space="preserve"> But valuation is still essential.</w:t>
      </w:r>
    </w:p>
    <w:p>
      <w:pPr>
        <w:pStyle w:val="BodyText"/>
        <w:numPr>
          <w:ilvl w:val="0"/>
          <w:numId w:val="222"/>
        </w:numPr>
        <w:tabs>
          <w:tab w:val="clear" w:pos="709"/>
          <w:tab w:val="left" w:pos="709" w:leader="none"/>
        </w:tabs>
        <w:bidi w:val="0"/>
        <w:ind w:hanging="283" w:start="709"/>
        <w:jc w:val="start"/>
        <w:rPr/>
      </w:pPr>
      <w:r>
        <w:rPr/>
        <w:t>Better to buy an excellent business that is slightly cheap than a mediocre business that is very, very cheap.</w:t>
      </w:r>
    </w:p>
    <w:p>
      <w:pPr>
        <w:pStyle w:val="Heading4"/>
        <w:numPr>
          <w:ilvl w:val="0"/>
          <w:numId w:val="0"/>
        </w:numPr>
        <w:bidi w:val="0"/>
        <w:ind w:hanging="0" w:start="0"/>
        <w:jc w:val="start"/>
        <w:rPr/>
      </w:pPr>
      <w:r>
        <w:rPr/>
        <w:t>1.3 Two things that tell you NOTHING about value</w:t>
      </w:r>
    </w:p>
    <w:p>
      <w:pPr>
        <w:pStyle w:val="BodyText"/>
        <w:numPr>
          <w:ilvl w:val="0"/>
          <w:numId w:val="223"/>
        </w:numPr>
        <w:tabs>
          <w:tab w:val="clear" w:pos="709"/>
          <w:tab w:val="left" w:pos="709" w:leader="none"/>
        </w:tabs>
        <w:bidi w:val="0"/>
        <w:spacing w:before="0" w:after="0"/>
        <w:ind w:hanging="283" w:start="709"/>
        <w:jc w:val="start"/>
        <w:rPr/>
      </w:pPr>
      <w:r>
        <w:rPr>
          <w:b/>
        </w:rPr>
        <w:t>Absolute share price.</w:t>
      </w:r>
    </w:p>
    <w:p>
      <w:pPr>
        <w:pStyle w:val="BodyText"/>
        <w:numPr>
          <w:ilvl w:val="1"/>
          <w:numId w:val="223"/>
        </w:numPr>
        <w:tabs>
          <w:tab w:val="clear" w:pos="709"/>
          <w:tab w:val="left" w:pos="1418" w:leader="none"/>
        </w:tabs>
        <w:bidi w:val="0"/>
        <w:ind w:hanging="283" w:start="1418"/>
        <w:jc w:val="start"/>
        <w:rPr/>
      </w:pPr>
      <w:r>
        <w:rPr/>
        <w:t>A $1,000 stock is cheap if intrinsic value &gt; $1,000.</w:t>
      </w:r>
    </w:p>
    <w:p>
      <w:pPr>
        <w:pStyle w:val="BodyText"/>
        <w:numPr>
          <w:ilvl w:val="1"/>
          <w:numId w:val="223"/>
        </w:numPr>
        <w:tabs>
          <w:tab w:val="clear" w:pos="709"/>
          <w:tab w:val="left" w:pos="1418" w:leader="none"/>
        </w:tabs>
        <w:bidi w:val="0"/>
        <w:ind w:hanging="283" w:start="1418"/>
        <w:jc w:val="start"/>
        <w:rPr/>
      </w:pPr>
      <w:r>
        <w:rPr/>
        <w:t>A $5 stock is expensive if intrinsic value is only $1.</w:t>
      </w:r>
    </w:p>
    <w:p>
      <w:pPr>
        <w:pStyle w:val="BodyText"/>
        <w:numPr>
          <w:ilvl w:val="0"/>
          <w:numId w:val="223"/>
        </w:numPr>
        <w:tabs>
          <w:tab w:val="clear" w:pos="709"/>
          <w:tab w:val="left" w:pos="709" w:leader="none"/>
        </w:tabs>
        <w:bidi w:val="0"/>
        <w:spacing w:before="0" w:after="0"/>
        <w:ind w:hanging="283" w:start="709"/>
        <w:jc w:val="start"/>
        <w:rPr/>
      </w:pPr>
      <w:r>
        <w:rPr>
          <w:b/>
        </w:rPr>
        <w:t>How far the price has moved recently.</w:t>
      </w:r>
    </w:p>
    <w:p>
      <w:pPr>
        <w:pStyle w:val="BodyText"/>
        <w:numPr>
          <w:ilvl w:val="1"/>
          <w:numId w:val="223"/>
        </w:numPr>
        <w:tabs>
          <w:tab w:val="clear" w:pos="709"/>
          <w:tab w:val="left" w:pos="1418" w:leader="none"/>
        </w:tabs>
        <w:bidi w:val="0"/>
        <w:ind w:hanging="283" w:start="1418"/>
        <w:jc w:val="start"/>
        <w:rPr/>
      </w:pPr>
      <w:r>
        <w:rPr/>
        <w:t xml:space="preserve">NVIDIA: up </w:t>
      </w:r>
      <w:r>
        <w:rPr>
          <w:b/>
        </w:rPr>
        <w:t>120%</w:t>
      </w:r>
      <w:r>
        <w:rPr/>
        <w:t xml:space="preserve"> over the last year, yet on calculation it is </w:t>
      </w:r>
      <w:r>
        <w:rPr>
          <w:b/>
        </w:rPr>
        <w:t>still not expensive — fairly priced</w:t>
      </w:r>
      <w:r>
        <w:rPr/>
        <w:t>.</w:t>
      </w:r>
    </w:p>
    <w:p>
      <w:pPr>
        <w:pStyle w:val="BodyText"/>
        <w:numPr>
          <w:ilvl w:val="1"/>
          <w:numId w:val="223"/>
        </w:numPr>
        <w:tabs>
          <w:tab w:val="clear" w:pos="709"/>
          <w:tab w:val="left" w:pos="1418" w:leader="none"/>
        </w:tabs>
        <w:bidi w:val="0"/>
        <w:ind w:hanging="283" w:start="1418"/>
        <w:jc w:val="start"/>
        <w:rPr/>
      </w:pPr>
      <w:r>
        <w:rPr/>
        <w:t xml:space="preserve">AMD (NVIDIA's competitor): </w:t>
      </w:r>
      <w:r>
        <w:rPr>
          <w:b/>
        </w:rPr>
        <w:t>fell 50%</w:t>
      </w:r>
      <w:r>
        <w:rPr/>
        <w:t xml:space="preserve"> over the last year and is </w:t>
      </w:r>
      <w:r>
        <w:rPr>
          <w:b/>
        </w:rPr>
        <w:t>still expensive — still above intrinsic value</w:t>
      </w:r>
      <w:r>
        <w:rPr/>
        <w:t>.</w:t>
      </w:r>
    </w:p>
    <w:p>
      <w:pPr>
        <w:pStyle w:val="BodyText"/>
        <w:numPr>
          <w:ilvl w:val="1"/>
          <w:numId w:val="223"/>
        </w:numPr>
        <w:tabs>
          <w:tab w:val="clear" w:pos="709"/>
          <w:tab w:val="left" w:pos="1418" w:leader="none"/>
        </w:tabs>
        <w:bidi w:val="0"/>
        <w:ind w:hanging="283" w:start="1418"/>
        <w:jc w:val="start"/>
        <w:rPr/>
      </w:pPr>
      <w:r>
        <w:rPr/>
        <w:t>What matters is only: intrinsic value today vs. share price today.</w:t>
      </w:r>
    </w:p>
    <w:p>
      <w:pPr>
        <w:pStyle w:val="Heading4"/>
        <w:numPr>
          <w:ilvl w:val="0"/>
          <w:numId w:val="0"/>
        </w:numPr>
        <w:bidi w:val="0"/>
        <w:ind w:hanging="0" w:start="0"/>
        <w:jc w:val="start"/>
        <w:rPr/>
      </w:pPr>
      <w:r>
        <w:rPr/>
        <w:t>1.4 What drives value</w:t>
      </w:r>
    </w:p>
    <w:p>
      <w:pPr>
        <w:pStyle w:val="BodyText"/>
        <w:numPr>
          <w:ilvl w:val="0"/>
          <w:numId w:val="224"/>
        </w:numPr>
        <w:tabs>
          <w:tab w:val="clear" w:pos="709"/>
          <w:tab w:val="left" w:pos="709" w:leader="none"/>
        </w:tabs>
        <w:bidi w:val="0"/>
        <w:ind w:hanging="283" w:start="709"/>
        <w:jc w:val="start"/>
        <w:rPr/>
      </w:pPr>
      <w:r>
        <w:rPr/>
        <w:t xml:space="preserve">When you buy shares you buy a piece of a business. A business is a </w:t>
      </w:r>
      <w:r>
        <w:rPr>
          <w:b/>
        </w:rPr>
        <w:t>money-making machine</w:t>
      </w:r>
      <w:r>
        <w:rPr/>
        <w:t>. The more money it makes, the more it is worth.</w:t>
      </w:r>
    </w:p>
    <w:p>
      <w:pPr>
        <w:pStyle w:val="BodyText"/>
        <w:numPr>
          <w:ilvl w:val="0"/>
          <w:numId w:val="224"/>
        </w:numPr>
        <w:tabs>
          <w:tab w:val="clear" w:pos="709"/>
          <w:tab w:val="left" w:pos="709" w:leader="none"/>
        </w:tabs>
        <w:bidi w:val="0"/>
        <w:spacing w:before="0" w:after="0"/>
        <w:ind w:hanging="283" w:start="709"/>
        <w:jc w:val="start"/>
        <w:rPr/>
      </w:pPr>
      <w:r>
        <w:rPr/>
        <w:t>How much a company makes is measured by:</w:t>
      </w:r>
    </w:p>
    <w:p>
      <w:pPr>
        <w:pStyle w:val="BodyText"/>
        <w:numPr>
          <w:ilvl w:val="1"/>
          <w:numId w:val="224"/>
        </w:numPr>
        <w:tabs>
          <w:tab w:val="clear" w:pos="709"/>
          <w:tab w:val="left" w:pos="1418" w:leader="none"/>
        </w:tabs>
        <w:bidi w:val="0"/>
        <w:ind w:hanging="283" w:start="1418"/>
        <w:jc w:val="start"/>
        <w:rPr/>
      </w:pPr>
      <w:r>
        <w:rPr/>
        <w:t>Cash flow from operations (CFO)</w:t>
      </w:r>
    </w:p>
    <w:p>
      <w:pPr>
        <w:pStyle w:val="BodyText"/>
        <w:numPr>
          <w:ilvl w:val="1"/>
          <w:numId w:val="224"/>
        </w:numPr>
        <w:tabs>
          <w:tab w:val="clear" w:pos="709"/>
          <w:tab w:val="left" w:pos="1418" w:leader="none"/>
        </w:tabs>
        <w:bidi w:val="0"/>
        <w:ind w:hanging="283" w:start="1418"/>
        <w:jc w:val="start"/>
        <w:rPr/>
      </w:pPr>
      <w:r>
        <w:rPr/>
        <w:t>Free cash flow (FCF)</w:t>
      </w:r>
    </w:p>
    <w:p>
      <w:pPr>
        <w:pStyle w:val="BodyText"/>
        <w:numPr>
          <w:ilvl w:val="1"/>
          <w:numId w:val="224"/>
        </w:numPr>
        <w:tabs>
          <w:tab w:val="clear" w:pos="709"/>
          <w:tab w:val="left" w:pos="1418" w:leader="none"/>
        </w:tabs>
        <w:bidi w:val="0"/>
        <w:ind w:hanging="283" w:start="1418"/>
        <w:jc w:val="start"/>
        <w:rPr/>
      </w:pPr>
      <w:r>
        <w:rPr/>
        <w:t>Net income</w:t>
      </w:r>
    </w:p>
    <w:p>
      <w:pPr>
        <w:pStyle w:val="HorizontalLine"/>
        <w:bidi w:val="0"/>
        <w:jc w:val="start"/>
        <w:rPr/>
      </w:pPr>
      <w:r>
        <w:rPr/>
      </w:r>
    </w:p>
    <w:p>
      <w:pPr>
        <w:pStyle w:val="Heading3"/>
        <w:bidi w:val="0"/>
        <w:ind w:hanging="0" w:start="0"/>
        <w:jc w:val="start"/>
        <w:rPr/>
      </w:pPr>
      <w:r>
        <w:rPr/>
        <w:t>2. The Five Valuation Methods — Overview</w:t>
      </w:r>
    </w:p>
    <w:tbl>
      <w:tblPr>
        <w:tblW w:w="5000" w:type="pct"/>
        <w:jc w:val="start"/>
        <w:tblInd w:w="-5" w:type="dxa"/>
        <w:tblLayout w:type="fixed"/>
        <w:tblCellMar>
          <w:top w:w="55" w:type="dxa"/>
          <w:start w:w="55" w:type="dxa"/>
          <w:bottom w:w="55" w:type="dxa"/>
          <w:end w:w="55" w:type="dxa"/>
        </w:tblCellMar>
      </w:tblPr>
      <w:tblGrid>
        <w:gridCol w:w="2409"/>
        <w:gridCol w:w="2410"/>
        <w:gridCol w:w="2409"/>
        <w:gridCol w:w="2410"/>
      </w:tblGrid>
      <w:tr>
        <w:trPr>
          <w:tblHeader w:val="true"/>
        </w:trPr>
        <w:tc>
          <w:tcPr>
            <w:tcW w:w="2409" w:type="dxa"/>
            <w:tcBorders>
              <w:top w:val="single" w:sz="4" w:space="0" w:color="000000"/>
              <w:start w:val="single" w:sz="4" w:space="0" w:color="000000"/>
              <w:bottom w:val="single" w:sz="4" w:space="0" w:color="000000"/>
            </w:tcBorders>
          </w:tcPr>
          <w:p>
            <w:pPr>
              <w:pStyle w:val="TableHeading"/>
              <w:bidi w:val="0"/>
              <w:jc w:val="start"/>
              <w:rPr/>
            </w:pPr>
            <w:r>
              <w:rPr/>
              <w:t>#</w:t>
            </w:r>
          </w:p>
        </w:tc>
        <w:tc>
          <w:tcPr>
            <w:tcW w:w="2410" w:type="dxa"/>
            <w:tcBorders>
              <w:top w:val="single" w:sz="4" w:space="0" w:color="000000"/>
              <w:start w:val="single" w:sz="4" w:space="0" w:color="000000"/>
              <w:bottom w:val="single" w:sz="4" w:space="0" w:color="000000"/>
            </w:tcBorders>
          </w:tcPr>
          <w:p>
            <w:pPr>
              <w:pStyle w:val="TableHeading"/>
              <w:bidi w:val="0"/>
              <w:jc w:val="start"/>
              <w:rPr/>
            </w:pPr>
            <w:r>
              <w:rPr/>
              <w:t>Method</w:t>
            </w:r>
          </w:p>
        </w:tc>
        <w:tc>
          <w:tcPr>
            <w:tcW w:w="2409" w:type="dxa"/>
            <w:tcBorders>
              <w:top w:val="single" w:sz="4" w:space="0" w:color="000000"/>
              <w:start w:val="single" w:sz="4" w:space="0" w:color="000000"/>
              <w:bottom w:val="single" w:sz="4" w:space="0" w:color="000000"/>
            </w:tcBorders>
          </w:tcPr>
          <w:p>
            <w:pPr>
              <w:pStyle w:val="TableHeading"/>
              <w:bidi w:val="0"/>
              <w:jc w:val="start"/>
              <w:rPr/>
            </w:pPr>
            <w:r>
              <w:rPr/>
              <w:t>When used</w:t>
            </w:r>
          </w:p>
        </w:tc>
        <w:tc>
          <w:tcPr>
            <w:tcW w:w="2410"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Key precondition</w:t>
            </w:r>
          </w:p>
        </w:tc>
      </w:tr>
      <w:tr>
        <w:trPr/>
        <w:tc>
          <w:tcPr>
            <w:tcW w:w="2409" w:type="dxa"/>
            <w:tcBorders>
              <w:start w:val="single" w:sz="4" w:space="0" w:color="000000"/>
              <w:bottom w:val="single" w:sz="4" w:space="0" w:color="000000"/>
            </w:tcBorders>
          </w:tcPr>
          <w:p>
            <w:pPr>
              <w:pStyle w:val="TableContents"/>
              <w:bidi w:val="0"/>
              <w:jc w:val="start"/>
              <w:rPr/>
            </w:pPr>
            <w:r>
              <w:rPr/>
              <w:t>1</w:t>
            </w:r>
          </w:p>
        </w:tc>
        <w:tc>
          <w:tcPr>
            <w:tcW w:w="2410" w:type="dxa"/>
            <w:tcBorders>
              <w:start w:val="single" w:sz="4" w:space="0" w:color="000000"/>
              <w:bottom w:val="single" w:sz="4" w:space="0" w:color="000000"/>
            </w:tcBorders>
          </w:tcPr>
          <w:p>
            <w:pPr>
              <w:pStyle w:val="TableContents"/>
              <w:bidi w:val="0"/>
              <w:jc w:val="start"/>
              <w:rPr/>
            </w:pPr>
            <w:r>
              <w:rPr>
                <w:b/>
              </w:rPr>
              <w:t>PEG ratio</w:t>
            </w:r>
          </w:p>
        </w:tc>
        <w:tc>
          <w:tcPr>
            <w:tcW w:w="2409" w:type="dxa"/>
            <w:tcBorders>
              <w:start w:val="single" w:sz="4" w:space="0" w:color="000000"/>
              <w:bottom w:val="single" w:sz="4" w:space="0" w:color="000000"/>
            </w:tcBorders>
          </w:tcPr>
          <w:p>
            <w:pPr>
              <w:pStyle w:val="TableContents"/>
              <w:bidi w:val="0"/>
              <w:jc w:val="start"/>
              <w:rPr/>
            </w:pPr>
            <w:r>
              <w:rPr/>
              <w:t>Quick check / stock screening only</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Earnings positive and consistently increasing</w:t>
            </w:r>
          </w:p>
        </w:tc>
      </w:tr>
      <w:tr>
        <w:trPr/>
        <w:tc>
          <w:tcPr>
            <w:tcW w:w="2409" w:type="dxa"/>
            <w:tcBorders>
              <w:start w:val="single" w:sz="4" w:space="0" w:color="000000"/>
              <w:bottom w:val="single" w:sz="4" w:space="0" w:color="000000"/>
            </w:tcBorders>
          </w:tcPr>
          <w:p>
            <w:pPr>
              <w:pStyle w:val="TableContents"/>
              <w:bidi w:val="0"/>
              <w:jc w:val="start"/>
              <w:rPr/>
            </w:pPr>
            <w:r>
              <w:rPr/>
              <w:t>2</w:t>
            </w:r>
          </w:p>
        </w:tc>
        <w:tc>
          <w:tcPr>
            <w:tcW w:w="2410" w:type="dxa"/>
            <w:tcBorders>
              <w:start w:val="single" w:sz="4" w:space="0" w:color="000000"/>
              <w:bottom w:val="single" w:sz="4" w:space="0" w:color="000000"/>
            </w:tcBorders>
          </w:tcPr>
          <w:p>
            <w:pPr>
              <w:pStyle w:val="TableContents"/>
              <w:bidi w:val="0"/>
              <w:jc w:val="start"/>
              <w:rPr/>
            </w:pPr>
            <w:r>
              <w:rPr>
                <w:b/>
              </w:rPr>
              <w:t>Discounted Cash Flow (DCF)</w:t>
            </w:r>
            <w:r>
              <w:rPr/>
              <w:t xml:space="preserve"> — Adam's default, used </w:t>
            </w:r>
            <w:r>
              <w:rPr>
                <w:b/>
              </w:rPr>
              <w:t>90% of the time</w:t>
            </w:r>
          </w:p>
        </w:tc>
        <w:tc>
          <w:tcPr>
            <w:tcW w:w="2409" w:type="dxa"/>
            <w:tcBorders>
              <w:start w:val="single" w:sz="4" w:space="0" w:color="000000"/>
              <w:bottom w:val="single" w:sz="4" w:space="0" w:color="000000"/>
            </w:tcBorders>
          </w:tcPr>
          <w:p>
            <w:pPr>
              <w:pStyle w:val="TableContents"/>
              <w:bidi w:val="0"/>
              <w:jc w:val="start"/>
              <w:rPr/>
            </w:pPr>
            <w:r>
              <w:rPr/>
              <w:t>Most companies; most comprehensive &amp; accurate</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CFO consistently increasing; FCF positive</w:t>
            </w:r>
          </w:p>
        </w:tc>
      </w:tr>
      <w:tr>
        <w:trPr/>
        <w:tc>
          <w:tcPr>
            <w:tcW w:w="2409" w:type="dxa"/>
            <w:tcBorders>
              <w:start w:val="single" w:sz="4" w:space="0" w:color="000000"/>
              <w:bottom w:val="single" w:sz="4" w:space="0" w:color="000000"/>
            </w:tcBorders>
          </w:tcPr>
          <w:p>
            <w:pPr>
              <w:pStyle w:val="TableContents"/>
              <w:bidi w:val="0"/>
              <w:jc w:val="start"/>
              <w:rPr/>
            </w:pPr>
            <w:r>
              <w:rPr/>
              <w:t>3</w:t>
            </w:r>
          </w:p>
        </w:tc>
        <w:tc>
          <w:tcPr>
            <w:tcW w:w="2410" w:type="dxa"/>
            <w:tcBorders>
              <w:start w:val="single" w:sz="4" w:space="0" w:color="000000"/>
              <w:bottom w:val="single" w:sz="4" w:space="0" w:color="000000"/>
            </w:tcBorders>
          </w:tcPr>
          <w:p>
            <w:pPr>
              <w:pStyle w:val="TableContents"/>
              <w:bidi w:val="0"/>
              <w:jc w:val="start"/>
              <w:rPr/>
            </w:pPr>
            <w:r>
              <w:rPr>
                <w:b/>
              </w:rPr>
              <w:t>Discounted Net Income</w:t>
            </w:r>
          </w:p>
        </w:tc>
        <w:tc>
          <w:tcPr>
            <w:tcW w:w="2409" w:type="dxa"/>
            <w:tcBorders>
              <w:start w:val="single" w:sz="4" w:space="0" w:color="000000"/>
              <w:bottom w:val="single" w:sz="4" w:space="0" w:color="000000"/>
            </w:tcBorders>
          </w:tcPr>
          <w:p>
            <w:pPr>
              <w:pStyle w:val="TableContents"/>
              <w:bidi w:val="0"/>
              <w:jc w:val="start"/>
              <w:rPr/>
            </w:pPr>
            <w:r>
              <w:rPr/>
              <w:t>Companies whose business model makes cash flow inconsistent/negative (finance, insurance, brokers, asset managers)</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Net income consistently increasing</w:t>
            </w:r>
          </w:p>
        </w:tc>
      </w:tr>
      <w:tr>
        <w:trPr/>
        <w:tc>
          <w:tcPr>
            <w:tcW w:w="2409" w:type="dxa"/>
            <w:tcBorders>
              <w:start w:val="single" w:sz="4" w:space="0" w:color="000000"/>
              <w:bottom w:val="single" w:sz="4" w:space="0" w:color="000000"/>
            </w:tcBorders>
          </w:tcPr>
          <w:p>
            <w:pPr>
              <w:pStyle w:val="TableContents"/>
              <w:bidi w:val="0"/>
              <w:jc w:val="start"/>
              <w:rPr/>
            </w:pPr>
            <w:r>
              <w:rPr/>
              <w:t>4</w:t>
            </w:r>
          </w:p>
        </w:tc>
        <w:tc>
          <w:tcPr>
            <w:tcW w:w="2410" w:type="dxa"/>
            <w:tcBorders>
              <w:start w:val="single" w:sz="4" w:space="0" w:color="000000"/>
              <w:bottom w:val="single" w:sz="4" w:space="0" w:color="000000"/>
            </w:tcBorders>
          </w:tcPr>
          <w:p>
            <w:pPr>
              <w:pStyle w:val="TableContents"/>
              <w:bidi w:val="0"/>
              <w:jc w:val="start"/>
              <w:rPr/>
            </w:pPr>
            <w:r>
              <w:rPr>
                <w:b/>
              </w:rPr>
              <w:t>Price to Book (P/B)</w:t>
            </w:r>
          </w:p>
        </w:tc>
        <w:tc>
          <w:tcPr>
            <w:tcW w:w="2409" w:type="dxa"/>
            <w:tcBorders>
              <w:start w:val="single" w:sz="4" w:space="0" w:color="000000"/>
              <w:bottom w:val="single" w:sz="4" w:space="0" w:color="000000"/>
            </w:tcBorders>
          </w:tcPr>
          <w:p>
            <w:pPr>
              <w:pStyle w:val="TableContents"/>
              <w:bidi w:val="0"/>
              <w:jc w:val="start"/>
              <w:rPr/>
            </w:pPr>
            <w:r>
              <w:rPr/>
              <w:t>Banks; REITs; property developers; loss-making / distressed / near-bankrupt companies</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Meaningful balance sheet / book value</w:t>
            </w:r>
          </w:p>
        </w:tc>
      </w:tr>
      <w:tr>
        <w:trPr/>
        <w:tc>
          <w:tcPr>
            <w:tcW w:w="2409" w:type="dxa"/>
            <w:tcBorders>
              <w:start w:val="single" w:sz="4" w:space="0" w:color="000000"/>
              <w:bottom w:val="single" w:sz="4" w:space="0" w:color="000000"/>
            </w:tcBorders>
          </w:tcPr>
          <w:p>
            <w:pPr>
              <w:pStyle w:val="TableContents"/>
              <w:bidi w:val="0"/>
              <w:jc w:val="start"/>
              <w:rPr/>
            </w:pPr>
            <w:r>
              <w:rPr/>
              <w:t>5</w:t>
            </w:r>
          </w:p>
        </w:tc>
        <w:tc>
          <w:tcPr>
            <w:tcW w:w="2410" w:type="dxa"/>
            <w:tcBorders>
              <w:start w:val="single" w:sz="4" w:space="0" w:color="000000"/>
              <w:bottom w:val="single" w:sz="4" w:space="0" w:color="000000"/>
            </w:tcBorders>
          </w:tcPr>
          <w:p>
            <w:pPr>
              <w:pStyle w:val="TableContents"/>
              <w:bidi w:val="0"/>
              <w:jc w:val="start"/>
              <w:rPr/>
            </w:pPr>
            <w:r>
              <w:rPr>
                <w:b/>
              </w:rPr>
              <w:t>Price to Sales (P/S)</w:t>
            </w:r>
            <w:r>
              <w:rPr/>
              <w:t xml:space="preserve"> and </w:t>
            </w:r>
            <w:r>
              <w:rPr>
                <w:b/>
              </w:rPr>
              <w:t>Price to Sales Growth (PSG)</w:t>
            </w:r>
          </w:p>
        </w:tc>
        <w:tc>
          <w:tcPr>
            <w:tcW w:w="2409" w:type="dxa"/>
            <w:tcBorders>
              <w:start w:val="single" w:sz="4" w:space="0" w:color="000000"/>
              <w:bottom w:val="single" w:sz="4" w:space="0" w:color="000000"/>
            </w:tcBorders>
          </w:tcPr>
          <w:p>
            <w:pPr>
              <w:pStyle w:val="TableContents"/>
              <w:bidi w:val="0"/>
              <w:jc w:val="start"/>
              <w:rPr/>
            </w:pPr>
            <w:r>
              <w:rPr/>
              <w:t>Revenue growing but not yet profitable; highly cyclical companies with inconsistent profits</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Revenue is measurable and meaningful</w:t>
            </w:r>
          </w:p>
        </w:tc>
      </w:tr>
    </w:tbl>
    <w:p>
      <w:pPr>
        <w:pStyle w:val="BodyText"/>
        <w:bidi w:val="0"/>
        <w:jc w:val="start"/>
        <w:rPr/>
      </w:pPr>
      <w:r>
        <w:rPr/>
      </w:r>
    </w:p>
    <w:p>
      <w:pPr>
        <w:pStyle w:val="BodyText"/>
        <w:numPr>
          <w:ilvl w:val="0"/>
          <w:numId w:val="225"/>
        </w:numPr>
        <w:tabs>
          <w:tab w:val="clear" w:pos="709"/>
          <w:tab w:val="left" w:pos="709" w:leader="none"/>
        </w:tabs>
        <w:bidi w:val="0"/>
        <w:ind w:hanging="283" w:start="709"/>
        <w:jc w:val="start"/>
        <w:rPr/>
      </w:pPr>
      <w:r>
        <w:rPr/>
        <w:t xml:space="preserve">Why DCF is the default: a business is a money-making machine, and the best measure of how much it makes is the </w:t>
      </w:r>
      <w:r>
        <w:rPr>
          <w:b/>
        </w:rPr>
        <w:t>cash it generates for shareholders</w:t>
      </w:r>
      <w:r>
        <w:rPr/>
        <w:t xml:space="preserve">. Value of a business = </w:t>
      </w:r>
      <w:r>
        <w:rPr>
          <w:b/>
        </w:rPr>
        <w:t>present value of all expected future cash flows</w:t>
      </w:r>
      <w:r>
        <w:rPr/>
        <w:t xml:space="preserve">. Adam projects </w:t>
      </w:r>
      <w:r>
        <w:rPr>
          <w:b/>
        </w:rPr>
        <w:t>20 years</w:t>
      </w:r>
      <w:r>
        <w:rPr/>
        <w:t xml:space="preserve"> and discounts to present value.</w:t>
      </w:r>
    </w:p>
    <w:p>
      <w:pPr>
        <w:pStyle w:val="BodyText"/>
        <w:numPr>
          <w:ilvl w:val="0"/>
          <w:numId w:val="225"/>
        </w:numPr>
        <w:tabs>
          <w:tab w:val="clear" w:pos="709"/>
          <w:tab w:val="left" w:pos="709" w:leader="none"/>
        </w:tabs>
        <w:bidi w:val="0"/>
        <w:ind w:hanging="283" w:start="709"/>
        <w:jc w:val="start"/>
        <w:rPr/>
      </w:pPr>
      <w:r>
        <w:rPr/>
        <w:t xml:space="preserve">Why net income is second-best: net income is an </w:t>
      </w:r>
      <w:r>
        <w:rPr>
          <w:b/>
        </w:rPr>
        <w:t>accounting entry that can be manipulated/distorted</w:t>
      </w:r>
      <w:r>
        <w:rPr/>
        <w:t xml:space="preserve"> by non-operating income and expenses. Cash is more real than accounting profits.</w:t>
      </w:r>
    </w:p>
    <w:p>
      <w:pPr>
        <w:pStyle w:val="Heading4"/>
        <w:numPr>
          <w:ilvl w:val="0"/>
          <w:numId w:val="0"/>
        </w:numPr>
        <w:bidi w:val="0"/>
        <w:ind w:hanging="0" w:start="0"/>
        <w:jc w:val="start"/>
        <w:rPr/>
      </w:pPr>
      <w:r>
        <w:rPr/>
        <w:t>2.1 Tools mentioned</w:t>
      </w:r>
    </w:p>
    <w:p>
      <w:pPr>
        <w:pStyle w:val="BodyText"/>
        <w:numPr>
          <w:ilvl w:val="0"/>
          <w:numId w:val="226"/>
        </w:numPr>
        <w:tabs>
          <w:tab w:val="clear" w:pos="709"/>
          <w:tab w:val="left" w:pos="709" w:leader="none"/>
        </w:tabs>
        <w:bidi w:val="0"/>
        <w:spacing w:before="0" w:after="0"/>
        <w:ind w:hanging="283" w:start="709"/>
        <w:jc w:val="start"/>
        <w:rPr/>
      </w:pPr>
      <w:r>
        <w:rPr>
          <w:b/>
        </w:rPr>
        <w:t>Intrinsic Value Calculator (Excel template)</w:t>
      </w:r>
      <w:r>
        <w:rPr/>
        <w:t xml:space="preserve"> — download under </w:t>
      </w:r>
      <w:r>
        <w:rPr>
          <w:b/>
        </w:rPr>
        <w:t>Lesson 5 → Course Notes and Resources</w:t>
      </w:r>
      <w:r>
        <w:rPr/>
        <w:t xml:space="preserve">, scroll to the bottom. Once opened, the </w:t>
      </w:r>
      <w:r>
        <w:rPr>
          <w:b/>
        </w:rPr>
        <w:t>tabs at the bottom</w:t>
      </w:r>
      <w:r>
        <w:rPr/>
        <w:t xml:space="preserve"> hold a separate calculator for each method (discounted FCF, discounted CFO, discounted net income, price-to-book, etc.).</w:t>
      </w:r>
    </w:p>
    <w:p>
      <w:pPr>
        <w:pStyle w:val="BodyText"/>
        <w:numPr>
          <w:ilvl w:val="1"/>
          <w:numId w:val="226"/>
        </w:numPr>
        <w:tabs>
          <w:tab w:val="clear" w:pos="709"/>
          <w:tab w:val="left" w:pos="1418" w:leader="none"/>
        </w:tabs>
        <w:bidi w:val="0"/>
        <w:ind w:hanging="283" w:start="1418"/>
        <w:jc w:val="start"/>
        <w:rPr/>
      </w:pPr>
      <w:r>
        <w:rPr>
          <w:b/>
        </w:rPr>
        <w:t>Only key into the WHITE boxes.</w:t>
      </w:r>
      <w:r>
        <w:rPr/>
        <w:t xml:space="preserve"> Coloured boxes contain the formulas — editing them breaks the calculator.</w:t>
      </w:r>
    </w:p>
    <w:p>
      <w:pPr>
        <w:pStyle w:val="BodyText"/>
        <w:numPr>
          <w:ilvl w:val="1"/>
          <w:numId w:val="226"/>
        </w:numPr>
        <w:tabs>
          <w:tab w:val="clear" w:pos="709"/>
          <w:tab w:val="left" w:pos="1418" w:leader="none"/>
        </w:tabs>
        <w:bidi w:val="0"/>
        <w:ind w:hanging="283" w:start="1418"/>
        <w:jc w:val="start"/>
        <w:rPr/>
      </w:pPr>
      <w:r>
        <w:rPr/>
        <w:t xml:space="preserve">The discount-rate table inside the calculator is </w:t>
      </w:r>
      <w:r>
        <w:rPr>
          <w:b/>
        </w:rPr>
        <w:t>updated every year</w:t>
      </w:r>
      <w:r>
        <w:rPr/>
        <w:t xml:space="preserve"> and re-sent to students; a link inside the calculator points to the source where you can compute the risk-free rate and average market risk premium yourself.</w:t>
      </w:r>
    </w:p>
    <w:p>
      <w:pPr>
        <w:pStyle w:val="BodyText"/>
        <w:numPr>
          <w:ilvl w:val="0"/>
          <w:numId w:val="226"/>
        </w:numPr>
        <w:tabs>
          <w:tab w:val="clear" w:pos="709"/>
          <w:tab w:val="left" w:pos="709" w:leader="none"/>
        </w:tabs>
        <w:bidi w:val="0"/>
        <w:spacing w:before="0" w:after="0"/>
        <w:ind w:hanging="283" w:start="709"/>
        <w:jc w:val="start"/>
        <w:rPr/>
      </w:pPr>
      <w:r>
        <w:rPr>
          <w:b/>
        </w:rPr>
        <w:t>StockOracle (Pro subscription)</w:t>
      </w:r>
      <w:r>
        <w:rPr/>
        <w:t xml:space="preserve"> — auto-calculates intrinsic value under the </w:t>
      </w:r>
      <w:r>
        <w:rPr>
          <w:b/>
        </w:rPr>
        <w:t>Intrinsic Value</w:t>
      </w:r>
      <w:r>
        <w:rPr/>
        <w:t xml:space="preserve"> tab, showing each method side by side, then an algorithm picks the most appropriate one and displays it as the </w:t>
      </w:r>
      <w:r>
        <w:rPr>
          <w:b/>
        </w:rPr>
        <w:t>"Oracle Value."</w:t>
      </w:r>
      <w:r>
        <w:rPr/>
        <w:t xml:space="preserve"> Pro also has a </w:t>
      </w:r>
      <w:r>
        <w:rPr>
          <w:b/>
        </w:rPr>
        <w:t>built-in intrinsic value calculator</w:t>
      </w:r>
      <w:r>
        <w:rPr/>
        <w:t xml:space="preserve"> with all inputs pre-pulled from the balance sheet and cash-flow statement, which you can override with your own assumptions.</w:t>
      </w:r>
    </w:p>
    <w:p>
      <w:pPr>
        <w:pStyle w:val="BodyText"/>
        <w:numPr>
          <w:ilvl w:val="1"/>
          <w:numId w:val="226"/>
        </w:numPr>
        <w:tabs>
          <w:tab w:val="clear" w:pos="709"/>
          <w:tab w:val="left" w:pos="1418" w:leader="none"/>
        </w:tabs>
        <w:bidi w:val="0"/>
        <w:ind w:hanging="283" w:start="1418"/>
        <w:jc w:val="start"/>
        <w:rPr/>
      </w:pPr>
      <w:r>
        <w:rPr/>
        <w:t xml:space="preserve">Data provider for growth estimates: </w:t>
      </w:r>
      <w:r>
        <w:rPr>
          <w:b/>
        </w:rPr>
        <w:t>FactSet</w:t>
      </w:r>
      <w:r>
        <w:rPr/>
        <w:t>.</w:t>
      </w:r>
    </w:p>
    <w:p>
      <w:pPr>
        <w:pStyle w:val="BodyText"/>
        <w:numPr>
          <w:ilvl w:val="1"/>
          <w:numId w:val="226"/>
        </w:numPr>
        <w:tabs>
          <w:tab w:val="clear" w:pos="709"/>
          <w:tab w:val="left" w:pos="1418" w:leader="none"/>
        </w:tabs>
        <w:bidi w:val="0"/>
        <w:ind w:hanging="283" w:start="1418"/>
        <w:jc w:val="start"/>
        <w:rPr/>
      </w:pPr>
      <w:r>
        <w:rPr/>
        <w:t xml:space="preserve">Currently </w:t>
      </w:r>
      <w:r>
        <w:rPr>
          <w:b/>
        </w:rPr>
        <w:t>US-listed stocks only</w:t>
      </w:r>
      <w:r>
        <w:rPr/>
        <w:t xml:space="preserve">; Singapore and Hong Kong listings expected </w:t>
      </w:r>
      <w:r>
        <w:rPr>
          <w:b/>
        </w:rPr>
        <w:t>by end of 2026</w:t>
      </w:r>
      <w:r>
        <w:rPr/>
        <w:t>.</w:t>
      </w:r>
    </w:p>
    <w:p>
      <w:pPr>
        <w:pStyle w:val="BodyText"/>
        <w:numPr>
          <w:ilvl w:val="1"/>
          <w:numId w:val="226"/>
        </w:numPr>
        <w:tabs>
          <w:tab w:val="clear" w:pos="709"/>
          <w:tab w:val="left" w:pos="1418" w:leader="none"/>
        </w:tabs>
        <w:bidi w:val="0"/>
        <w:ind w:hanging="283" w:start="1418"/>
        <w:jc w:val="start"/>
        <w:rPr/>
      </w:pPr>
      <w:r>
        <w:rPr/>
        <w:t>Free StockOracle account is enough to read the financial statements.</w:t>
      </w:r>
    </w:p>
    <w:p>
      <w:pPr>
        <w:pStyle w:val="BodyText"/>
        <w:numPr>
          <w:ilvl w:val="0"/>
          <w:numId w:val="226"/>
        </w:numPr>
        <w:tabs>
          <w:tab w:val="clear" w:pos="709"/>
          <w:tab w:val="left" w:pos="709" w:leader="none"/>
        </w:tabs>
        <w:bidi w:val="0"/>
        <w:ind w:hanging="283" w:start="709"/>
        <w:jc w:val="start"/>
        <w:rPr/>
      </w:pPr>
      <w:r>
        <w:rPr>
          <w:b/>
        </w:rPr>
        <w:t>FinViz</w:t>
      </w:r>
      <w:r>
        <w:rPr/>
        <w:t xml:space="preserve"> — PE, PEG, EPS growth next 5 years, plus a </w:t>
      </w:r>
      <w:r>
        <w:rPr>
          <w:b/>
        </w:rPr>
        <w:t>stock screener</w:t>
      </w:r>
      <w:r>
        <w:rPr/>
        <w:t xml:space="preserve"> (~9,900 stocks in the database).</w:t>
      </w:r>
    </w:p>
    <w:p>
      <w:pPr>
        <w:pStyle w:val="BodyText"/>
        <w:numPr>
          <w:ilvl w:val="0"/>
          <w:numId w:val="226"/>
        </w:numPr>
        <w:tabs>
          <w:tab w:val="clear" w:pos="709"/>
          <w:tab w:val="left" w:pos="709" w:leader="none"/>
        </w:tabs>
        <w:bidi w:val="0"/>
        <w:ind w:hanging="283" w:start="709"/>
        <w:jc w:val="start"/>
        <w:rPr/>
      </w:pPr>
      <w:r>
        <w:rPr>
          <w:b/>
        </w:rPr>
        <w:t>Zacks (zacks.com)</w:t>
      </w:r>
      <w:r>
        <w:rPr/>
        <w:t xml:space="preserve"> — third opinion on projected growth rate.</w:t>
      </w:r>
    </w:p>
    <w:p>
      <w:pPr>
        <w:pStyle w:val="BodyText"/>
        <w:numPr>
          <w:ilvl w:val="0"/>
          <w:numId w:val="226"/>
        </w:numPr>
        <w:tabs>
          <w:tab w:val="clear" w:pos="709"/>
          <w:tab w:val="left" w:pos="709" w:leader="none"/>
        </w:tabs>
        <w:bidi w:val="0"/>
        <w:ind w:hanging="283" w:start="709"/>
        <w:jc w:val="start"/>
        <w:rPr/>
      </w:pPr>
      <w:r>
        <w:rPr>
          <w:b/>
        </w:rPr>
        <w:t>GuruFocus</w:t>
      </w:r>
      <w:r>
        <w:rPr/>
        <w:t xml:space="preserve"> and </w:t>
      </w:r>
      <w:r>
        <w:rPr>
          <w:b/>
        </w:rPr>
        <w:t>SimplyWallStreet</w:t>
      </w:r>
      <w:r>
        <w:rPr/>
        <w:t xml:space="preserve"> — also carry PEG.</w:t>
      </w:r>
    </w:p>
    <w:p>
      <w:pPr>
        <w:pStyle w:val="BodyText"/>
        <w:numPr>
          <w:ilvl w:val="0"/>
          <w:numId w:val="226"/>
        </w:numPr>
        <w:tabs>
          <w:tab w:val="clear" w:pos="709"/>
          <w:tab w:val="left" w:pos="709" w:leader="none"/>
        </w:tabs>
        <w:bidi w:val="0"/>
        <w:ind w:hanging="283" w:start="709"/>
        <w:jc w:val="start"/>
        <w:rPr/>
      </w:pPr>
      <w:r>
        <w:rPr>
          <w:b/>
        </w:rPr>
        <w:t>Yahoo Finance</w:t>
      </w:r>
      <w:r>
        <w:rPr/>
        <w:t xml:space="preserve"> — required for </w:t>
      </w:r>
      <w:r>
        <w:rPr>
          <w:b/>
        </w:rPr>
        <w:t>non-US listed stocks</w:t>
      </w:r>
      <w:r>
        <w:rPr/>
        <w:t xml:space="preserve"> (financials, analyst growth estimates, statistics, book value per share, dividend yield).</w:t>
      </w:r>
    </w:p>
    <w:p>
      <w:pPr>
        <w:pStyle w:val="BodyText"/>
        <w:numPr>
          <w:ilvl w:val="0"/>
          <w:numId w:val="226"/>
        </w:numPr>
        <w:tabs>
          <w:tab w:val="clear" w:pos="709"/>
          <w:tab w:val="left" w:pos="709" w:leader="none"/>
        </w:tabs>
        <w:bidi w:val="0"/>
        <w:ind w:hanging="283" w:start="709"/>
        <w:jc w:val="start"/>
        <w:rPr/>
      </w:pPr>
      <w:r>
        <w:rPr>
          <w:b/>
        </w:rPr>
        <w:t>TradingView</w:t>
      </w:r>
      <w:r>
        <w:rPr/>
        <w:t xml:space="preserve"> — charting; add the </w:t>
      </w:r>
      <w:r>
        <w:rPr>
          <w:b/>
        </w:rPr>
        <w:t>"Price to Book Ratio" indicator</w:t>
      </w:r>
      <w:r>
        <w:rPr/>
        <w:t xml:space="preserve"> to read historical P/B for any market (Singapore, Hong Kong, India, Malaysia, US).</w:t>
      </w:r>
    </w:p>
    <w:p>
      <w:pPr>
        <w:pStyle w:val="BodyText"/>
        <w:numPr>
          <w:ilvl w:val="0"/>
          <w:numId w:val="226"/>
        </w:numPr>
        <w:tabs>
          <w:tab w:val="clear" w:pos="709"/>
          <w:tab w:val="left" w:pos="709" w:leader="none"/>
        </w:tabs>
        <w:bidi w:val="0"/>
        <w:ind w:hanging="283" w:start="709"/>
        <w:jc w:val="start"/>
        <w:rPr/>
      </w:pPr>
      <w:r>
        <w:rPr>
          <w:b/>
        </w:rPr>
        <w:t>Ultimate Investors Playbook</w:t>
      </w:r>
      <w:r>
        <w:rPr/>
        <w:t xml:space="preserve"> (subscription) — Adam's monthly workings, buy levels and fair values.</w:t>
      </w:r>
    </w:p>
    <w:p>
      <w:pPr>
        <w:pStyle w:val="Heading4"/>
        <w:numPr>
          <w:ilvl w:val="0"/>
          <w:numId w:val="0"/>
        </w:numPr>
        <w:bidi w:val="0"/>
        <w:ind w:hanging="0" w:start="0"/>
        <w:jc w:val="start"/>
        <w:rPr/>
      </w:pPr>
      <w:r>
        <w:rPr/>
        <w:t>2.2 StockOracle worked illustration (NVIDIA)</w:t>
      </w:r>
    </w:p>
    <w:p>
      <w:pPr>
        <w:pStyle w:val="BodyText"/>
        <w:numPr>
          <w:ilvl w:val="0"/>
          <w:numId w:val="227"/>
        </w:numPr>
        <w:tabs>
          <w:tab w:val="clear" w:pos="709"/>
          <w:tab w:val="left" w:pos="709" w:leader="none"/>
        </w:tabs>
        <w:bidi w:val="0"/>
        <w:ind w:hanging="283" w:start="709"/>
        <w:jc w:val="start"/>
        <w:rPr/>
      </w:pPr>
      <w:r>
        <w:rPr/>
        <w:t xml:space="preserve">Current share price: </w:t>
      </w:r>
      <w:r>
        <w:rPr>
          <w:b/>
        </w:rPr>
        <w:t>$184</w:t>
      </w:r>
    </w:p>
    <w:p>
      <w:pPr>
        <w:pStyle w:val="BodyText"/>
        <w:numPr>
          <w:ilvl w:val="0"/>
          <w:numId w:val="227"/>
        </w:numPr>
        <w:tabs>
          <w:tab w:val="clear" w:pos="709"/>
          <w:tab w:val="left" w:pos="709" w:leader="none"/>
        </w:tabs>
        <w:bidi w:val="0"/>
        <w:ind w:hanging="283" w:start="709"/>
        <w:jc w:val="start"/>
        <w:rPr/>
      </w:pPr>
      <w:r>
        <w:rPr/>
        <w:t xml:space="preserve">Discounted cash flow (latest FCF): intrinsic value </w:t>
      </w:r>
      <w:r>
        <w:rPr>
          <w:b/>
        </w:rPr>
        <w:t>$258</w:t>
      </w:r>
    </w:p>
    <w:p>
      <w:pPr>
        <w:pStyle w:val="BodyText"/>
        <w:numPr>
          <w:ilvl w:val="0"/>
          <w:numId w:val="227"/>
        </w:numPr>
        <w:tabs>
          <w:tab w:val="clear" w:pos="709"/>
          <w:tab w:val="left" w:pos="709" w:leader="none"/>
        </w:tabs>
        <w:bidi w:val="0"/>
        <w:ind w:hanging="283" w:start="709"/>
        <w:jc w:val="start"/>
        <w:rPr/>
      </w:pPr>
      <w:r>
        <w:rPr/>
        <w:t xml:space="preserve">Discounted net income (latest net income): </w:t>
      </w:r>
      <w:r>
        <w:rPr>
          <w:b/>
        </w:rPr>
        <w:t>$370</w:t>
      </w:r>
    </w:p>
    <w:p>
      <w:pPr>
        <w:pStyle w:val="BodyText"/>
        <w:numPr>
          <w:ilvl w:val="0"/>
          <w:numId w:val="227"/>
        </w:numPr>
        <w:tabs>
          <w:tab w:val="clear" w:pos="709"/>
          <w:tab w:val="left" w:pos="709" w:leader="none"/>
        </w:tabs>
        <w:bidi w:val="0"/>
        <w:ind w:hanging="283" w:start="709"/>
        <w:jc w:val="start"/>
        <w:rPr/>
      </w:pPr>
      <w:r>
        <w:rPr/>
        <w:t xml:space="preserve">Price to sales ratio method: </w:t>
      </w:r>
      <w:r>
        <w:rPr>
          <w:b/>
        </w:rPr>
        <w:t>$226</w:t>
      </w:r>
    </w:p>
    <w:p>
      <w:pPr>
        <w:pStyle w:val="BodyText"/>
        <w:numPr>
          <w:ilvl w:val="0"/>
          <w:numId w:val="227"/>
        </w:numPr>
        <w:tabs>
          <w:tab w:val="clear" w:pos="709"/>
          <w:tab w:val="left" w:pos="709" w:leader="none"/>
        </w:tabs>
        <w:bidi w:val="0"/>
        <w:ind w:hanging="283" w:start="709"/>
        <w:jc w:val="start"/>
        <w:rPr/>
      </w:pPr>
      <w:r>
        <w:rPr>
          <w:b/>
        </w:rPr>
        <w:t>Oracle Value (algorithm blend): $208</w:t>
      </w:r>
      <w:r>
        <w:rPr/>
        <w:t xml:space="preserve"> → at $184 the stock is </w:t>
      </w:r>
      <w:r>
        <w:rPr>
          <w:b/>
        </w:rPr>
        <w:t>slightly undervalued</w:t>
      </w:r>
    </w:p>
    <w:p>
      <w:pPr>
        <w:pStyle w:val="BodyText"/>
        <w:numPr>
          <w:ilvl w:val="0"/>
          <w:numId w:val="227"/>
        </w:numPr>
        <w:tabs>
          <w:tab w:val="clear" w:pos="709"/>
          <w:tab w:val="left" w:pos="709" w:leader="none"/>
        </w:tabs>
        <w:bidi w:val="0"/>
        <w:ind w:hanging="283" w:start="709"/>
        <w:jc w:val="start"/>
        <w:rPr/>
      </w:pPr>
      <w:r>
        <w:rPr/>
        <w:t xml:space="preserve">Lesson: different methods give different numbers. </w:t>
      </w:r>
      <w:r>
        <w:rPr>
          <w:b/>
        </w:rPr>
        <w:t>Intrinsic value is a range, never one number.</w:t>
      </w:r>
    </w:p>
    <w:p>
      <w:pPr>
        <w:pStyle w:val="HorizontalLine"/>
        <w:bidi w:val="0"/>
        <w:jc w:val="start"/>
        <w:rPr/>
      </w:pPr>
      <w:r>
        <w:rPr/>
      </w:r>
    </w:p>
    <w:p>
      <w:pPr>
        <w:pStyle w:val="Heading3"/>
        <w:bidi w:val="0"/>
        <w:ind w:hanging="0" w:start="0"/>
        <w:jc w:val="start"/>
        <w:rPr/>
      </w:pPr>
      <w:r>
        <w:rPr/>
        <w:t>3. Method 1 — PEG Ratio</w:t>
      </w:r>
    </w:p>
    <w:p>
      <w:pPr>
        <w:pStyle w:val="Heading4"/>
        <w:bidi w:val="0"/>
        <w:ind w:hanging="0" w:start="0"/>
        <w:jc w:val="start"/>
        <w:rPr/>
      </w:pPr>
      <w:r>
        <w:rPr/>
        <w:t>3.1 Purpose and limits</w:t>
      </w:r>
    </w:p>
    <w:p>
      <w:pPr>
        <w:pStyle w:val="BodyText"/>
        <w:numPr>
          <w:ilvl w:val="0"/>
          <w:numId w:val="228"/>
        </w:numPr>
        <w:tabs>
          <w:tab w:val="clear" w:pos="709"/>
          <w:tab w:val="left" w:pos="709" w:leader="none"/>
        </w:tabs>
        <w:bidi w:val="0"/>
        <w:ind w:hanging="283" w:start="709"/>
        <w:jc w:val="start"/>
        <w:rPr/>
      </w:pPr>
      <w:r>
        <w:rPr/>
        <w:t xml:space="preserve">Use as a </w:t>
      </w:r>
      <w:r>
        <w:rPr>
          <w:b/>
        </w:rPr>
        <w:t>very quick check</w:t>
      </w:r>
      <w:r>
        <w:rPr/>
        <w:t xml:space="preserve"> on value and, mainly, as a </w:t>
      </w:r>
      <w:r>
        <w:rPr>
          <w:b/>
        </w:rPr>
        <w:t>screening criterion</w:t>
      </w:r>
      <w:r>
        <w:rPr/>
        <w:t xml:space="preserve"> to shortlist stocks for deeper research (there are &gt;10,000 stocks; you cannot examine them all). Screening covered fully in Lesson 9.</w:t>
      </w:r>
    </w:p>
    <w:p>
      <w:pPr>
        <w:pStyle w:val="BodyText"/>
        <w:numPr>
          <w:ilvl w:val="0"/>
          <w:numId w:val="228"/>
        </w:numPr>
        <w:tabs>
          <w:tab w:val="clear" w:pos="709"/>
          <w:tab w:val="left" w:pos="709" w:leader="none"/>
        </w:tabs>
        <w:bidi w:val="0"/>
        <w:ind w:hanging="283" w:start="709"/>
        <w:jc w:val="start"/>
        <w:rPr/>
      </w:pPr>
      <w:r>
        <w:rPr/>
        <w:t xml:space="preserve">Adam does </w:t>
      </w:r>
      <w:r>
        <w:rPr>
          <w:b/>
        </w:rPr>
        <w:t>not</w:t>
      </w:r>
      <w:r>
        <w:rPr/>
        <w:t xml:space="preserve"> use PEG to actually value a stock — it is not comprehensive.</w:t>
      </w:r>
    </w:p>
    <w:p>
      <w:pPr>
        <w:pStyle w:val="BodyText"/>
        <w:numPr>
          <w:ilvl w:val="0"/>
          <w:numId w:val="228"/>
        </w:numPr>
        <w:tabs>
          <w:tab w:val="clear" w:pos="709"/>
          <w:tab w:val="left" w:pos="709" w:leader="none"/>
        </w:tabs>
        <w:bidi w:val="0"/>
        <w:ind w:hanging="283" w:start="709"/>
        <w:jc w:val="start"/>
        <w:rPr/>
      </w:pPr>
      <w:r>
        <w:rPr>
          <w:b/>
        </w:rPr>
        <w:t>Precondition:</w:t>
      </w:r>
      <w:r>
        <w:rPr/>
        <w:t xml:space="preserve"> earnings must be </w:t>
      </w:r>
      <w:r>
        <w:rPr>
          <w:b/>
        </w:rPr>
        <w:t>positive AND increasing consistently</w:t>
      </w:r>
      <w:r>
        <w:rPr/>
        <w:t>. Otherwise PEG is not accurate at all.</w:t>
      </w:r>
    </w:p>
    <w:p>
      <w:pPr>
        <w:pStyle w:val="BodyText"/>
        <w:numPr>
          <w:ilvl w:val="0"/>
          <w:numId w:val="228"/>
        </w:numPr>
        <w:tabs>
          <w:tab w:val="clear" w:pos="709"/>
          <w:tab w:val="left" w:pos="709" w:leader="none"/>
        </w:tabs>
        <w:bidi w:val="0"/>
        <w:ind w:hanging="283" w:start="709"/>
        <w:jc w:val="start"/>
        <w:rPr/>
      </w:pPr>
      <w:r>
        <w:rPr>
          <w:b/>
        </w:rPr>
        <w:t>Limitation:</w:t>
      </w:r>
      <w:r>
        <w:rPr/>
        <w:t xml:space="preserve"> based on reported net income, which can be distorted by non-operating expenses and non-operating income. That is why a full DCF is needed.</w:t>
      </w:r>
    </w:p>
    <w:p>
      <w:pPr>
        <w:pStyle w:val="Heading4"/>
        <w:numPr>
          <w:ilvl w:val="0"/>
          <w:numId w:val="0"/>
        </w:numPr>
        <w:bidi w:val="0"/>
        <w:ind w:hanging="0" w:start="0"/>
        <w:jc w:val="start"/>
        <w:rPr/>
      </w:pPr>
      <w:r>
        <w:rPr/>
        <w:t>3.2 Formula and thresholds</w:t>
      </w:r>
    </w:p>
    <w:p>
      <w:pPr>
        <w:pStyle w:val="PreformattedText"/>
        <w:shd w:fill="E1E1E1" w:val="clear"/>
        <w:bidi w:val="0"/>
        <w:spacing w:before="0" w:after="283"/>
        <w:jc w:val="start"/>
        <w:rPr/>
      </w:pPr>
      <w:r>
        <w:rPr/>
        <w:t>PEG ratio = PE ratio ÷ projected earnings growth rate (%)</w:t>
      </w:r>
    </w:p>
    <w:p>
      <w:pPr>
        <w:pStyle w:val="BodyText"/>
        <w:numPr>
          <w:ilvl w:val="0"/>
          <w:numId w:val="229"/>
        </w:numPr>
        <w:tabs>
          <w:tab w:val="clear" w:pos="709"/>
          <w:tab w:val="left" w:pos="709" w:leader="none"/>
        </w:tabs>
        <w:bidi w:val="0"/>
        <w:ind w:hanging="283" w:start="709"/>
        <w:jc w:val="start"/>
        <w:rPr/>
      </w:pPr>
      <w:r>
        <w:rPr/>
        <w:t>Higher PEG = more expensive. Lower PEG = cheaper.</w:t>
      </w:r>
    </w:p>
    <w:p>
      <w:pPr>
        <w:pStyle w:val="BodyText"/>
        <w:numPr>
          <w:ilvl w:val="0"/>
          <w:numId w:val="229"/>
        </w:numPr>
        <w:tabs>
          <w:tab w:val="clear" w:pos="709"/>
          <w:tab w:val="left" w:pos="709" w:leader="none"/>
        </w:tabs>
        <w:bidi w:val="0"/>
        <w:ind w:hanging="283" w:start="709"/>
        <w:jc w:val="start"/>
        <w:rPr/>
      </w:pPr>
      <w:r>
        <w:rPr>
          <w:b/>
        </w:rPr>
        <w:t>Textbook / CFA theory:</w:t>
      </w:r>
      <w:r>
        <w:rPr/>
        <w:t xml:space="preserve"> PEG &gt; 1 → overvalued (PE above growth rate); PEG &lt; 1 → undervalued.</w:t>
      </w:r>
    </w:p>
    <w:p>
      <w:pPr>
        <w:pStyle w:val="BodyText"/>
        <w:numPr>
          <w:ilvl w:val="0"/>
          <w:numId w:val="229"/>
        </w:numPr>
        <w:tabs>
          <w:tab w:val="clear" w:pos="709"/>
          <w:tab w:val="left" w:pos="709" w:leader="none"/>
        </w:tabs>
        <w:bidi w:val="0"/>
        <w:ind w:hanging="283" w:start="709"/>
        <w:jc w:val="start"/>
        <w:rPr/>
      </w:pPr>
      <w:r>
        <w:rPr>
          <w:b/>
        </w:rPr>
        <w:t>Problem with the textbook rule in practice:</w:t>
      </w:r>
      <w:r>
        <w:rPr/>
        <w:t xml:space="preserve"> if you only buy PEG &lt; 1 you get lots of cheap stocks, but many of them are not great companies — and </w:t>
      </w:r>
      <w:r>
        <w:rPr>
          <w:b/>
        </w:rPr>
        <w:t>many great companies trade above PEG 1</w:t>
      </w:r>
      <w:r>
        <w:rPr/>
        <w:t>, so you miss them.</w:t>
      </w:r>
    </w:p>
    <w:p>
      <w:pPr>
        <w:pStyle w:val="BodyText"/>
        <w:numPr>
          <w:ilvl w:val="0"/>
          <w:numId w:val="229"/>
        </w:numPr>
        <w:tabs>
          <w:tab w:val="clear" w:pos="709"/>
          <w:tab w:val="left" w:pos="709" w:leader="none"/>
        </w:tabs>
        <w:bidi w:val="0"/>
        <w:spacing w:before="0" w:after="0"/>
        <w:ind w:hanging="283" w:start="709"/>
        <w:jc w:val="start"/>
        <w:rPr/>
      </w:pPr>
      <w:r>
        <w:rPr>
          <w:b/>
        </w:rPr>
        <w:t>Adam's rule of thumb: look for PEG ≤ 1.5.</w:t>
      </w:r>
    </w:p>
    <w:p>
      <w:pPr>
        <w:pStyle w:val="BodyText"/>
        <w:numPr>
          <w:ilvl w:val="1"/>
          <w:numId w:val="229"/>
        </w:numPr>
        <w:tabs>
          <w:tab w:val="clear" w:pos="709"/>
          <w:tab w:val="left" w:pos="1418" w:leader="none"/>
        </w:tabs>
        <w:bidi w:val="0"/>
        <w:ind w:hanging="283" w:start="1418"/>
        <w:jc w:val="start"/>
        <w:rPr/>
      </w:pPr>
      <w:r>
        <w:rPr/>
        <w:t>Way above 1.5 → probably expensive.</w:t>
      </w:r>
    </w:p>
    <w:p>
      <w:pPr>
        <w:pStyle w:val="BodyText"/>
        <w:numPr>
          <w:ilvl w:val="1"/>
          <w:numId w:val="229"/>
        </w:numPr>
        <w:tabs>
          <w:tab w:val="clear" w:pos="709"/>
          <w:tab w:val="left" w:pos="1418" w:leader="none"/>
        </w:tabs>
        <w:bidi w:val="0"/>
        <w:ind w:hanging="283" w:start="1418"/>
        <w:jc w:val="start"/>
        <w:rPr/>
      </w:pPr>
      <w:r>
        <w:rPr/>
        <w:t>1.5 or less → worth a further look.</w:t>
      </w:r>
    </w:p>
    <w:p>
      <w:pPr>
        <w:pStyle w:val="Heading4"/>
        <w:numPr>
          <w:ilvl w:val="0"/>
          <w:numId w:val="0"/>
        </w:numPr>
        <w:bidi w:val="0"/>
        <w:ind w:hanging="0" w:start="0"/>
        <w:jc w:val="start"/>
        <w:rPr/>
      </w:pPr>
      <w:r>
        <w:rPr/>
        <w:t>3.3 Worked examples (from FinViz)</w:t>
      </w:r>
    </w:p>
    <w:p>
      <w:pPr>
        <w:pStyle w:val="BodyText"/>
        <w:bidi w:val="0"/>
        <w:jc w:val="start"/>
        <w:rPr/>
      </w:pPr>
      <w:r>
        <w:rPr>
          <w:b/>
        </w:rPr>
        <w:t>NVIDIA</w:t>
      </w:r>
    </w:p>
    <w:p>
      <w:pPr>
        <w:pStyle w:val="BodyText"/>
        <w:numPr>
          <w:ilvl w:val="0"/>
          <w:numId w:val="230"/>
        </w:numPr>
        <w:tabs>
          <w:tab w:val="clear" w:pos="709"/>
          <w:tab w:val="left" w:pos="709" w:leader="none"/>
        </w:tabs>
        <w:bidi w:val="0"/>
        <w:ind w:hanging="283" w:start="709"/>
        <w:jc w:val="start"/>
        <w:rPr/>
      </w:pPr>
      <w:r>
        <w:rPr/>
        <w:t xml:space="preserve">PE ratio = </w:t>
      </w:r>
      <w:r>
        <w:rPr>
          <w:b/>
        </w:rPr>
        <w:t>54.69</w:t>
      </w:r>
      <w:r>
        <w:rPr/>
        <w:t xml:space="preserve"> (~54×)</w:t>
      </w:r>
    </w:p>
    <w:p>
      <w:pPr>
        <w:pStyle w:val="BodyText"/>
        <w:numPr>
          <w:ilvl w:val="0"/>
          <w:numId w:val="230"/>
        </w:numPr>
        <w:tabs>
          <w:tab w:val="clear" w:pos="709"/>
          <w:tab w:val="left" w:pos="709" w:leader="none"/>
        </w:tabs>
        <w:bidi w:val="0"/>
        <w:ind w:hanging="283" w:start="709"/>
        <w:jc w:val="start"/>
        <w:rPr/>
      </w:pPr>
      <w:r>
        <w:rPr/>
        <w:t xml:space="preserve">Projected earnings growth, next 5 years = </w:t>
      </w:r>
      <w:r>
        <w:rPr>
          <w:b/>
        </w:rPr>
        <w:t>61.17%</w:t>
      </w:r>
    </w:p>
    <w:p>
      <w:pPr>
        <w:pStyle w:val="BodyText"/>
        <w:numPr>
          <w:ilvl w:val="0"/>
          <w:numId w:val="230"/>
        </w:numPr>
        <w:tabs>
          <w:tab w:val="clear" w:pos="709"/>
          <w:tab w:val="left" w:pos="709" w:leader="none"/>
        </w:tabs>
        <w:bidi w:val="0"/>
        <w:ind w:hanging="283" w:start="709"/>
        <w:jc w:val="start"/>
        <w:rPr/>
      </w:pPr>
      <w:r>
        <w:rPr/>
        <w:t xml:space="preserve">PEG = 54.69 ÷ 61.17 = </w:t>
      </w:r>
      <w:r>
        <w:rPr>
          <w:b/>
        </w:rPr>
        <w:t>0.89</w:t>
      </w:r>
    </w:p>
    <w:p>
      <w:pPr>
        <w:pStyle w:val="BodyText"/>
        <w:numPr>
          <w:ilvl w:val="0"/>
          <w:numId w:val="230"/>
        </w:numPr>
        <w:tabs>
          <w:tab w:val="clear" w:pos="709"/>
          <w:tab w:val="left" w:pos="709" w:leader="none"/>
        </w:tabs>
        <w:bidi w:val="0"/>
        <w:ind w:hanging="283" w:start="709"/>
        <w:jc w:val="start"/>
        <w:rPr/>
      </w:pPr>
      <w:r>
        <w:rPr/>
        <w:t xml:space="preserve">Below 1.0 and below 1.5 → </w:t>
      </w:r>
      <w:r>
        <w:rPr>
          <w:b/>
        </w:rPr>
        <w:t>looks cheap</w:t>
      </w:r>
    </w:p>
    <w:p>
      <w:pPr>
        <w:pStyle w:val="BodyText"/>
        <w:bidi w:val="0"/>
        <w:jc w:val="start"/>
        <w:rPr/>
      </w:pPr>
      <w:r>
        <w:rPr>
          <w:b/>
        </w:rPr>
        <w:t>AMD</w:t>
      </w:r>
      <w:r>
        <w:rPr/>
        <w:t xml:space="preserve"> (share price down &gt;50% over the year)</w:t>
      </w:r>
    </w:p>
    <w:p>
      <w:pPr>
        <w:pStyle w:val="BodyText"/>
        <w:numPr>
          <w:ilvl w:val="0"/>
          <w:numId w:val="231"/>
        </w:numPr>
        <w:tabs>
          <w:tab w:val="clear" w:pos="709"/>
          <w:tab w:val="left" w:pos="709" w:leader="none"/>
        </w:tabs>
        <w:bidi w:val="0"/>
        <w:ind w:hanging="283" w:start="709"/>
        <w:jc w:val="start"/>
        <w:rPr/>
      </w:pPr>
      <w:r>
        <w:rPr/>
        <w:t xml:space="preserve">PE ratio = </w:t>
      </w:r>
      <w:r>
        <w:rPr>
          <w:b/>
        </w:rPr>
        <w:t>112</w:t>
      </w:r>
      <w:r>
        <w:rPr/>
        <w:t xml:space="preserve"> (despite the 50% fall)</w:t>
      </w:r>
    </w:p>
    <w:p>
      <w:pPr>
        <w:pStyle w:val="BodyText"/>
        <w:numPr>
          <w:ilvl w:val="0"/>
          <w:numId w:val="231"/>
        </w:numPr>
        <w:tabs>
          <w:tab w:val="clear" w:pos="709"/>
          <w:tab w:val="left" w:pos="709" w:leader="none"/>
        </w:tabs>
        <w:bidi w:val="0"/>
        <w:ind w:hanging="283" w:start="709"/>
        <w:jc w:val="start"/>
        <w:rPr/>
      </w:pPr>
      <w:r>
        <w:rPr/>
        <w:t xml:space="preserve">Projected earnings growth, next 5 years = </w:t>
      </w:r>
      <w:r>
        <w:rPr>
          <w:b/>
        </w:rPr>
        <w:t>33%</w:t>
      </w:r>
    </w:p>
    <w:p>
      <w:pPr>
        <w:pStyle w:val="BodyText"/>
        <w:numPr>
          <w:ilvl w:val="0"/>
          <w:numId w:val="231"/>
        </w:numPr>
        <w:tabs>
          <w:tab w:val="clear" w:pos="709"/>
          <w:tab w:val="left" w:pos="709" w:leader="none"/>
        </w:tabs>
        <w:bidi w:val="0"/>
        <w:ind w:hanging="283" w:start="709"/>
        <w:jc w:val="start"/>
        <w:rPr/>
      </w:pPr>
      <w:r>
        <w:rPr/>
        <w:t xml:space="preserve">PEG = 112 ÷ 33 = </w:t>
      </w:r>
      <w:r>
        <w:rPr>
          <w:b/>
        </w:rPr>
        <w:t>3.4</w:t>
      </w:r>
    </w:p>
    <w:p>
      <w:pPr>
        <w:pStyle w:val="BodyText"/>
        <w:numPr>
          <w:ilvl w:val="0"/>
          <w:numId w:val="231"/>
        </w:numPr>
        <w:tabs>
          <w:tab w:val="clear" w:pos="709"/>
          <w:tab w:val="left" w:pos="709" w:leader="none"/>
        </w:tabs>
        <w:bidi w:val="0"/>
        <w:ind w:hanging="283" w:start="709"/>
        <w:jc w:val="start"/>
        <w:rPr/>
      </w:pPr>
      <w:r>
        <w:rPr/>
        <w:t xml:space="preserve">Way above 1.5 → </w:t>
      </w:r>
      <w:r>
        <w:rPr>
          <w:b/>
        </w:rPr>
        <w:t>expensive</w:t>
      </w:r>
    </w:p>
    <w:p>
      <w:pPr>
        <w:pStyle w:val="BodyText"/>
        <w:bidi w:val="0"/>
        <w:jc w:val="start"/>
        <w:rPr/>
      </w:pPr>
      <w:r>
        <w:rPr>
          <w:b/>
        </w:rPr>
        <w:t>Conclusion:</w:t>
      </w:r>
      <w:r>
        <w:rPr/>
        <w:t xml:space="preserve"> NVIDIA is the cheaper stock, even though it rose 120% and AMD fell 50%.</w:t>
      </w:r>
    </w:p>
    <w:p>
      <w:pPr>
        <w:pStyle w:val="Heading4"/>
        <w:bidi w:val="0"/>
        <w:ind w:hanging="0" w:start="0"/>
        <w:jc w:val="start"/>
        <w:rPr/>
      </w:pPr>
      <w:r>
        <w:rPr/>
        <w:t>3.4 Screening use (FinViz)</w:t>
      </w:r>
    </w:p>
    <w:p>
      <w:pPr>
        <w:pStyle w:val="BodyText"/>
        <w:numPr>
          <w:ilvl w:val="0"/>
          <w:numId w:val="232"/>
        </w:numPr>
        <w:tabs>
          <w:tab w:val="clear" w:pos="709"/>
          <w:tab w:val="left" w:pos="709" w:leader="none"/>
        </w:tabs>
        <w:bidi w:val="0"/>
        <w:ind w:hanging="283" w:start="709"/>
        <w:jc w:val="start"/>
        <w:rPr/>
      </w:pPr>
      <w:r>
        <w:rPr/>
        <w:t xml:space="preserve">FinViz screener database: </w:t>
      </w:r>
      <w:r>
        <w:rPr>
          <w:b/>
        </w:rPr>
        <w:t>9,900 stocks</w:t>
      </w:r>
      <w:r>
        <w:rPr/>
        <w:t xml:space="preserve"> — impossible to review individually.</w:t>
      </w:r>
    </w:p>
    <w:p>
      <w:pPr>
        <w:pStyle w:val="BodyText"/>
        <w:numPr>
          <w:ilvl w:val="0"/>
          <w:numId w:val="232"/>
        </w:numPr>
        <w:tabs>
          <w:tab w:val="clear" w:pos="709"/>
          <w:tab w:val="left" w:pos="709" w:leader="none"/>
        </w:tabs>
        <w:bidi w:val="0"/>
        <w:ind w:hanging="283" w:start="709"/>
        <w:jc w:val="start"/>
        <w:rPr/>
      </w:pPr>
      <w:r>
        <w:rPr/>
        <w:t xml:space="preserve">FinViz does not offer a 1.5 cut-off, so Adam sets </w:t>
      </w:r>
      <w:r>
        <w:rPr>
          <w:b/>
        </w:rPr>
        <w:t>PEG &lt; 2</w:t>
      </w:r>
      <w:r>
        <w:rPr/>
        <w:t xml:space="preserve">, which narrows ~10,000 stocks down to about </w:t>
      </w:r>
      <w:r>
        <w:rPr>
          <w:b/>
        </w:rPr>
        <w:t>700</w:t>
      </w:r>
      <w:r>
        <w:rPr/>
        <w:t>.</w:t>
      </w:r>
    </w:p>
    <w:p>
      <w:pPr>
        <w:pStyle w:val="BodyText"/>
        <w:numPr>
          <w:ilvl w:val="0"/>
          <w:numId w:val="232"/>
        </w:numPr>
        <w:tabs>
          <w:tab w:val="clear" w:pos="709"/>
          <w:tab w:val="left" w:pos="709" w:leader="none"/>
        </w:tabs>
        <w:bidi w:val="0"/>
        <w:ind w:hanging="283" w:start="709"/>
        <w:jc w:val="start"/>
        <w:rPr/>
      </w:pPr>
      <w:r>
        <w:rPr/>
        <w:t>Other criteria are then layered on to narrow further (Lesson 9).</w:t>
      </w:r>
    </w:p>
    <w:p>
      <w:pPr>
        <w:pStyle w:val="HorizontalLine"/>
        <w:bidi w:val="0"/>
        <w:jc w:val="start"/>
        <w:rPr/>
      </w:pPr>
      <w:r>
        <w:rPr/>
      </w:r>
    </w:p>
    <w:p>
      <w:pPr>
        <w:pStyle w:val="Heading3"/>
        <w:bidi w:val="0"/>
        <w:ind w:hanging="0" w:start="0"/>
        <w:jc w:val="start"/>
        <w:rPr/>
      </w:pPr>
      <w:r>
        <w:rPr/>
        <w:t>4. Method 2 — Discounted Cash Flow (DCF)</w:t>
      </w:r>
    </w:p>
    <w:p>
      <w:pPr>
        <w:pStyle w:val="BodyText"/>
        <w:bidi w:val="0"/>
        <w:jc w:val="start"/>
        <w:rPr/>
      </w:pPr>
      <w:r>
        <w:rPr>
          <w:b/>
        </w:rPr>
        <w:t>Adam's primary method — used ~90% of the time.</w:t>
      </w:r>
    </w:p>
    <w:p>
      <w:pPr>
        <w:pStyle w:val="Heading4"/>
        <w:bidi w:val="0"/>
        <w:ind w:hanging="0" w:start="0"/>
        <w:jc w:val="start"/>
        <w:rPr/>
      </w:pPr>
      <w:r>
        <w:rPr/>
        <w:t>4.1 The concept</w:t>
      </w:r>
    </w:p>
    <w:p>
      <w:pPr>
        <w:pStyle w:val="BodyText"/>
        <w:numPr>
          <w:ilvl w:val="0"/>
          <w:numId w:val="233"/>
        </w:numPr>
        <w:tabs>
          <w:tab w:val="clear" w:pos="709"/>
          <w:tab w:val="left" w:pos="709" w:leader="none"/>
        </w:tabs>
        <w:bidi w:val="0"/>
        <w:ind w:hanging="283" w:start="709"/>
        <w:jc w:val="start"/>
        <w:rPr/>
      </w:pPr>
      <w:r>
        <w:rPr/>
        <w:t xml:space="preserve">A business is a machine that will print cash for the next 10, 20, 30 years. To value the machine, </w:t>
      </w:r>
      <w:r>
        <w:rPr>
          <w:b/>
        </w:rPr>
        <w:t>project the future cash it will generate and discount it to present value</w:t>
      </w:r>
      <w:r>
        <w:rPr/>
        <w:t xml:space="preserve">. Divide by shares outstanding → </w:t>
      </w:r>
      <w:r>
        <w:rPr>
          <w:b/>
        </w:rPr>
        <w:t>intrinsic value per share</w:t>
      </w:r>
      <w:r>
        <w:rPr/>
        <w:t>.</w:t>
      </w:r>
    </w:p>
    <w:p>
      <w:pPr>
        <w:pStyle w:val="BodyText"/>
        <w:numPr>
          <w:ilvl w:val="0"/>
          <w:numId w:val="233"/>
        </w:numPr>
        <w:tabs>
          <w:tab w:val="clear" w:pos="709"/>
          <w:tab w:val="left" w:pos="709" w:leader="none"/>
        </w:tabs>
        <w:bidi w:val="0"/>
        <w:ind w:hanging="283" w:start="709"/>
        <w:jc w:val="start"/>
        <w:rPr/>
      </w:pPr>
      <w:r>
        <w:rPr/>
        <w:t xml:space="preserve">Formal definition: </w:t>
      </w:r>
      <w:r>
        <w:rPr>
          <w:i/>
        </w:rPr>
        <w:t>the intrinsic value of a stock is the present value of its future expected cash flows</w:t>
      </w:r>
      <w:r>
        <w:rPr/>
        <w:t xml:space="preserve"> (Adam prefers cash flow over earnings because cash is more tangible than accounting profits).</w:t>
      </w:r>
    </w:p>
    <w:p>
      <w:pPr>
        <w:pStyle w:val="BodyText"/>
        <w:numPr>
          <w:ilvl w:val="0"/>
          <w:numId w:val="233"/>
        </w:numPr>
        <w:tabs>
          <w:tab w:val="clear" w:pos="709"/>
          <w:tab w:val="left" w:pos="709" w:leader="none"/>
        </w:tabs>
        <w:bidi w:val="0"/>
        <w:ind w:hanging="283" w:start="709"/>
        <w:jc w:val="start"/>
        <w:rPr/>
      </w:pPr>
      <w:r>
        <w:rPr>
          <w:b/>
        </w:rPr>
        <w:t>Default projection horizon: 20 years.</w:t>
      </w:r>
    </w:p>
    <w:p>
      <w:pPr>
        <w:pStyle w:val="Heading4"/>
        <w:numPr>
          <w:ilvl w:val="0"/>
          <w:numId w:val="0"/>
        </w:numPr>
        <w:bidi w:val="0"/>
        <w:ind w:hanging="0" w:start="0"/>
        <w:jc w:val="start"/>
        <w:rPr/>
      </w:pPr>
      <w:r>
        <w:rPr/>
        <w:t>4.2 The magic-machine teaching sequence (discount rate = 5%)</w:t>
      </w:r>
    </w:p>
    <w:tbl>
      <w:tblPr>
        <w:tblW w:w="5000" w:type="pct"/>
        <w:jc w:val="start"/>
        <w:tblInd w:w="-5" w:type="dxa"/>
        <w:tblLayout w:type="fixed"/>
        <w:tblCellMar>
          <w:top w:w="55" w:type="dxa"/>
          <w:start w:w="55" w:type="dxa"/>
          <w:bottom w:w="55" w:type="dxa"/>
          <w:end w:w="55" w:type="dxa"/>
        </w:tblCellMar>
      </w:tblPr>
      <w:tblGrid>
        <w:gridCol w:w="2409"/>
        <w:gridCol w:w="2410"/>
        <w:gridCol w:w="2409"/>
        <w:gridCol w:w="2410"/>
      </w:tblGrid>
      <w:tr>
        <w:trPr>
          <w:tblHeader w:val="true"/>
        </w:trPr>
        <w:tc>
          <w:tcPr>
            <w:tcW w:w="2409" w:type="dxa"/>
            <w:tcBorders>
              <w:top w:val="single" w:sz="4" w:space="0" w:color="000000"/>
              <w:start w:val="single" w:sz="4" w:space="0" w:color="000000"/>
              <w:bottom w:val="single" w:sz="4" w:space="0" w:color="000000"/>
            </w:tcBorders>
          </w:tcPr>
          <w:p>
            <w:pPr>
              <w:pStyle w:val="TableHeading"/>
              <w:bidi w:val="0"/>
              <w:jc w:val="start"/>
              <w:rPr/>
            </w:pPr>
            <w:r>
              <w:rPr/>
              <w:t>Scenario</w:t>
            </w:r>
          </w:p>
        </w:tc>
        <w:tc>
          <w:tcPr>
            <w:tcW w:w="2410" w:type="dxa"/>
            <w:tcBorders>
              <w:top w:val="single" w:sz="4" w:space="0" w:color="000000"/>
              <w:start w:val="single" w:sz="4" w:space="0" w:color="000000"/>
              <w:bottom w:val="single" w:sz="4" w:space="0" w:color="000000"/>
            </w:tcBorders>
          </w:tcPr>
          <w:p>
            <w:pPr>
              <w:pStyle w:val="TableHeading"/>
              <w:bidi w:val="0"/>
              <w:jc w:val="start"/>
              <w:rPr/>
            </w:pPr>
            <w:r>
              <w:rPr/>
              <w:t>Cash timing</w:t>
            </w:r>
          </w:p>
        </w:tc>
        <w:tc>
          <w:tcPr>
            <w:tcW w:w="2409" w:type="dxa"/>
            <w:tcBorders>
              <w:top w:val="single" w:sz="4" w:space="0" w:color="000000"/>
              <w:start w:val="single" w:sz="4" w:space="0" w:color="000000"/>
              <w:bottom w:val="single" w:sz="4" w:space="0" w:color="000000"/>
            </w:tcBorders>
          </w:tcPr>
          <w:p>
            <w:pPr>
              <w:pStyle w:val="TableHeading"/>
              <w:bidi w:val="0"/>
              <w:jc w:val="start"/>
              <w:rPr/>
            </w:pPr>
            <w:r>
              <w:rPr/>
              <w:t>Present value calculation</w:t>
            </w:r>
          </w:p>
        </w:tc>
        <w:tc>
          <w:tcPr>
            <w:tcW w:w="2410"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Value today</w:t>
            </w:r>
          </w:p>
        </w:tc>
      </w:tr>
      <w:tr>
        <w:trPr/>
        <w:tc>
          <w:tcPr>
            <w:tcW w:w="2409" w:type="dxa"/>
            <w:tcBorders>
              <w:start w:val="single" w:sz="4" w:space="0" w:color="000000"/>
              <w:bottom w:val="single" w:sz="4" w:space="0" w:color="000000"/>
            </w:tcBorders>
          </w:tcPr>
          <w:p>
            <w:pPr>
              <w:pStyle w:val="TableContents"/>
              <w:bidi w:val="0"/>
              <w:jc w:val="start"/>
              <w:rPr/>
            </w:pPr>
            <w:r>
              <w:rPr/>
              <w:t>1</w:t>
            </w:r>
          </w:p>
        </w:tc>
        <w:tc>
          <w:tcPr>
            <w:tcW w:w="2410" w:type="dxa"/>
            <w:tcBorders>
              <w:start w:val="single" w:sz="4" w:space="0" w:color="000000"/>
              <w:bottom w:val="single" w:sz="4" w:space="0" w:color="000000"/>
            </w:tcBorders>
          </w:tcPr>
          <w:p>
            <w:pPr>
              <w:pStyle w:val="TableContents"/>
              <w:bidi w:val="0"/>
              <w:jc w:val="start"/>
              <w:rPr/>
            </w:pPr>
            <w:r>
              <w:rPr/>
              <w:t>$100 today (t=0)</w:t>
            </w:r>
          </w:p>
        </w:tc>
        <w:tc>
          <w:tcPr>
            <w:tcW w:w="2409" w:type="dxa"/>
            <w:tcBorders>
              <w:start w:val="single" w:sz="4" w:space="0" w:color="000000"/>
              <w:bottom w:val="single" w:sz="4" w:space="0" w:color="000000"/>
            </w:tcBorders>
          </w:tcPr>
          <w:p>
            <w:pPr>
              <w:pStyle w:val="TableContents"/>
              <w:bidi w:val="0"/>
              <w:jc w:val="start"/>
              <w:rPr/>
            </w:pPr>
            <w:r>
              <w:rPr/>
              <w:t>none needed</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b/>
              </w:rPr>
              <w:t>$100</w:t>
            </w:r>
          </w:p>
        </w:tc>
      </w:tr>
      <w:tr>
        <w:trPr/>
        <w:tc>
          <w:tcPr>
            <w:tcW w:w="2409" w:type="dxa"/>
            <w:tcBorders>
              <w:start w:val="single" w:sz="4" w:space="0" w:color="000000"/>
              <w:bottom w:val="single" w:sz="4" w:space="0" w:color="000000"/>
            </w:tcBorders>
          </w:tcPr>
          <w:p>
            <w:pPr>
              <w:pStyle w:val="TableContents"/>
              <w:bidi w:val="0"/>
              <w:jc w:val="start"/>
              <w:rPr/>
            </w:pPr>
            <w:r>
              <w:rPr/>
              <w:t>2</w:t>
            </w:r>
          </w:p>
        </w:tc>
        <w:tc>
          <w:tcPr>
            <w:tcW w:w="2410" w:type="dxa"/>
            <w:tcBorders>
              <w:start w:val="single" w:sz="4" w:space="0" w:color="000000"/>
              <w:bottom w:val="single" w:sz="4" w:space="0" w:color="000000"/>
            </w:tcBorders>
          </w:tcPr>
          <w:p>
            <w:pPr>
              <w:pStyle w:val="TableContents"/>
              <w:bidi w:val="0"/>
              <w:jc w:val="start"/>
              <w:rPr/>
            </w:pPr>
            <w:r>
              <w:rPr/>
              <w:t>$100 in 1 year</w:t>
            </w:r>
          </w:p>
        </w:tc>
        <w:tc>
          <w:tcPr>
            <w:tcW w:w="2409" w:type="dxa"/>
            <w:tcBorders>
              <w:start w:val="single" w:sz="4" w:space="0" w:color="000000"/>
              <w:bottom w:val="single" w:sz="4" w:space="0" w:color="000000"/>
            </w:tcBorders>
          </w:tcPr>
          <w:p>
            <w:pPr>
              <w:pStyle w:val="TableContents"/>
              <w:bidi w:val="0"/>
              <w:jc w:val="start"/>
              <w:rPr/>
            </w:pPr>
            <w:r>
              <w:rPr/>
              <w:t>100 ÷ 1.05</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b/>
              </w:rPr>
              <w:t>$95</w:t>
            </w:r>
          </w:p>
        </w:tc>
      </w:tr>
      <w:tr>
        <w:trPr/>
        <w:tc>
          <w:tcPr>
            <w:tcW w:w="2409" w:type="dxa"/>
            <w:tcBorders>
              <w:start w:val="single" w:sz="4" w:space="0" w:color="000000"/>
              <w:bottom w:val="single" w:sz="4" w:space="0" w:color="000000"/>
            </w:tcBorders>
          </w:tcPr>
          <w:p>
            <w:pPr>
              <w:pStyle w:val="TableContents"/>
              <w:bidi w:val="0"/>
              <w:jc w:val="start"/>
              <w:rPr/>
            </w:pPr>
            <w:r>
              <w:rPr/>
              <w:t>3</w:t>
            </w:r>
          </w:p>
        </w:tc>
        <w:tc>
          <w:tcPr>
            <w:tcW w:w="2410" w:type="dxa"/>
            <w:tcBorders>
              <w:start w:val="single" w:sz="4" w:space="0" w:color="000000"/>
              <w:bottom w:val="single" w:sz="4" w:space="0" w:color="000000"/>
            </w:tcBorders>
          </w:tcPr>
          <w:p>
            <w:pPr>
              <w:pStyle w:val="TableContents"/>
              <w:bidi w:val="0"/>
              <w:jc w:val="start"/>
              <w:rPr/>
            </w:pPr>
            <w:r>
              <w:rPr/>
              <w:t>$100 in 2 years</w:t>
            </w:r>
          </w:p>
        </w:tc>
        <w:tc>
          <w:tcPr>
            <w:tcW w:w="2409" w:type="dxa"/>
            <w:tcBorders>
              <w:start w:val="single" w:sz="4" w:space="0" w:color="000000"/>
              <w:bottom w:val="single" w:sz="4" w:space="0" w:color="000000"/>
            </w:tcBorders>
          </w:tcPr>
          <w:p>
            <w:pPr>
              <w:pStyle w:val="TableContents"/>
              <w:bidi w:val="0"/>
              <w:jc w:val="start"/>
              <w:rPr/>
            </w:pPr>
            <w:r>
              <w:rPr/>
              <w:t>100 ÷ 1.05²</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b/>
              </w:rPr>
              <w:t>$91</w:t>
            </w:r>
          </w:p>
        </w:tc>
      </w:tr>
      <w:tr>
        <w:trPr/>
        <w:tc>
          <w:tcPr>
            <w:tcW w:w="2409" w:type="dxa"/>
            <w:tcBorders>
              <w:start w:val="single" w:sz="4" w:space="0" w:color="000000"/>
              <w:bottom w:val="single" w:sz="4" w:space="0" w:color="000000"/>
            </w:tcBorders>
          </w:tcPr>
          <w:p>
            <w:pPr>
              <w:pStyle w:val="TableContents"/>
              <w:bidi w:val="0"/>
              <w:jc w:val="start"/>
              <w:rPr/>
            </w:pPr>
            <w:r>
              <w:rPr/>
              <w:t>4</w:t>
            </w:r>
          </w:p>
        </w:tc>
        <w:tc>
          <w:tcPr>
            <w:tcW w:w="2410" w:type="dxa"/>
            <w:tcBorders>
              <w:start w:val="single" w:sz="4" w:space="0" w:color="000000"/>
              <w:bottom w:val="single" w:sz="4" w:space="0" w:color="000000"/>
            </w:tcBorders>
          </w:tcPr>
          <w:p>
            <w:pPr>
              <w:pStyle w:val="TableContents"/>
              <w:bidi w:val="0"/>
              <w:jc w:val="start"/>
              <w:rPr/>
            </w:pPr>
            <w:r>
              <w:rPr/>
              <w:t>$100 today + $100 in yr 1 + $100 in yr 2</w:t>
            </w:r>
          </w:p>
        </w:tc>
        <w:tc>
          <w:tcPr>
            <w:tcW w:w="2409" w:type="dxa"/>
            <w:tcBorders>
              <w:start w:val="single" w:sz="4" w:space="0" w:color="000000"/>
              <w:bottom w:val="single" w:sz="4" w:space="0" w:color="000000"/>
            </w:tcBorders>
          </w:tcPr>
          <w:p>
            <w:pPr>
              <w:pStyle w:val="TableContents"/>
              <w:bidi w:val="0"/>
              <w:jc w:val="start"/>
              <w:rPr/>
            </w:pPr>
            <w:r>
              <w:rPr/>
              <w:t>100 + 95 + 91</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b/>
              </w:rPr>
              <w:t>$286</w:t>
            </w:r>
          </w:p>
        </w:tc>
      </w:tr>
    </w:tbl>
    <w:p>
      <w:pPr>
        <w:pStyle w:val="BodyText"/>
        <w:bidi w:val="0"/>
        <w:jc w:val="start"/>
        <w:rPr/>
      </w:pPr>
      <w:r>
        <w:rPr/>
      </w:r>
    </w:p>
    <w:p>
      <w:pPr>
        <w:pStyle w:val="BodyText"/>
        <w:numPr>
          <w:ilvl w:val="0"/>
          <w:numId w:val="234"/>
        </w:numPr>
        <w:tabs>
          <w:tab w:val="clear" w:pos="709"/>
          <w:tab w:val="left" w:pos="709" w:leader="none"/>
        </w:tabs>
        <w:bidi w:val="0"/>
        <w:ind w:hanging="283" w:start="709"/>
        <w:jc w:val="start"/>
        <w:rPr/>
      </w:pPr>
      <w:r>
        <w:rPr>
          <w:b/>
        </w:rPr>
        <w:t>Discount rate = the opportunity cost of your money</w:t>
      </w:r>
      <w:r>
        <w:rPr/>
        <w:t xml:space="preserve"> — what you could earn elsewhere at the same risk (5% in the example).</w:t>
      </w:r>
    </w:p>
    <w:p>
      <w:pPr>
        <w:pStyle w:val="BodyText"/>
        <w:numPr>
          <w:ilvl w:val="0"/>
          <w:numId w:val="234"/>
        </w:numPr>
        <w:tabs>
          <w:tab w:val="clear" w:pos="709"/>
          <w:tab w:val="left" w:pos="709" w:leader="none"/>
        </w:tabs>
        <w:bidi w:val="0"/>
        <w:ind w:hanging="283" w:start="709"/>
        <w:jc w:val="start"/>
        <w:rPr/>
      </w:pPr>
      <w:r>
        <w:rPr/>
        <w:t xml:space="preserve">Reverse check: $95 invested at 5% for 1 year → $100. $91 invested at 5% for 2 years → $100. This is the </w:t>
      </w:r>
      <w:r>
        <w:rPr>
          <w:b/>
        </w:rPr>
        <w:t>time value of money</w:t>
      </w:r>
      <w:r>
        <w:rPr/>
        <w:t>.</w:t>
      </w:r>
    </w:p>
    <w:p>
      <w:pPr>
        <w:pStyle w:val="BodyText"/>
        <w:numPr>
          <w:ilvl w:val="0"/>
          <w:numId w:val="234"/>
        </w:numPr>
        <w:tabs>
          <w:tab w:val="clear" w:pos="709"/>
          <w:tab w:val="left" w:pos="709" w:leader="none"/>
        </w:tabs>
        <w:bidi w:val="0"/>
        <w:ind w:hanging="283" w:start="709"/>
        <w:jc w:val="start"/>
        <w:rPr/>
      </w:pPr>
      <w:r>
        <w:rPr/>
        <w:t xml:space="preserve">Valuing a business is identical, except the machine prints cash for </w:t>
      </w:r>
      <w:r>
        <w:rPr>
          <w:b/>
        </w:rPr>
        <w:t>20 years</w:t>
      </w:r>
      <w:r>
        <w:rPr/>
        <w:t xml:space="preserve">, not 3. In addition, the calculator brings in the company's </w:t>
      </w:r>
      <w:r>
        <w:rPr>
          <w:b/>
        </w:rPr>
        <w:t>total debt</w:t>
      </w:r>
      <w:r>
        <w:rPr/>
        <w:t xml:space="preserve"> and its </w:t>
      </w:r>
      <w:r>
        <w:rPr>
          <w:b/>
        </w:rPr>
        <w:t>cash and equivalents</w:t>
      </w:r>
      <w:r>
        <w:rPr/>
        <w:t xml:space="preserve"> to arrive at the value of the business today.</w:t>
      </w:r>
    </w:p>
    <w:p>
      <w:pPr>
        <w:pStyle w:val="Heading4"/>
        <w:numPr>
          <w:ilvl w:val="0"/>
          <w:numId w:val="0"/>
        </w:numPr>
        <w:bidi w:val="0"/>
        <w:ind w:hanging="0" w:start="0"/>
        <w:jc w:val="start"/>
        <w:rPr/>
      </w:pPr>
      <w:r>
        <w:rPr/>
        <w:t>4.3 Preconditions for using DCF</w:t>
      </w:r>
    </w:p>
    <w:p>
      <w:pPr>
        <w:pStyle w:val="BodyText"/>
        <w:numPr>
          <w:ilvl w:val="0"/>
          <w:numId w:val="235"/>
        </w:numPr>
        <w:tabs>
          <w:tab w:val="clear" w:pos="709"/>
          <w:tab w:val="left" w:pos="709" w:leader="none"/>
        </w:tabs>
        <w:bidi w:val="0"/>
        <w:ind w:hanging="283" w:start="709"/>
        <w:jc w:val="start"/>
        <w:rPr/>
      </w:pPr>
      <w:r>
        <w:rPr/>
        <w:t xml:space="preserve">The company must generate </w:t>
      </w:r>
      <w:r>
        <w:rPr>
          <w:b/>
        </w:rPr>
        <w:t>positive cash flow</w:t>
      </w:r>
      <w:r>
        <w:rPr/>
        <w:t>.</w:t>
      </w:r>
    </w:p>
    <w:p>
      <w:pPr>
        <w:pStyle w:val="BodyText"/>
        <w:numPr>
          <w:ilvl w:val="0"/>
          <w:numId w:val="235"/>
        </w:numPr>
        <w:tabs>
          <w:tab w:val="clear" w:pos="709"/>
          <w:tab w:val="left" w:pos="709" w:leader="none"/>
        </w:tabs>
        <w:bidi w:val="0"/>
        <w:ind w:hanging="283" w:start="709"/>
        <w:jc w:val="start"/>
        <w:rPr/>
      </w:pPr>
      <w:r>
        <w:rPr>
          <w:b/>
        </w:rPr>
        <w:t>Cash flow from operations must be increasing consistently.</w:t>
      </w:r>
    </w:p>
    <w:p>
      <w:pPr>
        <w:pStyle w:val="BodyText"/>
        <w:numPr>
          <w:ilvl w:val="0"/>
          <w:numId w:val="235"/>
        </w:numPr>
        <w:tabs>
          <w:tab w:val="clear" w:pos="709"/>
          <w:tab w:val="left" w:pos="709" w:leader="none"/>
        </w:tabs>
        <w:bidi w:val="0"/>
        <w:ind w:hanging="283" w:start="709"/>
        <w:jc w:val="start"/>
        <w:rPr/>
      </w:pPr>
      <w:r>
        <w:rPr/>
        <w:t>You must be able to confidently expect that consistent increase to continue for the next 20 years.</w:t>
      </w:r>
    </w:p>
    <w:p>
      <w:pPr>
        <w:pStyle w:val="BodyText"/>
        <w:numPr>
          <w:ilvl w:val="0"/>
          <w:numId w:val="235"/>
        </w:numPr>
        <w:tabs>
          <w:tab w:val="clear" w:pos="709"/>
          <w:tab w:val="left" w:pos="709" w:leader="none"/>
        </w:tabs>
        <w:bidi w:val="0"/>
        <w:ind w:hanging="283" w:start="709"/>
        <w:jc w:val="start"/>
        <w:rPr/>
      </w:pPr>
      <w:r>
        <w:rPr/>
        <w:t xml:space="preserve">"Consistently increasing" does </w:t>
      </w:r>
      <w:r>
        <w:rPr>
          <w:b/>
        </w:rPr>
        <w:t>not</w:t>
      </w:r>
      <w:r>
        <w:rPr/>
        <w:t xml:space="preserve"> mean up every single year — one or two down years are fine as long as the general trend is up. (MasterCard's free cash flow chart is the illustration of what a clean uptrend looks like.)</w:t>
      </w:r>
    </w:p>
    <w:p>
      <w:pPr>
        <w:pStyle w:val="Heading4"/>
        <w:numPr>
          <w:ilvl w:val="0"/>
          <w:numId w:val="0"/>
        </w:numPr>
        <w:bidi w:val="0"/>
        <w:ind w:hanging="0" w:start="0"/>
        <w:jc w:val="start"/>
        <w:rPr/>
      </w:pPr>
      <w:r>
        <w:rPr/>
        <w:t>4.4 Which cash flow to use</w:t>
      </w:r>
    </w:p>
    <w:p>
      <w:pPr>
        <w:pStyle w:val="BodyText"/>
        <w:numPr>
          <w:ilvl w:val="0"/>
          <w:numId w:val="236"/>
        </w:numPr>
        <w:tabs>
          <w:tab w:val="clear" w:pos="709"/>
          <w:tab w:val="left" w:pos="709" w:leader="none"/>
        </w:tabs>
        <w:bidi w:val="0"/>
        <w:spacing w:before="0" w:after="0"/>
        <w:ind w:hanging="283" w:start="709"/>
        <w:jc w:val="start"/>
        <w:rPr/>
      </w:pPr>
      <w:r>
        <w:rPr>
          <w:b/>
        </w:rPr>
        <w:t>Default: Free Cash Flow (FCF).</w:t>
      </w:r>
    </w:p>
    <w:p>
      <w:pPr>
        <w:pStyle w:val="BodyText"/>
        <w:numPr>
          <w:ilvl w:val="1"/>
          <w:numId w:val="236"/>
        </w:numPr>
        <w:tabs>
          <w:tab w:val="clear" w:pos="709"/>
          <w:tab w:val="left" w:pos="1418" w:leader="none"/>
        </w:tabs>
        <w:bidi w:val="0"/>
        <w:ind w:hanging="283" w:start="1418"/>
        <w:jc w:val="start"/>
        <w:rPr/>
      </w:pPr>
      <w:r>
        <w:rPr>
          <w:rFonts w:ascii="Liberation Mono" w:hAnsi="Liberation Mono"/>
        </w:rPr>
        <w:t>FCF = Cash flow from operations − Capital expenditure</w:t>
      </w:r>
    </w:p>
    <w:p>
      <w:pPr>
        <w:pStyle w:val="BodyText"/>
        <w:numPr>
          <w:ilvl w:val="1"/>
          <w:numId w:val="236"/>
        </w:numPr>
        <w:tabs>
          <w:tab w:val="clear" w:pos="709"/>
          <w:tab w:val="left" w:pos="1418" w:leader="none"/>
        </w:tabs>
        <w:bidi w:val="0"/>
        <w:ind w:hanging="283" w:start="1418"/>
        <w:jc w:val="start"/>
        <w:rPr/>
      </w:pPr>
      <w:r>
        <w:rPr/>
        <w:t xml:space="preserve">It shows how much cash the business generates from operations after capex — what is actually </w:t>
      </w:r>
      <w:r>
        <w:rPr>
          <w:b/>
        </w:rPr>
        <w:t>left for shareholders</w:t>
      </w:r>
      <w:r>
        <w:rPr/>
        <w:t xml:space="preserve"> (to pay dividends, buy back shares, or retain). This is the </w:t>
      </w:r>
      <w:r>
        <w:rPr>
          <w:b/>
        </w:rPr>
        <w:t>true earning power</w:t>
      </w:r>
      <w:r>
        <w:rPr/>
        <w:t xml:space="preserve"> of the business.</w:t>
      </w:r>
    </w:p>
    <w:p>
      <w:pPr>
        <w:pStyle w:val="BodyText"/>
        <w:numPr>
          <w:ilvl w:val="0"/>
          <w:numId w:val="236"/>
        </w:numPr>
        <w:tabs>
          <w:tab w:val="clear" w:pos="709"/>
          <w:tab w:val="left" w:pos="709" w:leader="none"/>
        </w:tabs>
        <w:bidi w:val="0"/>
        <w:ind w:hanging="283" w:start="709"/>
        <w:jc w:val="start"/>
        <w:rPr/>
      </w:pPr>
      <w:r>
        <w:rPr/>
        <w:t>Alternatives when FCF is distorted — see §5.</w:t>
      </w:r>
    </w:p>
    <w:p>
      <w:pPr>
        <w:pStyle w:val="Heading4"/>
        <w:numPr>
          <w:ilvl w:val="0"/>
          <w:numId w:val="0"/>
        </w:numPr>
        <w:bidi w:val="0"/>
        <w:ind w:hanging="0" w:start="0"/>
        <w:jc w:val="start"/>
        <w:rPr/>
      </w:pPr>
      <w:r>
        <w:rPr/>
        <w:t>4.5 Input-by-input procedure (Intrinsic Value Calculator)</w:t>
      </w:r>
    </w:p>
    <w:tbl>
      <w:tblPr>
        <w:tblW w:w="5000" w:type="pct"/>
        <w:jc w:val="start"/>
        <w:tblInd w:w="-5" w:type="dxa"/>
        <w:tblLayout w:type="fixed"/>
        <w:tblCellMar>
          <w:top w:w="55" w:type="dxa"/>
          <w:start w:w="55" w:type="dxa"/>
          <w:bottom w:w="55" w:type="dxa"/>
          <w:end w:w="55" w:type="dxa"/>
        </w:tblCellMar>
      </w:tblPr>
      <w:tblGrid>
        <w:gridCol w:w="3212"/>
        <w:gridCol w:w="3213"/>
        <w:gridCol w:w="3213"/>
      </w:tblGrid>
      <w:tr>
        <w:trPr>
          <w:tblHeader w:val="true"/>
        </w:trPr>
        <w:tc>
          <w:tcPr>
            <w:tcW w:w="3212" w:type="dxa"/>
            <w:tcBorders>
              <w:top w:val="single" w:sz="4" w:space="0" w:color="000000"/>
              <w:start w:val="single" w:sz="4" w:space="0" w:color="000000"/>
              <w:bottom w:val="single" w:sz="4" w:space="0" w:color="000000"/>
            </w:tcBorders>
          </w:tcPr>
          <w:p>
            <w:pPr>
              <w:pStyle w:val="TableHeading"/>
              <w:bidi w:val="0"/>
              <w:jc w:val="start"/>
              <w:rPr/>
            </w:pPr>
            <w:r>
              <w:rPr/>
              <w:t>Step</w:t>
            </w:r>
          </w:p>
        </w:tc>
        <w:tc>
          <w:tcPr>
            <w:tcW w:w="3213" w:type="dxa"/>
            <w:tcBorders>
              <w:top w:val="single" w:sz="4" w:space="0" w:color="000000"/>
              <w:start w:val="single" w:sz="4" w:space="0" w:color="000000"/>
              <w:bottom w:val="single" w:sz="4" w:space="0" w:color="000000"/>
            </w:tcBorders>
          </w:tcPr>
          <w:p>
            <w:pPr>
              <w:pStyle w:val="TableHeading"/>
              <w:bidi w:val="0"/>
              <w:jc w:val="start"/>
              <w:rPr/>
            </w:pPr>
            <w:r>
              <w:rPr/>
              <w:t>Input</w:t>
            </w:r>
          </w:p>
        </w:tc>
        <w:tc>
          <w:tcPr>
            <w:tcW w:w="3213"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Where to get it</w:t>
            </w:r>
          </w:p>
        </w:tc>
      </w:tr>
      <w:tr>
        <w:trPr/>
        <w:tc>
          <w:tcPr>
            <w:tcW w:w="3212" w:type="dxa"/>
            <w:tcBorders>
              <w:start w:val="single" w:sz="4" w:space="0" w:color="000000"/>
              <w:bottom w:val="single" w:sz="4" w:space="0" w:color="000000"/>
            </w:tcBorders>
          </w:tcPr>
          <w:p>
            <w:pPr>
              <w:pStyle w:val="TableContents"/>
              <w:bidi w:val="0"/>
              <w:jc w:val="start"/>
              <w:rPr/>
            </w:pPr>
            <w:r>
              <w:rPr/>
              <w:t>1</w:t>
            </w:r>
          </w:p>
        </w:tc>
        <w:tc>
          <w:tcPr>
            <w:tcW w:w="3213" w:type="dxa"/>
            <w:tcBorders>
              <w:start w:val="single" w:sz="4" w:space="0" w:color="000000"/>
              <w:bottom w:val="single" w:sz="4" w:space="0" w:color="000000"/>
            </w:tcBorders>
          </w:tcPr>
          <w:p>
            <w:pPr>
              <w:pStyle w:val="TableContents"/>
              <w:bidi w:val="0"/>
              <w:jc w:val="start"/>
              <w:rPr/>
            </w:pPr>
            <w:r>
              <w:rPr/>
              <w:t>Stock name</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w:t>
            </w:r>
          </w:p>
        </w:tc>
      </w:tr>
      <w:tr>
        <w:trPr/>
        <w:tc>
          <w:tcPr>
            <w:tcW w:w="3212" w:type="dxa"/>
            <w:tcBorders>
              <w:start w:val="single" w:sz="4" w:space="0" w:color="000000"/>
              <w:bottom w:val="single" w:sz="4" w:space="0" w:color="000000"/>
            </w:tcBorders>
          </w:tcPr>
          <w:p>
            <w:pPr>
              <w:pStyle w:val="TableContents"/>
              <w:bidi w:val="0"/>
              <w:jc w:val="start"/>
              <w:rPr/>
            </w:pPr>
            <w:r>
              <w:rPr/>
              <w:t>2</w:t>
            </w:r>
          </w:p>
        </w:tc>
        <w:tc>
          <w:tcPr>
            <w:tcW w:w="3213" w:type="dxa"/>
            <w:tcBorders>
              <w:start w:val="single" w:sz="4" w:space="0" w:color="000000"/>
              <w:bottom w:val="single" w:sz="4" w:space="0" w:color="000000"/>
            </w:tcBorders>
          </w:tcPr>
          <w:p>
            <w:pPr>
              <w:pStyle w:val="TableContents"/>
              <w:bidi w:val="0"/>
              <w:jc w:val="start"/>
              <w:rPr/>
            </w:pPr>
            <w:r>
              <w:rPr/>
              <w:t>Ticker symbol</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Any financial site (StockOracle, Yahoo Finance)</w:t>
            </w:r>
          </w:p>
        </w:tc>
      </w:tr>
      <w:tr>
        <w:trPr/>
        <w:tc>
          <w:tcPr>
            <w:tcW w:w="3212" w:type="dxa"/>
            <w:tcBorders>
              <w:start w:val="single" w:sz="4" w:space="0" w:color="000000"/>
              <w:bottom w:val="single" w:sz="4" w:space="0" w:color="000000"/>
            </w:tcBorders>
          </w:tcPr>
          <w:p>
            <w:pPr>
              <w:pStyle w:val="TableContents"/>
              <w:bidi w:val="0"/>
              <w:jc w:val="start"/>
              <w:rPr/>
            </w:pPr>
            <w:r>
              <w:rPr/>
              <w:t>3</w:t>
            </w:r>
          </w:p>
        </w:tc>
        <w:tc>
          <w:tcPr>
            <w:tcW w:w="3213" w:type="dxa"/>
            <w:tcBorders>
              <w:start w:val="single" w:sz="4" w:space="0" w:color="000000"/>
              <w:bottom w:val="single" w:sz="4" w:space="0" w:color="000000"/>
            </w:tcBorders>
          </w:tcPr>
          <w:p>
            <w:pPr>
              <w:pStyle w:val="TableContents"/>
              <w:bidi w:val="0"/>
              <w:jc w:val="start"/>
              <w:rPr/>
            </w:pPr>
            <w:r>
              <w:rPr>
                <w:b/>
              </w:rPr>
              <w:t>Valuation method</w:t>
            </w:r>
            <w:r>
              <w:rPr/>
              <w:t xml:space="preserve"> = Discounted Free Cash Flow</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Dropdown in the calculator</w:t>
            </w:r>
          </w:p>
        </w:tc>
      </w:tr>
      <w:tr>
        <w:trPr/>
        <w:tc>
          <w:tcPr>
            <w:tcW w:w="3212" w:type="dxa"/>
            <w:tcBorders>
              <w:start w:val="single" w:sz="4" w:space="0" w:color="000000"/>
              <w:bottom w:val="single" w:sz="4" w:space="0" w:color="000000"/>
            </w:tcBorders>
          </w:tcPr>
          <w:p>
            <w:pPr>
              <w:pStyle w:val="TableContents"/>
              <w:bidi w:val="0"/>
              <w:jc w:val="start"/>
              <w:rPr/>
            </w:pPr>
            <w:r>
              <w:rPr/>
              <w:t>4</w:t>
            </w:r>
          </w:p>
        </w:tc>
        <w:tc>
          <w:tcPr>
            <w:tcW w:w="3213" w:type="dxa"/>
            <w:tcBorders>
              <w:start w:val="single" w:sz="4" w:space="0" w:color="000000"/>
              <w:bottom w:val="single" w:sz="4" w:space="0" w:color="000000"/>
            </w:tcBorders>
          </w:tcPr>
          <w:p>
            <w:pPr>
              <w:pStyle w:val="TableContents"/>
              <w:bidi w:val="0"/>
              <w:jc w:val="start"/>
              <w:rPr/>
            </w:pPr>
            <w:r>
              <w:rPr>
                <w:b/>
              </w:rPr>
              <w:t>Latest free cash flow (last 12 months)</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 xml:space="preserve">Financials → </w:t>
            </w:r>
            <w:r>
              <w:rPr>
                <w:b/>
              </w:rPr>
              <w:t>Cash Flow Statement → Annual → first column = last 12 months</w:t>
            </w:r>
          </w:p>
        </w:tc>
      </w:tr>
      <w:tr>
        <w:trPr/>
        <w:tc>
          <w:tcPr>
            <w:tcW w:w="3212" w:type="dxa"/>
            <w:tcBorders>
              <w:start w:val="single" w:sz="4" w:space="0" w:color="000000"/>
              <w:bottom w:val="single" w:sz="4" w:space="0" w:color="000000"/>
            </w:tcBorders>
          </w:tcPr>
          <w:p>
            <w:pPr>
              <w:pStyle w:val="TableContents"/>
              <w:bidi w:val="0"/>
              <w:jc w:val="start"/>
              <w:rPr/>
            </w:pPr>
            <w:r>
              <w:rPr/>
              <w:t>5</w:t>
            </w:r>
          </w:p>
        </w:tc>
        <w:tc>
          <w:tcPr>
            <w:tcW w:w="3213" w:type="dxa"/>
            <w:tcBorders>
              <w:start w:val="single" w:sz="4" w:space="0" w:color="000000"/>
              <w:bottom w:val="single" w:sz="4" w:space="0" w:color="000000"/>
            </w:tcBorders>
          </w:tcPr>
          <w:p>
            <w:pPr>
              <w:pStyle w:val="TableContents"/>
              <w:bidi w:val="0"/>
              <w:jc w:val="start"/>
              <w:rPr/>
            </w:pPr>
            <w:r>
              <w:rPr>
                <w:b/>
              </w:rPr>
              <w:t>Total debt</w:t>
            </w:r>
            <w:r>
              <w:rPr/>
              <w:t xml:space="preserve"> = short-term debt + long-term debt (</w:t>
            </w:r>
            <w:r>
              <w:rPr>
                <w:b/>
              </w:rPr>
              <w:t>NOT total liabilities</w:t>
            </w:r>
            <w:r>
              <w:rPr/>
              <w:t>)</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b/>
              </w:rPr>
              <w:t>Balance Sheet → Quarterly (latest point in time) → Liabilities</w:t>
            </w:r>
          </w:p>
        </w:tc>
      </w:tr>
      <w:tr>
        <w:trPr/>
        <w:tc>
          <w:tcPr>
            <w:tcW w:w="3212" w:type="dxa"/>
            <w:tcBorders>
              <w:start w:val="single" w:sz="4" w:space="0" w:color="000000"/>
              <w:bottom w:val="single" w:sz="4" w:space="0" w:color="000000"/>
            </w:tcBorders>
          </w:tcPr>
          <w:p>
            <w:pPr>
              <w:pStyle w:val="TableContents"/>
              <w:bidi w:val="0"/>
              <w:jc w:val="start"/>
              <w:rPr/>
            </w:pPr>
            <w:r>
              <w:rPr/>
              <w:t>6</w:t>
            </w:r>
          </w:p>
        </w:tc>
        <w:tc>
          <w:tcPr>
            <w:tcW w:w="3213" w:type="dxa"/>
            <w:tcBorders>
              <w:start w:val="single" w:sz="4" w:space="0" w:color="000000"/>
              <w:bottom w:val="single" w:sz="4" w:space="0" w:color="000000"/>
            </w:tcBorders>
          </w:tcPr>
          <w:p>
            <w:pPr>
              <w:pStyle w:val="TableContents"/>
              <w:bidi w:val="0"/>
              <w:jc w:val="start"/>
              <w:rPr/>
            </w:pPr>
            <w:r>
              <w:rPr>
                <w:b/>
              </w:rPr>
              <w:t>Cash and short-term investments</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b/>
              </w:rPr>
              <w:t>Balance Sheet → Quarterly → Assets</w:t>
            </w:r>
          </w:p>
        </w:tc>
      </w:tr>
      <w:tr>
        <w:trPr/>
        <w:tc>
          <w:tcPr>
            <w:tcW w:w="3212" w:type="dxa"/>
            <w:tcBorders>
              <w:start w:val="single" w:sz="4" w:space="0" w:color="000000"/>
              <w:bottom w:val="single" w:sz="4" w:space="0" w:color="000000"/>
            </w:tcBorders>
          </w:tcPr>
          <w:p>
            <w:pPr>
              <w:pStyle w:val="TableContents"/>
              <w:bidi w:val="0"/>
              <w:jc w:val="start"/>
              <w:rPr/>
            </w:pPr>
            <w:r>
              <w:rPr/>
              <w:t>7</w:t>
            </w:r>
          </w:p>
        </w:tc>
        <w:tc>
          <w:tcPr>
            <w:tcW w:w="3213" w:type="dxa"/>
            <w:tcBorders>
              <w:start w:val="single" w:sz="4" w:space="0" w:color="000000"/>
              <w:bottom w:val="single" w:sz="4" w:space="0" w:color="000000"/>
            </w:tcBorders>
          </w:tcPr>
          <w:p>
            <w:pPr>
              <w:pStyle w:val="TableContents"/>
              <w:bidi w:val="0"/>
              <w:jc w:val="start"/>
              <w:rPr/>
            </w:pPr>
            <w:r>
              <w:rPr>
                <w:b/>
              </w:rPr>
              <w:t>Growth rate years 1–5</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Consensus analyst estimates (see §4.6)</w:t>
            </w:r>
          </w:p>
        </w:tc>
      </w:tr>
      <w:tr>
        <w:trPr/>
        <w:tc>
          <w:tcPr>
            <w:tcW w:w="3212" w:type="dxa"/>
            <w:tcBorders>
              <w:start w:val="single" w:sz="4" w:space="0" w:color="000000"/>
              <w:bottom w:val="single" w:sz="4" w:space="0" w:color="000000"/>
            </w:tcBorders>
          </w:tcPr>
          <w:p>
            <w:pPr>
              <w:pStyle w:val="TableContents"/>
              <w:bidi w:val="0"/>
              <w:jc w:val="start"/>
              <w:rPr/>
            </w:pPr>
            <w:r>
              <w:rPr/>
              <w:t>8</w:t>
            </w:r>
          </w:p>
        </w:tc>
        <w:tc>
          <w:tcPr>
            <w:tcW w:w="3213" w:type="dxa"/>
            <w:tcBorders>
              <w:start w:val="single" w:sz="4" w:space="0" w:color="000000"/>
              <w:bottom w:val="single" w:sz="4" w:space="0" w:color="000000"/>
            </w:tcBorders>
          </w:tcPr>
          <w:p>
            <w:pPr>
              <w:pStyle w:val="TableContents"/>
              <w:bidi w:val="0"/>
              <w:jc w:val="start"/>
              <w:rPr/>
            </w:pPr>
            <w:r>
              <w:rPr>
                <w:b/>
              </w:rPr>
              <w:t>Growth rate years 6–10</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 xml:space="preserve">Base case = same as years 1–5, </w:t>
            </w:r>
            <w:r>
              <w:rPr>
                <w:b/>
              </w:rPr>
              <w:t>capped at a maximum of 15%</w:t>
            </w:r>
          </w:p>
        </w:tc>
      </w:tr>
      <w:tr>
        <w:trPr/>
        <w:tc>
          <w:tcPr>
            <w:tcW w:w="3212" w:type="dxa"/>
            <w:tcBorders>
              <w:start w:val="single" w:sz="4" w:space="0" w:color="000000"/>
              <w:bottom w:val="single" w:sz="4" w:space="0" w:color="000000"/>
            </w:tcBorders>
          </w:tcPr>
          <w:p>
            <w:pPr>
              <w:pStyle w:val="TableContents"/>
              <w:bidi w:val="0"/>
              <w:jc w:val="start"/>
              <w:rPr/>
            </w:pPr>
            <w:r>
              <w:rPr/>
              <w:t>9</w:t>
            </w:r>
          </w:p>
        </w:tc>
        <w:tc>
          <w:tcPr>
            <w:tcW w:w="3213" w:type="dxa"/>
            <w:tcBorders>
              <w:start w:val="single" w:sz="4" w:space="0" w:color="000000"/>
              <w:bottom w:val="single" w:sz="4" w:space="0" w:color="000000"/>
            </w:tcBorders>
          </w:tcPr>
          <w:p>
            <w:pPr>
              <w:pStyle w:val="TableContents"/>
              <w:bidi w:val="0"/>
              <w:jc w:val="start"/>
              <w:rPr/>
            </w:pPr>
            <w:r>
              <w:rPr>
                <w:b/>
              </w:rPr>
              <w:t>Growth rate years 11–20</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b/>
              </w:rPr>
              <w:t>Default 4%</w:t>
            </w:r>
          </w:p>
        </w:tc>
      </w:tr>
      <w:tr>
        <w:trPr/>
        <w:tc>
          <w:tcPr>
            <w:tcW w:w="3212" w:type="dxa"/>
            <w:tcBorders>
              <w:start w:val="single" w:sz="4" w:space="0" w:color="000000"/>
              <w:bottom w:val="single" w:sz="4" w:space="0" w:color="000000"/>
            </w:tcBorders>
          </w:tcPr>
          <w:p>
            <w:pPr>
              <w:pStyle w:val="TableContents"/>
              <w:bidi w:val="0"/>
              <w:jc w:val="start"/>
              <w:rPr/>
            </w:pPr>
            <w:r>
              <w:rPr/>
              <w:t>10</w:t>
            </w:r>
          </w:p>
        </w:tc>
        <w:tc>
          <w:tcPr>
            <w:tcW w:w="3213" w:type="dxa"/>
            <w:tcBorders>
              <w:start w:val="single" w:sz="4" w:space="0" w:color="000000"/>
              <w:bottom w:val="single" w:sz="4" w:space="0" w:color="000000"/>
            </w:tcBorders>
          </w:tcPr>
          <w:p>
            <w:pPr>
              <w:pStyle w:val="TableContents"/>
              <w:bidi w:val="0"/>
              <w:jc w:val="start"/>
              <w:rPr/>
            </w:pPr>
            <w:r>
              <w:rPr>
                <w:b/>
              </w:rPr>
              <w:t>Shares outstanding</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 xml:space="preserve">Overview → shares outstanding → use the </w:t>
            </w:r>
            <w:r>
              <w:rPr>
                <w:b/>
              </w:rPr>
              <w:t>diluted average</w:t>
            </w:r>
          </w:p>
        </w:tc>
      </w:tr>
      <w:tr>
        <w:trPr/>
        <w:tc>
          <w:tcPr>
            <w:tcW w:w="3212" w:type="dxa"/>
            <w:tcBorders>
              <w:start w:val="single" w:sz="4" w:space="0" w:color="000000"/>
              <w:bottom w:val="single" w:sz="4" w:space="0" w:color="000000"/>
            </w:tcBorders>
          </w:tcPr>
          <w:p>
            <w:pPr>
              <w:pStyle w:val="TableContents"/>
              <w:bidi w:val="0"/>
              <w:jc w:val="start"/>
              <w:rPr/>
            </w:pPr>
            <w:r>
              <w:rPr/>
              <w:t>11</w:t>
            </w:r>
          </w:p>
        </w:tc>
        <w:tc>
          <w:tcPr>
            <w:tcW w:w="3213" w:type="dxa"/>
            <w:tcBorders>
              <w:start w:val="single" w:sz="4" w:space="0" w:color="000000"/>
              <w:bottom w:val="single" w:sz="4" w:space="0" w:color="000000"/>
            </w:tcBorders>
          </w:tcPr>
          <w:p>
            <w:pPr>
              <w:pStyle w:val="TableContents"/>
              <w:bidi w:val="0"/>
              <w:jc w:val="start"/>
              <w:rPr/>
            </w:pPr>
            <w:r>
              <w:rPr>
                <w:b/>
              </w:rPr>
              <w:t>Discount rate</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From the beta table in the calculator (see §4.7)</w:t>
            </w:r>
          </w:p>
        </w:tc>
      </w:tr>
      <w:tr>
        <w:trPr/>
        <w:tc>
          <w:tcPr>
            <w:tcW w:w="3212" w:type="dxa"/>
            <w:tcBorders>
              <w:start w:val="single" w:sz="4" w:space="0" w:color="000000"/>
              <w:bottom w:val="single" w:sz="4" w:space="0" w:color="000000"/>
            </w:tcBorders>
          </w:tcPr>
          <w:p>
            <w:pPr>
              <w:pStyle w:val="TableContents"/>
              <w:bidi w:val="0"/>
              <w:jc w:val="start"/>
              <w:rPr/>
            </w:pPr>
            <w:r>
              <w:rPr/>
              <w:t>12</w:t>
            </w:r>
          </w:p>
        </w:tc>
        <w:tc>
          <w:tcPr>
            <w:tcW w:w="3213" w:type="dxa"/>
            <w:tcBorders>
              <w:start w:val="single" w:sz="4" w:space="0" w:color="000000"/>
              <w:bottom w:val="single" w:sz="4" w:space="0" w:color="000000"/>
            </w:tcBorders>
          </w:tcPr>
          <w:p>
            <w:pPr>
              <w:pStyle w:val="TableContents"/>
              <w:bidi w:val="0"/>
              <w:jc w:val="start"/>
              <w:rPr/>
            </w:pPr>
            <w:r>
              <w:rPr/>
              <w:t>Currency of financial statements / currency of share price / exchange rate</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Needed for non-US stocks (§6.1)</w:t>
            </w:r>
          </w:p>
        </w:tc>
      </w:tr>
    </w:tbl>
    <w:p>
      <w:pPr>
        <w:pStyle w:val="BodyText"/>
        <w:bidi w:val="0"/>
        <w:jc w:val="start"/>
        <w:rPr/>
      </w:pPr>
      <w:r>
        <w:rPr/>
      </w:r>
    </w:p>
    <w:p>
      <w:pPr>
        <w:pStyle w:val="BodyText"/>
        <w:numPr>
          <w:ilvl w:val="0"/>
          <w:numId w:val="237"/>
        </w:numPr>
        <w:tabs>
          <w:tab w:val="clear" w:pos="709"/>
          <w:tab w:val="left" w:pos="709" w:leader="none"/>
        </w:tabs>
        <w:bidi w:val="0"/>
        <w:ind w:hanging="283" w:start="709"/>
        <w:jc w:val="start"/>
        <w:rPr/>
      </w:pPr>
      <w:r>
        <w:rPr>
          <w:b/>
        </w:rPr>
        <w:t>Denomination warning:</w:t>
      </w:r>
      <w:r>
        <w:rPr/>
        <w:t xml:space="preserve"> StockOracle reports in </w:t>
      </w:r>
      <w:r>
        <w:rPr>
          <w:b/>
        </w:rPr>
        <w:t>millions</w:t>
      </w:r>
      <w:r>
        <w:rPr/>
        <w:t xml:space="preserve">; Yahoo Finance reports in </w:t>
      </w:r>
      <w:r>
        <w:rPr>
          <w:b/>
        </w:rPr>
        <w:t>thousands</w:t>
      </w:r>
      <w:r>
        <w:rPr/>
        <w:t>. Always check and convert before keying in — the calculator expects millions.</w:t>
      </w:r>
    </w:p>
    <w:p>
      <w:pPr>
        <w:pStyle w:val="Heading4"/>
        <w:numPr>
          <w:ilvl w:val="0"/>
          <w:numId w:val="0"/>
        </w:numPr>
        <w:bidi w:val="0"/>
        <w:ind w:hanging="0" w:start="0"/>
        <w:jc w:val="start"/>
        <w:rPr/>
      </w:pPr>
      <w:r>
        <w:rPr/>
        <w:t>4.6 Growth rate — sourcing and rules</w:t>
      </w:r>
    </w:p>
    <w:p>
      <w:pPr>
        <w:pStyle w:val="BodyText"/>
        <w:numPr>
          <w:ilvl w:val="0"/>
          <w:numId w:val="238"/>
        </w:numPr>
        <w:tabs>
          <w:tab w:val="clear" w:pos="709"/>
          <w:tab w:val="left" w:pos="709" w:leader="none"/>
        </w:tabs>
        <w:bidi w:val="0"/>
        <w:ind w:hanging="283" w:start="709"/>
        <w:jc w:val="start"/>
        <w:rPr/>
      </w:pPr>
      <w:r>
        <w:rPr/>
        <w:t xml:space="preserve">Use </w:t>
      </w:r>
      <w:r>
        <w:rPr>
          <w:b/>
        </w:rPr>
        <w:t>consensus analyst estimates</w:t>
      </w:r>
      <w:r>
        <w:rPr/>
        <w:t>. Hundreds of analysts study the company, and most US companies give forward guidance.</w:t>
      </w:r>
    </w:p>
    <w:p>
      <w:pPr>
        <w:pStyle w:val="BodyText"/>
        <w:numPr>
          <w:ilvl w:val="0"/>
          <w:numId w:val="238"/>
        </w:numPr>
        <w:tabs>
          <w:tab w:val="clear" w:pos="709"/>
          <w:tab w:val="left" w:pos="709" w:leader="none"/>
        </w:tabs>
        <w:bidi w:val="0"/>
        <w:spacing w:before="0" w:after="0"/>
        <w:ind w:hanging="283" w:start="709"/>
        <w:jc w:val="start"/>
        <w:rPr/>
      </w:pPr>
      <w:r>
        <w:rPr/>
        <w:t xml:space="preserve">Three sources, take an </w:t>
      </w:r>
      <w:r>
        <w:rPr>
          <w:b/>
        </w:rPr>
        <w:t>average of the three</w:t>
      </w:r>
      <w:r>
        <w:rPr/>
        <w:t xml:space="preserve"> (Adam's illustration: "like going to different doctors, you get different opinions"):</w:t>
      </w:r>
    </w:p>
    <w:p>
      <w:pPr>
        <w:pStyle w:val="BodyText"/>
        <w:numPr>
          <w:ilvl w:val="1"/>
          <w:numId w:val="238"/>
        </w:numPr>
        <w:tabs>
          <w:tab w:val="clear" w:pos="709"/>
          <w:tab w:val="left" w:pos="1418" w:leader="none"/>
        </w:tabs>
        <w:bidi w:val="0"/>
        <w:spacing w:before="0" w:after="0"/>
        <w:ind w:hanging="283" w:start="1418"/>
        <w:jc w:val="start"/>
        <w:rPr/>
      </w:pPr>
      <w:r>
        <w:rPr>
          <w:b/>
        </w:rPr>
        <w:t>StockOracle → Company Metrics → scroll to Growth Rates → Projected</w:t>
      </w:r>
      <w:r>
        <w:rPr/>
        <w:t xml:space="preserve"> (data from FactSet)</w:t>
      </w:r>
    </w:p>
    <w:p>
      <w:pPr>
        <w:pStyle w:val="BodyText"/>
        <w:numPr>
          <w:ilvl w:val="2"/>
          <w:numId w:val="238"/>
        </w:numPr>
        <w:tabs>
          <w:tab w:val="clear" w:pos="709"/>
          <w:tab w:val="left" w:pos="2127" w:leader="none"/>
        </w:tabs>
        <w:bidi w:val="0"/>
        <w:ind w:hanging="283" w:start="2127"/>
        <w:jc w:val="start"/>
        <w:rPr/>
      </w:pPr>
      <w:r>
        <w:rPr/>
        <w:t xml:space="preserve">Use the </w:t>
      </w:r>
      <w:r>
        <w:rPr>
          <w:b/>
        </w:rPr>
        <w:t>projected 3–5 year EPS growth rate</w:t>
      </w:r>
      <w:r>
        <w:rPr/>
        <w:t xml:space="preserve"> as the proxy for the cash-flow growth rate, because </w:t>
      </w:r>
      <w:r>
        <w:rPr>
          <w:b/>
        </w:rPr>
        <w:t>over the long run earnings and cash flow grow in line</w:t>
      </w:r>
      <w:r>
        <w:rPr/>
        <w:t>.</w:t>
      </w:r>
    </w:p>
    <w:p>
      <w:pPr>
        <w:pStyle w:val="BodyText"/>
        <w:numPr>
          <w:ilvl w:val="2"/>
          <w:numId w:val="238"/>
        </w:numPr>
        <w:tabs>
          <w:tab w:val="clear" w:pos="709"/>
          <w:tab w:val="left" w:pos="2127" w:leader="none"/>
        </w:tabs>
        <w:bidi w:val="0"/>
        <w:ind w:hanging="283" w:start="2127"/>
        <w:jc w:val="start"/>
        <w:rPr/>
      </w:pPr>
      <w:r>
        <w:rPr/>
        <w:t xml:space="preserve">A </w:t>
      </w:r>
      <w:r>
        <w:rPr>
          <w:b/>
        </w:rPr>
        <w:t>projected long-term growth rate</w:t>
      </w:r>
      <w:r>
        <w:rPr/>
        <w:t xml:space="preserve"> (beyond 5 years) is also shown — useful for conservative cases.</w:t>
      </w:r>
    </w:p>
    <w:p>
      <w:pPr>
        <w:pStyle w:val="BodyText"/>
        <w:numPr>
          <w:ilvl w:val="1"/>
          <w:numId w:val="238"/>
        </w:numPr>
        <w:tabs>
          <w:tab w:val="clear" w:pos="709"/>
          <w:tab w:val="left" w:pos="1418" w:leader="none"/>
        </w:tabs>
        <w:bidi w:val="0"/>
        <w:ind w:hanging="283" w:start="1418"/>
        <w:jc w:val="start"/>
        <w:rPr/>
      </w:pPr>
      <w:r>
        <w:rPr>
          <w:b/>
        </w:rPr>
        <w:t>FinViz</w:t>
      </w:r>
      <w:r>
        <w:rPr/>
        <w:t xml:space="preserve"> → "EPS next 5Y" / earnings growth next 5 years</w:t>
      </w:r>
    </w:p>
    <w:p>
      <w:pPr>
        <w:pStyle w:val="BodyText"/>
        <w:numPr>
          <w:ilvl w:val="1"/>
          <w:numId w:val="238"/>
        </w:numPr>
        <w:tabs>
          <w:tab w:val="clear" w:pos="709"/>
          <w:tab w:val="left" w:pos="1418" w:leader="none"/>
        </w:tabs>
        <w:bidi w:val="0"/>
        <w:ind w:hanging="283" w:start="1418"/>
        <w:jc w:val="start"/>
        <w:rPr/>
      </w:pPr>
      <w:r>
        <w:rPr>
          <w:b/>
        </w:rPr>
        <w:t>Zacks</w:t>
      </w:r>
      <w:r>
        <w:rPr/>
        <w:t xml:space="preserve"> → projected growth rate</w:t>
      </w:r>
    </w:p>
    <w:p>
      <w:pPr>
        <w:pStyle w:val="BodyText"/>
        <w:numPr>
          <w:ilvl w:val="0"/>
          <w:numId w:val="238"/>
        </w:numPr>
        <w:tabs>
          <w:tab w:val="clear" w:pos="709"/>
          <w:tab w:val="left" w:pos="709" w:leader="none"/>
        </w:tabs>
        <w:bidi w:val="0"/>
        <w:spacing w:before="0" w:after="0"/>
        <w:ind w:hanging="283" w:start="709"/>
        <w:jc w:val="start"/>
        <w:rPr/>
      </w:pPr>
      <w:r>
        <w:rPr>
          <w:b/>
        </w:rPr>
        <w:t>Years 6–10 rule (Adam's own rule): cap at a maximum of 15%.</w:t>
      </w:r>
    </w:p>
    <w:p>
      <w:pPr>
        <w:pStyle w:val="BodyText"/>
        <w:numPr>
          <w:ilvl w:val="1"/>
          <w:numId w:val="238"/>
        </w:numPr>
        <w:tabs>
          <w:tab w:val="clear" w:pos="709"/>
          <w:tab w:val="left" w:pos="1418" w:leader="none"/>
        </w:tabs>
        <w:bidi w:val="0"/>
        <w:ind w:hanging="283" w:start="1418"/>
        <w:jc w:val="start"/>
        <w:rPr/>
      </w:pPr>
      <w:r>
        <w:rPr/>
        <w:t xml:space="preserve">If years 1–5 = 15.53% → years 6–10 = </w:t>
      </w:r>
      <w:r>
        <w:rPr>
          <w:b/>
        </w:rPr>
        <w:t>15%</w:t>
      </w:r>
    </w:p>
    <w:p>
      <w:pPr>
        <w:pStyle w:val="BodyText"/>
        <w:numPr>
          <w:ilvl w:val="1"/>
          <w:numId w:val="238"/>
        </w:numPr>
        <w:tabs>
          <w:tab w:val="clear" w:pos="709"/>
          <w:tab w:val="left" w:pos="1418" w:leader="none"/>
        </w:tabs>
        <w:bidi w:val="0"/>
        <w:ind w:hanging="283" w:start="1418"/>
        <w:jc w:val="start"/>
        <w:rPr/>
      </w:pPr>
      <w:r>
        <w:rPr/>
        <w:t xml:space="preserve">If years 1–5 = 8% → years 6–10 = </w:t>
      </w:r>
      <w:r>
        <w:rPr>
          <w:b/>
        </w:rPr>
        <w:t>8%</w:t>
      </w:r>
    </w:p>
    <w:p>
      <w:pPr>
        <w:pStyle w:val="BodyText"/>
        <w:numPr>
          <w:ilvl w:val="1"/>
          <w:numId w:val="238"/>
        </w:numPr>
        <w:tabs>
          <w:tab w:val="clear" w:pos="709"/>
          <w:tab w:val="left" w:pos="1418" w:leader="none"/>
        </w:tabs>
        <w:bidi w:val="0"/>
        <w:ind w:hanging="283" w:start="1418"/>
        <w:jc w:val="start"/>
        <w:rPr/>
      </w:pPr>
      <w:r>
        <w:rPr/>
        <w:t xml:space="preserve">If years 1–5 = 20% → years 6–10 = </w:t>
      </w:r>
      <w:r>
        <w:rPr>
          <w:b/>
        </w:rPr>
        <w:t>15%</w:t>
      </w:r>
    </w:p>
    <w:p>
      <w:pPr>
        <w:pStyle w:val="BodyText"/>
        <w:numPr>
          <w:ilvl w:val="0"/>
          <w:numId w:val="238"/>
        </w:numPr>
        <w:tabs>
          <w:tab w:val="clear" w:pos="709"/>
          <w:tab w:val="left" w:pos="709" w:leader="none"/>
        </w:tabs>
        <w:bidi w:val="0"/>
        <w:ind w:hanging="283" w:start="709"/>
        <w:jc w:val="start"/>
        <w:rPr/>
      </w:pPr>
      <w:r>
        <w:rPr>
          <w:b/>
        </w:rPr>
        <w:t>Years 11–20 rule: 4% by default</w:t>
      </w:r>
      <w:r>
        <w:rPr/>
        <w:t xml:space="preserve">, on the assumption the business then grows at roughly </w:t>
      </w:r>
      <w:r>
        <w:rPr>
          <w:b/>
        </w:rPr>
        <w:t>nominal GDP + 2%</w:t>
      </w:r>
      <w:r>
        <w:rPr/>
        <w:t>. You may use a lower figure (e.g. 2%) if you are more conservative — this is a style choice.</w:t>
      </w:r>
    </w:p>
    <w:p>
      <w:pPr>
        <w:pStyle w:val="Heading4"/>
        <w:numPr>
          <w:ilvl w:val="0"/>
          <w:numId w:val="0"/>
        </w:numPr>
        <w:bidi w:val="0"/>
        <w:ind w:hanging="0" w:start="0"/>
        <w:jc w:val="start"/>
        <w:rPr/>
      </w:pPr>
      <w:r>
        <w:rPr/>
        <w:t>4.7 Discount rate — why Adam's number</w:t>
      </w:r>
    </w:p>
    <w:p>
      <w:pPr>
        <w:pStyle w:val="BodyText"/>
        <w:numPr>
          <w:ilvl w:val="0"/>
          <w:numId w:val="239"/>
        </w:numPr>
        <w:tabs>
          <w:tab w:val="clear" w:pos="709"/>
          <w:tab w:val="left" w:pos="709" w:leader="none"/>
        </w:tabs>
        <w:bidi w:val="0"/>
        <w:ind w:hanging="283" w:start="709"/>
        <w:jc w:val="start"/>
        <w:rPr/>
      </w:pPr>
      <w:r>
        <w:rPr>
          <w:b/>
        </w:rPr>
        <w:t>Not WACC.</w:t>
      </w:r>
      <w:r>
        <w:rPr/>
        <w:t xml:space="preserve"> Weighted average cost of capital is what CFA/finance-degree curricula use, and it is on StockOracle, but WACC belongs to a </w:t>
      </w:r>
      <w:r>
        <w:rPr>
          <w:b/>
        </w:rPr>
        <w:t>perpetuity (DCF Terminal)</w:t>
      </w:r>
      <w:r>
        <w:rPr/>
        <w:t xml:space="preserve"> valuation. Adam is not assuming the company lasts forever, so he uses a </w:t>
      </w:r>
      <w:r>
        <w:rPr>
          <w:b/>
        </w:rPr>
        <w:t>modified discount rate</w:t>
      </w:r>
      <w:r>
        <w:rPr/>
        <w:t>.</w:t>
      </w:r>
    </w:p>
    <w:p>
      <w:pPr>
        <w:pStyle w:val="BodyText"/>
        <w:numPr>
          <w:ilvl w:val="0"/>
          <w:numId w:val="239"/>
        </w:numPr>
        <w:tabs>
          <w:tab w:val="clear" w:pos="709"/>
          <w:tab w:val="left" w:pos="709" w:leader="none"/>
        </w:tabs>
        <w:bidi w:val="0"/>
        <w:ind w:hanging="283" w:start="709"/>
        <w:jc w:val="start"/>
        <w:rPr/>
      </w:pPr>
      <w:r>
        <w:rPr>
          <w:b/>
        </w:rPr>
        <w:t>Buffett's approach (mentioned, not used):</w:t>
      </w:r>
      <w:r>
        <w:rPr/>
        <w:t xml:space="preserve"> simply the </w:t>
      </w:r>
      <w:r>
        <w:rPr>
          <w:b/>
        </w:rPr>
        <w:t>10-year Treasury bond yield / 10-year Treasury rate</w:t>
      </w:r>
      <w:r>
        <w:rPr/>
        <w:t xml:space="preserve"> — quoted in the lesson as </w:t>
      </w:r>
      <w:r>
        <w:rPr>
          <w:b/>
        </w:rPr>
        <w:t>3.6%</w:t>
      </w:r>
      <w:r>
        <w:rPr/>
        <w:t>.</w:t>
      </w:r>
    </w:p>
    <w:p>
      <w:pPr>
        <w:pStyle w:val="BodyText"/>
        <w:numPr>
          <w:ilvl w:val="0"/>
          <w:numId w:val="239"/>
        </w:numPr>
        <w:tabs>
          <w:tab w:val="clear" w:pos="709"/>
          <w:tab w:val="left" w:pos="709" w:leader="none"/>
        </w:tabs>
        <w:bidi w:val="0"/>
        <w:ind w:hanging="283" w:start="709"/>
        <w:jc w:val="start"/>
        <w:rPr/>
      </w:pPr>
      <w:r>
        <w:rPr>
          <w:b/>
        </w:rPr>
        <w:t>Adam's formula:</w:t>
      </w:r>
    </w:p>
    <w:p>
      <w:pPr>
        <w:pStyle w:val="PreformattedText"/>
        <w:numPr>
          <w:ilvl w:val="0"/>
          <w:numId w:val="0"/>
        </w:numPr>
        <w:shd w:fill="E1E1E1" w:val="clear"/>
        <w:bidi w:val="0"/>
        <w:spacing w:before="0" w:after="283"/>
        <w:ind w:hanging="0" w:start="0"/>
        <w:jc w:val="start"/>
        <w:rPr/>
      </w:pPr>
      <w:r>
        <w:rPr/>
        <w:t>Discount rate = risk-free rate + (beta × market risk premium)</w:t>
      </w:r>
    </w:p>
    <w:p>
      <w:pPr>
        <w:pStyle w:val="BodyText"/>
        <w:numPr>
          <w:ilvl w:val="1"/>
          <w:numId w:val="239"/>
        </w:numPr>
        <w:tabs>
          <w:tab w:val="clear" w:pos="709"/>
          <w:tab w:val="left" w:pos="1418" w:leader="none"/>
        </w:tabs>
        <w:bidi w:val="0"/>
        <w:ind w:hanging="283" w:start="1418"/>
        <w:jc w:val="start"/>
        <w:rPr/>
      </w:pPr>
      <w:r>
        <w:rPr/>
        <w:t xml:space="preserve">Uses the </w:t>
      </w:r>
      <w:r>
        <w:rPr>
          <w:b/>
        </w:rPr>
        <w:t>5-year average risk-free rate</w:t>
      </w:r>
      <w:r>
        <w:rPr/>
        <w:t xml:space="preserve"> and the </w:t>
      </w:r>
      <w:r>
        <w:rPr>
          <w:b/>
        </w:rPr>
        <w:t>5-year average market risk premium</w:t>
      </w:r>
      <w:r>
        <w:rPr/>
        <w:t>.</w:t>
      </w:r>
    </w:p>
    <w:p>
      <w:pPr>
        <w:pStyle w:val="BodyText"/>
        <w:numPr>
          <w:ilvl w:val="1"/>
          <w:numId w:val="239"/>
        </w:numPr>
        <w:tabs>
          <w:tab w:val="clear" w:pos="709"/>
          <w:tab w:val="left" w:pos="1418" w:leader="none"/>
        </w:tabs>
        <w:bidi w:val="0"/>
        <w:ind w:hanging="283" w:start="1418"/>
        <w:jc w:val="start"/>
        <w:rPr/>
      </w:pPr>
      <w:r>
        <w:rPr/>
        <w:t xml:space="preserve">You do </w:t>
      </w:r>
      <w:r>
        <w:rPr>
          <w:b/>
        </w:rPr>
        <w:t>not</w:t>
      </w:r>
      <w:r>
        <w:rPr/>
        <w:t xml:space="preserve"> compute this yourself — the calculator contains a </w:t>
      </w:r>
      <w:r>
        <w:rPr>
          <w:b/>
        </w:rPr>
        <w:t>pre-built lookup table keyed to the stock's beta</w:t>
      </w:r>
      <w:r>
        <w:rPr/>
        <w:t>, updated annually.</w:t>
      </w:r>
    </w:p>
    <w:p>
      <w:pPr>
        <w:pStyle w:val="BodyText"/>
        <w:numPr>
          <w:ilvl w:val="0"/>
          <w:numId w:val="239"/>
        </w:numPr>
        <w:tabs>
          <w:tab w:val="clear" w:pos="709"/>
          <w:tab w:val="left" w:pos="709" w:leader="none"/>
        </w:tabs>
        <w:bidi w:val="0"/>
        <w:spacing w:before="0" w:after="0"/>
        <w:ind w:hanging="283" w:start="709"/>
        <w:jc w:val="start"/>
        <w:rPr/>
      </w:pPr>
      <w:r>
        <w:rPr>
          <w:b/>
        </w:rPr>
        <w:t>What beta means (volatility measure):</w:t>
      </w:r>
    </w:p>
    <w:p>
      <w:pPr>
        <w:pStyle w:val="BodyText"/>
        <w:numPr>
          <w:ilvl w:val="1"/>
          <w:numId w:val="239"/>
        </w:numPr>
        <w:tabs>
          <w:tab w:val="clear" w:pos="709"/>
          <w:tab w:val="left" w:pos="1418" w:leader="none"/>
        </w:tabs>
        <w:bidi w:val="0"/>
        <w:ind w:hanging="283" w:start="1418"/>
        <w:jc w:val="start"/>
        <w:rPr/>
      </w:pPr>
      <w:r>
        <w:rPr/>
        <w:t>Beta 1.0 (e.g. Apple): S&amp;P 500 up 1% → stock up 1%; S&amp;P down 1% → stock down 1%.</w:t>
      </w:r>
    </w:p>
    <w:p>
      <w:pPr>
        <w:pStyle w:val="BodyText"/>
        <w:numPr>
          <w:ilvl w:val="1"/>
          <w:numId w:val="239"/>
        </w:numPr>
        <w:tabs>
          <w:tab w:val="clear" w:pos="709"/>
          <w:tab w:val="left" w:pos="1418" w:leader="none"/>
        </w:tabs>
        <w:bidi w:val="0"/>
        <w:ind w:hanging="283" w:start="1418"/>
        <w:jc w:val="start"/>
        <w:rPr/>
      </w:pPr>
      <w:r>
        <w:rPr/>
        <w:t>Beta 3.0 (e.g. Tesla): S&amp;P up 1% → stock up 3%; S&amp;P down 1% → stock down 3%.</w:t>
      </w:r>
    </w:p>
    <w:p>
      <w:pPr>
        <w:pStyle w:val="BodyText"/>
        <w:numPr>
          <w:ilvl w:val="1"/>
          <w:numId w:val="239"/>
        </w:numPr>
        <w:tabs>
          <w:tab w:val="clear" w:pos="709"/>
          <w:tab w:val="left" w:pos="1418" w:leader="none"/>
        </w:tabs>
        <w:bidi w:val="0"/>
        <w:ind w:hanging="283" w:start="1418"/>
        <w:jc w:val="start"/>
        <w:rPr/>
      </w:pPr>
      <w:r>
        <w:rPr/>
        <w:t>Beta 0.5 (e.g. Coca-Cola): S&amp;P up 1% → stock up 0.5%; down 1% → down 0.5%.</w:t>
      </w:r>
    </w:p>
    <w:p>
      <w:pPr>
        <w:pStyle w:val="BodyText"/>
        <w:numPr>
          <w:ilvl w:val="1"/>
          <w:numId w:val="239"/>
        </w:numPr>
        <w:tabs>
          <w:tab w:val="clear" w:pos="709"/>
          <w:tab w:val="left" w:pos="1418" w:leader="none"/>
        </w:tabs>
        <w:bidi w:val="0"/>
        <w:ind w:hanging="283" w:start="1418"/>
        <w:jc w:val="start"/>
        <w:rPr/>
      </w:pPr>
      <w:r>
        <w:rPr>
          <w:b/>
        </w:rPr>
        <w:t>Higher beta → higher discount rate</w:t>
      </w:r>
      <w:r>
        <w:rPr/>
        <w:t>, i.e. the stock is "punished" for volatility (financial theory). Buffett rejects this and just uses the risk-free rate.</w:t>
      </w:r>
    </w:p>
    <w:p>
      <w:pPr>
        <w:pStyle w:val="BodyText"/>
        <w:numPr>
          <w:ilvl w:val="0"/>
          <w:numId w:val="239"/>
        </w:numPr>
        <w:tabs>
          <w:tab w:val="clear" w:pos="709"/>
          <w:tab w:val="left" w:pos="709" w:leader="none"/>
        </w:tabs>
        <w:bidi w:val="0"/>
        <w:ind w:hanging="283" w:start="709"/>
        <w:jc w:val="start"/>
        <w:rPr/>
      </w:pPr>
      <w:r>
        <w:rPr>
          <w:b/>
        </w:rPr>
        <w:t>Beta → discount rate pairs observed in the worked examples:</w:t>
      </w:r>
    </w:p>
    <w:tbl>
      <w:tblPr>
        <w:tblW w:w="5000" w:type="pct"/>
        <w:jc w:val="start"/>
        <w:tblInd w:w="-5" w:type="dxa"/>
        <w:tblLayout w:type="fixed"/>
        <w:tblCellMar>
          <w:top w:w="55" w:type="dxa"/>
          <w:start w:w="55" w:type="dxa"/>
          <w:bottom w:w="55" w:type="dxa"/>
          <w:end w:w="55" w:type="dxa"/>
        </w:tblCellMar>
      </w:tblPr>
      <w:tblGrid>
        <w:gridCol w:w="3212"/>
        <w:gridCol w:w="3213"/>
        <w:gridCol w:w="3213"/>
      </w:tblGrid>
      <w:tr>
        <w:trPr>
          <w:tblHeader w:val="true"/>
        </w:trPr>
        <w:tc>
          <w:tcPr>
            <w:tcW w:w="3212" w:type="dxa"/>
            <w:tcBorders>
              <w:top w:val="single" w:sz="4" w:space="0" w:color="000000"/>
              <w:start w:val="single" w:sz="4" w:space="0" w:color="000000"/>
              <w:bottom w:val="single" w:sz="4" w:space="0" w:color="000000"/>
            </w:tcBorders>
          </w:tcPr>
          <w:p>
            <w:pPr>
              <w:pStyle w:val="TableHeading"/>
              <w:bidi w:val="0"/>
              <w:jc w:val="start"/>
              <w:rPr/>
            </w:pPr>
            <w:r>
              <w:rPr/>
              <w:t>Beta</w:t>
            </w:r>
          </w:p>
        </w:tc>
        <w:tc>
          <w:tcPr>
            <w:tcW w:w="3213" w:type="dxa"/>
            <w:tcBorders>
              <w:top w:val="single" w:sz="4" w:space="0" w:color="000000"/>
              <w:start w:val="single" w:sz="4" w:space="0" w:color="000000"/>
              <w:bottom w:val="single" w:sz="4" w:space="0" w:color="000000"/>
            </w:tcBorders>
          </w:tcPr>
          <w:p>
            <w:pPr>
              <w:pStyle w:val="TableHeading"/>
              <w:bidi w:val="0"/>
              <w:jc w:val="start"/>
              <w:rPr/>
            </w:pPr>
            <w:r>
              <w:rPr/>
              <w:t>Discount rate used</w:t>
            </w:r>
          </w:p>
        </w:tc>
        <w:tc>
          <w:tcPr>
            <w:tcW w:w="3213"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Example</w:t>
            </w:r>
          </w:p>
        </w:tc>
      </w:tr>
      <w:tr>
        <w:trPr/>
        <w:tc>
          <w:tcPr>
            <w:tcW w:w="3212" w:type="dxa"/>
            <w:tcBorders>
              <w:start w:val="single" w:sz="4" w:space="0" w:color="000000"/>
              <w:bottom w:val="single" w:sz="4" w:space="0" w:color="000000"/>
            </w:tcBorders>
          </w:tcPr>
          <w:p>
            <w:pPr>
              <w:pStyle w:val="TableContents"/>
              <w:bidi w:val="0"/>
              <w:jc w:val="start"/>
              <w:rPr/>
            </w:pPr>
            <w:r>
              <w:rPr/>
              <w:t>0.28</w:t>
            </w:r>
          </w:p>
        </w:tc>
        <w:tc>
          <w:tcPr>
            <w:tcW w:w="3213" w:type="dxa"/>
            <w:tcBorders>
              <w:start w:val="single" w:sz="4" w:space="0" w:color="000000"/>
              <w:bottom w:val="single" w:sz="4" w:space="0" w:color="000000"/>
            </w:tcBorders>
          </w:tcPr>
          <w:p>
            <w:pPr>
              <w:pStyle w:val="TableContents"/>
              <w:bidi w:val="0"/>
              <w:jc w:val="start"/>
              <w:rPr/>
            </w:pPr>
            <w:r>
              <w:rPr>
                <w:b/>
              </w:rPr>
              <w:t>5.8%</w:t>
            </w:r>
            <w:r>
              <w:rPr/>
              <w:t xml:space="preserve"> (the lowest rate in the table)</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Singapore Exchange (S68)</w:t>
            </w:r>
          </w:p>
        </w:tc>
      </w:tr>
      <w:tr>
        <w:trPr/>
        <w:tc>
          <w:tcPr>
            <w:tcW w:w="3212" w:type="dxa"/>
            <w:tcBorders>
              <w:start w:val="single" w:sz="4" w:space="0" w:color="000000"/>
              <w:bottom w:val="single" w:sz="4" w:space="0" w:color="000000"/>
            </w:tcBorders>
          </w:tcPr>
          <w:p>
            <w:pPr>
              <w:pStyle w:val="TableContents"/>
              <w:bidi w:val="0"/>
              <w:jc w:val="start"/>
              <w:rPr/>
            </w:pPr>
            <w:r>
              <w:rPr/>
              <w:t>0.83</w:t>
            </w:r>
          </w:p>
        </w:tc>
        <w:tc>
          <w:tcPr>
            <w:tcW w:w="3213" w:type="dxa"/>
            <w:tcBorders>
              <w:start w:val="single" w:sz="4" w:space="0" w:color="000000"/>
              <w:bottom w:val="single" w:sz="4" w:space="0" w:color="000000"/>
            </w:tcBorders>
          </w:tcPr>
          <w:p>
            <w:pPr>
              <w:pStyle w:val="TableContents"/>
              <w:bidi w:val="0"/>
              <w:jc w:val="start"/>
              <w:rPr/>
            </w:pPr>
            <w:r>
              <w:rPr>
                <w:b/>
              </w:rPr>
              <w:t>6.1%</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MasterCard (MA)</w:t>
            </w:r>
          </w:p>
        </w:tc>
      </w:tr>
      <w:tr>
        <w:trPr/>
        <w:tc>
          <w:tcPr>
            <w:tcW w:w="3212" w:type="dxa"/>
            <w:tcBorders>
              <w:start w:val="single" w:sz="4" w:space="0" w:color="000000"/>
              <w:bottom w:val="single" w:sz="4" w:space="0" w:color="000000"/>
            </w:tcBorders>
          </w:tcPr>
          <w:p>
            <w:pPr>
              <w:pStyle w:val="TableContents"/>
              <w:bidi w:val="0"/>
              <w:jc w:val="start"/>
              <w:rPr/>
            </w:pPr>
            <w:r>
              <w:rPr/>
              <w:t>1.1</w:t>
            </w:r>
          </w:p>
        </w:tc>
        <w:tc>
          <w:tcPr>
            <w:tcW w:w="3213" w:type="dxa"/>
            <w:tcBorders>
              <w:start w:val="single" w:sz="4" w:space="0" w:color="000000"/>
              <w:bottom w:val="single" w:sz="4" w:space="0" w:color="000000"/>
            </w:tcBorders>
          </w:tcPr>
          <w:p>
            <w:pPr>
              <w:pStyle w:val="TableContents"/>
              <w:bidi w:val="0"/>
              <w:jc w:val="start"/>
              <w:rPr/>
            </w:pPr>
            <w:r>
              <w:rPr>
                <w:b/>
              </w:rPr>
              <w:t>6.6%</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Apple (AAPL)</w:t>
            </w:r>
          </w:p>
        </w:tc>
      </w:tr>
      <w:tr>
        <w:trPr/>
        <w:tc>
          <w:tcPr>
            <w:tcW w:w="3212" w:type="dxa"/>
            <w:tcBorders>
              <w:start w:val="single" w:sz="4" w:space="0" w:color="000000"/>
              <w:bottom w:val="single" w:sz="4" w:space="0" w:color="000000"/>
            </w:tcBorders>
          </w:tcPr>
          <w:p>
            <w:pPr>
              <w:pStyle w:val="TableContents"/>
              <w:bidi w:val="0"/>
              <w:jc w:val="start"/>
              <w:rPr/>
            </w:pPr>
            <w:r>
              <w:rPr/>
              <w:t>1.4</w:t>
            </w:r>
          </w:p>
        </w:tc>
        <w:tc>
          <w:tcPr>
            <w:tcW w:w="3213" w:type="dxa"/>
            <w:tcBorders>
              <w:start w:val="single" w:sz="4" w:space="0" w:color="000000"/>
              <w:bottom w:val="single" w:sz="4" w:space="0" w:color="000000"/>
            </w:tcBorders>
          </w:tcPr>
          <w:p>
            <w:pPr>
              <w:pStyle w:val="TableContents"/>
              <w:bidi w:val="0"/>
              <w:jc w:val="start"/>
              <w:rPr/>
            </w:pPr>
            <w:r>
              <w:rPr>
                <w:b/>
              </w:rPr>
              <w:t>7.4%</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Amazon (AMZN)</w:t>
            </w:r>
          </w:p>
        </w:tc>
      </w:tr>
      <w:tr>
        <w:trPr/>
        <w:tc>
          <w:tcPr>
            <w:tcW w:w="3212" w:type="dxa"/>
            <w:tcBorders>
              <w:start w:val="single" w:sz="4" w:space="0" w:color="000000"/>
              <w:bottom w:val="single" w:sz="4" w:space="0" w:color="000000"/>
            </w:tcBorders>
          </w:tcPr>
          <w:p>
            <w:pPr>
              <w:pStyle w:val="TableContents"/>
              <w:bidi w:val="0"/>
              <w:jc w:val="start"/>
              <w:rPr/>
            </w:pPr>
            <w:r>
              <w:rPr/>
              <w:t>1.49</w:t>
            </w:r>
          </w:p>
        </w:tc>
        <w:tc>
          <w:tcPr>
            <w:tcW w:w="3213" w:type="dxa"/>
            <w:tcBorders>
              <w:start w:val="single" w:sz="4" w:space="0" w:color="000000"/>
              <w:bottom w:val="single" w:sz="4" w:space="0" w:color="000000"/>
            </w:tcBorders>
          </w:tcPr>
          <w:p>
            <w:pPr>
              <w:pStyle w:val="TableContents"/>
              <w:bidi w:val="0"/>
              <w:jc w:val="start"/>
              <w:rPr/>
            </w:pPr>
            <w:r>
              <w:rPr>
                <w:b/>
              </w:rPr>
              <w:t>7.7%</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BlackRock (BLK)</w:t>
            </w:r>
          </w:p>
        </w:tc>
      </w:tr>
    </w:tbl>
    <w:p>
      <w:pPr>
        <w:pStyle w:val="BodyText"/>
        <w:bidi w:val="0"/>
        <w:jc w:val="start"/>
        <w:rPr/>
      </w:pPr>
      <w:r>
        <w:rPr/>
      </w:r>
    </w:p>
    <w:p>
      <w:pPr>
        <w:pStyle w:val="BodyText"/>
        <w:numPr>
          <w:ilvl w:val="0"/>
          <w:numId w:val="240"/>
        </w:numPr>
        <w:tabs>
          <w:tab w:val="clear" w:pos="709"/>
          <w:tab w:val="left" w:pos="709" w:leader="none"/>
        </w:tabs>
        <w:bidi w:val="0"/>
        <w:ind w:hanging="283" w:start="709"/>
        <w:jc w:val="start"/>
        <w:rPr/>
      </w:pPr>
      <w:r>
        <w:rPr/>
        <w:t xml:space="preserve">Where beta falls between table rows, pick the </w:t>
      </w:r>
      <w:r>
        <w:rPr>
          <w:b/>
        </w:rPr>
        <w:t>closest</w:t>
      </w:r>
      <w:r>
        <w:rPr/>
        <w:t xml:space="preserve"> rate.</w:t>
      </w:r>
    </w:p>
    <w:p>
      <w:pPr>
        <w:pStyle w:val="BodyText"/>
        <w:numPr>
          <w:ilvl w:val="0"/>
          <w:numId w:val="240"/>
        </w:numPr>
        <w:tabs>
          <w:tab w:val="clear" w:pos="709"/>
          <w:tab w:val="left" w:pos="709" w:leader="none"/>
        </w:tabs>
        <w:bidi w:val="0"/>
        <w:ind w:hanging="283" w:start="709"/>
        <w:jc w:val="start"/>
        <w:rPr/>
      </w:pPr>
      <w:r>
        <w:rPr/>
        <w:t>Adam applies the same (US-derived) table to Singapore stocks "to keep it simple."</w:t>
      </w:r>
    </w:p>
    <w:p>
      <w:pPr>
        <w:pStyle w:val="Heading4"/>
        <w:numPr>
          <w:ilvl w:val="0"/>
          <w:numId w:val="0"/>
        </w:numPr>
        <w:bidi w:val="0"/>
        <w:ind w:hanging="0" w:start="0"/>
        <w:jc w:val="start"/>
        <w:rPr/>
      </w:pPr>
      <w:r>
        <w:rPr/>
        <w:t>4.8 Why 20 years and not perpetuity</w:t>
      </w:r>
    </w:p>
    <w:p>
      <w:pPr>
        <w:pStyle w:val="BodyText"/>
        <w:numPr>
          <w:ilvl w:val="0"/>
          <w:numId w:val="241"/>
        </w:numPr>
        <w:tabs>
          <w:tab w:val="clear" w:pos="709"/>
          <w:tab w:val="left" w:pos="709" w:leader="none"/>
        </w:tabs>
        <w:bidi w:val="0"/>
        <w:ind w:hanging="283" w:start="709"/>
        <w:jc w:val="start"/>
        <w:rPr/>
      </w:pPr>
      <w:r>
        <w:rPr/>
        <w:t xml:space="preserve">Finance theory / CFA assumes the company lasts </w:t>
      </w:r>
      <w:r>
        <w:rPr>
          <w:b/>
        </w:rPr>
        <w:t>forever</w:t>
      </w:r>
      <w:r>
        <w:rPr/>
        <w:t xml:space="preserve"> (to perpetuity) and applies a </w:t>
      </w:r>
      <w:r>
        <w:rPr>
          <w:b/>
        </w:rPr>
        <w:t>terminal value</w:t>
      </w:r>
      <w:r>
        <w:rPr/>
        <w:t xml:space="preserve">. Adam considers that unrealistic and </w:t>
      </w:r>
      <w:r>
        <w:rPr>
          <w:b/>
        </w:rPr>
        <w:t>more aggressive than he is comfortable with</w:t>
      </w:r>
      <w:r>
        <w:rPr/>
        <w:t>.</w:t>
      </w:r>
    </w:p>
    <w:p>
      <w:pPr>
        <w:pStyle w:val="BodyText"/>
        <w:numPr>
          <w:ilvl w:val="0"/>
          <w:numId w:val="241"/>
        </w:numPr>
        <w:tabs>
          <w:tab w:val="clear" w:pos="709"/>
          <w:tab w:val="left" w:pos="709" w:leader="none"/>
        </w:tabs>
        <w:bidi w:val="0"/>
        <w:ind w:hanging="283" w:start="709"/>
        <w:jc w:val="start"/>
        <w:rPr/>
      </w:pPr>
      <w:r>
        <w:rPr/>
        <w:t xml:space="preserve">He values the business on </w:t>
      </w:r>
      <w:r>
        <w:rPr>
          <w:b/>
        </w:rPr>
        <w:t>20 years of cash generation only</w:t>
      </w:r>
      <w:r>
        <w:rPr/>
        <w:t xml:space="preserve"> — anything beyond 20 years is a </w:t>
      </w:r>
      <w:r>
        <w:rPr>
          <w:b/>
        </w:rPr>
        <w:t>bonus</w:t>
      </w:r>
      <w:r>
        <w:rPr/>
        <w:t>.</w:t>
      </w:r>
    </w:p>
    <w:p>
      <w:pPr>
        <w:pStyle w:val="BodyText"/>
        <w:numPr>
          <w:ilvl w:val="0"/>
          <w:numId w:val="241"/>
        </w:numPr>
        <w:tabs>
          <w:tab w:val="clear" w:pos="709"/>
          <w:tab w:val="left" w:pos="709" w:leader="none"/>
        </w:tabs>
        <w:bidi w:val="0"/>
        <w:spacing w:before="0" w:after="0"/>
        <w:ind w:hanging="283" w:start="709"/>
        <w:jc w:val="start"/>
        <w:rPr/>
      </w:pPr>
      <w:r>
        <w:rPr/>
        <w:t>Reality check that 20 years is conservative — company ages cited:</w:t>
      </w:r>
    </w:p>
    <w:p>
      <w:pPr>
        <w:pStyle w:val="BodyText"/>
        <w:numPr>
          <w:ilvl w:val="1"/>
          <w:numId w:val="241"/>
        </w:numPr>
        <w:tabs>
          <w:tab w:val="clear" w:pos="709"/>
          <w:tab w:val="left" w:pos="1418" w:leader="none"/>
        </w:tabs>
        <w:bidi w:val="0"/>
        <w:ind w:hanging="283" w:start="1418"/>
        <w:jc w:val="start"/>
        <w:rPr/>
      </w:pPr>
      <w:r>
        <w:rPr>
          <w:b/>
        </w:rPr>
        <w:t>Coca-Cola: 106 years</w:t>
      </w:r>
    </w:p>
    <w:p>
      <w:pPr>
        <w:pStyle w:val="BodyText"/>
        <w:numPr>
          <w:ilvl w:val="1"/>
          <w:numId w:val="241"/>
        </w:numPr>
        <w:tabs>
          <w:tab w:val="clear" w:pos="709"/>
          <w:tab w:val="left" w:pos="1418" w:leader="none"/>
        </w:tabs>
        <w:bidi w:val="0"/>
        <w:ind w:hanging="283" w:start="1418"/>
        <w:jc w:val="start"/>
        <w:rPr/>
      </w:pPr>
      <w:r>
        <w:rPr>
          <w:b/>
        </w:rPr>
        <w:t>Walmart: 55 years</w:t>
      </w:r>
    </w:p>
    <w:p>
      <w:pPr>
        <w:pStyle w:val="BodyText"/>
        <w:numPr>
          <w:ilvl w:val="1"/>
          <w:numId w:val="241"/>
        </w:numPr>
        <w:tabs>
          <w:tab w:val="clear" w:pos="709"/>
          <w:tab w:val="left" w:pos="1418" w:leader="none"/>
        </w:tabs>
        <w:bidi w:val="0"/>
        <w:ind w:hanging="283" w:start="1418"/>
        <w:jc w:val="start"/>
        <w:rPr/>
      </w:pPr>
      <w:r>
        <w:rPr>
          <w:b/>
        </w:rPr>
        <w:t>Apple: 45 years</w:t>
      </w:r>
    </w:p>
    <w:p>
      <w:pPr>
        <w:pStyle w:val="BodyText"/>
        <w:numPr>
          <w:ilvl w:val="1"/>
          <w:numId w:val="241"/>
        </w:numPr>
        <w:tabs>
          <w:tab w:val="clear" w:pos="709"/>
          <w:tab w:val="left" w:pos="1418" w:leader="none"/>
        </w:tabs>
        <w:bidi w:val="0"/>
        <w:ind w:hanging="283" w:start="1418"/>
        <w:jc w:val="start"/>
        <w:rPr/>
      </w:pPr>
      <w:r>
        <w:rPr>
          <w:b/>
        </w:rPr>
        <w:t>Microsoft: 39 years</w:t>
      </w:r>
    </w:p>
    <w:p>
      <w:pPr>
        <w:pStyle w:val="BodyText"/>
        <w:numPr>
          <w:ilvl w:val="0"/>
          <w:numId w:val="241"/>
        </w:numPr>
        <w:tabs>
          <w:tab w:val="clear" w:pos="709"/>
          <w:tab w:val="left" w:pos="709" w:leader="none"/>
        </w:tabs>
        <w:bidi w:val="0"/>
        <w:ind w:hanging="283" w:start="709"/>
        <w:jc w:val="start"/>
        <w:rPr/>
      </w:pPr>
      <w:r>
        <w:rPr/>
        <w:t xml:space="preserve">A </w:t>
      </w:r>
      <w:r>
        <w:rPr>
          <w:b/>
        </w:rPr>
        <w:t>"DCF Terminal"</w:t>
      </w:r>
      <w:r>
        <w:rPr/>
        <w:t xml:space="preserve"> (perpetuity) valuation does exist and is auto-calculated on StockOracle, but Adam does not use or teach it.</w:t>
      </w:r>
    </w:p>
    <w:p>
      <w:pPr>
        <w:pStyle w:val="HorizontalLine"/>
        <w:bidi w:val="0"/>
        <w:jc w:val="start"/>
        <w:rPr/>
      </w:pPr>
      <w:r>
        <w:rPr/>
      </w:r>
    </w:p>
    <w:p>
      <w:pPr>
        <w:pStyle w:val="Heading4"/>
        <w:bidi w:val="0"/>
        <w:ind w:hanging="0" w:start="0"/>
        <w:jc w:val="start"/>
        <w:rPr/>
      </w:pPr>
      <w:r>
        <w:rPr/>
        <w:t>4.9 WORKED EXAMPLE — MasterCard (MA), Discounted Free Cash Flow</w:t>
      </w:r>
    </w:p>
    <w:p>
      <w:pPr>
        <w:pStyle w:val="BodyText"/>
        <w:bidi w:val="0"/>
        <w:jc w:val="start"/>
        <w:rPr/>
      </w:pPr>
      <w:r>
        <w:rPr>
          <w:b/>
        </w:rPr>
        <w:t>Precondition check:</w:t>
      </w:r>
      <w:r>
        <w:rPr/>
        <w:t xml:space="preserve"> MasterCard's free cash flow chart (dark green) shows a </w:t>
      </w:r>
      <w:r>
        <w:rPr>
          <w:b/>
        </w:rPr>
        <w:t>consistent uptrend</w:t>
      </w:r>
      <w:r>
        <w:rPr/>
        <w:t xml:space="preserve"> → DCF valid.</w:t>
      </w:r>
    </w:p>
    <w:tbl>
      <w:tblPr>
        <w:tblW w:w="5000" w:type="pct"/>
        <w:jc w:val="start"/>
        <w:tblInd w:w="-5" w:type="dxa"/>
        <w:tblLayout w:type="fixed"/>
        <w:tblCellMar>
          <w:top w:w="55" w:type="dxa"/>
          <w:start w:w="55" w:type="dxa"/>
          <w:bottom w:w="55" w:type="dxa"/>
          <w:end w:w="55" w:type="dxa"/>
        </w:tblCellMar>
      </w:tblPr>
      <w:tblGrid>
        <w:gridCol w:w="3212"/>
        <w:gridCol w:w="3213"/>
        <w:gridCol w:w="3213"/>
      </w:tblGrid>
      <w:tr>
        <w:trPr>
          <w:tblHeader w:val="true"/>
        </w:trPr>
        <w:tc>
          <w:tcPr>
            <w:tcW w:w="3212" w:type="dxa"/>
            <w:tcBorders>
              <w:top w:val="single" w:sz="4" w:space="0" w:color="000000"/>
              <w:start w:val="single" w:sz="4" w:space="0" w:color="000000"/>
              <w:bottom w:val="single" w:sz="4" w:space="0" w:color="000000"/>
            </w:tcBorders>
          </w:tcPr>
          <w:p>
            <w:pPr>
              <w:pStyle w:val="TableHeading"/>
              <w:bidi w:val="0"/>
              <w:jc w:val="start"/>
              <w:rPr/>
            </w:pPr>
            <w:r>
              <w:rPr/>
              <w:t>Step</w:t>
            </w:r>
          </w:p>
        </w:tc>
        <w:tc>
          <w:tcPr>
            <w:tcW w:w="3213" w:type="dxa"/>
            <w:tcBorders>
              <w:top w:val="single" w:sz="4" w:space="0" w:color="000000"/>
              <w:start w:val="single" w:sz="4" w:space="0" w:color="000000"/>
              <w:bottom w:val="single" w:sz="4" w:space="0" w:color="000000"/>
            </w:tcBorders>
          </w:tcPr>
          <w:p>
            <w:pPr>
              <w:pStyle w:val="TableHeading"/>
              <w:bidi w:val="0"/>
              <w:jc w:val="start"/>
              <w:rPr/>
            </w:pPr>
            <w:r>
              <w:rPr/>
              <w:t>Input</w:t>
            </w:r>
          </w:p>
        </w:tc>
        <w:tc>
          <w:tcPr>
            <w:tcW w:w="3213"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Value</w:t>
            </w:r>
          </w:p>
        </w:tc>
      </w:tr>
      <w:tr>
        <w:trPr/>
        <w:tc>
          <w:tcPr>
            <w:tcW w:w="3212" w:type="dxa"/>
            <w:tcBorders>
              <w:start w:val="single" w:sz="4" w:space="0" w:color="000000"/>
              <w:bottom w:val="single" w:sz="4" w:space="0" w:color="000000"/>
            </w:tcBorders>
          </w:tcPr>
          <w:p>
            <w:pPr>
              <w:pStyle w:val="TableContents"/>
              <w:bidi w:val="0"/>
              <w:jc w:val="start"/>
              <w:rPr/>
            </w:pPr>
            <w:r>
              <w:rPr/>
              <w:t>1</w:t>
            </w:r>
          </w:p>
        </w:tc>
        <w:tc>
          <w:tcPr>
            <w:tcW w:w="3213" w:type="dxa"/>
            <w:tcBorders>
              <w:start w:val="single" w:sz="4" w:space="0" w:color="000000"/>
              <w:bottom w:val="single" w:sz="4" w:space="0" w:color="000000"/>
            </w:tcBorders>
          </w:tcPr>
          <w:p>
            <w:pPr>
              <w:pStyle w:val="TableContents"/>
              <w:bidi w:val="0"/>
              <w:jc w:val="start"/>
              <w:rPr/>
            </w:pPr>
            <w:r>
              <w:rPr/>
              <w:t>Stock / ticker</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 xml:space="preserve">MasterCard / </w:t>
            </w:r>
            <w:r>
              <w:rPr>
                <w:b/>
              </w:rPr>
              <w:t>MA</w:t>
            </w:r>
          </w:p>
        </w:tc>
      </w:tr>
      <w:tr>
        <w:trPr/>
        <w:tc>
          <w:tcPr>
            <w:tcW w:w="3212" w:type="dxa"/>
            <w:tcBorders>
              <w:start w:val="single" w:sz="4" w:space="0" w:color="000000"/>
              <w:bottom w:val="single" w:sz="4" w:space="0" w:color="000000"/>
            </w:tcBorders>
          </w:tcPr>
          <w:p>
            <w:pPr>
              <w:pStyle w:val="TableContents"/>
              <w:bidi w:val="0"/>
              <w:jc w:val="start"/>
              <w:rPr/>
            </w:pPr>
            <w:r>
              <w:rPr/>
              <w:t>2</w:t>
            </w:r>
          </w:p>
        </w:tc>
        <w:tc>
          <w:tcPr>
            <w:tcW w:w="3213" w:type="dxa"/>
            <w:tcBorders>
              <w:start w:val="single" w:sz="4" w:space="0" w:color="000000"/>
              <w:bottom w:val="single" w:sz="4" w:space="0" w:color="000000"/>
            </w:tcBorders>
          </w:tcPr>
          <w:p>
            <w:pPr>
              <w:pStyle w:val="TableContents"/>
              <w:bidi w:val="0"/>
              <w:jc w:val="start"/>
              <w:rPr/>
            </w:pPr>
            <w:r>
              <w:rPr/>
              <w:t>Method</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 xml:space="preserve">Discounted </w:t>
            </w:r>
            <w:r>
              <w:rPr>
                <w:b/>
              </w:rPr>
              <w:t>free cash flow</w:t>
            </w:r>
          </w:p>
        </w:tc>
      </w:tr>
      <w:tr>
        <w:trPr/>
        <w:tc>
          <w:tcPr>
            <w:tcW w:w="3212" w:type="dxa"/>
            <w:tcBorders>
              <w:start w:val="single" w:sz="4" w:space="0" w:color="000000"/>
              <w:bottom w:val="single" w:sz="4" w:space="0" w:color="000000"/>
            </w:tcBorders>
          </w:tcPr>
          <w:p>
            <w:pPr>
              <w:pStyle w:val="TableContents"/>
              <w:bidi w:val="0"/>
              <w:jc w:val="start"/>
              <w:rPr/>
            </w:pPr>
            <w:r>
              <w:rPr/>
              <w:t>3</w:t>
            </w:r>
          </w:p>
        </w:tc>
        <w:tc>
          <w:tcPr>
            <w:tcW w:w="3213" w:type="dxa"/>
            <w:tcBorders>
              <w:start w:val="single" w:sz="4" w:space="0" w:color="000000"/>
              <w:bottom w:val="single" w:sz="4" w:space="0" w:color="000000"/>
            </w:tcBorders>
          </w:tcPr>
          <w:p>
            <w:pPr>
              <w:pStyle w:val="TableContents"/>
              <w:bidi w:val="0"/>
              <w:jc w:val="start"/>
              <w:rPr/>
            </w:pPr>
            <w:r>
              <w:rPr/>
              <w:t>Latest FCF (last 12 months, cash flow statement, annual)</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b/>
              </w:rPr>
              <w:t>16,186</w:t>
            </w:r>
            <w:r>
              <w:rPr/>
              <w:t xml:space="preserve"> (millions USD — StockOracle is already in millions)</w:t>
            </w:r>
          </w:p>
        </w:tc>
      </w:tr>
      <w:tr>
        <w:trPr/>
        <w:tc>
          <w:tcPr>
            <w:tcW w:w="3212" w:type="dxa"/>
            <w:tcBorders>
              <w:start w:val="single" w:sz="4" w:space="0" w:color="000000"/>
              <w:bottom w:val="single" w:sz="4" w:space="0" w:color="000000"/>
            </w:tcBorders>
          </w:tcPr>
          <w:p>
            <w:pPr>
              <w:pStyle w:val="TableContents"/>
              <w:bidi w:val="0"/>
              <w:jc w:val="start"/>
              <w:rPr/>
            </w:pPr>
            <w:r>
              <w:rPr/>
              <w:t>4</w:t>
            </w:r>
          </w:p>
        </w:tc>
        <w:tc>
          <w:tcPr>
            <w:tcW w:w="3213" w:type="dxa"/>
            <w:tcBorders>
              <w:start w:val="single" w:sz="4" w:space="0" w:color="000000"/>
              <w:bottom w:val="single" w:sz="4" w:space="0" w:color="000000"/>
            </w:tcBorders>
          </w:tcPr>
          <w:p>
            <w:pPr>
              <w:pStyle w:val="TableContents"/>
              <w:bidi w:val="0"/>
              <w:jc w:val="start"/>
              <w:rPr/>
            </w:pPr>
            <w:r>
              <w:rPr/>
              <w:t xml:space="preserve">Total debt = short-term </w:t>
            </w:r>
            <w:r>
              <w:rPr>
                <w:b/>
              </w:rPr>
              <w:t>749</w:t>
            </w:r>
            <w:r>
              <w:rPr/>
              <w:t xml:space="preserve"> + long-term </w:t>
            </w:r>
            <w:r>
              <w:rPr>
                <w:b/>
              </w:rPr>
              <w:t>18,251</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b/>
              </w:rPr>
              <w:t>19,000</w:t>
            </w:r>
            <w:r>
              <w:rPr/>
              <w:t xml:space="preserve"> million ($19B)</w:t>
            </w:r>
          </w:p>
        </w:tc>
      </w:tr>
      <w:tr>
        <w:trPr/>
        <w:tc>
          <w:tcPr>
            <w:tcW w:w="3212" w:type="dxa"/>
            <w:tcBorders>
              <w:start w:val="single" w:sz="4" w:space="0" w:color="000000"/>
              <w:bottom w:val="single" w:sz="4" w:space="0" w:color="000000"/>
            </w:tcBorders>
          </w:tcPr>
          <w:p>
            <w:pPr>
              <w:pStyle w:val="TableContents"/>
              <w:bidi w:val="0"/>
              <w:jc w:val="start"/>
              <w:rPr/>
            </w:pPr>
            <w:r>
              <w:rPr/>
              <w:t>5</w:t>
            </w:r>
          </w:p>
        </w:tc>
        <w:tc>
          <w:tcPr>
            <w:tcW w:w="3213" w:type="dxa"/>
            <w:tcBorders>
              <w:start w:val="single" w:sz="4" w:space="0" w:color="000000"/>
              <w:bottom w:val="single" w:sz="4" w:space="0" w:color="000000"/>
            </w:tcBorders>
          </w:tcPr>
          <w:p>
            <w:pPr>
              <w:pStyle w:val="TableContents"/>
              <w:bidi w:val="0"/>
              <w:jc w:val="start"/>
              <w:rPr/>
            </w:pPr>
            <w:r>
              <w:rPr/>
              <w:t>Cash &amp; short-term investments (latest quarter, assets)</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b/>
              </w:rPr>
              <w:t>11,459</w:t>
            </w:r>
            <w:r>
              <w:rPr/>
              <w:t xml:space="preserve"> million</w:t>
            </w:r>
          </w:p>
        </w:tc>
      </w:tr>
      <w:tr>
        <w:trPr/>
        <w:tc>
          <w:tcPr>
            <w:tcW w:w="3212" w:type="dxa"/>
            <w:tcBorders>
              <w:start w:val="single" w:sz="4" w:space="0" w:color="000000"/>
              <w:bottom w:val="single" w:sz="4" w:space="0" w:color="000000"/>
            </w:tcBorders>
          </w:tcPr>
          <w:p>
            <w:pPr>
              <w:pStyle w:val="TableContents"/>
              <w:bidi w:val="0"/>
              <w:jc w:val="start"/>
              <w:rPr/>
            </w:pPr>
            <w:r>
              <w:rPr/>
              <w:t>6a</w:t>
            </w:r>
          </w:p>
        </w:tc>
        <w:tc>
          <w:tcPr>
            <w:tcW w:w="3213" w:type="dxa"/>
            <w:tcBorders>
              <w:start w:val="single" w:sz="4" w:space="0" w:color="000000"/>
              <w:bottom w:val="single" w:sz="4" w:space="0" w:color="000000"/>
            </w:tcBorders>
          </w:tcPr>
          <w:p>
            <w:pPr>
              <w:pStyle w:val="TableContents"/>
              <w:bidi w:val="0"/>
              <w:jc w:val="start"/>
              <w:rPr/>
            </w:pPr>
            <w:r>
              <w:rPr/>
              <w:t>Growth yrs 1–5, StockOracle/FactSet (3–5 yr EPS)</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14.94%</w:t>
            </w:r>
          </w:p>
        </w:tc>
      </w:tr>
      <w:tr>
        <w:trPr/>
        <w:tc>
          <w:tcPr>
            <w:tcW w:w="3212" w:type="dxa"/>
            <w:tcBorders>
              <w:start w:val="single" w:sz="4" w:space="0" w:color="000000"/>
              <w:bottom w:val="single" w:sz="4" w:space="0" w:color="000000"/>
            </w:tcBorders>
          </w:tcPr>
          <w:p>
            <w:pPr>
              <w:pStyle w:val="TableContents"/>
              <w:bidi w:val="0"/>
              <w:jc w:val="start"/>
              <w:rPr/>
            </w:pPr>
            <w:r>
              <w:rPr/>
              <w:t>6b</w:t>
            </w:r>
          </w:p>
        </w:tc>
        <w:tc>
          <w:tcPr>
            <w:tcW w:w="3213" w:type="dxa"/>
            <w:tcBorders>
              <w:start w:val="single" w:sz="4" w:space="0" w:color="000000"/>
              <w:bottom w:val="single" w:sz="4" w:space="0" w:color="000000"/>
            </w:tcBorders>
          </w:tcPr>
          <w:p>
            <w:pPr>
              <w:pStyle w:val="TableContents"/>
              <w:bidi w:val="0"/>
              <w:jc w:val="start"/>
              <w:rPr/>
            </w:pPr>
            <w:r>
              <w:rPr/>
              <w:t>Growth yrs 1–5, FinViz</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15.68%</w:t>
            </w:r>
          </w:p>
        </w:tc>
      </w:tr>
      <w:tr>
        <w:trPr/>
        <w:tc>
          <w:tcPr>
            <w:tcW w:w="3212" w:type="dxa"/>
            <w:tcBorders>
              <w:start w:val="single" w:sz="4" w:space="0" w:color="000000"/>
              <w:bottom w:val="single" w:sz="4" w:space="0" w:color="000000"/>
            </w:tcBorders>
          </w:tcPr>
          <w:p>
            <w:pPr>
              <w:pStyle w:val="TableContents"/>
              <w:bidi w:val="0"/>
              <w:jc w:val="start"/>
              <w:rPr/>
            </w:pPr>
            <w:r>
              <w:rPr/>
              <w:t>6c</w:t>
            </w:r>
          </w:p>
        </w:tc>
        <w:tc>
          <w:tcPr>
            <w:tcW w:w="3213" w:type="dxa"/>
            <w:tcBorders>
              <w:start w:val="single" w:sz="4" w:space="0" w:color="000000"/>
              <w:bottom w:val="single" w:sz="4" w:space="0" w:color="000000"/>
            </w:tcBorders>
          </w:tcPr>
          <w:p>
            <w:pPr>
              <w:pStyle w:val="TableContents"/>
              <w:bidi w:val="0"/>
              <w:jc w:val="start"/>
              <w:rPr/>
            </w:pPr>
            <w:r>
              <w:rPr/>
              <w:t>Growth yrs 1–5, Zacks</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15.98%</w:t>
            </w:r>
          </w:p>
        </w:tc>
      </w:tr>
      <w:tr>
        <w:trPr/>
        <w:tc>
          <w:tcPr>
            <w:tcW w:w="3212" w:type="dxa"/>
            <w:tcBorders>
              <w:start w:val="single" w:sz="4" w:space="0" w:color="000000"/>
              <w:bottom w:val="single" w:sz="4" w:space="0" w:color="000000"/>
            </w:tcBorders>
          </w:tcPr>
          <w:p>
            <w:pPr>
              <w:pStyle w:val="TableContents"/>
              <w:bidi w:val="0"/>
              <w:jc w:val="start"/>
              <w:rPr/>
            </w:pPr>
            <w:r>
              <w:rPr/>
              <w:t>6d</w:t>
            </w:r>
          </w:p>
        </w:tc>
        <w:tc>
          <w:tcPr>
            <w:tcW w:w="3213" w:type="dxa"/>
            <w:tcBorders>
              <w:start w:val="single" w:sz="4" w:space="0" w:color="000000"/>
              <w:bottom w:val="single" w:sz="4" w:space="0" w:color="000000"/>
            </w:tcBorders>
          </w:tcPr>
          <w:p>
            <w:pPr>
              <w:pStyle w:val="TableContents"/>
              <w:bidi w:val="0"/>
              <w:jc w:val="start"/>
              <w:rPr/>
            </w:pPr>
            <w:r>
              <w:rPr>
                <w:b/>
              </w:rPr>
              <w:t>Average of three</w:t>
            </w:r>
            <w:r>
              <w:rPr/>
              <w:t xml:space="preserve"> = (14.94 + 15.68 + 15.98) ÷ 3</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b/>
              </w:rPr>
              <w:t>15.53%</w:t>
            </w:r>
          </w:p>
        </w:tc>
      </w:tr>
      <w:tr>
        <w:trPr/>
        <w:tc>
          <w:tcPr>
            <w:tcW w:w="3212" w:type="dxa"/>
            <w:tcBorders>
              <w:start w:val="single" w:sz="4" w:space="0" w:color="000000"/>
              <w:bottom w:val="single" w:sz="4" w:space="0" w:color="000000"/>
            </w:tcBorders>
          </w:tcPr>
          <w:p>
            <w:pPr>
              <w:pStyle w:val="TableContents"/>
              <w:bidi w:val="0"/>
              <w:jc w:val="start"/>
              <w:rPr/>
            </w:pPr>
            <w:r>
              <w:rPr/>
              <w:t>7</w:t>
            </w:r>
          </w:p>
        </w:tc>
        <w:tc>
          <w:tcPr>
            <w:tcW w:w="3213" w:type="dxa"/>
            <w:tcBorders>
              <w:start w:val="single" w:sz="4" w:space="0" w:color="000000"/>
              <w:bottom w:val="single" w:sz="4" w:space="0" w:color="000000"/>
            </w:tcBorders>
          </w:tcPr>
          <w:p>
            <w:pPr>
              <w:pStyle w:val="TableContents"/>
              <w:bidi w:val="0"/>
              <w:jc w:val="start"/>
              <w:rPr/>
            </w:pPr>
            <w:r>
              <w:rPr/>
              <w:t>Growth yrs 6–10 — base case = same rate, but capped at 15%</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b/>
              </w:rPr>
              <w:t>15%</w:t>
            </w:r>
          </w:p>
        </w:tc>
      </w:tr>
      <w:tr>
        <w:trPr/>
        <w:tc>
          <w:tcPr>
            <w:tcW w:w="3212" w:type="dxa"/>
            <w:tcBorders>
              <w:start w:val="single" w:sz="4" w:space="0" w:color="000000"/>
              <w:bottom w:val="single" w:sz="4" w:space="0" w:color="000000"/>
            </w:tcBorders>
          </w:tcPr>
          <w:p>
            <w:pPr>
              <w:pStyle w:val="TableContents"/>
              <w:bidi w:val="0"/>
              <w:jc w:val="start"/>
              <w:rPr/>
            </w:pPr>
            <w:r>
              <w:rPr/>
              <w:t>8</w:t>
            </w:r>
          </w:p>
        </w:tc>
        <w:tc>
          <w:tcPr>
            <w:tcW w:w="3213" w:type="dxa"/>
            <w:tcBorders>
              <w:start w:val="single" w:sz="4" w:space="0" w:color="000000"/>
              <w:bottom w:val="single" w:sz="4" w:space="0" w:color="000000"/>
            </w:tcBorders>
          </w:tcPr>
          <w:p>
            <w:pPr>
              <w:pStyle w:val="TableContents"/>
              <w:bidi w:val="0"/>
              <w:jc w:val="start"/>
              <w:rPr/>
            </w:pPr>
            <w:r>
              <w:rPr/>
              <w:t>Growth yrs 11–20</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b/>
              </w:rPr>
              <w:t>4%</w:t>
            </w:r>
          </w:p>
        </w:tc>
      </w:tr>
      <w:tr>
        <w:trPr/>
        <w:tc>
          <w:tcPr>
            <w:tcW w:w="3212" w:type="dxa"/>
            <w:tcBorders>
              <w:start w:val="single" w:sz="4" w:space="0" w:color="000000"/>
              <w:bottom w:val="single" w:sz="4" w:space="0" w:color="000000"/>
            </w:tcBorders>
          </w:tcPr>
          <w:p>
            <w:pPr>
              <w:pStyle w:val="TableContents"/>
              <w:bidi w:val="0"/>
              <w:jc w:val="start"/>
              <w:rPr/>
            </w:pPr>
            <w:r>
              <w:rPr/>
              <w:t>9</w:t>
            </w:r>
          </w:p>
        </w:tc>
        <w:tc>
          <w:tcPr>
            <w:tcW w:w="3213" w:type="dxa"/>
            <w:tcBorders>
              <w:start w:val="single" w:sz="4" w:space="0" w:color="000000"/>
              <w:bottom w:val="single" w:sz="4" w:space="0" w:color="000000"/>
            </w:tcBorders>
          </w:tcPr>
          <w:p>
            <w:pPr>
              <w:pStyle w:val="TableContents"/>
              <w:bidi w:val="0"/>
              <w:jc w:val="start"/>
              <w:rPr/>
            </w:pPr>
            <w:r>
              <w:rPr/>
              <w:t>Shares outstanding (diluted average)</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b/>
              </w:rPr>
              <w:t>898</w:t>
            </w:r>
            <w:r>
              <w:rPr/>
              <w:t xml:space="preserve"> million</w:t>
            </w:r>
          </w:p>
        </w:tc>
      </w:tr>
      <w:tr>
        <w:trPr/>
        <w:tc>
          <w:tcPr>
            <w:tcW w:w="3212" w:type="dxa"/>
            <w:tcBorders>
              <w:start w:val="single" w:sz="4" w:space="0" w:color="000000"/>
              <w:bottom w:val="single" w:sz="4" w:space="0" w:color="000000"/>
            </w:tcBorders>
          </w:tcPr>
          <w:p>
            <w:pPr>
              <w:pStyle w:val="TableContents"/>
              <w:bidi w:val="0"/>
              <w:jc w:val="start"/>
              <w:rPr/>
            </w:pPr>
            <w:r>
              <w:rPr/>
              <w:t>10</w:t>
            </w:r>
          </w:p>
        </w:tc>
        <w:tc>
          <w:tcPr>
            <w:tcW w:w="3213" w:type="dxa"/>
            <w:tcBorders>
              <w:start w:val="single" w:sz="4" w:space="0" w:color="000000"/>
              <w:bottom w:val="single" w:sz="4" w:space="0" w:color="000000"/>
            </w:tcBorders>
          </w:tcPr>
          <w:p>
            <w:pPr>
              <w:pStyle w:val="TableContents"/>
              <w:bidi w:val="0"/>
              <w:jc w:val="start"/>
              <w:rPr/>
            </w:pPr>
            <w:r>
              <w:rPr/>
              <w:t xml:space="preserve">Beta </w:t>
            </w:r>
            <w:r>
              <w:rPr>
                <w:b/>
              </w:rPr>
              <w:t>0.83</w:t>
            </w:r>
            <w:r>
              <w:rPr/>
              <w:t xml:space="preserve"> → discount rate</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b/>
              </w:rPr>
              <w:t>6.1%</w:t>
            </w:r>
          </w:p>
        </w:tc>
      </w:tr>
    </w:tbl>
    <w:p>
      <w:pPr>
        <w:pStyle w:val="BodyText"/>
        <w:bidi w:val="0"/>
        <w:jc w:val="start"/>
        <w:rPr/>
      </w:pPr>
      <w:r>
        <w:rPr/>
      </w:r>
    </w:p>
    <w:p>
      <w:pPr>
        <w:pStyle w:val="BodyText"/>
        <w:bidi w:val="0"/>
        <w:jc w:val="start"/>
        <w:rPr/>
      </w:pPr>
      <w:r>
        <w:rPr>
          <w:b/>
        </w:rPr>
        <w:t>Results:</w:t>
      </w:r>
    </w:p>
    <w:p>
      <w:pPr>
        <w:pStyle w:val="BodyText"/>
        <w:numPr>
          <w:ilvl w:val="0"/>
          <w:numId w:val="242"/>
        </w:numPr>
        <w:tabs>
          <w:tab w:val="clear" w:pos="709"/>
          <w:tab w:val="left" w:pos="709" w:leader="none"/>
        </w:tabs>
        <w:bidi w:val="0"/>
        <w:ind w:hanging="283" w:start="709"/>
        <w:jc w:val="start"/>
        <w:rPr/>
      </w:pPr>
      <w:r>
        <w:rPr>
          <w:b/>
        </w:rPr>
        <w:t>Base case intrinsic value = $655.97</w:t>
      </w:r>
    </w:p>
    <w:p>
      <w:pPr>
        <w:pStyle w:val="BodyText"/>
        <w:numPr>
          <w:ilvl w:val="0"/>
          <w:numId w:val="242"/>
        </w:numPr>
        <w:tabs>
          <w:tab w:val="clear" w:pos="709"/>
          <w:tab w:val="left" w:pos="709" w:leader="none"/>
        </w:tabs>
        <w:bidi w:val="0"/>
        <w:ind w:hanging="283" w:start="709"/>
        <w:jc w:val="start"/>
        <w:rPr/>
      </w:pPr>
      <w:r>
        <w:rPr/>
        <w:t xml:space="preserve">Current share price = </w:t>
      </w:r>
      <w:r>
        <w:rPr>
          <w:b/>
        </w:rPr>
        <w:t>$514.72</w:t>
      </w:r>
    </w:p>
    <w:p>
      <w:pPr>
        <w:pStyle w:val="BodyText"/>
        <w:numPr>
          <w:ilvl w:val="0"/>
          <w:numId w:val="242"/>
        </w:numPr>
        <w:tabs>
          <w:tab w:val="clear" w:pos="709"/>
          <w:tab w:val="left" w:pos="709" w:leader="none"/>
        </w:tabs>
        <w:bidi w:val="0"/>
        <w:ind w:hanging="283" w:start="709"/>
        <w:jc w:val="start"/>
        <w:rPr/>
      </w:pPr>
      <w:r>
        <w:rPr/>
        <w:t xml:space="preserve">→ </w:t>
      </w:r>
      <w:r>
        <w:rPr>
          <w:b/>
        </w:rPr>
        <w:t>21.5% undervalued</w:t>
      </w:r>
    </w:p>
    <w:p>
      <w:pPr>
        <w:pStyle w:val="BodyText"/>
        <w:bidi w:val="0"/>
        <w:jc w:val="start"/>
        <w:rPr/>
      </w:pPr>
      <w:r>
        <w:rPr>
          <w:b/>
        </w:rPr>
        <w:t>Sensitivity / conservatism ladder for MasterCard:</w:t>
      </w:r>
    </w:p>
    <w:tbl>
      <w:tblPr>
        <w:tblW w:w="5000" w:type="pct"/>
        <w:jc w:val="start"/>
        <w:tblInd w:w="-5" w:type="dxa"/>
        <w:tblLayout w:type="fixed"/>
        <w:tblCellMar>
          <w:top w:w="55" w:type="dxa"/>
          <w:start w:w="55" w:type="dxa"/>
          <w:bottom w:w="55" w:type="dxa"/>
          <w:end w:w="55" w:type="dxa"/>
        </w:tblCellMar>
      </w:tblPr>
      <w:tblGrid>
        <w:gridCol w:w="1606"/>
        <w:gridCol w:w="1606"/>
        <w:gridCol w:w="1607"/>
        <w:gridCol w:w="1606"/>
        <w:gridCol w:w="1606"/>
        <w:gridCol w:w="1607"/>
      </w:tblGrid>
      <w:tr>
        <w:trPr>
          <w:tblHeader w:val="true"/>
        </w:trPr>
        <w:tc>
          <w:tcPr>
            <w:tcW w:w="1606" w:type="dxa"/>
            <w:tcBorders>
              <w:top w:val="single" w:sz="4" w:space="0" w:color="000000"/>
              <w:start w:val="single" w:sz="4" w:space="0" w:color="000000"/>
              <w:bottom w:val="single" w:sz="4" w:space="0" w:color="000000"/>
            </w:tcBorders>
          </w:tcPr>
          <w:p>
            <w:pPr>
              <w:pStyle w:val="TableHeading"/>
              <w:bidi w:val="0"/>
              <w:jc w:val="start"/>
              <w:rPr/>
            </w:pPr>
            <w:r>
              <w:rPr/>
              <w:t>Scenario</w:t>
            </w:r>
          </w:p>
        </w:tc>
        <w:tc>
          <w:tcPr>
            <w:tcW w:w="1606" w:type="dxa"/>
            <w:tcBorders>
              <w:top w:val="single" w:sz="4" w:space="0" w:color="000000"/>
              <w:start w:val="single" w:sz="4" w:space="0" w:color="000000"/>
              <w:bottom w:val="single" w:sz="4" w:space="0" w:color="000000"/>
            </w:tcBorders>
          </w:tcPr>
          <w:p>
            <w:pPr>
              <w:pStyle w:val="TableHeading"/>
              <w:bidi w:val="0"/>
              <w:jc w:val="start"/>
              <w:rPr/>
            </w:pPr>
            <w:r>
              <w:rPr/>
              <w:t>Yrs 1–5 growth</w:t>
            </w:r>
          </w:p>
        </w:tc>
        <w:tc>
          <w:tcPr>
            <w:tcW w:w="1607" w:type="dxa"/>
            <w:tcBorders>
              <w:top w:val="single" w:sz="4" w:space="0" w:color="000000"/>
              <w:start w:val="single" w:sz="4" w:space="0" w:color="000000"/>
              <w:bottom w:val="single" w:sz="4" w:space="0" w:color="000000"/>
            </w:tcBorders>
          </w:tcPr>
          <w:p>
            <w:pPr>
              <w:pStyle w:val="TableHeading"/>
              <w:bidi w:val="0"/>
              <w:jc w:val="start"/>
              <w:rPr/>
            </w:pPr>
            <w:r>
              <w:rPr/>
              <w:t>Yrs 6–10 growth</w:t>
            </w:r>
          </w:p>
        </w:tc>
        <w:tc>
          <w:tcPr>
            <w:tcW w:w="1606" w:type="dxa"/>
            <w:tcBorders>
              <w:top w:val="single" w:sz="4" w:space="0" w:color="000000"/>
              <w:start w:val="single" w:sz="4" w:space="0" w:color="000000"/>
              <w:bottom w:val="single" w:sz="4" w:space="0" w:color="000000"/>
            </w:tcBorders>
          </w:tcPr>
          <w:p>
            <w:pPr>
              <w:pStyle w:val="TableHeading"/>
              <w:bidi w:val="0"/>
              <w:jc w:val="start"/>
              <w:rPr/>
            </w:pPr>
            <w:r>
              <w:rPr/>
              <w:t>Yrs 11–20</w:t>
            </w:r>
          </w:p>
        </w:tc>
        <w:tc>
          <w:tcPr>
            <w:tcW w:w="1606" w:type="dxa"/>
            <w:tcBorders>
              <w:top w:val="single" w:sz="4" w:space="0" w:color="000000"/>
              <w:start w:val="single" w:sz="4" w:space="0" w:color="000000"/>
              <w:bottom w:val="single" w:sz="4" w:space="0" w:color="000000"/>
            </w:tcBorders>
          </w:tcPr>
          <w:p>
            <w:pPr>
              <w:pStyle w:val="TableHeading"/>
              <w:bidi w:val="0"/>
              <w:jc w:val="start"/>
              <w:rPr/>
            </w:pPr>
            <w:r>
              <w:rPr/>
              <w:t>Intrinsic value</w:t>
            </w:r>
          </w:p>
        </w:tc>
        <w:tc>
          <w:tcPr>
            <w:tcW w:w="1607"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Discount at $514.72</w:t>
            </w:r>
          </w:p>
        </w:tc>
      </w:tr>
      <w:tr>
        <w:trPr/>
        <w:tc>
          <w:tcPr>
            <w:tcW w:w="1606" w:type="dxa"/>
            <w:tcBorders>
              <w:start w:val="single" w:sz="4" w:space="0" w:color="000000"/>
              <w:bottom w:val="single" w:sz="4" w:space="0" w:color="000000"/>
            </w:tcBorders>
          </w:tcPr>
          <w:p>
            <w:pPr>
              <w:pStyle w:val="TableContents"/>
              <w:bidi w:val="0"/>
              <w:jc w:val="start"/>
              <w:rPr/>
            </w:pPr>
            <w:r>
              <w:rPr>
                <w:b/>
              </w:rPr>
              <w:t>Base case</w:t>
            </w:r>
          </w:p>
        </w:tc>
        <w:tc>
          <w:tcPr>
            <w:tcW w:w="1606" w:type="dxa"/>
            <w:tcBorders>
              <w:start w:val="single" w:sz="4" w:space="0" w:color="000000"/>
              <w:bottom w:val="single" w:sz="4" w:space="0" w:color="000000"/>
            </w:tcBorders>
          </w:tcPr>
          <w:p>
            <w:pPr>
              <w:pStyle w:val="TableContents"/>
              <w:bidi w:val="0"/>
              <w:jc w:val="start"/>
              <w:rPr/>
            </w:pPr>
            <w:r>
              <w:rPr/>
              <w:t>15.53% (avg of 3 sites)</w:t>
            </w:r>
          </w:p>
        </w:tc>
        <w:tc>
          <w:tcPr>
            <w:tcW w:w="1607" w:type="dxa"/>
            <w:tcBorders>
              <w:start w:val="single" w:sz="4" w:space="0" w:color="000000"/>
              <w:bottom w:val="single" w:sz="4" w:space="0" w:color="000000"/>
            </w:tcBorders>
          </w:tcPr>
          <w:p>
            <w:pPr>
              <w:pStyle w:val="TableContents"/>
              <w:bidi w:val="0"/>
              <w:jc w:val="start"/>
              <w:rPr/>
            </w:pPr>
            <w:r>
              <w:rPr/>
              <w:t>15% (capped)</w:t>
            </w:r>
          </w:p>
        </w:tc>
        <w:tc>
          <w:tcPr>
            <w:tcW w:w="1606" w:type="dxa"/>
            <w:tcBorders>
              <w:start w:val="single" w:sz="4" w:space="0" w:color="000000"/>
              <w:bottom w:val="single" w:sz="4" w:space="0" w:color="000000"/>
            </w:tcBorders>
          </w:tcPr>
          <w:p>
            <w:pPr>
              <w:pStyle w:val="TableContents"/>
              <w:bidi w:val="0"/>
              <w:jc w:val="start"/>
              <w:rPr/>
            </w:pPr>
            <w:r>
              <w:rPr/>
              <w:t>4%</w:t>
            </w:r>
          </w:p>
        </w:tc>
        <w:tc>
          <w:tcPr>
            <w:tcW w:w="1606" w:type="dxa"/>
            <w:tcBorders>
              <w:start w:val="single" w:sz="4" w:space="0" w:color="000000"/>
              <w:bottom w:val="single" w:sz="4" w:space="0" w:color="000000"/>
            </w:tcBorders>
          </w:tcPr>
          <w:p>
            <w:pPr>
              <w:pStyle w:val="TableContents"/>
              <w:bidi w:val="0"/>
              <w:jc w:val="start"/>
              <w:rPr/>
            </w:pPr>
            <w:r>
              <w:rPr>
                <w:b/>
              </w:rPr>
              <w:t>$655.97</w:t>
            </w:r>
          </w:p>
        </w:tc>
        <w:tc>
          <w:tcPr>
            <w:tcW w:w="1607" w:type="dxa"/>
            <w:tcBorders>
              <w:start w:val="single" w:sz="4" w:space="0" w:color="000000"/>
              <w:bottom w:val="single" w:sz="4" w:space="0" w:color="000000"/>
              <w:end w:val="single" w:sz="4" w:space="0" w:color="000000"/>
            </w:tcBorders>
          </w:tcPr>
          <w:p>
            <w:pPr>
              <w:pStyle w:val="TableContents"/>
              <w:bidi w:val="0"/>
              <w:jc w:val="start"/>
              <w:rPr/>
            </w:pPr>
            <w:r>
              <w:rPr/>
              <w:t>21.5% undervalued</w:t>
            </w:r>
          </w:p>
        </w:tc>
      </w:tr>
      <w:tr>
        <w:trPr/>
        <w:tc>
          <w:tcPr>
            <w:tcW w:w="1606" w:type="dxa"/>
            <w:tcBorders>
              <w:start w:val="single" w:sz="4" w:space="0" w:color="000000"/>
              <w:bottom w:val="single" w:sz="4" w:space="0" w:color="000000"/>
            </w:tcBorders>
          </w:tcPr>
          <w:p>
            <w:pPr>
              <w:pStyle w:val="TableContents"/>
              <w:bidi w:val="0"/>
              <w:jc w:val="start"/>
              <w:rPr/>
            </w:pPr>
            <w:r>
              <w:rPr>
                <w:b/>
              </w:rPr>
              <w:t>Conservative</w:t>
            </w:r>
          </w:p>
        </w:tc>
        <w:tc>
          <w:tcPr>
            <w:tcW w:w="1606" w:type="dxa"/>
            <w:tcBorders>
              <w:start w:val="single" w:sz="4" w:space="0" w:color="000000"/>
              <w:bottom w:val="single" w:sz="4" w:space="0" w:color="000000"/>
            </w:tcBorders>
          </w:tcPr>
          <w:p>
            <w:pPr>
              <w:pStyle w:val="TableContents"/>
              <w:bidi w:val="0"/>
              <w:jc w:val="start"/>
              <w:rPr/>
            </w:pPr>
            <w:r>
              <w:rPr/>
              <w:t>14.94% (lowest of the 3)</w:t>
            </w:r>
          </w:p>
        </w:tc>
        <w:tc>
          <w:tcPr>
            <w:tcW w:w="1607" w:type="dxa"/>
            <w:tcBorders>
              <w:start w:val="single" w:sz="4" w:space="0" w:color="000000"/>
              <w:bottom w:val="single" w:sz="4" w:space="0" w:color="000000"/>
            </w:tcBorders>
          </w:tcPr>
          <w:p>
            <w:pPr>
              <w:pStyle w:val="TableContents"/>
              <w:bidi w:val="0"/>
              <w:jc w:val="start"/>
              <w:rPr/>
            </w:pPr>
            <w:r>
              <w:rPr/>
              <w:t xml:space="preserve">13.02% (StockOracle </w:t>
            </w:r>
            <w:r>
              <w:rPr>
                <w:b/>
              </w:rPr>
              <w:t>long-term</w:t>
            </w:r>
            <w:r>
              <w:rPr/>
              <w:t xml:space="preserve"> growth rate)</w:t>
            </w:r>
          </w:p>
        </w:tc>
        <w:tc>
          <w:tcPr>
            <w:tcW w:w="1606" w:type="dxa"/>
            <w:tcBorders>
              <w:start w:val="single" w:sz="4" w:space="0" w:color="000000"/>
              <w:bottom w:val="single" w:sz="4" w:space="0" w:color="000000"/>
            </w:tcBorders>
          </w:tcPr>
          <w:p>
            <w:pPr>
              <w:pStyle w:val="TableContents"/>
              <w:bidi w:val="0"/>
              <w:jc w:val="start"/>
              <w:rPr/>
            </w:pPr>
            <w:r>
              <w:rPr/>
              <w:t>4%</w:t>
            </w:r>
          </w:p>
        </w:tc>
        <w:tc>
          <w:tcPr>
            <w:tcW w:w="1606" w:type="dxa"/>
            <w:tcBorders>
              <w:start w:val="single" w:sz="4" w:space="0" w:color="000000"/>
              <w:bottom w:val="single" w:sz="4" w:space="0" w:color="000000"/>
            </w:tcBorders>
          </w:tcPr>
          <w:p>
            <w:pPr>
              <w:pStyle w:val="TableContents"/>
              <w:bidi w:val="0"/>
              <w:jc w:val="start"/>
              <w:rPr/>
            </w:pPr>
            <w:r>
              <w:rPr>
                <w:b/>
              </w:rPr>
              <w:t>$600</w:t>
            </w:r>
          </w:p>
        </w:tc>
        <w:tc>
          <w:tcPr>
            <w:tcW w:w="1607" w:type="dxa"/>
            <w:tcBorders>
              <w:start w:val="single" w:sz="4" w:space="0" w:color="000000"/>
              <w:bottom w:val="single" w:sz="4" w:space="0" w:color="000000"/>
              <w:end w:val="single" w:sz="4" w:space="0" w:color="000000"/>
            </w:tcBorders>
          </w:tcPr>
          <w:p>
            <w:pPr>
              <w:pStyle w:val="TableContents"/>
              <w:bidi w:val="0"/>
              <w:jc w:val="start"/>
              <w:rPr/>
            </w:pPr>
            <w:r>
              <w:rPr/>
              <w:t>~14% discount</w:t>
            </w:r>
          </w:p>
        </w:tc>
      </w:tr>
      <w:tr>
        <w:trPr/>
        <w:tc>
          <w:tcPr>
            <w:tcW w:w="1606" w:type="dxa"/>
            <w:tcBorders>
              <w:start w:val="single" w:sz="4" w:space="0" w:color="000000"/>
              <w:bottom w:val="single" w:sz="4" w:space="0" w:color="000000"/>
            </w:tcBorders>
          </w:tcPr>
          <w:p>
            <w:pPr>
              <w:pStyle w:val="TableContents"/>
              <w:bidi w:val="0"/>
              <w:jc w:val="start"/>
              <w:rPr/>
            </w:pPr>
            <w:r>
              <w:rPr>
                <w:b/>
              </w:rPr>
              <w:t>Doomsday</w:t>
            </w:r>
          </w:p>
        </w:tc>
        <w:tc>
          <w:tcPr>
            <w:tcW w:w="1606" w:type="dxa"/>
            <w:tcBorders>
              <w:start w:val="single" w:sz="4" w:space="0" w:color="000000"/>
              <w:bottom w:val="single" w:sz="4" w:space="0" w:color="000000"/>
            </w:tcBorders>
          </w:tcPr>
          <w:p>
            <w:pPr>
              <w:pStyle w:val="TableContents"/>
              <w:bidi w:val="0"/>
              <w:jc w:val="start"/>
              <w:rPr/>
            </w:pPr>
            <w:r>
              <w:rPr/>
              <w:t>14.94%</w:t>
            </w:r>
          </w:p>
        </w:tc>
        <w:tc>
          <w:tcPr>
            <w:tcW w:w="1607" w:type="dxa"/>
            <w:tcBorders>
              <w:start w:val="single" w:sz="4" w:space="0" w:color="000000"/>
              <w:bottom w:val="single" w:sz="4" w:space="0" w:color="000000"/>
            </w:tcBorders>
          </w:tcPr>
          <w:p>
            <w:pPr>
              <w:pStyle w:val="TableContents"/>
              <w:bidi w:val="0"/>
              <w:jc w:val="start"/>
              <w:rPr/>
            </w:pPr>
            <w:r>
              <w:rPr/>
              <w:t>9.97% (= 14.94 ÷ 2, growth halves after yr 5)</w:t>
            </w:r>
          </w:p>
        </w:tc>
        <w:tc>
          <w:tcPr>
            <w:tcW w:w="1606" w:type="dxa"/>
            <w:tcBorders>
              <w:start w:val="single" w:sz="4" w:space="0" w:color="000000"/>
              <w:bottom w:val="single" w:sz="4" w:space="0" w:color="000000"/>
            </w:tcBorders>
          </w:tcPr>
          <w:p>
            <w:pPr>
              <w:pStyle w:val="TableContents"/>
              <w:bidi w:val="0"/>
              <w:jc w:val="start"/>
              <w:rPr/>
            </w:pPr>
            <w:r>
              <w:rPr/>
              <w:t>4%</w:t>
            </w:r>
          </w:p>
        </w:tc>
        <w:tc>
          <w:tcPr>
            <w:tcW w:w="1606" w:type="dxa"/>
            <w:tcBorders>
              <w:start w:val="single" w:sz="4" w:space="0" w:color="000000"/>
              <w:bottom w:val="single" w:sz="4" w:space="0" w:color="000000"/>
            </w:tcBorders>
          </w:tcPr>
          <w:p>
            <w:pPr>
              <w:pStyle w:val="TableContents"/>
              <w:bidi w:val="0"/>
              <w:jc w:val="start"/>
              <w:rPr/>
            </w:pPr>
            <w:r>
              <w:rPr>
                <w:b/>
              </w:rPr>
              <w:t>$545.50</w:t>
            </w:r>
          </w:p>
        </w:tc>
        <w:tc>
          <w:tcPr>
            <w:tcW w:w="1607" w:type="dxa"/>
            <w:tcBorders>
              <w:start w:val="single" w:sz="4" w:space="0" w:color="000000"/>
              <w:bottom w:val="single" w:sz="4" w:space="0" w:color="000000"/>
              <w:end w:val="single" w:sz="4" w:space="0" w:color="000000"/>
            </w:tcBorders>
          </w:tcPr>
          <w:p>
            <w:pPr>
              <w:pStyle w:val="TableContents"/>
              <w:bidi w:val="0"/>
              <w:jc w:val="start"/>
              <w:rPr/>
            </w:pPr>
            <w:r>
              <w:rPr/>
              <w:t>~5% below IV</w:t>
            </w:r>
          </w:p>
        </w:tc>
      </w:tr>
    </w:tbl>
    <w:p>
      <w:pPr>
        <w:pStyle w:val="BodyText"/>
        <w:bidi w:val="0"/>
        <w:jc w:val="start"/>
        <w:rPr/>
      </w:pPr>
      <w:r>
        <w:rPr/>
      </w:r>
    </w:p>
    <w:p>
      <w:pPr>
        <w:pStyle w:val="BodyText"/>
        <w:numPr>
          <w:ilvl w:val="0"/>
          <w:numId w:val="243"/>
        </w:numPr>
        <w:tabs>
          <w:tab w:val="clear" w:pos="709"/>
          <w:tab w:val="left" w:pos="709" w:leader="none"/>
        </w:tabs>
        <w:bidi w:val="0"/>
        <w:ind w:hanging="283" w:start="709"/>
        <w:jc w:val="start"/>
        <w:rPr/>
      </w:pPr>
      <w:r>
        <w:rPr/>
        <w:t xml:space="preserve">Interpretation: even under the doomsday case the stock is below intrinsic value → </w:t>
      </w:r>
      <w:r>
        <w:rPr>
          <w:i/>
        </w:rPr>
        <w:t>"these are the kind of stocks I like to buy because it's pretty safe even if things don't work out as I planned."</w:t>
      </w:r>
    </w:p>
    <w:p>
      <w:pPr>
        <w:pStyle w:val="Heading4"/>
        <w:numPr>
          <w:ilvl w:val="0"/>
          <w:numId w:val="0"/>
        </w:numPr>
        <w:bidi w:val="0"/>
        <w:ind w:hanging="0" w:start="0"/>
        <w:jc w:val="start"/>
        <w:rPr/>
      </w:pPr>
      <w:r>
        <w:rPr/>
        <w:t>4.10 Intrinsic value is a range — margin of safety</w:t>
      </w:r>
    </w:p>
    <w:p>
      <w:pPr>
        <w:pStyle w:val="BodyText"/>
        <w:numPr>
          <w:ilvl w:val="0"/>
          <w:numId w:val="244"/>
        </w:numPr>
        <w:tabs>
          <w:tab w:val="clear" w:pos="709"/>
          <w:tab w:val="left" w:pos="709" w:leader="none"/>
        </w:tabs>
        <w:bidi w:val="0"/>
        <w:ind w:hanging="283" w:start="709"/>
        <w:jc w:val="start"/>
        <w:rPr/>
      </w:pPr>
      <w:r>
        <w:rPr>
          <w:b/>
        </w:rPr>
        <w:t>Buffett &amp; Munger on American Express:</w:t>
      </w:r>
      <w:r>
        <w:rPr/>
        <w:t xml:space="preserve"> Buffett's calculation → </w:t>
      </w:r>
      <w:r>
        <w:rPr>
          <w:b/>
        </w:rPr>
        <w:t>$60</w:t>
      </w:r>
      <w:r>
        <w:rPr/>
        <w:t xml:space="preserve">; Munger (more pessimistic, lower growth rate) → </w:t>
      </w:r>
      <w:r>
        <w:rPr>
          <w:b/>
        </w:rPr>
        <w:t>$50</w:t>
      </w:r>
      <w:r>
        <w:rPr/>
        <w:t xml:space="preserve">; the market price was </w:t>
      </w:r>
      <w:r>
        <w:rPr>
          <w:b/>
        </w:rPr>
        <w:t>$35</w:t>
      </w:r>
      <w:r>
        <w:rPr/>
        <w:t>. The disagreement did not matter because the price was far below both.</w:t>
      </w:r>
    </w:p>
    <w:p>
      <w:pPr>
        <w:pStyle w:val="BodyText"/>
        <w:numPr>
          <w:ilvl w:val="0"/>
          <w:numId w:val="244"/>
        </w:numPr>
        <w:tabs>
          <w:tab w:val="clear" w:pos="709"/>
          <w:tab w:val="left" w:pos="709" w:leader="none"/>
        </w:tabs>
        <w:bidi w:val="0"/>
        <w:ind w:hanging="283" w:start="709"/>
        <w:jc w:val="start"/>
        <w:rPr/>
      </w:pPr>
      <w:r>
        <w:rPr/>
        <w:t xml:space="preserve">Lesson: </w:t>
      </w:r>
      <w:r>
        <w:rPr>
          <w:b/>
        </w:rPr>
        <w:t>buy when the price is way below intrinsic value so there is a margin of safety</w:t>
      </w:r>
      <w:r>
        <w:rPr/>
        <w:t xml:space="preserve"> — so that even if your growth assumptions were too optimistic, you are still safe.</w:t>
      </w:r>
    </w:p>
    <w:p>
      <w:pPr>
        <w:pStyle w:val="BodyText"/>
        <w:numPr>
          <w:ilvl w:val="0"/>
          <w:numId w:val="244"/>
        </w:numPr>
        <w:tabs>
          <w:tab w:val="clear" w:pos="709"/>
          <w:tab w:val="left" w:pos="709" w:leader="none"/>
        </w:tabs>
        <w:bidi w:val="0"/>
        <w:spacing w:before="0" w:after="0"/>
        <w:ind w:hanging="283" w:start="709"/>
        <w:jc w:val="start"/>
        <w:rPr/>
      </w:pPr>
      <w:r>
        <w:rPr/>
        <w:t>Practical margin-of-safety behaviour shown in the lesson:</w:t>
      </w:r>
    </w:p>
    <w:p>
      <w:pPr>
        <w:pStyle w:val="BodyText"/>
        <w:numPr>
          <w:ilvl w:val="1"/>
          <w:numId w:val="244"/>
        </w:numPr>
        <w:tabs>
          <w:tab w:val="clear" w:pos="709"/>
          <w:tab w:val="left" w:pos="1418" w:leader="none"/>
        </w:tabs>
        <w:bidi w:val="0"/>
        <w:ind w:hanging="283" w:start="1418"/>
        <w:jc w:val="start"/>
        <w:rPr/>
      </w:pPr>
      <w:r>
        <w:rPr/>
        <w:t>MasterCard at 21.5% below base-case IV and still below the doomsday IV → attractive.</w:t>
      </w:r>
    </w:p>
    <w:p>
      <w:pPr>
        <w:pStyle w:val="BodyText"/>
        <w:numPr>
          <w:ilvl w:val="1"/>
          <w:numId w:val="244"/>
        </w:numPr>
        <w:tabs>
          <w:tab w:val="clear" w:pos="709"/>
          <w:tab w:val="left" w:pos="1418" w:leader="none"/>
        </w:tabs>
        <w:bidi w:val="0"/>
        <w:ind w:hanging="283" w:start="1418"/>
        <w:jc w:val="start"/>
        <w:rPr/>
      </w:pPr>
      <w:r>
        <w:rPr/>
        <w:t xml:space="preserve">Apple at $260.83 vs base-case IV $256 → </w:t>
      </w:r>
      <w:r>
        <w:rPr>
          <w:b/>
        </w:rPr>
        <w:t>not bought</w:t>
      </w:r>
      <w:r>
        <w:rPr/>
        <w:t>; would add "below $190" (well under both the conservative $199.98 and StockOracle's $190).</w:t>
      </w:r>
    </w:p>
    <w:p>
      <w:pPr>
        <w:pStyle w:val="BodyText"/>
        <w:numPr>
          <w:ilvl w:val="1"/>
          <w:numId w:val="244"/>
        </w:numPr>
        <w:tabs>
          <w:tab w:val="clear" w:pos="709"/>
          <w:tab w:val="left" w:pos="1418" w:leader="none"/>
        </w:tabs>
        <w:bidi w:val="0"/>
        <w:ind w:hanging="283" w:start="1418"/>
        <w:jc w:val="start"/>
        <w:rPr/>
      </w:pPr>
      <w:r>
        <w:rPr/>
        <w:t xml:space="preserve">Singapore Exchange at $18.37 vs IV $17.67 → </w:t>
      </w:r>
      <w:r>
        <w:rPr>
          <w:b/>
        </w:rPr>
        <w:t>not bought</w:t>
      </w:r>
      <w:r>
        <w:rPr/>
        <w:t>; interested at $17, $16, $15 or $12.</w:t>
      </w:r>
    </w:p>
    <w:p>
      <w:pPr>
        <w:pStyle w:val="BodyText"/>
        <w:numPr>
          <w:ilvl w:val="1"/>
          <w:numId w:val="244"/>
        </w:numPr>
        <w:tabs>
          <w:tab w:val="clear" w:pos="709"/>
          <w:tab w:val="left" w:pos="1418" w:leader="none"/>
        </w:tabs>
        <w:bidi w:val="0"/>
        <w:ind w:hanging="283" w:start="1418"/>
        <w:jc w:val="start"/>
        <w:rPr/>
      </w:pPr>
      <w:r>
        <w:rPr/>
        <w:t xml:space="preserve">BlackRock at $967 vs IV $795 → </w:t>
      </w:r>
      <w:r>
        <w:rPr>
          <w:b/>
        </w:rPr>
        <w:t>not bought</w:t>
      </w:r>
      <w:r>
        <w:rPr/>
        <w:t>; interested at "$700-plus or even below $700."</w:t>
      </w:r>
    </w:p>
    <w:p>
      <w:pPr>
        <w:pStyle w:val="BodyText"/>
        <w:numPr>
          <w:ilvl w:val="1"/>
          <w:numId w:val="244"/>
        </w:numPr>
        <w:tabs>
          <w:tab w:val="clear" w:pos="709"/>
          <w:tab w:val="left" w:pos="1418" w:leader="none"/>
        </w:tabs>
        <w:bidi w:val="0"/>
        <w:ind w:hanging="283" w:start="1418"/>
        <w:jc w:val="start"/>
        <w:rPr/>
      </w:pPr>
      <w:r>
        <w:rPr/>
        <w:t xml:space="preserve">Distressed companies: buy at </w:t>
      </w:r>
      <w:r>
        <w:rPr>
          <w:b/>
        </w:rPr>
        <w:t>P/B ≤ 0.5</w:t>
      </w:r>
      <w:r>
        <w:rPr/>
        <w:t>, i.e. 50 cents on the dollar of liquidation value.</w:t>
      </w:r>
    </w:p>
    <w:p>
      <w:pPr>
        <w:pStyle w:val="HorizontalLine"/>
        <w:bidi w:val="0"/>
        <w:jc w:val="start"/>
        <w:rPr/>
      </w:pPr>
      <w:r>
        <w:rPr/>
      </w:r>
    </w:p>
    <w:p>
      <w:pPr>
        <w:pStyle w:val="Heading3"/>
        <w:bidi w:val="0"/>
        <w:ind w:hanging="0" w:start="0"/>
        <w:jc w:val="start"/>
        <w:rPr/>
      </w:pPr>
      <w:r>
        <w:rPr/>
        <w:t>5. DCF Part 2 — Handling Inconsistent Cash Flow</w:t>
      </w:r>
    </w:p>
    <w:p>
      <w:pPr>
        <w:pStyle w:val="Heading4"/>
        <w:bidi w:val="0"/>
        <w:ind w:hanging="0" w:start="0"/>
        <w:jc w:val="start"/>
        <w:rPr/>
      </w:pPr>
      <w:r>
        <w:rPr/>
        <w:t>5.1 The diagnostic</w:t>
      </w:r>
    </w:p>
    <w:p>
      <w:pPr>
        <w:pStyle w:val="PreformattedText"/>
        <w:shd w:fill="E1E1E1" w:val="clear"/>
        <w:bidi w:val="0"/>
        <w:spacing w:before="0" w:after="283"/>
        <w:jc w:val="start"/>
        <w:rPr/>
      </w:pPr>
      <w:r>
        <w:rPr/>
        <w:t>Free cash flow = Cash flow from operations − Capital expenditure</w:t>
      </w:r>
    </w:p>
    <w:p>
      <w:pPr>
        <w:pStyle w:val="BodyText"/>
        <w:bidi w:val="0"/>
        <w:jc w:val="start"/>
        <w:rPr/>
      </w:pPr>
      <w:r>
        <w:rPr/>
        <w:t>Two different causes of inconsistent FCF, with two different answers:</w:t>
      </w:r>
    </w:p>
    <w:tbl>
      <w:tblPr>
        <w:tblW w:w="5000" w:type="pct"/>
        <w:jc w:val="start"/>
        <w:tblInd w:w="-5" w:type="dxa"/>
        <w:tblLayout w:type="fixed"/>
        <w:tblCellMar>
          <w:top w:w="55" w:type="dxa"/>
          <w:start w:w="55" w:type="dxa"/>
          <w:bottom w:w="55" w:type="dxa"/>
          <w:end w:w="55" w:type="dxa"/>
        </w:tblCellMar>
      </w:tblPr>
      <w:tblGrid>
        <w:gridCol w:w="4819"/>
        <w:gridCol w:w="4819"/>
      </w:tblGrid>
      <w:tr>
        <w:trPr>
          <w:tblHeader w:val="true"/>
        </w:trPr>
        <w:tc>
          <w:tcPr>
            <w:tcW w:w="4819" w:type="dxa"/>
            <w:tcBorders>
              <w:top w:val="single" w:sz="4" w:space="0" w:color="000000"/>
              <w:start w:val="single" w:sz="4" w:space="0" w:color="000000"/>
              <w:bottom w:val="single" w:sz="4" w:space="0" w:color="000000"/>
            </w:tcBorders>
          </w:tcPr>
          <w:p>
            <w:pPr>
              <w:pStyle w:val="TableHeading"/>
              <w:bidi w:val="0"/>
              <w:jc w:val="start"/>
              <w:rPr/>
            </w:pPr>
            <w:r>
              <w:rPr/>
              <w:t>Cause</w:t>
            </w:r>
          </w:p>
        </w:tc>
        <w:tc>
          <w:tcPr>
            <w:tcW w:w="4819"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Verdict</w:t>
            </w:r>
          </w:p>
        </w:tc>
      </w:tr>
      <w:tr>
        <w:trPr/>
        <w:tc>
          <w:tcPr>
            <w:tcW w:w="4819" w:type="dxa"/>
            <w:tcBorders>
              <w:start w:val="single" w:sz="4" w:space="0" w:color="000000"/>
              <w:bottom w:val="single" w:sz="4" w:space="0" w:color="000000"/>
            </w:tcBorders>
          </w:tcPr>
          <w:p>
            <w:pPr>
              <w:pStyle w:val="TableContents"/>
              <w:bidi w:val="0"/>
              <w:jc w:val="start"/>
              <w:rPr/>
            </w:pPr>
            <w:r>
              <w:rPr>
                <w:b/>
              </w:rPr>
              <w:t>CFO itself is inconsistent</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b/>
              </w:rPr>
              <w:t>Cannot use DCF at all.</w:t>
            </w:r>
            <w:r>
              <w:rPr/>
              <w:t xml:space="preserve"> Use a different method, or forget the stock and find one with consistent cash flow growth.</w:t>
            </w:r>
          </w:p>
        </w:tc>
      </w:tr>
      <w:tr>
        <w:trPr/>
        <w:tc>
          <w:tcPr>
            <w:tcW w:w="4819" w:type="dxa"/>
            <w:tcBorders>
              <w:start w:val="single" w:sz="4" w:space="0" w:color="000000"/>
              <w:bottom w:val="single" w:sz="4" w:space="0" w:color="000000"/>
            </w:tcBorders>
          </w:tcPr>
          <w:p>
            <w:pPr>
              <w:pStyle w:val="TableContents"/>
              <w:bidi w:val="0"/>
              <w:jc w:val="start"/>
              <w:rPr/>
            </w:pPr>
            <w:r>
              <w:rPr>
                <w:b/>
              </w:rPr>
              <w:t>CFO is consistent but CAPEX is lumpy</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b/>
              </w:rPr>
              <w:t>Fine.</w:t>
            </w:r>
            <w:r>
              <w:rPr/>
              <w:t xml:space="preserve"> Normalize the capex (§5.2).</w:t>
            </w:r>
          </w:p>
        </w:tc>
      </w:tr>
    </w:tbl>
    <w:p>
      <w:pPr>
        <w:pStyle w:val="BodyText"/>
        <w:bidi w:val="0"/>
        <w:jc w:val="start"/>
        <w:rPr/>
      </w:pPr>
      <w:r>
        <w:rPr/>
      </w:r>
    </w:p>
    <w:p>
      <w:pPr>
        <w:pStyle w:val="BodyText"/>
        <w:numPr>
          <w:ilvl w:val="0"/>
          <w:numId w:val="245"/>
        </w:numPr>
        <w:tabs>
          <w:tab w:val="clear" w:pos="709"/>
          <w:tab w:val="left" w:pos="709" w:leader="none"/>
        </w:tabs>
        <w:bidi w:val="0"/>
        <w:ind w:hanging="283" w:start="709"/>
        <w:jc w:val="start"/>
        <w:rPr/>
      </w:pPr>
      <w:r>
        <w:rPr>
          <w:b/>
        </w:rPr>
        <w:t>Capex</w:t>
      </w:r>
      <w:r>
        <w:rPr/>
        <w:t xml:space="preserve"> = money invested in new plants, machinery, equipment. Some companies spend evenly every year; others spend in bursts (data centres, heavy R&amp;D), which crushes FCF in those years and inflates it in quiet years.</w:t>
      </w:r>
    </w:p>
    <w:p>
      <w:pPr>
        <w:pStyle w:val="BodyText"/>
        <w:numPr>
          <w:ilvl w:val="0"/>
          <w:numId w:val="245"/>
        </w:numPr>
        <w:tabs>
          <w:tab w:val="clear" w:pos="709"/>
          <w:tab w:val="left" w:pos="709" w:leader="none"/>
        </w:tabs>
        <w:bidi w:val="0"/>
        <w:ind w:hanging="283" w:start="709"/>
        <w:jc w:val="start"/>
        <w:rPr/>
      </w:pPr>
      <w:r>
        <w:rPr>
          <w:b/>
        </w:rPr>
        <w:t>Hyperscaler illustration:</w:t>
      </w:r>
      <w:r>
        <w:rPr/>
        <w:t xml:space="preserve"> Microsoft, Meta, Google and Amazon recently spent enormously on </w:t>
      </w:r>
      <w:r>
        <w:rPr>
          <w:b/>
        </w:rPr>
        <w:t>AI data centres</w:t>
      </w:r>
      <w:r>
        <w:rPr/>
        <w:t xml:space="preserve"> to strengthen their economic moat and future growth. That capex spike knocked their FCF down — </w:t>
      </w:r>
      <w:r>
        <w:rPr>
          <w:b/>
        </w:rPr>
        <w:t>not a concern</w:t>
      </w:r>
      <w:r>
        <w:rPr/>
        <w:t>, because the underlying business is generating plenty of operating cash.</w:t>
      </w:r>
    </w:p>
    <w:p>
      <w:pPr>
        <w:pStyle w:val="Heading4"/>
        <w:numPr>
          <w:ilvl w:val="0"/>
          <w:numId w:val="0"/>
        </w:numPr>
        <w:bidi w:val="0"/>
        <w:ind w:hanging="0" w:start="0"/>
        <w:jc w:val="start"/>
        <w:rPr/>
      </w:pPr>
      <w:r>
        <w:rPr/>
        <w:t>5.2 Capex normalization rule</w:t>
      </w:r>
    </w:p>
    <w:p>
      <w:pPr>
        <w:pStyle w:val="PreformattedText"/>
        <w:shd w:fill="E1E1E1" w:val="clear"/>
        <w:bidi w:val="0"/>
        <w:spacing w:before="0" w:after="283"/>
        <w:jc w:val="start"/>
        <w:rPr/>
      </w:pPr>
      <w:r>
        <w:rPr/>
        <w:t>5-year average capex = (capex yr1 + yr2 + yr3 + yr4 + yr5) ÷ 5</w:t>
        <w:br/>
        <w:br/>
        <w:t>Normalized FCF = latest 12-month cash flow from operations − 5-year average capex</w:t>
      </w:r>
    </w:p>
    <w:p>
      <w:pPr>
        <w:pStyle w:val="BodyText"/>
        <w:bidi w:val="0"/>
        <w:jc w:val="start"/>
        <w:rPr/>
      </w:pPr>
      <w:r>
        <w:rPr/>
        <w:t>Use this normalized FCF as the starting cash flow in the DCF calculator.</w:t>
      </w:r>
    </w:p>
    <w:p>
      <w:pPr>
        <w:pStyle w:val="Heading4"/>
        <w:bidi w:val="0"/>
        <w:ind w:hanging="0" w:start="0"/>
        <w:jc w:val="start"/>
        <w:rPr/>
      </w:pPr>
      <w:r>
        <w:rPr/>
        <w:t>5.3 WORKED EXAMPLE — Amazon (AMZN), normalized FCF</w:t>
      </w:r>
    </w:p>
    <w:p>
      <w:pPr>
        <w:pStyle w:val="BodyText"/>
        <w:bidi w:val="0"/>
        <w:jc w:val="start"/>
        <w:rPr/>
      </w:pPr>
      <w:r>
        <w:rPr>
          <w:b/>
        </w:rPr>
        <w:t>Why normalization is required:</w:t>
      </w:r>
      <w:r>
        <w:rPr/>
        <w:t xml:space="preserve"> Amazon's CFO (orange) rises fairly consistently, but reported FCF (dark green) swings wildly — </w:t>
      </w:r>
      <w:r>
        <w:rPr>
          <w:b/>
        </w:rPr>
        <w:t>−$14B, −$16B, +$32B, +$32B, then down to $7B</w:t>
      </w:r>
      <w:r>
        <w:rPr/>
        <w:t xml:space="preserve"> — because capex tripled (from roughly 50,000 to 150,000 million) building data centres, robots and automation. Using the latest FCF would make intrinsic value artificially low.</w:t>
      </w:r>
    </w:p>
    <w:tbl>
      <w:tblPr>
        <w:tblW w:w="5000" w:type="pct"/>
        <w:jc w:val="start"/>
        <w:tblInd w:w="-5" w:type="dxa"/>
        <w:tblLayout w:type="fixed"/>
        <w:tblCellMar>
          <w:top w:w="55" w:type="dxa"/>
          <w:start w:w="55" w:type="dxa"/>
          <w:bottom w:w="55" w:type="dxa"/>
          <w:end w:w="55" w:type="dxa"/>
        </w:tblCellMar>
      </w:tblPr>
      <w:tblGrid>
        <w:gridCol w:w="3212"/>
        <w:gridCol w:w="3213"/>
        <w:gridCol w:w="3213"/>
      </w:tblGrid>
      <w:tr>
        <w:trPr>
          <w:tblHeader w:val="true"/>
        </w:trPr>
        <w:tc>
          <w:tcPr>
            <w:tcW w:w="3212" w:type="dxa"/>
            <w:tcBorders>
              <w:top w:val="single" w:sz="4" w:space="0" w:color="000000"/>
              <w:start w:val="single" w:sz="4" w:space="0" w:color="000000"/>
              <w:bottom w:val="single" w:sz="4" w:space="0" w:color="000000"/>
            </w:tcBorders>
          </w:tcPr>
          <w:p>
            <w:pPr>
              <w:pStyle w:val="TableHeading"/>
              <w:bidi w:val="0"/>
              <w:jc w:val="start"/>
              <w:rPr/>
            </w:pPr>
            <w:r>
              <w:rPr/>
              <w:t>Step</w:t>
            </w:r>
          </w:p>
        </w:tc>
        <w:tc>
          <w:tcPr>
            <w:tcW w:w="3213" w:type="dxa"/>
            <w:tcBorders>
              <w:top w:val="single" w:sz="4" w:space="0" w:color="000000"/>
              <w:start w:val="single" w:sz="4" w:space="0" w:color="000000"/>
              <w:bottom w:val="single" w:sz="4" w:space="0" w:color="000000"/>
            </w:tcBorders>
          </w:tcPr>
          <w:p>
            <w:pPr>
              <w:pStyle w:val="TableHeading"/>
              <w:bidi w:val="0"/>
              <w:jc w:val="start"/>
              <w:rPr/>
            </w:pPr>
            <w:r>
              <w:rPr/>
              <w:t>Input</w:t>
            </w:r>
          </w:p>
        </w:tc>
        <w:tc>
          <w:tcPr>
            <w:tcW w:w="3213"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Value</w:t>
            </w:r>
          </w:p>
        </w:tc>
      </w:tr>
      <w:tr>
        <w:trPr/>
        <w:tc>
          <w:tcPr>
            <w:tcW w:w="3212" w:type="dxa"/>
            <w:tcBorders>
              <w:start w:val="single" w:sz="4" w:space="0" w:color="000000"/>
              <w:bottom w:val="single" w:sz="4" w:space="0" w:color="000000"/>
            </w:tcBorders>
          </w:tcPr>
          <w:p>
            <w:pPr>
              <w:pStyle w:val="TableContents"/>
              <w:bidi w:val="0"/>
              <w:jc w:val="start"/>
              <w:rPr/>
            </w:pPr>
            <w:r>
              <w:rPr/>
              <w:t>1</w:t>
            </w:r>
          </w:p>
        </w:tc>
        <w:tc>
          <w:tcPr>
            <w:tcW w:w="3213" w:type="dxa"/>
            <w:tcBorders>
              <w:start w:val="single" w:sz="4" w:space="0" w:color="000000"/>
              <w:bottom w:val="single" w:sz="4" w:space="0" w:color="000000"/>
            </w:tcBorders>
          </w:tcPr>
          <w:p>
            <w:pPr>
              <w:pStyle w:val="TableContents"/>
              <w:bidi w:val="0"/>
              <w:jc w:val="start"/>
              <w:rPr/>
            </w:pPr>
            <w:r>
              <w:rPr/>
              <w:t>Stock / ticker / method</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 xml:space="preserve">Amazon / </w:t>
            </w:r>
            <w:r>
              <w:rPr>
                <w:b/>
              </w:rPr>
              <w:t>AMZN</w:t>
            </w:r>
            <w:r>
              <w:rPr/>
              <w:t xml:space="preserve"> / discounted free cash flow</w:t>
            </w:r>
          </w:p>
        </w:tc>
      </w:tr>
      <w:tr>
        <w:trPr/>
        <w:tc>
          <w:tcPr>
            <w:tcW w:w="3212" w:type="dxa"/>
            <w:tcBorders>
              <w:start w:val="single" w:sz="4" w:space="0" w:color="000000"/>
              <w:bottom w:val="single" w:sz="4" w:space="0" w:color="000000"/>
            </w:tcBorders>
          </w:tcPr>
          <w:p>
            <w:pPr>
              <w:pStyle w:val="TableContents"/>
              <w:bidi w:val="0"/>
              <w:jc w:val="start"/>
              <w:rPr/>
            </w:pPr>
            <w:r>
              <w:rPr/>
              <w:t>2a</w:t>
            </w:r>
          </w:p>
        </w:tc>
        <w:tc>
          <w:tcPr>
            <w:tcW w:w="3213" w:type="dxa"/>
            <w:tcBorders>
              <w:start w:val="single" w:sz="4" w:space="0" w:color="000000"/>
              <w:bottom w:val="single" w:sz="4" w:space="0" w:color="000000"/>
            </w:tcBorders>
          </w:tcPr>
          <w:p>
            <w:pPr>
              <w:pStyle w:val="TableContents"/>
              <w:bidi w:val="0"/>
              <w:jc w:val="start"/>
              <w:rPr/>
            </w:pPr>
            <w:r>
              <w:rPr/>
              <w:t>Capex, 5 years</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61,053 + 63,645 + 52,729 + 82,999 + 131,819</w:t>
            </w:r>
          </w:p>
        </w:tc>
      </w:tr>
      <w:tr>
        <w:trPr/>
        <w:tc>
          <w:tcPr>
            <w:tcW w:w="3212" w:type="dxa"/>
            <w:tcBorders>
              <w:start w:val="single" w:sz="4" w:space="0" w:color="000000"/>
              <w:bottom w:val="single" w:sz="4" w:space="0" w:color="000000"/>
            </w:tcBorders>
          </w:tcPr>
          <w:p>
            <w:pPr>
              <w:pStyle w:val="TableContents"/>
              <w:bidi w:val="0"/>
              <w:jc w:val="start"/>
              <w:rPr/>
            </w:pPr>
            <w:r>
              <w:rPr/>
              <w:t>2b</w:t>
            </w:r>
          </w:p>
        </w:tc>
        <w:tc>
          <w:tcPr>
            <w:tcW w:w="3213" w:type="dxa"/>
            <w:tcBorders>
              <w:start w:val="single" w:sz="4" w:space="0" w:color="000000"/>
              <w:bottom w:val="single" w:sz="4" w:space="0" w:color="000000"/>
            </w:tcBorders>
          </w:tcPr>
          <w:p>
            <w:pPr>
              <w:pStyle w:val="TableContents"/>
              <w:bidi w:val="0"/>
              <w:jc w:val="start"/>
              <w:rPr/>
            </w:pPr>
            <w:r>
              <w:rPr/>
              <w:t xml:space="preserve">÷ 5 → </w:t>
            </w:r>
            <w:r>
              <w:rPr>
                <w:b/>
              </w:rPr>
              <w:t>5-year average capex</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b/>
              </w:rPr>
              <w:t>78,449</w:t>
            </w:r>
            <w:r>
              <w:rPr/>
              <w:t xml:space="preserve"> million</w:t>
            </w:r>
          </w:p>
        </w:tc>
      </w:tr>
      <w:tr>
        <w:trPr/>
        <w:tc>
          <w:tcPr>
            <w:tcW w:w="3212" w:type="dxa"/>
            <w:tcBorders>
              <w:start w:val="single" w:sz="4" w:space="0" w:color="000000"/>
              <w:bottom w:val="single" w:sz="4" w:space="0" w:color="000000"/>
            </w:tcBorders>
          </w:tcPr>
          <w:p>
            <w:pPr>
              <w:pStyle w:val="TableContents"/>
              <w:bidi w:val="0"/>
              <w:jc w:val="start"/>
              <w:rPr/>
            </w:pPr>
            <w:r>
              <w:rPr/>
              <w:t>2c</w:t>
            </w:r>
          </w:p>
        </w:tc>
        <w:tc>
          <w:tcPr>
            <w:tcW w:w="3213" w:type="dxa"/>
            <w:tcBorders>
              <w:start w:val="single" w:sz="4" w:space="0" w:color="000000"/>
              <w:bottom w:val="single" w:sz="4" w:space="0" w:color="000000"/>
            </w:tcBorders>
          </w:tcPr>
          <w:p>
            <w:pPr>
              <w:pStyle w:val="TableContents"/>
              <w:bidi w:val="0"/>
              <w:jc w:val="start"/>
              <w:rPr/>
            </w:pPr>
            <w:r>
              <w:rPr/>
              <w:t>Latest cash flow from operations</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b/>
              </w:rPr>
              <w:t>139,514</w:t>
            </w:r>
            <w:r>
              <w:rPr/>
              <w:t xml:space="preserve"> million</w:t>
            </w:r>
          </w:p>
        </w:tc>
      </w:tr>
      <w:tr>
        <w:trPr/>
        <w:tc>
          <w:tcPr>
            <w:tcW w:w="3212" w:type="dxa"/>
            <w:tcBorders>
              <w:start w:val="single" w:sz="4" w:space="0" w:color="000000"/>
              <w:bottom w:val="single" w:sz="4" w:space="0" w:color="000000"/>
            </w:tcBorders>
          </w:tcPr>
          <w:p>
            <w:pPr>
              <w:pStyle w:val="TableContents"/>
              <w:bidi w:val="0"/>
              <w:jc w:val="start"/>
              <w:rPr/>
            </w:pPr>
            <w:r>
              <w:rPr/>
              <w:t>2d</w:t>
            </w:r>
          </w:p>
        </w:tc>
        <w:tc>
          <w:tcPr>
            <w:tcW w:w="3213" w:type="dxa"/>
            <w:tcBorders>
              <w:start w:val="single" w:sz="4" w:space="0" w:color="000000"/>
              <w:bottom w:val="single" w:sz="4" w:space="0" w:color="000000"/>
            </w:tcBorders>
          </w:tcPr>
          <w:p>
            <w:pPr>
              <w:pStyle w:val="TableContents"/>
              <w:bidi w:val="0"/>
              <w:jc w:val="start"/>
              <w:rPr/>
            </w:pPr>
            <w:r>
              <w:rPr>
                <w:b/>
              </w:rPr>
              <w:t>Normalized FCF</w:t>
            </w:r>
            <w:r>
              <w:rPr/>
              <w:t xml:space="preserve"> = 139,514 − 78,449</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b/>
              </w:rPr>
              <w:t>61,065</w:t>
            </w:r>
            <w:r>
              <w:rPr/>
              <w:t xml:space="preserve"> million</w:t>
            </w:r>
          </w:p>
        </w:tc>
      </w:tr>
      <w:tr>
        <w:trPr/>
        <w:tc>
          <w:tcPr>
            <w:tcW w:w="3212" w:type="dxa"/>
            <w:tcBorders>
              <w:start w:val="single" w:sz="4" w:space="0" w:color="000000"/>
              <w:bottom w:val="single" w:sz="4" w:space="0" w:color="000000"/>
            </w:tcBorders>
          </w:tcPr>
          <w:p>
            <w:pPr>
              <w:pStyle w:val="TableContents"/>
              <w:bidi w:val="0"/>
              <w:jc w:val="start"/>
              <w:rPr/>
            </w:pPr>
            <w:r>
              <w:rPr/>
              <w:t>3</w:t>
            </w:r>
          </w:p>
        </w:tc>
        <w:tc>
          <w:tcPr>
            <w:tcW w:w="3213" w:type="dxa"/>
            <w:tcBorders>
              <w:start w:val="single" w:sz="4" w:space="0" w:color="000000"/>
              <w:bottom w:val="single" w:sz="4" w:space="0" w:color="000000"/>
            </w:tcBorders>
          </w:tcPr>
          <w:p>
            <w:pPr>
              <w:pStyle w:val="TableContents"/>
              <w:bidi w:val="0"/>
              <w:jc w:val="start"/>
              <w:rPr/>
            </w:pPr>
            <w:r>
              <w:rPr/>
              <w:t xml:space="preserve">Total debt = short-term </w:t>
            </w:r>
            <w:r>
              <w:rPr>
                <w:b/>
              </w:rPr>
              <w:t>2,748</w:t>
            </w:r>
            <w:r>
              <w:rPr/>
              <w:t xml:space="preserve"> + long-term </w:t>
            </w:r>
            <w:r>
              <w:rPr>
                <w:b/>
              </w:rPr>
              <w:t>65,648</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b/>
              </w:rPr>
              <w:t>68,396</w:t>
            </w:r>
            <w:r>
              <w:rPr/>
              <w:t xml:space="preserve"> million</w:t>
            </w:r>
          </w:p>
        </w:tc>
      </w:tr>
      <w:tr>
        <w:trPr/>
        <w:tc>
          <w:tcPr>
            <w:tcW w:w="3212" w:type="dxa"/>
            <w:tcBorders>
              <w:start w:val="single" w:sz="4" w:space="0" w:color="000000"/>
              <w:bottom w:val="single" w:sz="4" w:space="0" w:color="000000"/>
            </w:tcBorders>
          </w:tcPr>
          <w:p>
            <w:pPr>
              <w:pStyle w:val="TableContents"/>
              <w:bidi w:val="0"/>
              <w:jc w:val="start"/>
              <w:rPr/>
            </w:pPr>
            <w:r>
              <w:rPr/>
              <w:t>4</w:t>
            </w:r>
          </w:p>
        </w:tc>
        <w:tc>
          <w:tcPr>
            <w:tcW w:w="3213" w:type="dxa"/>
            <w:tcBorders>
              <w:start w:val="single" w:sz="4" w:space="0" w:color="000000"/>
              <w:bottom w:val="single" w:sz="4" w:space="0" w:color="000000"/>
            </w:tcBorders>
          </w:tcPr>
          <w:p>
            <w:pPr>
              <w:pStyle w:val="TableContents"/>
              <w:bidi w:val="0"/>
              <w:jc w:val="start"/>
              <w:rPr/>
            </w:pPr>
            <w:r>
              <w:rPr/>
              <w:t>Cash &amp; investments (latest quarter)</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b/>
              </w:rPr>
              <w:t>123,329</w:t>
            </w:r>
            <w:r>
              <w:rPr/>
              <w:t xml:space="preserve"> million</w:t>
            </w:r>
          </w:p>
        </w:tc>
      </w:tr>
      <w:tr>
        <w:trPr/>
        <w:tc>
          <w:tcPr>
            <w:tcW w:w="3212" w:type="dxa"/>
            <w:tcBorders>
              <w:start w:val="single" w:sz="4" w:space="0" w:color="000000"/>
              <w:bottom w:val="single" w:sz="4" w:space="0" w:color="000000"/>
            </w:tcBorders>
          </w:tcPr>
          <w:p>
            <w:pPr>
              <w:pStyle w:val="TableContents"/>
              <w:bidi w:val="0"/>
              <w:jc w:val="start"/>
              <w:rPr/>
            </w:pPr>
            <w:r>
              <w:rPr/>
              <w:t>5a</w:t>
            </w:r>
          </w:p>
        </w:tc>
        <w:tc>
          <w:tcPr>
            <w:tcW w:w="3213" w:type="dxa"/>
            <w:tcBorders>
              <w:start w:val="single" w:sz="4" w:space="0" w:color="000000"/>
              <w:bottom w:val="single" w:sz="4" w:space="0" w:color="000000"/>
            </w:tcBorders>
          </w:tcPr>
          <w:p>
            <w:pPr>
              <w:pStyle w:val="TableContents"/>
              <w:bidi w:val="0"/>
              <w:jc w:val="start"/>
              <w:rPr/>
            </w:pPr>
            <w:r>
              <w:rPr/>
              <w:t>Growth, StockOracle/FactSet 3–5 yr</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18.95% (long-term rate shown as 13.2%)</w:t>
            </w:r>
          </w:p>
        </w:tc>
      </w:tr>
      <w:tr>
        <w:trPr/>
        <w:tc>
          <w:tcPr>
            <w:tcW w:w="3212" w:type="dxa"/>
            <w:tcBorders>
              <w:start w:val="single" w:sz="4" w:space="0" w:color="000000"/>
              <w:bottom w:val="single" w:sz="4" w:space="0" w:color="000000"/>
            </w:tcBorders>
          </w:tcPr>
          <w:p>
            <w:pPr>
              <w:pStyle w:val="TableContents"/>
              <w:bidi w:val="0"/>
              <w:jc w:val="start"/>
              <w:rPr/>
            </w:pPr>
            <w:r>
              <w:rPr/>
              <w:t>5b</w:t>
            </w:r>
          </w:p>
        </w:tc>
        <w:tc>
          <w:tcPr>
            <w:tcW w:w="3213" w:type="dxa"/>
            <w:tcBorders>
              <w:start w:val="single" w:sz="4" w:space="0" w:color="000000"/>
              <w:bottom w:val="single" w:sz="4" w:space="0" w:color="000000"/>
            </w:tcBorders>
          </w:tcPr>
          <w:p>
            <w:pPr>
              <w:pStyle w:val="TableContents"/>
              <w:bidi w:val="0"/>
              <w:jc w:val="start"/>
              <w:rPr/>
            </w:pPr>
            <w:r>
              <w:rPr/>
              <w:t>Growth, FinViz</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18.42%</w:t>
            </w:r>
          </w:p>
        </w:tc>
      </w:tr>
      <w:tr>
        <w:trPr/>
        <w:tc>
          <w:tcPr>
            <w:tcW w:w="3212" w:type="dxa"/>
            <w:tcBorders>
              <w:start w:val="single" w:sz="4" w:space="0" w:color="000000"/>
              <w:bottom w:val="single" w:sz="4" w:space="0" w:color="000000"/>
            </w:tcBorders>
          </w:tcPr>
          <w:p>
            <w:pPr>
              <w:pStyle w:val="TableContents"/>
              <w:bidi w:val="0"/>
              <w:jc w:val="start"/>
              <w:rPr/>
            </w:pPr>
            <w:r>
              <w:rPr/>
              <w:t>5c</w:t>
            </w:r>
          </w:p>
        </w:tc>
        <w:tc>
          <w:tcPr>
            <w:tcW w:w="3213" w:type="dxa"/>
            <w:tcBorders>
              <w:start w:val="single" w:sz="4" w:space="0" w:color="000000"/>
              <w:bottom w:val="single" w:sz="4" w:space="0" w:color="000000"/>
            </w:tcBorders>
          </w:tcPr>
          <w:p>
            <w:pPr>
              <w:pStyle w:val="TableContents"/>
              <w:bidi w:val="0"/>
              <w:jc w:val="start"/>
              <w:rPr/>
            </w:pPr>
            <w:r>
              <w:rPr/>
              <w:t>Growth, Zacks</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17.15%</w:t>
            </w:r>
          </w:p>
        </w:tc>
      </w:tr>
      <w:tr>
        <w:trPr/>
        <w:tc>
          <w:tcPr>
            <w:tcW w:w="3212" w:type="dxa"/>
            <w:tcBorders>
              <w:start w:val="single" w:sz="4" w:space="0" w:color="000000"/>
              <w:bottom w:val="single" w:sz="4" w:space="0" w:color="000000"/>
            </w:tcBorders>
          </w:tcPr>
          <w:p>
            <w:pPr>
              <w:pStyle w:val="TableContents"/>
              <w:bidi w:val="0"/>
              <w:jc w:val="start"/>
              <w:rPr/>
            </w:pPr>
            <w:r>
              <w:rPr/>
              <w:t>5d</w:t>
            </w:r>
          </w:p>
        </w:tc>
        <w:tc>
          <w:tcPr>
            <w:tcW w:w="3213" w:type="dxa"/>
            <w:tcBorders>
              <w:start w:val="single" w:sz="4" w:space="0" w:color="000000"/>
              <w:bottom w:val="single" w:sz="4" w:space="0" w:color="000000"/>
            </w:tcBorders>
          </w:tcPr>
          <w:p>
            <w:pPr>
              <w:pStyle w:val="TableContents"/>
              <w:bidi w:val="0"/>
              <w:jc w:val="start"/>
              <w:rPr/>
            </w:pPr>
            <w:r>
              <w:rPr>
                <w:b/>
              </w:rPr>
              <w:t>Average → years 1–5</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b/>
              </w:rPr>
              <w:t>18.17%</w:t>
            </w:r>
          </w:p>
        </w:tc>
      </w:tr>
      <w:tr>
        <w:trPr/>
        <w:tc>
          <w:tcPr>
            <w:tcW w:w="3212" w:type="dxa"/>
            <w:tcBorders>
              <w:start w:val="single" w:sz="4" w:space="0" w:color="000000"/>
              <w:bottom w:val="single" w:sz="4" w:space="0" w:color="000000"/>
            </w:tcBorders>
          </w:tcPr>
          <w:p>
            <w:pPr>
              <w:pStyle w:val="TableContents"/>
              <w:bidi w:val="0"/>
              <w:jc w:val="start"/>
              <w:rPr/>
            </w:pPr>
            <w:r>
              <w:rPr/>
              <w:t>6</w:t>
            </w:r>
          </w:p>
        </w:tc>
        <w:tc>
          <w:tcPr>
            <w:tcW w:w="3213" w:type="dxa"/>
            <w:tcBorders>
              <w:start w:val="single" w:sz="4" w:space="0" w:color="000000"/>
              <w:bottom w:val="single" w:sz="4" w:space="0" w:color="000000"/>
            </w:tcBorders>
          </w:tcPr>
          <w:p>
            <w:pPr>
              <w:pStyle w:val="TableContents"/>
              <w:bidi w:val="0"/>
              <w:jc w:val="start"/>
              <w:rPr/>
            </w:pPr>
            <w:r>
              <w:rPr/>
              <w:t>Years 6–10 (base 18.17% but capped)</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b/>
              </w:rPr>
              <w:t>15%</w:t>
            </w:r>
          </w:p>
        </w:tc>
      </w:tr>
      <w:tr>
        <w:trPr/>
        <w:tc>
          <w:tcPr>
            <w:tcW w:w="3212" w:type="dxa"/>
            <w:tcBorders>
              <w:start w:val="single" w:sz="4" w:space="0" w:color="000000"/>
              <w:bottom w:val="single" w:sz="4" w:space="0" w:color="000000"/>
            </w:tcBorders>
          </w:tcPr>
          <w:p>
            <w:pPr>
              <w:pStyle w:val="TableContents"/>
              <w:bidi w:val="0"/>
              <w:jc w:val="start"/>
              <w:rPr/>
            </w:pPr>
            <w:r>
              <w:rPr/>
              <w:t>7</w:t>
            </w:r>
          </w:p>
        </w:tc>
        <w:tc>
          <w:tcPr>
            <w:tcW w:w="3213" w:type="dxa"/>
            <w:tcBorders>
              <w:start w:val="single" w:sz="4" w:space="0" w:color="000000"/>
              <w:bottom w:val="single" w:sz="4" w:space="0" w:color="000000"/>
            </w:tcBorders>
          </w:tcPr>
          <w:p>
            <w:pPr>
              <w:pStyle w:val="TableContents"/>
              <w:bidi w:val="0"/>
              <w:jc w:val="start"/>
              <w:rPr/>
            </w:pPr>
            <w:r>
              <w:rPr/>
              <w:t>Years 11–20</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b/>
              </w:rPr>
              <w:t>4%</w:t>
            </w:r>
          </w:p>
        </w:tc>
      </w:tr>
      <w:tr>
        <w:trPr/>
        <w:tc>
          <w:tcPr>
            <w:tcW w:w="3212" w:type="dxa"/>
            <w:tcBorders>
              <w:start w:val="single" w:sz="4" w:space="0" w:color="000000"/>
              <w:bottom w:val="single" w:sz="4" w:space="0" w:color="000000"/>
            </w:tcBorders>
          </w:tcPr>
          <w:p>
            <w:pPr>
              <w:pStyle w:val="TableContents"/>
              <w:bidi w:val="0"/>
              <w:jc w:val="start"/>
              <w:rPr/>
            </w:pPr>
            <w:r>
              <w:rPr/>
              <w:t>8</w:t>
            </w:r>
          </w:p>
        </w:tc>
        <w:tc>
          <w:tcPr>
            <w:tcW w:w="3213" w:type="dxa"/>
            <w:tcBorders>
              <w:start w:val="single" w:sz="4" w:space="0" w:color="000000"/>
              <w:bottom w:val="single" w:sz="4" w:space="0" w:color="000000"/>
            </w:tcBorders>
          </w:tcPr>
          <w:p>
            <w:pPr>
              <w:pStyle w:val="TableContents"/>
              <w:bidi w:val="0"/>
              <w:jc w:val="start"/>
              <w:rPr/>
            </w:pPr>
            <w:r>
              <w:rPr/>
              <w:t>Shares outstanding (diluted average)</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b/>
              </w:rPr>
              <w:t>10,863</w:t>
            </w:r>
            <w:r>
              <w:rPr/>
              <w:t xml:space="preserve"> million</w:t>
            </w:r>
          </w:p>
        </w:tc>
      </w:tr>
      <w:tr>
        <w:trPr/>
        <w:tc>
          <w:tcPr>
            <w:tcW w:w="3212" w:type="dxa"/>
            <w:tcBorders>
              <w:start w:val="single" w:sz="4" w:space="0" w:color="000000"/>
              <w:bottom w:val="single" w:sz="4" w:space="0" w:color="000000"/>
            </w:tcBorders>
          </w:tcPr>
          <w:p>
            <w:pPr>
              <w:pStyle w:val="TableContents"/>
              <w:bidi w:val="0"/>
              <w:jc w:val="start"/>
              <w:rPr/>
            </w:pPr>
            <w:r>
              <w:rPr/>
              <w:t>9</w:t>
            </w:r>
          </w:p>
        </w:tc>
        <w:tc>
          <w:tcPr>
            <w:tcW w:w="3213" w:type="dxa"/>
            <w:tcBorders>
              <w:start w:val="single" w:sz="4" w:space="0" w:color="000000"/>
              <w:bottom w:val="single" w:sz="4" w:space="0" w:color="000000"/>
            </w:tcBorders>
          </w:tcPr>
          <w:p>
            <w:pPr>
              <w:pStyle w:val="TableContents"/>
              <w:bidi w:val="0"/>
              <w:jc w:val="start"/>
              <w:rPr/>
            </w:pPr>
            <w:r>
              <w:rPr/>
              <w:t xml:space="preserve">Beta </w:t>
            </w:r>
            <w:r>
              <w:rPr>
                <w:b/>
              </w:rPr>
              <w:t>1.4</w:t>
            </w:r>
            <w:r>
              <w:rPr/>
              <w:t xml:space="preserve"> → discount rate</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b/>
              </w:rPr>
              <w:t>7.4%</w:t>
            </w:r>
          </w:p>
        </w:tc>
      </w:tr>
    </w:tbl>
    <w:p>
      <w:pPr>
        <w:pStyle w:val="BodyText"/>
        <w:bidi w:val="0"/>
        <w:jc w:val="start"/>
        <w:rPr/>
      </w:pPr>
      <w:r>
        <w:rPr/>
      </w:r>
    </w:p>
    <w:p>
      <w:pPr>
        <w:pStyle w:val="BodyText"/>
        <w:bidi w:val="0"/>
        <w:jc w:val="start"/>
        <w:rPr/>
      </w:pPr>
      <w:r>
        <w:rPr>
          <w:b/>
        </w:rPr>
        <w:t>Results:</w:t>
      </w:r>
    </w:p>
    <w:p>
      <w:pPr>
        <w:pStyle w:val="BodyText"/>
        <w:numPr>
          <w:ilvl w:val="0"/>
          <w:numId w:val="246"/>
        </w:numPr>
        <w:tabs>
          <w:tab w:val="clear" w:pos="709"/>
          <w:tab w:val="left" w:pos="709" w:leader="none"/>
        </w:tabs>
        <w:bidi w:val="0"/>
        <w:ind w:hanging="283" w:start="709"/>
        <w:jc w:val="start"/>
        <w:rPr/>
      </w:pPr>
      <w:r>
        <w:rPr>
          <w:b/>
        </w:rPr>
        <w:t>Intrinsic value = $206</w:t>
      </w:r>
    </w:p>
    <w:p>
      <w:pPr>
        <w:pStyle w:val="BodyText"/>
        <w:numPr>
          <w:ilvl w:val="0"/>
          <w:numId w:val="246"/>
        </w:numPr>
        <w:tabs>
          <w:tab w:val="clear" w:pos="709"/>
          <w:tab w:val="left" w:pos="709" w:leader="none"/>
        </w:tabs>
        <w:bidi w:val="0"/>
        <w:ind w:hanging="283" w:start="709"/>
        <w:jc w:val="start"/>
        <w:rPr/>
      </w:pPr>
      <w:r>
        <w:rPr/>
        <w:t xml:space="preserve">Current share price = </w:t>
      </w:r>
      <w:r>
        <w:rPr>
          <w:b/>
        </w:rPr>
        <w:t>$214.33</w:t>
      </w:r>
    </w:p>
    <w:p>
      <w:pPr>
        <w:pStyle w:val="BodyText"/>
        <w:numPr>
          <w:ilvl w:val="0"/>
          <w:numId w:val="246"/>
        </w:numPr>
        <w:tabs>
          <w:tab w:val="clear" w:pos="709"/>
          <w:tab w:val="left" w:pos="709" w:leader="none"/>
        </w:tabs>
        <w:bidi w:val="0"/>
        <w:ind w:hanging="283" w:start="709"/>
        <w:jc w:val="start"/>
        <w:rPr/>
      </w:pPr>
      <w:r>
        <w:rPr/>
        <w:t xml:space="preserve">→ </w:t>
      </w:r>
      <w:r>
        <w:rPr>
          <w:b/>
        </w:rPr>
        <w:t>3.99% overvalued</w:t>
      </w:r>
      <w:r>
        <w:rPr/>
        <w:t xml:space="preserve"> (slightly)</w:t>
      </w:r>
    </w:p>
    <w:p>
      <w:pPr>
        <w:pStyle w:val="Heading4"/>
        <w:numPr>
          <w:ilvl w:val="0"/>
          <w:numId w:val="0"/>
        </w:numPr>
        <w:bidi w:val="0"/>
        <w:ind w:hanging="0" w:start="0"/>
        <w:jc w:val="start"/>
        <w:rPr/>
      </w:pPr>
      <w:r>
        <w:rPr/>
        <w:t>5.4 Using Cash Flow from Operations instead of Free Cash Flow</w:t>
      </w:r>
    </w:p>
    <w:p>
      <w:pPr>
        <w:pStyle w:val="BodyText"/>
        <w:numPr>
          <w:ilvl w:val="0"/>
          <w:numId w:val="247"/>
        </w:numPr>
        <w:tabs>
          <w:tab w:val="clear" w:pos="709"/>
          <w:tab w:val="left" w:pos="709" w:leader="none"/>
        </w:tabs>
        <w:bidi w:val="0"/>
        <w:ind w:hanging="283" w:start="709"/>
        <w:jc w:val="start"/>
        <w:rPr/>
      </w:pPr>
      <w:r>
        <w:rPr/>
        <w:t xml:space="preserve">Permitted </w:t>
      </w:r>
      <w:r>
        <w:rPr>
          <w:b/>
        </w:rPr>
        <w:t>only if</w:t>
      </w:r>
      <w:r>
        <w:rPr/>
        <w:t xml:space="preserve"> CFO is </w:t>
      </w:r>
      <w:r>
        <w:rPr>
          <w:b/>
        </w:rPr>
        <w:t>very close to net income</w:t>
      </w:r>
      <w:r>
        <w:rPr/>
        <w:t xml:space="preserve"> — specifically, </w:t>
      </w:r>
      <w:r>
        <w:rPr>
          <w:b/>
        </w:rPr>
        <w:t>CFO must not be more than 20% above net income</w:t>
      </w:r>
      <w:r>
        <w:rPr/>
        <w:t>.</w:t>
      </w:r>
    </w:p>
    <w:p>
      <w:pPr>
        <w:pStyle w:val="BodyText"/>
        <w:numPr>
          <w:ilvl w:val="0"/>
          <w:numId w:val="247"/>
        </w:numPr>
        <w:tabs>
          <w:tab w:val="clear" w:pos="709"/>
          <w:tab w:val="left" w:pos="709" w:leader="none"/>
        </w:tabs>
        <w:bidi w:val="0"/>
        <w:ind w:hanging="283" w:start="709"/>
        <w:jc w:val="start"/>
        <w:rPr/>
      </w:pPr>
      <w:r>
        <w:rPr/>
        <w:t xml:space="preserve">Justification cited: </w:t>
      </w:r>
      <w:r>
        <w:rPr>
          <w:b/>
        </w:rPr>
        <w:t>Buffett has said he does not deduct capital expenditure in his valuation if the capex is growth capex rather than maintenance capex.</w:t>
      </w:r>
    </w:p>
    <w:p>
      <w:pPr>
        <w:pStyle w:val="BodyText"/>
        <w:numPr>
          <w:ilvl w:val="0"/>
          <w:numId w:val="247"/>
        </w:numPr>
        <w:tabs>
          <w:tab w:val="clear" w:pos="709"/>
          <w:tab w:val="left" w:pos="709" w:leader="none"/>
        </w:tabs>
        <w:bidi w:val="0"/>
        <w:ind w:hanging="283" w:start="709"/>
        <w:jc w:val="start"/>
        <w:rPr/>
      </w:pPr>
      <w:r>
        <w:rPr/>
        <w:t xml:space="preserve">In the calculator, select the method </w:t>
      </w:r>
      <w:r>
        <w:rPr>
          <w:b/>
        </w:rPr>
        <w:t>"Discounted Cash Flow from Operations."</w:t>
      </w:r>
    </w:p>
    <w:p>
      <w:pPr>
        <w:pStyle w:val="Heading4"/>
        <w:numPr>
          <w:ilvl w:val="0"/>
          <w:numId w:val="0"/>
        </w:numPr>
        <w:bidi w:val="0"/>
        <w:ind w:hanging="0" w:start="0"/>
        <w:jc w:val="start"/>
        <w:rPr/>
      </w:pPr>
      <w:r>
        <w:rPr/>
        <w:t>5.5 WORKED EXAMPLE — Apple (AAPL), Discounted Cash Flow from Operations</w:t>
      </w:r>
    </w:p>
    <w:p>
      <w:pPr>
        <w:pStyle w:val="BodyText"/>
        <w:bidi w:val="0"/>
        <w:jc w:val="start"/>
        <w:rPr/>
      </w:pPr>
      <w:r>
        <w:rPr>
          <w:b/>
        </w:rPr>
        <w:t>Eligibility check:</w:t>
      </w:r>
      <w:r>
        <w:rPr/>
        <w:t xml:space="preserve"> operating cash flow </w:t>
      </w:r>
      <w:r>
        <w:rPr>
          <w:b/>
        </w:rPr>
        <w:t>135,472</w:t>
      </w:r>
      <w:r>
        <w:rPr/>
        <w:t xml:space="preserve"> vs net income </w:t>
      </w:r>
      <w:r>
        <w:rPr>
          <w:b/>
        </w:rPr>
        <w:t>117,777</w:t>
      </w:r>
      <w:r>
        <w:rPr/>
        <w:t xml:space="preserve"> (117.78B). 135,472 ÷ 117,777 → less than a 20% difference → </w:t>
      </w:r>
      <w:r>
        <w:rPr>
          <w:b/>
        </w:rPr>
        <w:t>CFO method allowed</w:t>
      </w:r>
      <w:r>
        <w:rPr/>
        <w:t>.</w:t>
      </w:r>
    </w:p>
    <w:tbl>
      <w:tblPr>
        <w:tblW w:w="5000" w:type="pct"/>
        <w:jc w:val="start"/>
        <w:tblInd w:w="-5" w:type="dxa"/>
        <w:tblLayout w:type="fixed"/>
        <w:tblCellMar>
          <w:top w:w="55" w:type="dxa"/>
          <w:start w:w="55" w:type="dxa"/>
          <w:bottom w:w="55" w:type="dxa"/>
          <w:end w:w="55" w:type="dxa"/>
        </w:tblCellMar>
      </w:tblPr>
      <w:tblGrid>
        <w:gridCol w:w="3212"/>
        <w:gridCol w:w="3213"/>
        <w:gridCol w:w="3213"/>
      </w:tblGrid>
      <w:tr>
        <w:trPr>
          <w:tblHeader w:val="true"/>
        </w:trPr>
        <w:tc>
          <w:tcPr>
            <w:tcW w:w="3212" w:type="dxa"/>
            <w:tcBorders>
              <w:top w:val="single" w:sz="4" w:space="0" w:color="000000"/>
              <w:start w:val="single" w:sz="4" w:space="0" w:color="000000"/>
              <w:bottom w:val="single" w:sz="4" w:space="0" w:color="000000"/>
            </w:tcBorders>
          </w:tcPr>
          <w:p>
            <w:pPr>
              <w:pStyle w:val="TableHeading"/>
              <w:bidi w:val="0"/>
              <w:jc w:val="start"/>
              <w:rPr/>
            </w:pPr>
            <w:r>
              <w:rPr/>
              <w:t>Step</w:t>
            </w:r>
          </w:p>
        </w:tc>
        <w:tc>
          <w:tcPr>
            <w:tcW w:w="3213" w:type="dxa"/>
            <w:tcBorders>
              <w:top w:val="single" w:sz="4" w:space="0" w:color="000000"/>
              <w:start w:val="single" w:sz="4" w:space="0" w:color="000000"/>
              <w:bottom w:val="single" w:sz="4" w:space="0" w:color="000000"/>
            </w:tcBorders>
          </w:tcPr>
          <w:p>
            <w:pPr>
              <w:pStyle w:val="TableHeading"/>
              <w:bidi w:val="0"/>
              <w:jc w:val="start"/>
              <w:rPr/>
            </w:pPr>
            <w:r>
              <w:rPr/>
              <w:t>Input</w:t>
            </w:r>
          </w:p>
        </w:tc>
        <w:tc>
          <w:tcPr>
            <w:tcW w:w="3213"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Value</w:t>
            </w:r>
          </w:p>
        </w:tc>
      </w:tr>
      <w:tr>
        <w:trPr/>
        <w:tc>
          <w:tcPr>
            <w:tcW w:w="3212" w:type="dxa"/>
            <w:tcBorders>
              <w:start w:val="single" w:sz="4" w:space="0" w:color="000000"/>
              <w:bottom w:val="single" w:sz="4" w:space="0" w:color="000000"/>
            </w:tcBorders>
          </w:tcPr>
          <w:p>
            <w:pPr>
              <w:pStyle w:val="TableContents"/>
              <w:bidi w:val="0"/>
              <w:jc w:val="start"/>
              <w:rPr/>
            </w:pPr>
            <w:r>
              <w:rPr/>
              <w:t>1</w:t>
            </w:r>
          </w:p>
        </w:tc>
        <w:tc>
          <w:tcPr>
            <w:tcW w:w="3213" w:type="dxa"/>
            <w:tcBorders>
              <w:start w:val="single" w:sz="4" w:space="0" w:color="000000"/>
              <w:bottom w:val="single" w:sz="4" w:space="0" w:color="000000"/>
            </w:tcBorders>
          </w:tcPr>
          <w:p>
            <w:pPr>
              <w:pStyle w:val="TableContents"/>
              <w:bidi w:val="0"/>
              <w:jc w:val="start"/>
              <w:rPr/>
            </w:pPr>
            <w:r>
              <w:rPr/>
              <w:t>Stock / ticker / method</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 xml:space="preserve">Apple / </w:t>
            </w:r>
            <w:r>
              <w:rPr>
                <w:b/>
              </w:rPr>
              <w:t>AAPL</w:t>
            </w:r>
            <w:r>
              <w:rPr/>
              <w:t xml:space="preserve"> / discounted </w:t>
            </w:r>
            <w:r>
              <w:rPr>
                <w:b/>
              </w:rPr>
              <w:t>cash flow from operations</w:t>
            </w:r>
          </w:p>
        </w:tc>
      </w:tr>
      <w:tr>
        <w:trPr/>
        <w:tc>
          <w:tcPr>
            <w:tcW w:w="3212" w:type="dxa"/>
            <w:tcBorders>
              <w:start w:val="single" w:sz="4" w:space="0" w:color="000000"/>
              <w:bottom w:val="single" w:sz="4" w:space="0" w:color="000000"/>
            </w:tcBorders>
          </w:tcPr>
          <w:p>
            <w:pPr>
              <w:pStyle w:val="TableContents"/>
              <w:bidi w:val="0"/>
              <w:jc w:val="start"/>
              <w:rPr/>
            </w:pPr>
            <w:r>
              <w:rPr/>
              <w:t>2</w:t>
            </w:r>
          </w:p>
        </w:tc>
        <w:tc>
          <w:tcPr>
            <w:tcW w:w="3213" w:type="dxa"/>
            <w:tcBorders>
              <w:start w:val="single" w:sz="4" w:space="0" w:color="000000"/>
              <w:bottom w:val="single" w:sz="4" w:space="0" w:color="000000"/>
            </w:tcBorders>
          </w:tcPr>
          <w:p>
            <w:pPr>
              <w:pStyle w:val="TableContents"/>
              <w:bidi w:val="0"/>
              <w:jc w:val="start"/>
              <w:rPr/>
            </w:pPr>
            <w:r>
              <w:rPr/>
              <w:t>Latest 12-month net operating cash flow</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b/>
              </w:rPr>
              <w:t>135,472</w:t>
            </w:r>
            <w:r>
              <w:rPr/>
              <w:t xml:space="preserve"> million</w:t>
            </w:r>
          </w:p>
        </w:tc>
      </w:tr>
      <w:tr>
        <w:trPr/>
        <w:tc>
          <w:tcPr>
            <w:tcW w:w="3212" w:type="dxa"/>
            <w:tcBorders>
              <w:start w:val="single" w:sz="4" w:space="0" w:color="000000"/>
              <w:bottom w:val="single" w:sz="4" w:space="0" w:color="000000"/>
            </w:tcBorders>
          </w:tcPr>
          <w:p>
            <w:pPr>
              <w:pStyle w:val="TableContents"/>
              <w:bidi w:val="0"/>
              <w:jc w:val="start"/>
              <w:rPr/>
            </w:pPr>
            <w:r>
              <w:rPr/>
              <w:t>3</w:t>
            </w:r>
          </w:p>
        </w:tc>
        <w:tc>
          <w:tcPr>
            <w:tcW w:w="3213" w:type="dxa"/>
            <w:tcBorders>
              <w:start w:val="single" w:sz="4" w:space="0" w:color="000000"/>
              <w:bottom w:val="single" w:sz="4" w:space="0" w:color="000000"/>
            </w:tcBorders>
          </w:tcPr>
          <w:p>
            <w:pPr>
              <w:pStyle w:val="TableContents"/>
              <w:bidi w:val="0"/>
              <w:jc w:val="start"/>
              <w:rPr/>
            </w:pPr>
            <w:r>
              <w:rPr/>
              <w:t xml:space="preserve">Total debt = short-term </w:t>
            </w:r>
            <w:r>
              <w:rPr>
                <w:b/>
              </w:rPr>
              <w:t>13,824</w:t>
            </w:r>
            <w:r>
              <w:rPr/>
              <w:t xml:space="preserve"> + long-term </w:t>
            </w:r>
            <w:r>
              <w:rPr>
                <w:b/>
              </w:rPr>
              <w:t>76,685</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b/>
              </w:rPr>
              <w:t>90,509</w:t>
            </w:r>
            <w:r>
              <w:rPr/>
              <w:t xml:space="preserve"> million</w:t>
            </w:r>
          </w:p>
        </w:tc>
      </w:tr>
      <w:tr>
        <w:trPr/>
        <w:tc>
          <w:tcPr>
            <w:tcW w:w="3212" w:type="dxa"/>
            <w:tcBorders>
              <w:start w:val="single" w:sz="4" w:space="0" w:color="000000"/>
              <w:bottom w:val="single" w:sz="4" w:space="0" w:color="000000"/>
            </w:tcBorders>
          </w:tcPr>
          <w:p>
            <w:pPr>
              <w:pStyle w:val="TableContents"/>
              <w:bidi w:val="0"/>
              <w:jc w:val="start"/>
              <w:rPr/>
            </w:pPr>
            <w:r>
              <w:rPr/>
              <w:t>4</w:t>
            </w:r>
          </w:p>
        </w:tc>
        <w:tc>
          <w:tcPr>
            <w:tcW w:w="3213" w:type="dxa"/>
            <w:tcBorders>
              <w:start w:val="single" w:sz="4" w:space="0" w:color="000000"/>
              <w:bottom w:val="single" w:sz="4" w:space="0" w:color="000000"/>
            </w:tcBorders>
          </w:tcPr>
          <w:p>
            <w:pPr>
              <w:pStyle w:val="TableContents"/>
              <w:bidi w:val="0"/>
              <w:jc w:val="start"/>
              <w:rPr/>
            </w:pPr>
            <w:r>
              <w:rPr/>
              <w:t>Cash &amp; short-term investments (latest)</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b/>
              </w:rPr>
              <w:t>66,907</w:t>
            </w:r>
            <w:r>
              <w:rPr/>
              <w:t xml:space="preserve"> million</w:t>
            </w:r>
          </w:p>
        </w:tc>
      </w:tr>
      <w:tr>
        <w:trPr/>
        <w:tc>
          <w:tcPr>
            <w:tcW w:w="3212" w:type="dxa"/>
            <w:tcBorders>
              <w:start w:val="single" w:sz="4" w:space="0" w:color="000000"/>
              <w:bottom w:val="single" w:sz="4" w:space="0" w:color="000000"/>
            </w:tcBorders>
          </w:tcPr>
          <w:p>
            <w:pPr>
              <w:pStyle w:val="TableContents"/>
              <w:bidi w:val="0"/>
              <w:jc w:val="start"/>
              <w:rPr/>
            </w:pPr>
            <w:r>
              <w:rPr/>
              <w:t>5a</w:t>
            </w:r>
          </w:p>
        </w:tc>
        <w:tc>
          <w:tcPr>
            <w:tcW w:w="3213" w:type="dxa"/>
            <w:tcBorders>
              <w:start w:val="single" w:sz="4" w:space="0" w:color="000000"/>
              <w:bottom w:val="single" w:sz="4" w:space="0" w:color="000000"/>
            </w:tcBorders>
          </w:tcPr>
          <w:p>
            <w:pPr>
              <w:pStyle w:val="TableContents"/>
              <w:bidi w:val="0"/>
              <w:jc w:val="start"/>
              <w:rPr/>
            </w:pPr>
            <w:r>
              <w:rPr/>
              <w:t>Growth, StockOracle (3–5 yr)</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12.31%</w:t>
            </w:r>
          </w:p>
        </w:tc>
      </w:tr>
      <w:tr>
        <w:trPr/>
        <w:tc>
          <w:tcPr>
            <w:tcW w:w="3212" w:type="dxa"/>
            <w:tcBorders>
              <w:start w:val="single" w:sz="4" w:space="0" w:color="000000"/>
              <w:bottom w:val="single" w:sz="4" w:space="0" w:color="000000"/>
            </w:tcBorders>
          </w:tcPr>
          <w:p>
            <w:pPr>
              <w:pStyle w:val="TableContents"/>
              <w:bidi w:val="0"/>
              <w:jc w:val="start"/>
              <w:rPr/>
            </w:pPr>
            <w:r>
              <w:rPr/>
              <w:t>5b</w:t>
            </w:r>
          </w:p>
        </w:tc>
        <w:tc>
          <w:tcPr>
            <w:tcW w:w="3213" w:type="dxa"/>
            <w:tcBorders>
              <w:start w:val="single" w:sz="4" w:space="0" w:color="000000"/>
              <w:bottom w:val="single" w:sz="4" w:space="0" w:color="000000"/>
            </w:tcBorders>
          </w:tcPr>
          <w:p>
            <w:pPr>
              <w:pStyle w:val="TableContents"/>
              <w:bidi w:val="0"/>
              <w:jc w:val="start"/>
              <w:rPr/>
            </w:pPr>
            <w:r>
              <w:rPr/>
              <w:t>Growth, FinViz</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11.23%</w:t>
            </w:r>
          </w:p>
        </w:tc>
      </w:tr>
      <w:tr>
        <w:trPr/>
        <w:tc>
          <w:tcPr>
            <w:tcW w:w="3212" w:type="dxa"/>
            <w:tcBorders>
              <w:start w:val="single" w:sz="4" w:space="0" w:color="000000"/>
              <w:bottom w:val="single" w:sz="4" w:space="0" w:color="000000"/>
            </w:tcBorders>
          </w:tcPr>
          <w:p>
            <w:pPr>
              <w:pStyle w:val="TableContents"/>
              <w:bidi w:val="0"/>
              <w:jc w:val="start"/>
              <w:rPr/>
            </w:pPr>
            <w:r>
              <w:rPr/>
              <w:t>5c</w:t>
            </w:r>
          </w:p>
        </w:tc>
        <w:tc>
          <w:tcPr>
            <w:tcW w:w="3213" w:type="dxa"/>
            <w:tcBorders>
              <w:start w:val="single" w:sz="4" w:space="0" w:color="000000"/>
              <w:bottom w:val="single" w:sz="4" w:space="0" w:color="000000"/>
            </w:tcBorders>
          </w:tcPr>
          <w:p>
            <w:pPr>
              <w:pStyle w:val="TableContents"/>
              <w:bidi w:val="0"/>
              <w:jc w:val="start"/>
              <w:rPr/>
            </w:pPr>
            <w:r>
              <w:rPr/>
              <w:t>Growth, Zacks</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13.33%</w:t>
            </w:r>
          </w:p>
        </w:tc>
      </w:tr>
      <w:tr>
        <w:trPr/>
        <w:tc>
          <w:tcPr>
            <w:tcW w:w="3212" w:type="dxa"/>
            <w:tcBorders>
              <w:start w:val="single" w:sz="4" w:space="0" w:color="000000"/>
              <w:bottom w:val="single" w:sz="4" w:space="0" w:color="000000"/>
            </w:tcBorders>
          </w:tcPr>
          <w:p>
            <w:pPr>
              <w:pStyle w:val="TableContents"/>
              <w:bidi w:val="0"/>
              <w:jc w:val="start"/>
              <w:rPr/>
            </w:pPr>
            <w:r>
              <w:rPr/>
              <w:t>5d</w:t>
            </w:r>
          </w:p>
        </w:tc>
        <w:tc>
          <w:tcPr>
            <w:tcW w:w="3213" w:type="dxa"/>
            <w:tcBorders>
              <w:start w:val="single" w:sz="4" w:space="0" w:color="000000"/>
              <w:bottom w:val="single" w:sz="4" w:space="0" w:color="000000"/>
            </w:tcBorders>
          </w:tcPr>
          <w:p>
            <w:pPr>
              <w:pStyle w:val="TableContents"/>
              <w:bidi w:val="0"/>
              <w:jc w:val="start"/>
              <w:rPr/>
            </w:pPr>
            <w:r>
              <w:rPr>
                <w:b/>
              </w:rPr>
              <w:t>Average → years 1–5</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b/>
              </w:rPr>
              <w:t>12.29%</w:t>
            </w:r>
          </w:p>
        </w:tc>
      </w:tr>
      <w:tr>
        <w:trPr/>
        <w:tc>
          <w:tcPr>
            <w:tcW w:w="3212" w:type="dxa"/>
            <w:tcBorders>
              <w:start w:val="single" w:sz="4" w:space="0" w:color="000000"/>
              <w:bottom w:val="single" w:sz="4" w:space="0" w:color="000000"/>
            </w:tcBorders>
          </w:tcPr>
          <w:p>
            <w:pPr>
              <w:pStyle w:val="TableContents"/>
              <w:bidi w:val="0"/>
              <w:jc w:val="start"/>
              <w:rPr/>
            </w:pPr>
            <w:r>
              <w:rPr/>
              <w:t>6</w:t>
            </w:r>
          </w:p>
        </w:tc>
        <w:tc>
          <w:tcPr>
            <w:tcW w:w="3213" w:type="dxa"/>
            <w:tcBorders>
              <w:start w:val="single" w:sz="4" w:space="0" w:color="000000"/>
              <w:bottom w:val="single" w:sz="4" w:space="0" w:color="000000"/>
            </w:tcBorders>
          </w:tcPr>
          <w:p>
            <w:pPr>
              <w:pStyle w:val="TableContents"/>
              <w:bidi w:val="0"/>
              <w:jc w:val="start"/>
              <w:rPr/>
            </w:pPr>
            <w:r>
              <w:rPr/>
              <w:t>Years 6–10 (base case = same, under the 15% cap)</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b/>
              </w:rPr>
              <w:t>12.29%</w:t>
            </w:r>
          </w:p>
        </w:tc>
      </w:tr>
      <w:tr>
        <w:trPr/>
        <w:tc>
          <w:tcPr>
            <w:tcW w:w="3212" w:type="dxa"/>
            <w:tcBorders>
              <w:start w:val="single" w:sz="4" w:space="0" w:color="000000"/>
              <w:bottom w:val="single" w:sz="4" w:space="0" w:color="000000"/>
            </w:tcBorders>
          </w:tcPr>
          <w:p>
            <w:pPr>
              <w:pStyle w:val="TableContents"/>
              <w:bidi w:val="0"/>
              <w:jc w:val="start"/>
              <w:rPr/>
            </w:pPr>
            <w:r>
              <w:rPr/>
              <w:t>7</w:t>
            </w:r>
          </w:p>
        </w:tc>
        <w:tc>
          <w:tcPr>
            <w:tcW w:w="3213" w:type="dxa"/>
            <w:tcBorders>
              <w:start w:val="single" w:sz="4" w:space="0" w:color="000000"/>
              <w:bottom w:val="single" w:sz="4" w:space="0" w:color="000000"/>
            </w:tcBorders>
          </w:tcPr>
          <w:p>
            <w:pPr>
              <w:pStyle w:val="TableContents"/>
              <w:bidi w:val="0"/>
              <w:jc w:val="start"/>
              <w:rPr/>
            </w:pPr>
            <w:r>
              <w:rPr/>
              <w:t>Years 11–20</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b/>
              </w:rPr>
              <w:t>4%</w:t>
            </w:r>
          </w:p>
        </w:tc>
      </w:tr>
      <w:tr>
        <w:trPr/>
        <w:tc>
          <w:tcPr>
            <w:tcW w:w="3212" w:type="dxa"/>
            <w:tcBorders>
              <w:start w:val="single" w:sz="4" w:space="0" w:color="000000"/>
              <w:bottom w:val="single" w:sz="4" w:space="0" w:color="000000"/>
            </w:tcBorders>
          </w:tcPr>
          <w:p>
            <w:pPr>
              <w:pStyle w:val="TableContents"/>
              <w:bidi w:val="0"/>
              <w:jc w:val="start"/>
              <w:rPr/>
            </w:pPr>
            <w:r>
              <w:rPr/>
              <w:t>8</w:t>
            </w:r>
          </w:p>
        </w:tc>
        <w:tc>
          <w:tcPr>
            <w:tcW w:w="3213" w:type="dxa"/>
            <w:tcBorders>
              <w:start w:val="single" w:sz="4" w:space="0" w:color="000000"/>
              <w:bottom w:val="single" w:sz="4" w:space="0" w:color="000000"/>
            </w:tcBorders>
          </w:tcPr>
          <w:p>
            <w:pPr>
              <w:pStyle w:val="TableContents"/>
              <w:bidi w:val="0"/>
              <w:jc w:val="start"/>
              <w:rPr/>
            </w:pPr>
            <w:r>
              <w:rPr/>
              <w:t>Shares outstanding</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b/>
              </w:rPr>
              <w:t>14,810.36</w:t>
            </w:r>
            <w:r>
              <w:rPr/>
              <w:t xml:space="preserve"> million</w:t>
            </w:r>
          </w:p>
        </w:tc>
      </w:tr>
      <w:tr>
        <w:trPr/>
        <w:tc>
          <w:tcPr>
            <w:tcW w:w="3212" w:type="dxa"/>
            <w:tcBorders>
              <w:start w:val="single" w:sz="4" w:space="0" w:color="000000"/>
              <w:bottom w:val="single" w:sz="4" w:space="0" w:color="000000"/>
            </w:tcBorders>
          </w:tcPr>
          <w:p>
            <w:pPr>
              <w:pStyle w:val="TableContents"/>
              <w:bidi w:val="0"/>
              <w:jc w:val="start"/>
              <w:rPr/>
            </w:pPr>
            <w:r>
              <w:rPr/>
              <w:t>9</w:t>
            </w:r>
          </w:p>
        </w:tc>
        <w:tc>
          <w:tcPr>
            <w:tcW w:w="3213" w:type="dxa"/>
            <w:tcBorders>
              <w:start w:val="single" w:sz="4" w:space="0" w:color="000000"/>
              <w:bottom w:val="single" w:sz="4" w:space="0" w:color="000000"/>
            </w:tcBorders>
          </w:tcPr>
          <w:p>
            <w:pPr>
              <w:pStyle w:val="TableContents"/>
              <w:bidi w:val="0"/>
              <w:jc w:val="start"/>
              <w:rPr/>
            </w:pPr>
            <w:r>
              <w:rPr/>
              <w:t xml:space="preserve">Beta </w:t>
            </w:r>
            <w:r>
              <w:rPr>
                <w:b/>
              </w:rPr>
              <w:t>1.1</w:t>
            </w:r>
            <w:r>
              <w:rPr/>
              <w:t xml:space="preserve"> → discount rate</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b/>
              </w:rPr>
              <w:t>6.6%</w:t>
            </w:r>
          </w:p>
        </w:tc>
      </w:tr>
    </w:tbl>
    <w:p>
      <w:pPr>
        <w:pStyle w:val="BodyText"/>
        <w:bidi w:val="0"/>
        <w:jc w:val="start"/>
        <w:rPr/>
      </w:pPr>
      <w:r>
        <w:rPr/>
      </w:r>
    </w:p>
    <w:p>
      <w:pPr>
        <w:pStyle w:val="BodyText"/>
        <w:bidi w:val="0"/>
        <w:jc w:val="start"/>
        <w:rPr/>
      </w:pPr>
      <w:r>
        <w:rPr>
          <w:b/>
        </w:rPr>
        <w:t>Results:</w:t>
      </w:r>
    </w:p>
    <w:p>
      <w:pPr>
        <w:pStyle w:val="BodyText"/>
        <w:numPr>
          <w:ilvl w:val="0"/>
          <w:numId w:val="248"/>
        </w:numPr>
        <w:tabs>
          <w:tab w:val="clear" w:pos="709"/>
          <w:tab w:val="left" w:pos="709" w:leader="none"/>
        </w:tabs>
        <w:bidi w:val="0"/>
        <w:ind w:hanging="283" w:start="709"/>
        <w:jc w:val="start"/>
        <w:rPr/>
      </w:pPr>
      <w:r>
        <w:rPr>
          <w:b/>
        </w:rPr>
        <w:t>Base case intrinsic value = $256</w:t>
      </w:r>
    </w:p>
    <w:p>
      <w:pPr>
        <w:pStyle w:val="BodyText"/>
        <w:numPr>
          <w:ilvl w:val="0"/>
          <w:numId w:val="248"/>
        </w:numPr>
        <w:tabs>
          <w:tab w:val="clear" w:pos="709"/>
          <w:tab w:val="left" w:pos="709" w:leader="none"/>
        </w:tabs>
        <w:bidi w:val="0"/>
        <w:ind w:hanging="283" w:start="709"/>
        <w:jc w:val="start"/>
        <w:rPr/>
      </w:pPr>
      <w:r>
        <w:rPr/>
        <w:t xml:space="preserve">Current share price = </w:t>
      </w:r>
      <w:r>
        <w:rPr>
          <w:b/>
        </w:rPr>
        <w:t>$260.83</w:t>
      </w:r>
      <w:r>
        <w:rPr/>
        <w:t xml:space="preserve"> → </w:t>
      </w:r>
      <w:r>
        <w:rPr>
          <w:b/>
        </w:rPr>
        <w:t>1.8% overvalued</w:t>
      </w:r>
    </w:p>
    <w:p>
      <w:pPr>
        <w:pStyle w:val="BodyText"/>
        <w:numPr>
          <w:ilvl w:val="0"/>
          <w:numId w:val="248"/>
        </w:numPr>
        <w:tabs>
          <w:tab w:val="clear" w:pos="709"/>
          <w:tab w:val="left" w:pos="709" w:leader="none"/>
        </w:tabs>
        <w:bidi w:val="0"/>
        <w:ind w:hanging="283" w:start="709"/>
        <w:jc w:val="start"/>
        <w:rPr/>
      </w:pPr>
      <w:r>
        <w:rPr>
          <w:b/>
        </w:rPr>
        <w:t>Conservative case:</w:t>
      </w:r>
      <w:r>
        <w:rPr/>
        <w:t xml:space="preserve"> years 1–5 = </w:t>
      </w:r>
      <w:r>
        <w:rPr>
          <w:b/>
        </w:rPr>
        <w:t>11.23%</w:t>
      </w:r>
      <w:r>
        <w:rPr/>
        <w:t xml:space="preserve"> (lowest of the three), years 6–10 = </w:t>
      </w:r>
      <w:r>
        <w:rPr>
          <w:b/>
        </w:rPr>
        <w:t>5.61%</w:t>
      </w:r>
      <w:r>
        <w:rPr/>
        <w:t xml:space="preserve"> (11.23 ÷ 2) → </w:t>
      </w:r>
      <w:r>
        <w:rPr>
          <w:b/>
        </w:rPr>
        <w:t>intrinsic value $199.98 (~$200)</w:t>
      </w:r>
    </w:p>
    <w:p>
      <w:pPr>
        <w:pStyle w:val="BodyText"/>
        <w:numPr>
          <w:ilvl w:val="0"/>
          <w:numId w:val="248"/>
        </w:numPr>
        <w:tabs>
          <w:tab w:val="clear" w:pos="709"/>
          <w:tab w:val="left" w:pos="709" w:leader="none"/>
        </w:tabs>
        <w:bidi w:val="0"/>
        <w:ind w:hanging="283" w:start="709"/>
        <w:jc w:val="start"/>
        <w:rPr/>
      </w:pPr>
      <w:r>
        <w:rPr/>
        <w:t xml:space="preserve">StockOracle's own Oracle value = </w:t>
      </w:r>
      <w:r>
        <w:rPr>
          <w:b/>
        </w:rPr>
        <w:t>$190</w:t>
      </w:r>
      <w:r>
        <w:rPr/>
        <w:t xml:space="preserve"> — lower because it applies a lower growth assumption.</w:t>
      </w:r>
    </w:p>
    <w:p>
      <w:pPr>
        <w:pStyle w:val="BodyText"/>
        <w:numPr>
          <w:ilvl w:val="0"/>
          <w:numId w:val="248"/>
        </w:numPr>
        <w:tabs>
          <w:tab w:val="clear" w:pos="709"/>
          <w:tab w:val="left" w:pos="709" w:leader="none"/>
        </w:tabs>
        <w:bidi w:val="0"/>
        <w:ind w:hanging="283" w:start="709"/>
        <w:jc w:val="start"/>
        <w:rPr/>
      </w:pPr>
      <w:r>
        <w:rPr>
          <w:b/>
        </w:rPr>
        <w:t>Adam's decision:</w:t>
      </w:r>
      <w:r>
        <w:rPr/>
        <w:t xml:space="preserve"> would </w:t>
      </w:r>
      <w:r>
        <w:rPr>
          <w:b/>
        </w:rPr>
        <w:t>not</w:t>
      </w:r>
      <w:r>
        <w:rPr/>
        <w:t xml:space="preserve"> buy Apple at $260 even on the optimistic $256 number. Would be attracted to add shares </w:t>
      </w:r>
      <w:r>
        <w:rPr>
          <w:b/>
        </w:rPr>
        <w:t>below $190</w:t>
      </w:r>
      <w:r>
        <w:rPr/>
        <w:t>.</w:t>
      </w:r>
    </w:p>
    <w:p>
      <w:pPr>
        <w:pStyle w:val="Heading4"/>
        <w:numPr>
          <w:ilvl w:val="0"/>
          <w:numId w:val="0"/>
        </w:numPr>
        <w:bidi w:val="0"/>
        <w:ind w:hanging="0" w:start="0"/>
        <w:jc w:val="start"/>
        <w:rPr/>
      </w:pPr>
      <w:r>
        <w:rPr/>
        <w:t>5.6 When no cash-flow method works — Singapore Airlines</w:t>
      </w:r>
    </w:p>
    <w:p>
      <w:pPr>
        <w:pStyle w:val="BodyText"/>
        <w:numPr>
          <w:ilvl w:val="0"/>
          <w:numId w:val="249"/>
        </w:numPr>
        <w:tabs>
          <w:tab w:val="clear" w:pos="709"/>
          <w:tab w:val="left" w:pos="709" w:leader="none"/>
        </w:tabs>
        <w:bidi w:val="0"/>
        <w:ind w:hanging="283" w:start="709"/>
        <w:jc w:val="start"/>
        <w:rPr/>
      </w:pPr>
      <w:r>
        <w:rPr/>
        <w:t xml:space="preserve">Singapore Airlines' </w:t>
      </w:r>
      <w:r>
        <w:rPr>
          <w:b/>
        </w:rPr>
        <w:t>operating cash flow is not consistent at all</w:t>
      </w:r>
      <w:r>
        <w:rPr/>
        <w:t xml:space="preserve"> — sideways, down, up, down. Net income (light green) also alternates up and down.</w:t>
      </w:r>
    </w:p>
    <w:p>
      <w:pPr>
        <w:pStyle w:val="BodyText"/>
        <w:numPr>
          <w:ilvl w:val="0"/>
          <w:numId w:val="249"/>
        </w:numPr>
        <w:tabs>
          <w:tab w:val="clear" w:pos="709"/>
          <w:tab w:val="left" w:pos="709" w:leader="none"/>
        </w:tabs>
        <w:bidi w:val="0"/>
        <w:ind w:hanging="283" w:start="709"/>
        <w:jc w:val="start"/>
        <w:rPr/>
      </w:pPr>
      <w:r>
        <w:rPr/>
        <w:t xml:space="preserve">Because CFO is inconsistent (not just capex), </w:t>
      </w:r>
      <w:r>
        <w:rPr>
          <w:b/>
        </w:rPr>
        <w:t>DCF cannot be used</w:t>
      </w:r>
      <w:r>
        <w:rPr/>
        <w:t>.</w:t>
      </w:r>
    </w:p>
    <w:p>
      <w:pPr>
        <w:pStyle w:val="BodyText"/>
        <w:numPr>
          <w:ilvl w:val="0"/>
          <w:numId w:val="249"/>
        </w:numPr>
        <w:tabs>
          <w:tab w:val="clear" w:pos="709"/>
          <w:tab w:val="left" w:pos="709" w:leader="none"/>
        </w:tabs>
        <w:bidi w:val="0"/>
        <w:ind w:hanging="283" w:start="709"/>
        <w:jc w:val="start"/>
        <w:rPr/>
      </w:pPr>
      <w:r>
        <w:rPr/>
        <w:t xml:space="preserve">Adam would </w:t>
      </w:r>
      <w:r>
        <w:rPr>
          <w:b/>
        </w:rPr>
        <w:t>never buy it in the first place</w:t>
      </w:r>
      <w:r>
        <w:rPr/>
        <w:t xml:space="preserve">: it fails a key criterion — </w:t>
      </w:r>
      <w:r>
        <w:rPr>
          <w:b/>
        </w:rPr>
        <w:t>no consistently increasing revenue, net income and cash flow from operations</w:t>
      </w:r>
      <w:r>
        <w:rPr/>
        <w:t>.</w:t>
      </w:r>
    </w:p>
    <w:p>
      <w:pPr>
        <w:pStyle w:val="BodyText"/>
        <w:numPr>
          <w:ilvl w:val="0"/>
          <w:numId w:val="249"/>
        </w:numPr>
        <w:tabs>
          <w:tab w:val="clear" w:pos="709"/>
          <w:tab w:val="left" w:pos="709" w:leader="none"/>
        </w:tabs>
        <w:bidi w:val="0"/>
        <w:ind w:hanging="283" w:start="709"/>
        <w:jc w:val="start"/>
        <w:rPr/>
      </w:pPr>
      <w:r>
        <w:rPr/>
        <w:t xml:space="preserve">If forced to value it, the only usable method is the </w:t>
      </w:r>
      <w:r>
        <w:rPr>
          <w:b/>
        </w:rPr>
        <w:t>mean price-to-sales ratio method</w:t>
      </w:r>
      <w:r>
        <w:rPr/>
        <w:t xml:space="preserve"> (used for very cyclical companies with inconsistent profits).</w:t>
      </w:r>
    </w:p>
    <w:p>
      <w:pPr>
        <w:pStyle w:val="HorizontalLine"/>
        <w:bidi w:val="0"/>
        <w:jc w:val="start"/>
        <w:rPr/>
      </w:pPr>
      <w:r>
        <w:rPr/>
      </w:r>
    </w:p>
    <w:p>
      <w:pPr>
        <w:pStyle w:val="Heading3"/>
        <w:bidi w:val="0"/>
        <w:ind w:hanging="0" w:start="0"/>
        <w:jc w:val="start"/>
        <w:rPr/>
      </w:pPr>
      <w:r>
        <w:rPr/>
        <w:t>6. Non-US Listed Stocks (procedure differences)</w:t>
      </w:r>
    </w:p>
    <w:p>
      <w:pPr>
        <w:pStyle w:val="Heading4"/>
        <w:bidi w:val="0"/>
        <w:ind w:hanging="0" w:start="0"/>
        <w:jc w:val="start"/>
        <w:rPr/>
      </w:pPr>
      <w:r>
        <w:rPr/>
        <w:t>6.1 Data sourcing and currency handling</w:t>
      </w:r>
    </w:p>
    <w:p>
      <w:pPr>
        <w:pStyle w:val="BodyText"/>
        <w:numPr>
          <w:ilvl w:val="0"/>
          <w:numId w:val="250"/>
        </w:numPr>
        <w:tabs>
          <w:tab w:val="clear" w:pos="709"/>
          <w:tab w:val="left" w:pos="709" w:leader="none"/>
        </w:tabs>
        <w:bidi w:val="0"/>
        <w:ind w:hanging="283" w:start="709"/>
        <w:jc w:val="start"/>
        <w:rPr/>
      </w:pPr>
      <w:r>
        <w:rPr/>
        <w:t xml:space="preserve">StockOracle is </w:t>
      </w:r>
      <w:r>
        <w:rPr>
          <w:b/>
        </w:rPr>
        <w:t>US-only for now</w:t>
      </w:r>
      <w:r>
        <w:rPr/>
        <w:t xml:space="preserve"> (Singapore + Hong Kong expected by end of 2026). For non-US stocks use </w:t>
      </w:r>
      <w:r>
        <w:rPr>
          <w:b/>
        </w:rPr>
        <w:t>Yahoo Finance</w:t>
      </w:r>
      <w:r>
        <w:rPr/>
        <w:t>.</w:t>
      </w:r>
    </w:p>
    <w:p>
      <w:pPr>
        <w:pStyle w:val="BodyText"/>
        <w:numPr>
          <w:ilvl w:val="0"/>
          <w:numId w:val="250"/>
        </w:numPr>
        <w:tabs>
          <w:tab w:val="clear" w:pos="709"/>
          <w:tab w:val="left" w:pos="709" w:leader="none"/>
        </w:tabs>
        <w:bidi w:val="0"/>
        <w:ind w:hanging="283" w:start="709"/>
        <w:jc w:val="start"/>
        <w:rPr/>
      </w:pPr>
      <w:r>
        <w:rPr>
          <w:b/>
        </w:rPr>
        <w:t>Ticker conventions:</w:t>
      </w:r>
      <w:r>
        <w:rPr/>
        <w:t xml:space="preserve"> Singapore tickers mix </w:t>
      </w:r>
      <w:r>
        <w:rPr>
          <w:b/>
        </w:rPr>
        <w:t>letters and numbers</w:t>
      </w:r>
      <w:r>
        <w:rPr/>
        <w:t xml:space="preserve"> (e.g. S68, U11); Hong Kong tickers are </w:t>
      </w:r>
      <w:r>
        <w:rPr>
          <w:b/>
        </w:rPr>
        <w:t>numbers</w:t>
      </w:r>
      <w:r>
        <w:rPr/>
        <w:t xml:space="preserve"> (e.g. 9988).</w:t>
      </w:r>
    </w:p>
    <w:p>
      <w:pPr>
        <w:pStyle w:val="BodyText"/>
        <w:numPr>
          <w:ilvl w:val="0"/>
          <w:numId w:val="250"/>
        </w:numPr>
        <w:tabs>
          <w:tab w:val="clear" w:pos="709"/>
          <w:tab w:val="left" w:pos="709" w:leader="none"/>
        </w:tabs>
        <w:bidi w:val="0"/>
        <w:ind w:hanging="283" w:start="709"/>
        <w:jc w:val="start"/>
        <w:rPr/>
      </w:pPr>
      <w:r>
        <w:rPr>
          <w:b/>
        </w:rPr>
        <w:t>Reading direction:</w:t>
      </w:r>
      <w:r>
        <w:rPr/>
        <w:t xml:space="preserve"> StockOracle presents financials </w:t>
      </w:r>
      <w:r>
        <w:rPr>
          <w:b/>
        </w:rPr>
        <w:t>left → right</w:t>
      </w:r>
      <w:r>
        <w:rPr/>
        <w:t xml:space="preserve"> (newest first); Yahoo Finance presents </w:t>
      </w:r>
      <w:r>
        <w:rPr>
          <w:b/>
        </w:rPr>
        <w:t>right → left</w:t>
      </w:r>
      <w:r>
        <w:rPr/>
        <w:t xml:space="preserve"> (2022, 2023, 2024, 2025, then LTM). Yahoo typically gives only ~4 years of data.</w:t>
      </w:r>
    </w:p>
    <w:p>
      <w:pPr>
        <w:pStyle w:val="BodyText"/>
        <w:numPr>
          <w:ilvl w:val="0"/>
          <w:numId w:val="250"/>
        </w:numPr>
        <w:tabs>
          <w:tab w:val="clear" w:pos="709"/>
          <w:tab w:val="left" w:pos="709" w:leader="none"/>
        </w:tabs>
        <w:bidi w:val="0"/>
        <w:ind w:hanging="283" w:start="709"/>
        <w:jc w:val="start"/>
        <w:rPr/>
      </w:pPr>
      <w:r>
        <w:rPr>
          <w:b/>
        </w:rPr>
        <w:t>Denomination:</w:t>
      </w:r>
      <w:r>
        <w:rPr/>
        <w:t xml:space="preserve"> Yahoo reports in </w:t>
      </w:r>
      <w:r>
        <w:rPr>
          <w:b/>
        </w:rPr>
        <w:t>thousands</w:t>
      </w:r>
      <w:r>
        <w:rPr/>
        <w:t xml:space="preserve">; convert to </w:t>
      </w:r>
      <w:r>
        <w:rPr>
          <w:b/>
        </w:rPr>
        <w:t>millions</w:t>
      </w:r>
      <w:r>
        <w:rPr/>
        <w:t xml:space="preserve"> for the calculator.</w:t>
      </w:r>
    </w:p>
    <w:p>
      <w:pPr>
        <w:pStyle w:val="BodyText"/>
        <w:numPr>
          <w:ilvl w:val="0"/>
          <w:numId w:val="250"/>
        </w:numPr>
        <w:tabs>
          <w:tab w:val="clear" w:pos="709"/>
          <w:tab w:val="left" w:pos="709" w:leader="none"/>
        </w:tabs>
        <w:bidi w:val="0"/>
        <w:spacing w:before="0" w:after="0"/>
        <w:ind w:hanging="283" w:start="709"/>
        <w:jc w:val="start"/>
        <w:rPr/>
      </w:pPr>
      <w:r>
        <w:rPr>
          <w:b/>
        </w:rPr>
        <w:t>Currency:</w:t>
      </w:r>
      <w:r>
        <w:rPr/>
        <w:t xml:space="preserve"> the calculator asks for (a) currency of the financial statements, (b) currency of the share price, and (c) the exchange rate between them.</w:t>
      </w:r>
    </w:p>
    <w:p>
      <w:pPr>
        <w:pStyle w:val="BodyText"/>
        <w:numPr>
          <w:ilvl w:val="1"/>
          <w:numId w:val="250"/>
        </w:numPr>
        <w:tabs>
          <w:tab w:val="clear" w:pos="709"/>
          <w:tab w:val="left" w:pos="1418" w:leader="none"/>
        </w:tabs>
        <w:bidi w:val="0"/>
        <w:ind w:hanging="283" w:start="1418"/>
        <w:jc w:val="start"/>
        <w:rPr/>
      </w:pPr>
      <w:r>
        <w:rPr/>
        <w:t xml:space="preserve">Singapore Exchange: statements in SGD, price in SGD → exchange rate = </w:t>
      </w:r>
      <w:r>
        <w:rPr>
          <w:b/>
        </w:rPr>
        <w:t>1</w:t>
      </w:r>
      <w:r>
        <w:rPr/>
        <w:t>.</w:t>
      </w:r>
    </w:p>
    <w:p>
      <w:pPr>
        <w:pStyle w:val="BodyText"/>
        <w:numPr>
          <w:ilvl w:val="1"/>
          <w:numId w:val="250"/>
        </w:numPr>
        <w:tabs>
          <w:tab w:val="clear" w:pos="709"/>
          <w:tab w:val="left" w:pos="1418" w:leader="none"/>
        </w:tabs>
        <w:bidi w:val="0"/>
        <w:ind w:hanging="283" w:start="1418"/>
        <w:jc w:val="start"/>
        <w:rPr/>
      </w:pPr>
      <w:r>
        <w:rPr>
          <w:b/>
        </w:rPr>
        <w:t>Alibaba illustration:</w:t>
      </w:r>
      <w:r>
        <w:rPr/>
        <w:t xml:space="preserve"> financial statements are in </w:t>
      </w:r>
      <w:r>
        <w:rPr>
          <w:b/>
        </w:rPr>
        <w:t>Chinese renminbi</w:t>
      </w:r>
      <w:r>
        <w:rPr/>
        <w:t xml:space="preserve">; the share price depends on the listing — </w:t>
      </w:r>
      <w:r>
        <w:rPr>
          <w:b/>
        </w:rPr>
        <w:t>BABA</w:t>
      </w:r>
      <w:r>
        <w:rPr/>
        <w:t xml:space="preserve"> in the US is priced in </w:t>
      </w:r>
      <w:r>
        <w:rPr>
          <w:b/>
        </w:rPr>
        <w:t>USD</w:t>
      </w:r>
      <w:r>
        <w:rPr/>
        <w:t xml:space="preserve">, while </w:t>
      </w:r>
      <w:r>
        <w:rPr>
          <w:b/>
        </w:rPr>
        <w:t>9988</w:t>
      </w:r>
      <w:r>
        <w:rPr/>
        <w:t xml:space="preserve"> in Hong Kong is priced in </w:t>
      </w:r>
      <w:r>
        <w:rPr>
          <w:b/>
        </w:rPr>
        <w:t>HKD</w:t>
      </w:r>
      <w:r>
        <w:rPr/>
        <w:t>. Enter the appropriate exchange rate.</w:t>
      </w:r>
    </w:p>
    <w:p>
      <w:pPr>
        <w:pStyle w:val="Heading4"/>
        <w:numPr>
          <w:ilvl w:val="0"/>
          <w:numId w:val="0"/>
        </w:numPr>
        <w:bidi w:val="0"/>
        <w:ind w:hanging="0" w:start="0"/>
        <w:jc w:val="start"/>
        <w:rPr/>
      </w:pPr>
      <w:r>
        <w:rPr/>
        <w:t>6.2 WORKED EXAMPLE — Singapore Exchange (S68), Discounted Free Cash Flow</w:t>
      </w:r>
    </w:p>
    <w:p>
      <w:pPr>
        <w:pStyle w:val="BodyText"/>
        <w:bidi w:val="0"/>
        <w:jc w:val="start"/>
        <w:rPr/>
      </w:pPr>
      <w:r>
        <w:rPr>
          <w:b/>
        </w:rPr>
        <w:t>Precondition checks from Yahoo Finance (SGD thousands):</w:t>
      </w:r>
    </w:p>
    <w:p>
      <w:pPr>
        <w:pStyle w:val="BodyText"/>
        <w:numPr>
          <w:ilvl w:val="0"/>
          <w:numId w:val="251"/>
        </w:numPr>
        <w:tabs>
          <w:tab w:val="clear" w:pos="709"/>
          <w:tab w:val="left" w:pos="709" w:leader="none"/>
        </w:tabs>
        <w:bidi w:val="0"/>
        <w:ind w:hanging="283" w:start="709"/>
        <w:jc w:val="start"/>
        <w:rPr/>
      </w:pPr>
      <w:r>
        <w:rPr/>
        <w:t xml:space="preserve">Operating cash flow: </w:t>
      </w:r>
      <w:r>
        <w:rPr>
          <w:b/>
        </w:rPr>
        <w:t>583 → 446 → 615 → 841 → 826</w:t>
      </w:r>
      <w:r>
        <w:rPr/>
        <w:t xml:space="preserve"> — not up every year but a general uptrend → acceptable.</w:t>
      </w:r>
    </w:p>
    <w:p>
      <w:pPr>
        <w:pStyle w:val="BodyText"/>
        <w:numPr>
          <w:ilvl w:val="0"/>
          <w:numId w:val="251"/>
        </w:numPr>
        <w:tabs>
          <w:tab w:val="clear" w:pos="709"/>
          <w:tab w:val="left" w:pos="709" w:leader="none"/>
        </w:tabs>
        <w:bidi w:val="0"/>
        <w:ind w:hanging="283" w:start="709"/>
        <w:jc w:val="start"/>
        <w:rPr/>
      </w:pPr>
      <w:r>
        <w:rPr/>
        <w:t xml:space="preserve">Free cash flow: </w:t>
      </w:r>
      <w:r>
        <w:rPr>
          <w:b/>
        </w:rPr>
        <w:t>539 → 392 → 551 → 773</w:t>
      </w:r>
      <w:r>
        <w:rPr/>
        <w:t xml:space="preserve"> — general uptrend → acceptable.</w:t>
      </w:r>
    </w:p>
    <w:p>
      <w:pPr>
        <w:pStyle w:val="BodyText"/>
        <w:numPr>
          <w:ilvl w:val="0"/>
          <w:numId w:val="251"/>
        </w:numPr>
        <w:tabs>
          <w:tab w:val="clear" w:pos="709"/>
          <w:tab w:val="left" w:pos="709" w:leader="none"/>
        </w:tabs>
        <w:bidi w:val="0"/>
        <w:ind w:hanging="283" w:start="709"/>
        <w:jc w:val="start"/>
        <w:rPr/>
      </w:pPr>
      <w:r>
        <w:rPr/>
        <w:t xml:space="preserve">Capex: </w:t>
      </w:r>
      <w:r>
        <w:rPr>
          <w:b/>
        </w:rPr>
        <w:t>44 → 54 → 64 → 68 → 71</w:t>
      </w:r>
      <w:r>
        <w:rPr/>
        <w:t xml:space="preserve"> — rising smoothly, </w:t>
      </w:r>
      <w:r>
        <w:rPr>
          <w:b/>
        </w:rPr>
        <w:t>no sudden spike</w:t>
      </w:r>
      <w:r>
        <w:rPr/>
        <w:t xml:space="preserve"> → </w:t>
      </w:r>
      <w:r>
        <w:rPr>
          <w:b/>
        </w:rPr>
        <w:t>no capex normalization needed</w:t>
      </w:r>
      <w:r>
        <w:rPr/>
        <w:t>, use the standard discounted FCF method.</w:t>
      </w:r>
    </w:p>
    <w:tbl>
      <w:tblPr>
        <w:tblW w:w="5000" w:type="pct"/>
        <w:jc w:val="start"/>
        <w:tblInd w:w="-5" w:type="dxa"/>
        <w:tblLayout w:type="fixed"/>
        <w:tblCellMar>
          <w:top w:w="55" w:type="dxa"/>
          <w:start w:w="55" w:type="dxa"/>
          <w:bottom w:w="55" w:type="dxa"/>
          <w:end w:w="55" w:type="dxa"/>
        </w:tblCellMar>
      </w:tblPr>
      <w:tblGrid>
        <w:gridCol w:w="3212"/>
        <w:gridCol w:w="3213"/>
        <w:gridCol w:w="3213"/>
      </w:tblGrid>
      <w:tr>
        <w:trPr>
          <w:tblHeader w:val="true"/>
        </w:trPr>
        <w:tc>
          <w:tcPr>
            <w:tcW w:w="3212" w:type="dxa"/>
            <w:tcBorders>
              <w:top w:val="single" w:sz="4" w:space="0" w:color="000000"/>
              <w:start w:val="single" w:sz="4" w:space="0" w:color="000000"/>
              <w:bottom w:val="single" w:sz="4" w:space="0" w:color="000000"/>
            </w:tcBorders>
          </w:tcPr>
          <w:p>
            <w:pPr>
              <w:pStyle w:val="TableHeading"/>
              <w:bidi w:val="0"/>
              <w:jc w:val="start"/>
              <w:rPr/>
            </w:pPr>
            <w:r>
              <w:rPr/>
              <w:t>Step</w:t>
            </w:r>
          </w:p>
        </w:tc>
        <w:tc>
          <w:tcPr>
            <w:tcW w:w="3213" w:type="dxa"/>
            <w:tcBorders>
              <w:top w:val="single" w:sz="4" w:space="0" w:color="000000"/>
              <w:start w:val="single" w:sz="4" w:space="0" w:color="000000"/>
              <w:bottom w:val="single" w:sz="4" w:space="0" w:color="000000"/>
            </w:tcBorders>
          </w:tcPr>
          <w:p>
            <w:pPr>
              <w:pStyle w:val="TableHeading"/>
              <w:bidi w:val="0"/>
              <w:jc w:val="start"/>
              <w:rPr/>
            </w:pPr>
            <w:r>
              <w:rPr/>
              <w:t>Input</w:t>
            </w:r>
          </w:p>
        </w:tc>
        <w:tc>
          <w:tcPr>
            <w:tcW w:w="3213"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Value</w:t>
            </w:r>
          </w:p>
        </w:tc>
      </w:tr>
      <w:tr>
        <w:trPr/>
        <w:tc>
          <w:tcPr>
            <w:tcW w:w="3212" w:type="dxa"/>
            <w:tcBorders>
              <w:start w:val="single" w:sz="4" w:space="0" w:color="000000"/>
              <w:bottom w:val="single" w:sz="4" w:space="0" w:color="000000"/>
            </w:tcBorders>
          </w:tcPr>
          <w:p>
            <w:pPr>
              <w:pStyle w:val="TableContents"/>
              <w:bidi w:val="0"/>
              <w:jc w:val="start"/>
              <w:rPr/>
            </w:pPr>
            <w:r>
              <w:rPr/>
              <w:t>1</w:t>
            </w:r>
          </w:p>
        </w:tc>
        <w:tc>
          <w:tcPr>
            <w:tcW w:w="3213" w:type="dxa"/>
            <w:tcBorders>
              <w:start w:val="single" w:sz="4" w:space="0" w:color="000000"/>
              <w:bottom w:val="single" w:sz="4" w:space="0" w:color="000000"/>
            </w:tcBorders>
          </w:tcPr>
          <w:p>
            <w:pPr>
              <w:pStyle w:val="TableContents"/>
              <w:bidi w:val="0"/>
              <w:jc w:val="start"/>
              <w:rPr/>
            </w:pPr>
            <w:r>
              <w:rPr/>
              <w:t>Stock / ticker / method</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 xml:space="preserve">Singapore Exchange / </w:t>
            </w:r>
            <w:r>
              <w:rPr>
                <w:b/>
              </w:rPr>
              <w:t>S68</w:t>
            </w:r>
            <w:r>
              <w:rPr/>
              <w:t xml:space="preserve"> / discounted free cash flow</w:t>
            </w:r>
          </w:p>
        </w:tc>
      </w:tr>
      <w:tr>
        <w:trPr/>
        <w:tc>
          <w:tcPr>
            <w:tcW w:w="3212" w:type="dxa"/>
            <w:tcBorders>
              <w:start w:val="single" w:sz="4" w:space="0" w:color="000000"/>
              <w:bottom w:val="single" w:sz="4" w:space="0" w:color="000000"/>
            </w:tcBorders>
          </w:tcPr>
          <w:p>
            <w:pPr>
              <w:pStyle w:val="TableContents"/>
              <w:bidi w:val="0"/>
              <w:jc w:val="start"/>
              <w:rPr/>
            </w:pPr>
            <w:r>
              <w:rPr/>
              <w:t>2</w:t>
            </w:r>
          </w:p>
        </w:tc>
        <w:tc>
          <w:tcPr>
            <w:tcW w:w="3213" w:type="dxa"/>
            <w:tcBorders>
              <w:start w:val="single" w:sz="4" w:space="0" w:color="000000"/>
              <w:bottom w:val="single" w:sz="4" w:space="0" w:color="000000"/>
            </w:tcBorders>
          </w:tcPr>
          <w:p>
            <w:pPr>
              <w:pStyle w:val="TableContents"/>
              <w:bidi w:val="0"/>
              <w:jc w:val="start"/>
              <w:rPr/>
            </w:pPr>
            <w:r>
              <w:rPr/>
              <w:t>Currencies</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 xml:space="preserve">Statements SGD, price SGD, exchange rate </w:t>
            </w:r>
            <w:r>
              <w:rPr>
                <w:b/>
              </w:rPr>
              <w:t>1</w:t>
            </w:r>
          </w:p>
        </w:tc>
      </w:tr>
      <w:tr>
        <w:trPr/>
        <w:tc>
          <w:tcPr>
            <w:tcW w:w="3212" w:type="dxa"/>
            <w:tcBorders>
              <w:start w:val="single" w:sz="4" w:space="0" w:color="000000"/>
              <w:bottom w:val="single" w:sz="4" w:space="0" w:color="000000"/>
            </w:tcBorders>
          </w:tcPr>
          <w:p>
            <w:pPr>
              <w:pStyle w:val="TableContents"/>
              <w:bidi w:val="0"/>
              <w:jc w:val="start"/>
              <w:rPr/>
            </w:pPr>
            <w:r>
              <w:rPr/>
              <w:t>3</w:t>
            </w:r>
          </w:p>
        </w:tc>
        <w:tc>
          <w:tcPr>
            <w:tcW w:w="3213" w:type="dxa"/>
            <w:tcBorders>
              <w:start w:val="single" w:sz="4" w:space="0" w:color="000000"/>
              <w:bottom w:val="single" w:sz="4" w:space="0" w:color="000000"/>
            </w:tcBorders>
          </w:tcPr>
          <w:p>
            <w:pPr>
              <w:pStyle w:val="TableContents"/>
              <w:bidi w:val="0"/>
              <w:jc w:val="start"/>
              <w:rPr/>
            </w:pPr>
            <w:r>
              <w:rPr/>
              <w:t>Latest FCF = 755,255 thousands → convert</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b/>
              </w:rPr>
              <w:t>755.255</w:t>
            </w:r>
            <w:r>
              <w:rPr/>
              <w:t xml:space="preserve"> million</w:t>
            </w:r>
          </w:p>
        </w:tc>
      </w:tr>
      <w:tr>
        <w:trPr/>
        <w:tc>
          <w:tcPr>
            <w:tcW w:w="3212" w:type="dxa"/>
            <w:tcBorders>
              <w:start w:val="single" w:sz="4" w:space="0" w:color="000000"/>
              <w:bottom w:val="single" w:sz="4" w:space="0" w:color="000000"/>
            </w:tcBorders>
          </w:tcPr>
          <w:p>
            <w:pPr>
              <w:pStyle w:val="TableContents"/>
              <w:bidi w:val="0"/>
              <w:jc w:val="start"/>
              <w:rPr/>
            </w:pPr>
            <w:r>
              <w:rPr/>
              <w:t>4</w:t>
            </w:r>
          </w:p>
        </w:tc>
        <w:tc>
          <w:tcPr>
            <w:tcW w:w="3213" w:type="dxa"/>
            <w:tcBorders>
              <w:start w:val="single" w:sz="4" w:space="0" w:color="000000"/>
              <w:bottom w:val="single" w:sz="4" w:space="0" w:color="000000"/>
            </w:tcBorders>
          </w:tcPr>
          <w:p>
            <w:pPr>
              <w:pStyle w:val="TableContents"/>
              <w:bidi w:val="0"/>
              <w:jc w:val="start"/>
              <w:rPr/>
            </w:pPr>
            <w:r>
              <w:rPr/>
              <w:t xml:space="preserve">Debt: short-term/current </w:t>
            </w:r>
            <w:r>
              <w:rPr>
                <w:b/>
              </w:rPr>
              <w:t>326,360</w:t>
            </w:r>
            <w:r>
              <w:rPr/>
              <w:t xml:space="preserve"> + long-term </w:t>
            </w:r>
            <w:r>
              <w:rPr>
                <w:b/>
              </w:rPr>
              <w:t>299,667</w:t>
            </w:r>
            <w:r>
              <w:rPr/>
              <w:t xml:space="preserve"> (thousands) → keyed in as</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b/>
              </w:rPr>
              <w:t>332.303</w:t>
            </w:r>
            <w:r>
              <w:rPr/>
              <w:t xml:space="preserve"> million </w:t>
            </w:r>
            <w:r>
              <w:rPr>
                <w:i/>
              </w:rPr>
              <w:t>(figure as stated in the lesson; note the stated sum does not reconcile arithmetically with the two components — likely a transcription artefact)</w:t>
            </w:r>
          </w:p>
        </w:tc>
      </w:tr>
      <w:tr>
        <w:trPr/>
        <w:tc>
          <w:tcPr>
            <w:tcW w:w="3212" w:type="dxa"/>
            <w:tcBorders>
              <w:start w:val="single" w:sz="4" w:space="0" w:color="000000"/>
              <w:bottom w:val="single" w:sz="4" w:space="0" w:color="000000"/>
            </w:tcBorders>
          </w:tcPr>
          <w:p>
            <w:pPr>
              <w:pStyle w:val="TableContents"/>
              <w:bidi w:val="0"/>
              <w:jc w:val="start"/>
              <w:rPr/>
            </w:pPr>
            <w:r>
              <w:rPr/>
              <w:t>5</w:t>
            </w:r>
          </w:p>
        </w:tc>
        <w:tc>
          <w:tcPr>
            <w:tcW w:w="3213" w:type="dxa"/>
            <w:tcBorders>
              <w:start w:val="single" w:sz="4" w:space="0" w:color="000000"/>
              <w:bottom w:val="single" w:sz="4" w:space="0" w:color="000000"/>
            </w:tcBorders>
          </w:tcPr>
          <w:p>
            <w:pPr>
              <w:pStyle w:val="TableContents"/>
              <w:bidi w:val="0"/>
              <w:jc w:val="start"/>
              <w:rPr/>
            </w:pPr>
            <w:r>
              <w:rPr/>
              <w:t>Cash &amp; equivalents = 2,046,023 thousands → convert</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b/>
              </w:rPr>
              <w:t>2,046.023</w:t>
            </w:r>
            <w:r>
              <w:rPr/>
              <w:t xml:space="preserve"> million</w:t>
            </w:r>
          </w:p>
        </w:tc>
      </w:tr>
      <w:tr>
        <w:trPr/>
        <w:tc>
          <w:tcPr>
            <w:tcW w:w="3212" w:type="dxa"/>
            <w:tcBorders>
              <w:start w:val="single" w:sz="4" w:space="0" w:color="000000"/>
              <w:bottom w:val="single" w:sz="4" w:space="0" w:color="000000"/>
            </w:tcBorders>
          </w:tcPr>
          <w:p>
            <w:pPr>
              <w:pStyle w:val="TableContents"/>
              <w:bidi w:val="0"/>
              <w:jc w:val="start"/>
              <w:rPr/>
            </w:pPr>
            <w:r>
              <w:rPr/>
              <w:t>6</w:t>
            </w:r>
          </w:p>
        </w:tc>
        <w:tc>
          <w:tcPr>
            <w:tcW w:w="3213" w:type="dxa"/>
            <w:tcBorders>
              <w:start w:val="single" w:sz="4" w:space="0" w:color="000000"/>
              <w:bottom w:val="single" w:sz="4" w:space="0" w:color="000000"/>
            </w:tcBorders>
          </w:tcPr>
          <w:p>
            <w:pPr>
              <w:pStyle w:val="TableContents"/>
              <w:bidi w:val="0"/>
              <w:jc w:val="start"/>
              <w:rPr/>
            </w:pPr>
            <w:r>
              <w:rPr/>
              <w:t>Growth, years 1–5</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b/>
              </w:rPr>
              <w:t>8.22%</w:t>
            </w:r>
          </w:p>
        </w:tc>
      </w:tr>
      <w:tr>
        <w:trPr/>
        <w:tc>
          <w:tcPr>
            <w:tcW w:w="3212" w:type="dxa"/>
            <w:tcBorders>
              <w:start w:val="single" w:sz="4" w:space="0" w:color="000000"/>
              <w:bottom w:val="single" w:sz="4" w:space="0" w:color="000000"/>
            </w:tcBorders>
          </w:tcPr>
          <w:p>
            <w:pPr>
              <w:pStyle w:val="TableContents"/>
              <w:bidi w:val="0"/>
              <w:jc w:val="start"/>
              <w:rPr/>
            </w:pPr>
            <w:r>
              <w:rPr/>
              <w:t>7</w:t>
            </w:r>
          </w:p>
        </w:tc>
        <w:tc>
          <w:tcPr>
            <w:tcW w:w="3213" w:type="dxa"/>
            <w:tcBorders>
              <w:start w:val="single" w:sz="4" w:space="0" w:color="000000"/>
              <w:bottom w:val="single" w:sz="4" w:space="0" w:color="000000"/>
            </w:tcBorders>
          </w:tcPr>
          <w:p>
            <w:pPr>
              <w:pStyle w:val="TableContents"/>
              <w:bidi w:val="0"/>
              <w:jc w:val="start"/>
              <w:rPr/>
            </w:pPr>
            <w:r>
              <w:rPr/>
              <w:t>Growth, years 6–10 (assume it continues)</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b/>
              </w:rPr>
              <w:t>8.22%</w:t>
            </w:r>
          </w:p>
        </w:tc>
      </w:tr>
      <w:tr>
        <w:trPr/>
        <w:tc>
          <w:tcPr>
            <w:tcW w:w="3212" w:type="dxa"/>
            <w:tcBorders>
              <w:start w:val="single" w:sz="4" w:space="0" w:color="000000"/>
              <w:bottom w:val="single" w:sz="4" w:space="0" w:color="000000"/>
            </w:tcBorders>
          </w:tcPr>
          <w:p>
            <w:pPr>
              <w:pStyle w:val="TableContents"/>
              <w:bidi w:val="0"/>
              <w:jc w:val="start"/>
              <w:rPr/>
            </w:pPr>
            <w:r>
              <w:rPr/>
              <w:t>8</w:t>
            </w:r>
          </w:p>
        </w:tc>
        <w:tc>
          <w:tcPr>
            <w:tcW w:w="3213" w:type="dxa"/>
            <w:tcBorders>
              <w:start w:val="single" w:sz="4" w:space="0" w:color="000000"/>
              <w:bottom w:val="single" w:sz="4" w:space="0" w:color="000000"/>
            </w:tcBorders>
          </w:tcPr>
          <w:p>
            <w:pPr>
              <w:pStyle w:val="TableContents"/>
              <w:bidi w:val="0"/>
              <w:jc w:val="start"/>
              <w:rPr/>
            </w:pPr>
            <w:r>
              <w:rPr/>
              <w:t>Growth, years 11–20</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b/>
              </w:rPr>
              <w:t>4%</w:t>
            </w:r>
          </w:p>
        </w:tc>
      </w:tr>
      <w:tr>
        <w:trPr/>
        <w:tc>
          <w:tcPr>
            <w:tcW w:w="3212" w:type="dxa"/>
            <w:tcBorders>
              <w:start w:val="single" w:sz="4" w:space="0" w:color="000000"/>
              <w:bottom w:val="single" w:sz="4" w:space="0" w:color="000000"/>
            </w:tcBorders>
          </w:tcPr>
          <w:p>
            <w:pPr>
              <w:pStyle w:val="TableContents"/>
              <w:bidi w:val="0"/>
              <w:jc w:val="start"/>
              <w:rPr/>
            </w:pPr>
            <w:r>
              <w:rPr/>
              <w:t>9</w:t>
            </w:r>
          </w:p>
        </w:tc>
        <w:tc>
          <w:tcPr>
            <w:tcW w:w="3213" w:type="dxa"/>
            <w:tcBorders>
              <w:start w:val="single" w:sz="4" w:space="0" w:color="000000"/>
              <w:bottom w:val="single" w:sz="4" w:space="0" w:color="000000"/>
            </w:tcBorders>
          </w:tcPr>
          <w:p>
            <w:pPr>
              <w:pStyle w:val="TableContents"/>
              <w:bidi w:val="0"/>
              <w:jc w:val="start"/>
              <w:rPr/>
            </w:pPr>
            <w:r>
              <w:rPr/>
              <w:t xml:space="preserve">Shares outstanding: Yahoo → Statistics → </w:t>
            </w:r>
            <w:r>
              <w:rPr>
                <w:b/>
              </w:rPr>
              <w:t>implied shares outstanding</w:t>
            </w:r>
            <w:r>
              <w:rPr/>
              <w:t xml:space="preserve"> 1.07 billion (1 billion = 1,000 million)</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b/>
              </w:rPr>
              <w:t>1,070</w:t>
            </w:r>
            <w:r>
              <w:rPr/>
              <w:t xml:space="preserve"> million</w:t>
            </w:r>
          </w:p>
        </w:tc>
      </w:tr>
      <w:tr>
        <w:trPr/>
        <w:tc>
          <w:tcPr>
            <w:tcW w:w="3212" w:type="dxa"/>
            <w:tcBorders>
              <w:start w:val="single" w:sz="4" w:space="0" w:color="000000"/>
              <w:bottom w:val="single" w:sz="4" w:space="0" w:color="000000"/>
            </w:tcBorders>
          </w:tcPr>
          <w:p>
            <w:pPr>
              <w:pStyle w:val="TableContents"/>
              <w:bidi w:val="0"/>
              <w:jc w:val="start"/>
              <w:rPr/>
            </w:pPr>
            <w:r>
              <w:rPr/>
              <w:t>10</w:t>
            </w:r>
          </w:p>
        </w:tc>
        <w:tc>
          <w:tcPr>
            <w:tcW w:w="3213" w:type="dxa"/>
            <w:tcBorders>
              <w:start w:val="single" w:sz="4" w:space="0" w:color="000000"/>
              <w:bottom w:val="single" w:sz="4" w:space="0" w:color="000000"/>
            </w:tcBorders>
          </w:tcPr>
          <w:p>
            <w:pPr>
              <w:pStyle w:val="TableContents"/>
              <w:bidi w:val="0"/>
              <w:jc w:val="start"/>
              <w:rPr/>
            </w:pPr>
            <w:r>
              <w:rPr/>
              <w:t xml:space="preserve">Beta </w:t>
            </w:r>
            <w:r>
              <w:rPr>
                <w:b/>
              </w:rPr>
              <w:t>0.28</w:t>
            </w:r>
            <w:r>
              <w:rPr/>
              <w:t xml:space="preserve"> (Yahoo → Summary) → discount rate (lowest in table)</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b/>
              </w:rPr>
              <w:t>5.8%</w:t>
            </w:r>
          </w:p>
        </w:tc>
      </w:tr>
    </w:tbl>
    <w:p>
      <w:pPr>
        <w:pStyle w:val="BodyText"/>
        <w:bidi w:val="0"/>
        <w:jc w:val="start"/>
        <w:rPr/>
      </w:pPr>
      <w:r>
        <w:rPr/>
      </w:r>
    </w:p>
    <w:p>
      <w:pPr>
        <w:pStyle w:val="BodyText"/>
        <w:bidi w:val="0"/>
        <w:jc w:val="start"/>
        <w:rPr/>
      </w:pPr>
      <w:r>
        <w:rPr>
          <w:b/>
        </w:rPr>
        <w:t>Growth-rate limitation for non-US stocks:</w:t>
      </w:r>
    </w:p>
    <w:p>
      <w:pPr>
        <w:pStyle w:val="BodyText"/>
        <w:numPr>
          <w:ilvl w:val="0"/>
          <w:numId w:val="252"/>
        </w:numPr>
        <w:tabs>
          <w:tab w:val="clear" w:pos="709"/>
          <w:tab w:val="left" w:pos="709" w:leader="none"/>
        </w:tabs>
        <w:bidi w:val="0"/>
        <w:ind w:hanging="283" w:start="709"/>
        <w:jc w:val="start"/>
        <w:rPr/>
      </w:pPr>
      <w:r>
        <w:rPr/>
        <w:t xml:space="preserve">There is generally </w:t>
      </w:r>
      <w:r>
        <w:rPr>
          <w:b/>
        </w:rPr>
        <w:t>no 5-year or long-term growth estimate</w:t>
      </w:r>
      <w:r>
        <w:rPr/>
        <w:t xml:space="preserve"> for Singapore, India or Australian listings — those companies do not give long-range guidance, and FinViz/Zacks do not cover them.</w:t>
      </w:r>
    </w:p>
    <w:p>
      <w:pPr>
        <w:pStyle w:val="BodyText"/>
        <w:numPr>
          <w:ilvl w:val="0"/>
          <w:numId w:val="252"/>
        </w:numPr>
        <w:tabs>
          <w:tab w:val="clear" w:pos="709"/>
          <w:tab w:val="left" w:pos="709" w:leader="none"/>
        </w:tabs>
        <w:bidi w:val="0"/>
        <w:ind w:hanging="283" w:start="709"/>
        <w:jc w:val="start"/>
        <w:rPr/>
      </w:pPr>
      <w:r>
        <w:rPr>
          <w:b/>
        </w:rPr>
        <w:t>Best available:</w:t>
      </w:r>
      <w:r>
        <w:rPr/>
        <w:t xml:space="preserve"> Yahoo Finance → </w:t>
      </w:r>
      <w:r>
        <w:rPr>
          <w:b/>
        </w:rPr>
        <w:t>Analysis / Analyst → Growth Estimates → next-year growth</w:t>
      </w:r>
      <w:r>
        <w:rPr/>
        <w:t xml:space="preserve">, plus the historical growth rate. For S68 that was </w:t>
      </w:r>
      <w:r>
        <w:rPr>
          <w:b/>
        </w:rPr>
        <w:t>8.22%</w:t>
      </w:r>
      <w:r>
        <w:rPr/>
        <w:t>.</w:t>
      </w:r>
    </w:p>
    <w:p>
      <w:pPr>
        <w:pStyle w:val="BodyText"/>
        <w:bidi w:val="0"/>
        <w:jc w:val="start"/>
        <w:rPr/>
      </w:pPr>
      <w:r>
        <w:rPr>
          <w:b/>
        </w:rPr>
        <w:t>Results:</w:t>
      </w:r>
    </w:p>
    <w:p>
      <w:pPr>
        <w:pStyle w:val="BodyText"/>
        <w:numPr>
          <w:ilvl w:val="0"/>
          <w:numId w:val="253"/>
        </w:numPr>
        <w:tabs>
          <w:tab w:val="clear" w:pos="709"/>
          <w:tab w:val="left" w:pos="709" w:leader="none"/>
        </w:tabs>
        <w:bidi w:val="0"/>
        <w:ind w:hanging="283" w:start="709"/>
        <w:jc w:val="start"/>
        <w:rPr/>
      </w:pPr>
      <w:r>
        <w:rPr>
          <w:b/>
        </w:rPr>
        <w:t>Intrinsic value = $17.67</w:t>
      </w:r>
    </w:p>
    <w:p>
      <w:pPr>
        <w:pStyle w:val="BodyText"/>
        <w:numPr>
          <w:ilvl w:val="0"/>
          <w:numId w:val="253"/>
        </w:numPr>
        <w:tabs>
          <w:tab w:val="clear" w:pos="709"/>
          <w:tab w:val="left" w:pos="709" w:leader="none"/>
        </w:tabs>
        <w:bidi w:val="0"/>
        <w:ind w:hanging="283" w:start="709"/>
        <w:jc w:val="start"/>
        <w:rPr/>
      </w:pPr>
      <w:r>
        <w:rPr/>
        <w:t xml:space="preserve">Current share price = </w:t>
      </w:r>
      <w:r>
        <w:rPr>
          <w:b/>
        </w:rPr>
        <w:t>$18.37</w:t>
      </w:r>
      <w:r>
        <w:rPr/>
        <w:t xml:space="preserve"> → </w:t>
      </w:r>
      <w:r>
        <w:rPr>
          <w:b/>
        </w:rPr>
        <w:t>~3.9% overvalued</w:t>
      </w:r>
    </w:p>
    <w:p>
      <w:pPr>
        <w:pStyle w:val="BodyText"/>
        <w:numPr>
          <w:ilvl w:val="0"/>
          <w:numId w:val="253"/>
        </w:numPr>
        <w:tabs>
          <w:tab w:val="clear" w:pos="709"/>
          <w:tab w:val="left" w:pos="709" w:leader="none"/>
        </w:tabs>
        <w:bidi w:val="0"/>
        <w:ind w:hanging="283" w:start="709"/>
        <w:jc w:val="start"/>
        <w:rPr/>
      </w:pPr>
      <w:r>
        <w:rPr/>
        <w:t xml:space="preserve">Decision: </w:t>
      </w:r>
      <w:r>
        <w:rPr>
          <w:b/>
        </w:rPr>
        <w:t>would not buy</w:t>
      </w:r>
      <w:r>
        <w:rPr/>
        <w:t>. Interested if it falls well below $17.67 — at $17, $16, $15 or $12.</w:t>
      </w:r>
    </w:p>
    <w:p>
      <w:pPr>
        <w:pStyle w:val="HorizontalLine"/>
        <w:bidi w:val="0"/>
        <w:jc w:val="start"/>
        <w:rPr/>
      </w:pPr>
      <w:r>
        <w:rPr/>
      </w:r>
    </w:p>
    <w:p>
      <w:pPr>
        <w:pStyle w:val="Heading3"/>
        <w:bidi w:val="0"/>
        <w:ind w:hanging="0" w:start="0"/>
        <w:jc w:val="start"/>
        <w:rPr/>
      </w:pPr>
      <w:r>
        <w:rPr/>
        <w:t>7. Method 3 — Discounted Net Income</w:t>
      </w:r>
    </w:p>
    <w:p>
      <w:pPr>
        <w:pStyle w:val="Heading4"/>
        <w:bidi w:val="0"/>
        <w:ind w:hanging="0" w:start="0"/>
        <w:jc w:val="start"/>
        <w:rPr/>
      </w:pPr>
      <w:r>
        <w:rPr/>
        <w:t>7.1 When to use</w:t>
      </w:r>
    </w:p>
    <w:p>
      <w:pPr>
        <w:pStyle w:val="BodyText"/>
        <w:numPr>
          <w:ilvl w:val="0"/>
          <w:numId w:val="254"/>
        </w:numPr>
        <w:tabs>
          <w:tab w:val="clear" w:pos="709"/>
          <w:tab w:val="left" w:pos="709" w:leader="none"/>
        </w:tabs>
        <w:bidi w:val="0"/>
        <w:ind w:hanging="283" w:start="709"/>
        <w:jc w:val="start"/>
        <w:rPr/>
      </w:pPr>
      <w:r>
        <w:rPr/>
        <w:t xml:space="preserve">Preference is always DCF, because </w:t>
      </w:r>
      <w:r>
        <w:rPr>
          <w:b/>
        </w:rPr>
        <w:t>cash is more real than accounting profits</w:t>
      </w:r>
      <w:r>
        <w:rPr/>
        <w:t>.</w:t>
      </w:r>
    </w:p>
    <w:p>
      <w:pPr>
        <w:pStyle w:val="BodyText"/>
        <w:numPr>
          <w:ilvl w:val="0"/>
          <w:numId w:val="254"/>
        </w:numPr>
        <w:tabs>
          <w:tab w:val="clear" w:pos="709"/>
          <w:tab w:val="left" w:pos="709" w:leader="none"/>
        </w:tabs>
        <w:bidi w:val="0"/>
        <w:spacing w:before="0" w:after="0"/>
        <w:ind w:hanging="283" w:start="709"/>
        <w:jc w:val="start"/>
        <w:rPr/>
      </w:pPr>
      <w:r>
        <w:rPr/>
        <w:t xml:space="preserve">But certain business models make cash flow </w:t>
      </w:r>
      <w:r>
        <w:rPr>
          <w:b/>
        </w:rPr>
        <w:t>inconsistent or not always positive by nature</w:t>
      </w:r>
      <w:r>
        <w:rPr/>
        <w:t>:</w:t>
      </w:r>
    </w:p>
    <w:p>
      <w:pPr>
        <w:pStyle w:val="BodyText"/>
        <w:numPr>
          <w:ilvl w:val="1"/>
          <w:numId w:val="254"/>
        </w:numPr>
        <w:tabs>
          <w:tab w:val="clear" w:pos="709"/>
          <w:tab w:val="left" w:pos="1418" w:leader="none"/>
        </w:tabs>
        <w:bidi w:val="0"/>
        <w:ind w:hanging="283" w:start="1418"/>
        <w:jc w:val="start"/>
        <w:rPr/>
      </w:pPr>
      <w:r>
        <w:rPr>
          <w:b/>
        </w:rPr>
        <w:t>Finance companies</w:t>
      </w:r>
    </w:p>
    <w:p>
      <w:pPr>
        <w:pStyle w:val="BodyText"/>
        <w:numPr>
          <w:ilvl w:val="1"/>
          <w:numId w:val="254"/>
        </w:numPr>
        <w:tabs>
          <w:tab w:val="clear" w:pos="709"/>
          <w:tab w:val="left" w:pos="1418" w:leader="none"/>
        </w:tabs>
        <w:bidi w:val="0"/>
        <w:ind w:hanging="283" w:start="1418"/>
        <w:jc w:val="start"/>
        <w:rPr/>
      </w:pPr>
      <w:r>
        <w:rPr>
          <w:b/>
        </w:rPr>
        <w:t>Insurance companies</w:t>
      </w:r>
    </w:p>
    <w:p>
      <w:pPr>
        <w:pStyle w:val="BodyText"/>
        <w:numPr>
          <w:ilvl w:val="1"/>
          <w:numId w:val="254"/>
        </w:numPr>
        <w:tabs>
          <w:tab w:val="clear" w:pos="709"/>
          <w:tab w:val="left" w:pos="1418" w:leader="none"/>
        </w:tabs>
        <w:bidi w:val="0"/>
        <w:ind w:hanging="283" w:start="1418"/>
        <w:jc w:val="start"/>
        <w:rPr/>
      </w:pPr>
      <w:r>
        <w:rPr>
          <w:b/>
        </w:rPr>
        <w:t>Brokers</w:t>
      </w:r>
    </w:p>
    <w:p>
      <w:pPr>
        <w:pStyle w:val="BodyText"/>
        <w:numPr>
          <w:ilvl w:val="1"/>
          <w:numId w:val="254"/>
        </w:numPr>
        <w:tabs>
          <w:tab w:val="clear" w:pos="709"/>
          <w:tab w:val="left" w:pos="1418" w:leader="none"/>
        </w:tabs>
        <w:bidi w:val="0"/>
        <w:ind w:hanging="283" w:start="1418"/>
        <w:jc w:val="start"/>
        <w:rPr/>
      </w:pPr>
      <w:r>
        <w:rPr>
          <w:b/>
        </w:rPr>
        <w:t>Asset management companies</w:t>
      </w:r>
    </w:p>
    <w:p>
      <w:pPr>
        <w:pStyle w:val="BodyText"/>
        <w:numPr>
          <w:ilvl w:val="0"/>
          <w:numId w:val="254"/>
        </w:numPr>
        <w:tabs>
          <w:tab w:val="clear" w:pos="709"/>
          <w:tab w:val="left" w:pos="709" w:leader="none"/>
        </w:tabs>
        <w:bidi w:val="0"/>
        <w:ind w:hanging="283" w:start="709"/>
        <w:jc w:val="start"/>
        <w:rPr/>
      </w:pPr>
      <w:r>
        <w:rPr/>
        <w:t xml:space="preserve">Reason: their cash flow is distorted by </w:t>
      </w:r>
      <w:r>
        <w:rPr>
          <w:b/>
        </w:rPr>
        <w:t>loans issued and loans redeemed</w:t>
      </w:r>
      <w:r>
        <w:rPr/>
        <w:t xml:space="preserve">, and by </w:t>
      </w:r>
      <w:r>
        <w:rPr>
          <w:b/>
        </w:rPr>
        <w:t>customers putting cash into or taking cash out of the funds they manage</w:t>
      </w:r>
      <w:r>
        <w:rPr/>
        <w:t xml:space="preserve"> — this masks the underlying operations.</w:t>
      </w:r>
    </w:p>
    <w:p>
      <w:pPr>
        <w:pStyle w:val="BodyText"/>
        <w:numPr>
          <w:ilvl w:val="0"/>
          <w:numId w:val="254"/>
        </w:numPr>
        <w:tabs>
          <w:tab w:val="clear" w:pos="709"/>
          <w:tab w:val="left" w:pos="709" w:leader="none"/>
        </w:tabs>
        <w:bidi w:val="0"/>
        <w:ind w:hanging="283" w:start="709"/>
        <w:jc w:val="start"/>
        <w:rPr/>
      </w:pPr>
      <w:r>
        <w:rPr>
          <w:b/>
        </w:rPr>
        <w:t>Precondition: net income must be increasing consistently.</w:t>
      </w:r>
      <w:r>
        <w:rPr/>
        <w:t xml:space="preserve"> Rule of thumb applied in the lesson: </w:t>
      </w:r>
      <w:r>
        <w:rPr>
          <w:b/>
        </w:rPr>
        <w:t>use whichever series is the more consistent</w:t>
      </w:r>
      <w:r>
        <w:rPr/>
        <w:t xml:space="preserve"> — if operating cash flow is volatile but net income trends up steadily, use net income.</w:t>
      </w:r>
    </w:p>
    <w:p>
      <w:pPr>
        <w:pStyle w:val="Heading4"/>
        <w:numPr>
          <w:ilvl w:val="0"/>
          <w:numId w:val="0"/>
        </w:numPr>
        <w:bidi w:val="0"/>
        <w:ind w:hanging="0" w:start="0"/>
        <w:jc w:val="start"/>
        <w:rPr/>
      </w:pPr>
      <w:r>
        <w:rPr/>
        <w:t>7.2 Procedure (differences from DCF only)</w:t>
      </w:r>
    </w:p>
    <w:p>
      <w:pPr>
        <w:pStyle w:val="BodyText"/>
        <w:numPr>
          <w:ilvl w:val="0"/>
          <w:numId w:val="255"/>
        </w:numPr>
        <w:tabs>
          <w:tab w:val="clear" w:pos="709"/>
          <w:tab w:val="left" w:pos="709" w:leader="none"/>
        </w:tabs>
        <w:bidi w:val="0"/>
        <w:ind w:hanging="283" w:start="709"/>
        <w:jc w:val="start"/>
        <w:rPr/>
      </w:pPr>
      <w:r>
        <w:rPr/>
        <w:t xml:space="preserve">Calculator method = </w:t>
      </w:r>
      <w:r>
        <w:rPr>
          <w:b/>
        </w:rPr>
        <w:t>Discounted Net Income</w:t>
      </w:r>
      <w:r>
        <w:rPr/>
        <w:t>.</w:t>
      </w:r>
    </w:p>
    <w:p>
      <w:pPr>
        <w:pStyle w:val="BodyText"/>
        <w:numPr>
          <w:ilvl w:val="0"/>
          <w:numId w:val="255"/>
        </w:numPr>
        <w:tabs>
          <w:tab w:val="clear" w:pos="709"/>
          <w:tab w:val="left" w:pos="709" w:leader="none"/>
        </w:tabs>
        <w:bidi w:val="0"/>
        <w:ind w:hanging="283" w:start="709"/>
        <w:jc w:val="start"/>
        <w:rPr/>
      </w:pPr>
      <w:r>
        <w:rPr/>
        <w:t xml:space="preserve">Step 1 input becomes </w:t>
      </w:r>
      <w:r>
        <w:rPr>
          <w:b/>
        </w:rPr>
        <w:t>latest 12-month net income</w:t>
      </w:r>
      <w:r>
        <w:rPr/>
        <w:t xml:space="preserve"> from the </w:t>
      </w:r>
      <w:r>
        <w:rPr>
          <w:b/>
        </w:rPr>
        <w:t>Income Statement → Annual</w:t>
      </w:r>
      <w:r>
        <w:rPr/>
        <w:t>, instead of free cash flow from the cash flow statement.</w:t>
      </w:r>
    </w:p>
    <w:p>
      <w:pPr>
        <w:pStyle w:val="BodyText"/>
        <w:numPr>
          <w:ilvl w:val="0"/>
          <w:numId w:val="255"/>
        </w:numPr>
        <w:tabs>
          <w:tab w:val="clear" w:pos="709"/>
          <w:tab w:val="left" w:pos="709" w:leader="none"/>
        </w:tabs>
        <w:bidi w:val="0"/>
        <w:ind w:hanging="283" w:start="709"/>
        <w:jc w:val="start"/>
        <w:rPr/>
      </w:pPr>
      <w:r>
        <w:rPr/>
        <w:t>Every other input is identical: total debt (short + long-term, latest quarter), cash &amp; investments, growth rates for years 1–5 / 6–10 / 11–20, shares outstanding, beta-based discount rate, currencies.</w:t>
      </w:r>
    </w:p>
    <w:p>
      <w:pPr>
        <w:pStyle w:val="Heading4"/>
        <w:numPr>
          <w:ilvl w:val="0"/>
          <w:numId w:val="0"/>
        </w:numPr>
        <w:bidi w:val="0"/>
        <w:ind w:hanging="0" w:start="0"/>
        <w:jc w:val="start"/>
        <w:rPr/>
      </w:pPr>
      <w:r>
        <w:rPr/>
        <w:t>7.3 WORKED EXAMPLE — BlackRock (BLK), Discounted Net Income</w:t>
      </w:r>
    </w:p>
    <w:p>
      <w:pPr>
        <w:pStyle w:val="BodyText"/>
        <w:bidi w:val="0"/>
        <w:jc w:val="start"/>
        <w:rPr/>
      </w:pPr>
      <w:r>
        <w:rPr>
          <w:b/>
        </w:rPr>
        <w:t>Company note:</w:t>
      </w:r>
      <w:r>
        <w:rPr/>
        <w:t xml:space="preserve"> BlackRock = world's biggest </w:t>
      </w:r>
      <w:r>
        <w:rPr>
          <w:b/>
        </w:rPr>
        <w:t>asset management</w:t>
      </w:r>
      <w:r>
        <w:rPr/>
        <w:t xml:space="preserve"> company (ETFs and public assets). Not to be confused with </w:t>
      </w:r>
      <w:r>
        <w:rPr>
          <w:b/>
        </w:rPr>
        <w:t>Blackstone</w:t>
      </w:r>
      <w:r>
        <w:rPr/>
        <w:t>, which is private equity.</w:t>
      </w:r>
    </w:p>
    <w:p>
      <w:pPr>
        <w:pStyle w:val="BodyText"/>
        <w:bidi w:val="0"/>
        <w:jc w:val="start"/>
        <w:rPr/>
      </w:pPr>
      <w:r>
        <w:rPr>
          <w:b/>
        </w:rPr>
        <w:t>Precondition check:</w:t>
      </w:r>
      <w:r>
        <w:rPr/>
        <w:t xml:space="preserve"> on the financials chart, net income (green) rises consistently (not every year, but a clear uptrend) and is </w:t>
      </w:r>
      <w:r>
        <w:rPr>
          <w:b/>
        </w:rPr>
        <w:t>far more consistent than operating cash flow</w:t>
      </w:r>
      <w:r>
        <w:rPr/>
        <w:t>, which is volatile → use net income.</w:t>
      </w:r>
    </w:p>
    <w:tbl>
      <w:tblPr>
        <w:tblW w:w="5000" w:type="pct"/>
        <w:jc w:val="start"/>
        <w:tblInd w:w="-5" w:type="dxa"/>
        <w:tblLayout w:type="fixed"/>
        <w:tblCellMar>
          <w:top w:w="55" w:type="dxa"/>
          <w:start w:w="55" w:type="dxa"/>
          <w:bottom w:w="55" w:type="dxa"/>
          <w:end w:w="55" w:type="dxa"/>
        </w:tblCellMar>
      </w:tblPr>
      <w:tblGrid>
        <w:gridCol w:w="3212"/>
        <w:gridCol w:w="3213"/>
        <w:gridCol w:w="3213"/>
      </w:tblGrid>
      <w:tr>
        <w:trPr>
          <w:tblHeader w:val="true"/>
        </w:trPr>
        <w:tc>
          <w:tcPr>
            <w:tcW w:w="3212" w:type="dxa"/>
            <w:tcBorders>
              <w:top w:val="single" w:sz="4" w:space="0" w:color="000000"/>
              <w:start w:val="single" w:sz="4" w:space="0" w:color="000000"/>
              <w:bottom w:val="single" w:sz="4" w:space="0" w:color="000000"/>
            </w:tcBorders>
          </w:tcPr>
          <w:p>
            <w:pPr>
              <w:pStyle w:val="TableHeading"/>
              <w:bidi w:val="0"/>
              <w:jc w:val="start"/>
              <w:rPr/>
            </w:pPr>
            <w:r>
              <w:rPr/>
              <w:t>Step</w:t>
            </w:r>
          </w:p>
        </w:tc>
        <w:tc>
          <w:tcPr>
            <w:tcW w:w="3213" w:type="dxa"/>
            <w:tcBorders>
              <w:top w:val="single" w:sz="4" w:space="0" w:color="000000"/>
              <w:start w:val="single" w:sz="4" w:space="0" w:color="000000"/>
              <w:bottom w:val="single" w:sz="4" w:space="0" w:color="000000"/>
            </w:tcBorders>
          </w:tcPr>
          <w:p>
            <w:pPr>
              <w:pStyle w:val="TableHeading"/>
              <w:bidi w:val="0"/>
              <w:jc w:val="start"/>
              <w:rPr/>
            </w:pPr>
            <w:r>
              <w:rPr/>
              <w:t>Input</w:t>
            </w:r>
          </w:p>
        </w:tc>
        <w:tc>
          <w:tcPr>
            <w:tcW w:w="3213"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Value</w:t>
            </w:r>
          </w:p>
        </w:tc>
      </w:tr>
      <w:tr>
        <w:trPr/>
        <w:tc>
          <w:tcPr>
            <w:tcW w:w="3212" w:type="dxa"/>
            <w:tcBorders>
              <w:start w:val="single" w:sz="4" w:space="0" w:color="000000"/>
              <w:bottom w:val="single" w:sz="4" w:space="0" w:color="000000"/>
            </w:tcBorders>
          </w:tcPr>
          <w:p>
            <w:pPr>
              <w:pStyle w:val="TableContents"/>
              <w:bidi w:val="0"/>
              <w:jc w:val="start"/>
              <w:rPr/>
            </w:pPr>
            <w:r>
              <w:rPr/>
              <w:t>1</w:t>
            </w:r>
          </w:p>
        </w:tc>
        <w:tc>
          <w:tcPr>
            <w:tcW w:w="3213" w:type="dxa"/>
            <w:tcBorders>
              <w:start w:val="single" w:sz="4" w:space="0" w:color="000000"/>
              <w:bottom w:val="single" w:sz="4" w:space="0" w:color="000000"/>
            </w:tcBorders>
          </w:tcPr>
          <w:p>
            <w:pPr>
              <w:pStyle w:val="TableContents"/>
              <w:bidi w:val="0"/>
              <w:jc w:val="start"/>
              <w:rPr/>
            </w:pPr>
            <w:r>
              <w:rPr/>
              <w:t>Stock / ticker / method</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 xml:space="preserve">BlackRock / </w:t>
            </w:r>
            <w:r>
              <w:rPr>
                <w:b/>
              </w:rPr>
              <w:t>BLK</w:t>
            </w:r>
            <w:r>
              <w:rPr/>
              <w:t xml:space="preserve"> / discounted </w:t>
            </w:r>
            <w:r>
              <w:rPr>
                <w:b/>
              </w:rPr>
              <w:t>net income</w:t>
            </w:r>
          </w:p>
        </w:tc>
      </w:tr>
      <w:tr>
        <w:trPr/>
        <w:tc>
          <w:tcPr>
            <w:tcW w:w="3212" w:type="dxa"/>
            <w:tcBorders>
              <w:start w:val="single" w:sz="4" w:space="0" w:color="000000"/>
              <w:bottom w:val="single" w:sz="4" w:space="0" w:color="000000"/>
            </w:tcBorders>
          </w:tcPr>
          <w:p>
            <w:pPr>
              <w:pStyle w:val="TableContents"/>
              <w:bidi w:val="0"/>
              <w:jc w:val="start"/>
              <w:rPr/>
            </w:pPr>
            <w:r>
              <w:rPr/>
              <w:t>2</w:t>
            </w:r>
          </w:p>
        </w:tc>
        <w:tc>
          <w:tcPr>
            <w:tcW w:w="3213" w:type="dxa"/>
            <w:tcBorders>
              <w:start w:val="single" w:sz="4" w:space="0" w:color="000000"/>
              <w:bottom w:val="single" w:sz="4" w:space="0" w:color="000000"/>
            </w:tcBorders>
          </w:tcPr>
          <w:p>
            <w:pPr>
              <w:pStyle w:val="TableContents"/>
              <w:bidi w:val="0"/>
              <w:jc w:val="start"/>
              <w:rPr/>
            </w:pPr>
            <w:r>
              <w:rPr/>
              <w:t>Latest 12-month net income (income statement, annual)</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b/>
              </w:rPr>
              <w:t>5,553</w:t>
            </w:r>
            <w:r>
              <w:rPr/>
              <w:t xml:space="preserve"> million</w:t>
            </w:r>
          </w:p>
        </w:tc>
      </w:tr>
      <w:tr>
        <w:trPr/>
        <w:tc>
          <w:tcPr>
            <w:tcW w:w="3212" w:type="dxa"/>
            <w:tcBorders>
              <w:start w:val="single" w:sz="4" w:space="0" w:color="000000"/>
              <w:bottom w:val="single" w:sz="4" w:space="0" w:color="000000"/>
            </w:tcBorders>
          </w:tcPr>
          <w:p>
            <w:pPr>
              <w:pStyle w:val="TableContents"/>
              <w:bidi w:val="0"/>
              <w:jc w:val="start"/>
              <w:rPr/>
            </w:pPr>
            <w:r>
              <w:rPr/>
              <w:t>3</w:t>
            </w:r>
          </w:p>
        </w:tc>
        <w:tc>
          <w:tcPr>
            <w:tcW w:w="3213" w:type="dxa"/>
            <w:tcBorders>
              <w:start w:val="single" w:sz="4" w:space="0" w:color="000000"/>
              <w:bottom w:val="single" w:sz="4" w:space="0" w:color="000000"/>
            </w:tcBorders>
          </w:tcPr>
          <w:p>
            <w:pPr>
              <w:pStyle w:val="TableContents"/>
              <w:bidi w:val="0"/>
              <w:jc w:val="start"/>
              <w:rPr/>
            </w:pPr>
            <w:r>
              <w:rPr/>
              <w:t xml:space="preserve">Total debt: long-term </w:t>
            </w:r>
            <w:r>
              <w:rPr>
                <w:b/>
              </w:rPr>
              <w:t>12,768</w:t>
            </w:r>
            <w:r>
              <w:rPr/>
              <w:t xml:space="preserve">, short-term </w:t>
            </w:r>
            <w:r>
              <w:rPr>
                <w:b/>
              </w:rPr>
              <w:t>none</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b/>
              </w:rPr>
              <w:t>12,768</w:t>
            </w:r>
            <w:r>
              <w:rPr/>
              <w:t xml:space="preserve"> million</w:t>
            </w:r>
          </w:p>
        </w:tc>
      </w:tr>
      <w:tr>
        <w:trPr/>
        <w:tc>
          <w:tcPr>
            <w:tcW w:w="3212" w:type="dxa"/>
            <w:tcBorders>
              <w:start w:val="single" w:sz="4" w:space="0" w:color="000000"/>
              <w:bottom w:val="single" w:sz="4" w:space="0" w:color="000000"/>
            </w:tcBorders>
          </w:tcPr>
          <w:p>
            <w:pPr>
              <w:pStyle w:val="TableContents"/>
              <w:bidi w:val="0"/>
              <w:jc w:val="start"/>
              <w:rPr/>
            </w:pPr>
            <w:r>
              <w:rPr/>
              <w:t>4</w:t>
            </w:r>
          </w:p>
        </w:tc>
        <w:tc>
          <w:tcPr>
            <w:tcW w:w="3213" w:type="dxa"/>
            <w:tcBorders>
              <w:start w:val="single" w:sz="4" w:space="0" w:color="000000"/>
              <w:bottom w:val="single" w:sz="4" w:space="0" w:color="000000"/>
            </w:tcBorders>
          </w:tcPr>
          <w:p>
            <w:pPr>
              <w:pStyle w:val="TableContents"/>
              <w:bidi w:val="0"/>
              <w:jc w:val="start"/>
              <w:rPr/>
            </w:pPr>
            <w:r>
              <w:rPr/>
              <w:t>Cash &amp; investments (latest quarter)</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b/>
              </w:rPr>
              <w:t>11,468</w:t>
            </w:r>
            <w:r>
              <w:rPr/>
              <w:t xml:space="preserve"> million</w:t>
            </w:r>
          </w:p>
        </w:tc>
      </w:tr>
      <w:tr>
        <w:trPr/>
        <w:tc>
          <w:tcPr>
            <w:tcW w:w="3212" w:type="dxa"/>
            <w:tcBorders>
              <w:start w:val="single" w:sz="4" w:space="0" w:color="000000"/>
              <w:bottom w:val="single" w:sz="4" w:space="0" w:color="000000"/>
            </w:tcBorders>
          </w:tcPr>
          <w:p>
            <w:pPr>
              <w:pStyle w:val="TableContents"/>
              <w:bidi w:val="0"/>
              <w:jc w:val="start"/>
              <w:rPr/>
            </w:pPr>
            <w:r>
              <w:rPr/>
              <w:t>5</w:t>
            </w:r>
          </w:p>
        </w:tc>
        <w:tc>
          <w:tcPr>
            <w:tcW w:w="3213" w:type="dxa"/>
            <w:tcBorders>
              <w:start w:val="single" w:sz="4" w:space="0" w:color="000000"/>
              <w:bottom w:val="single" w:sz="4" w:space="0" w:color="000000"/>
            </w:tcBorders>
          </w:tcPr>
          <w:p>
            <w:pPr>
              <w:pStyle w:val="TableContents"/>
              <w:bidi w:val="0"/>
              <w:jc w:val="start"/>
              <w:rPr/>
            </w:pPr>
            <w:r>
              <w:rPr/>
              <w:t>Growth, years 1–5 — StockOracle/FactSet 3–5 yr projected</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b/>
              </w:rPr>
              <w:t>11.53%</w:t>
            </w:r>
            <w:r>
              <w:rPr/>
              <w:t xml:space="preserve"> (could also average with Zacks and FinViz)</w:t>
            </w:r>
          </w:p>
        </w:tc>
      </w:tr>
      <w:tr>
        <w:trPr/>
        <w:tc>
          <w:tcPr>
            <w:tcW w:w="3212" w:type="dxa"/>
            <w:tcBorders>
              <w:start w:val="single" w:sz="4" w:space="0" w:color="000000"/>
              <w:bottom w:val="single" w:sz="4" w:space="0" w:color="000000"/>
            </w:tcBorders>
          </w:tcPr>
          <w:p>
            <w:pPr>
              <w:pStyle w:val="TableContents"/>
              <w:bidi w:val="0"/>
              <w:jc w:val="start"/>
              <w:rPr/>
            </w:pPr>
            <w:r>
              <w:rPr/>
              <w:t>6</w:t>
            </w:r>
          </w:p>
        </w:tc>
        <w:tc>
          <w:tcPr>
            <w:tcW w:w="3213" w:type="dxa"/>
            <w:tcBorders>
              <w:start w:val="single" w:sz="4" w:space="0" w:color="000000"/>
              <w:bottom w:val="single" w:sz="4" w:space="0" w:color="000000"/>
            </w:tcBorders>
          </w:tcPr>
          <w:p>
            <w:pPr>
              <w:pStyle w:val="TableContents"/>
              <w:bidi w:val="0"/>
              <w:jc w:val="start"/>
              <w:rPr/>
            </w:pPr>
            <w:r>
              <w:rPr/>
              <w:t>Growth, years 6–10</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b/>
              </w:rPr>
              <w:t>11.53%</w:t>
            </w:r>
            <w:r>
              <w:rPr/>
              <w:t xml:space="preserve"> (same rate)</w:t>
            </w:r>
          </w:p>
        </w:tc>
      </w:tr>
      <w:tr>
        <w:trPr/>
        <w:tc>
          <w:tcPr>
            <w:tcW w:w="3212" w:type="dxa"/>
            <w:tcBorders>
              <w:start w:val="single" w:sz="4" w:space="0" w:color="000000"/>
              <w:bottom w:val="single" w:sz="4" w:space="0" w:color="000000"/>
            </w:tcBorders>
          </w:tcPr>
          <w:p>
            <w:pPr>
              <w:pStyle w:val="TableContents"/>
              <w:bidi w:val="0"/>
              <w:jc w:val="start"/>
              <w:rPr/>
            </w:pPr>
            <w:r>
              <w:rPr/>
              <w:t>7</w:t>
            </w:r>
          </w:p>
        </w:tc>
        <w:tc>
          <w:tcPr>
            <w:tcW w:w="3213" w:type="dxa"/>
            <w:tcBorders>
              <w:start w:val="single" w:sz="4" w:space="0" w:color="000000"/>
              <w:bottom w:val="single" w:sz="4" w:space="0" w:color="000000"/>
            </w:tcBorders>
          </w:tcPr>
          <w:p>
            <w:pPr>
              <w:pStyle w:val="TableContents"/>
              <w:bidi w:val="0"/>
              <w:jc w:val="start"/>
              <w:rPr/>
            </w:pPr>
            <w:r>
              <w:rPr/>
              <w:t>Growth, years 11–20</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b/>
              </w:rPr>
              <w:t>4%</w:t>
            </w:r>
          </w:p>
        </w:tc>
      </w:tr>
      <w:tr>
        <w:trPr/>
        <w:tc>
          <w:tcPr>
            <w:tcW w:w="3212" w:type="dxa"/>
            <w:tcBorders>
              <w:start w:val="single" w:sz="4" w:space="0" w:color="000000"/>
              <w:bottom w:val="single" w:sz="4" w:space="0" w:color="000000"/>
            </w:tcBorders>
          </w:tcPr>
          <w:p>
            <w:pPr>
              <w:pStyle w:val="TableContents"/>
              <w:bidi w:val="0"/>
              <w:jc w:val="start"/>
              <w:rPr/>
            </w:pPr>
            <w:r>
              <w:rPr/>
              <w:t>8</w:t>
            </w:r>
          </w:p>
        </w:tc>
        <w:tc>
          <w:tcPr>
            <w:tcW w:w="3213" w:type="dxa"/>
            <w:tcBorders>
              <w:start w:val="single" w:sz="4" w:space="0" w:color="000000"/>
              <w:bottom w:val="single" w:sz="4" w:space="0" w:color="000000"/>
            </w:tcBorders>
          </w:tcPr>
          <w:p>
            <w:pPr>
              <w:pStyle w:val="TableContents"/>
              <w:bidi w:val="0"/>
              <w:jc w:val="start"/>
              <w:rPr/>
            </w:pPr>
            <w:r>
              <w:rPr/>
              <w:t>Shares outstanding</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b/>
              </w:rPr>
              <w:t>165.4</w:t>
            </w:r>
            <w:r>
              <w:rPr/>
              <w:t xml:space="preserve"> million</w:t>
            </w:r>
          </w:p>
        </w:tc>
      </w:tr>
      <w:tr>
        <w:trPr/>
        <w:tc>
          <w:tcPr>
            <w:tcW w:w="3212" w:type="dxa"/>
            <w:tcBorders>
              <w:start w:val="single" w:sz="4" w:space="0" w:color="000000"/>
              <w:bottom w:val="single" w:sz="4" w:space="0" w:color="000000"/>
            </w:tcBorders>
          </w:tcPr>
          <w:p>
            <w:pPr>
              <w:pStyle w:val="TableContents"/>
              <w:bidi w:val="0"/>
              <w:jc w:val="start"/>
              <w:rPr/>
            </w:pPr>
            <w:r>
              <w:rPr/>
              <w:t>9</w:t>
            </w:r>
          </w:p>
        </w:tc>
        <w:tc>
          <w:tcPr>
            <w:tcW w:w="3213" w:type="dxa"/>
            <w:tcBorders>
              <w:start w:val="single" w:sz="4" w:space="0" w:color="000000"/>
              <w:bottom w:val="single" w:sz="4" w:space="0" w:color="000000"/>
            </w:tcBorders>
          </w:tcPr>
          <w:p>
            <w:pPr>
              <w:pStyle w:val="TableContents"/>
              <w:bidi w:val="0"/>
              <w:jc w:val="start"/>
              <w:rPr/>
            </w:pPr>
            <w:r>
              <w:rPr/>
              <w:t xml:space="preserve">Beta </w:t>
            </w:r>
            <w:r>
              <w:rPr>
                <w:b/>
              </w:rPr>
              <w:t>1.49</w:t>
            </w:r>
            <w:r>
              <w:rPr/>
              <w:t xml:space="preserve"> → discount rate (closest row)</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b/>
              </w:rPr>
              <w:t>7.7%</w:t>
            </w:r>
          </w:p>
        </w:tc>
      </w:tr>
      <w:tr>
        <w:trPr/>
        <w:tc>
          <w:tcPr>
            <w:tcW w:w="3212" w:type="dxa"/>
            <w:tcBorders>
              <w:start w:val="single" w:sz="4" w:space="0" w:color="000000"/>
              <w:bottom w:val="single" w:sz="4" w:space="0" w:color="000000"/>
            </w:tcBorders>
          </w:tcPr>
          <w:p>
            <w:pPr>
              <w:pStyle w:val="TableContents"/>
              <w:bidi w:val="0"/>
              <w:jc w:val="start"/>
              <w:rPr/>
            </w:pPr>
            <w:r>
              <w:rPr/>
              <w:t>10</w:t>
            </w:r>
          </w:p>
        </w:tc>
        <w:tc>
          <w:tcPr>
            <w:tcW w:w="3213" w:type="dxa"/>
            <w:tcBorders>
              <w:start w:val="single" w:sz="4" w:space="0" w:color="000000"/>
              <w:bottom w:val="single" w:sz="4" w:space="0" w:color="000000"/>
            </w:tcBorders>
          </w:tcPr>
          <w:p>
            <w:pPr>
              <w:pStyle w:val="TableContents"/>
              <w:bidi w:val="0"/>
              <w:jc w:val="start"/>
              <w:rPr/>
            </w:pPr>
            <w:r>
              <w:rPr/>
              <w:t>Currencies</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Statements USD, price USD</w:t>
            </w:r>
          </w:p>
        </w:tc>
      </w:tr>
    </w:tbl>
    <w:p>
      <w:pPr>
        <w:pStyle w:val="BodyText"/>
        <w:bidi w:val="0"/>
        <w:jc w:val="start"/>
        <w:rPr/>
      </w:pPr>
      <w:r>
        <w:rPr/>
      </w:r>
    </w:p>
    <w:p>
      <w:pPr>
        <w:pStyle w:val="BodyText"/>
        <w:bidi w:val="0"/>
        <w:jc w:val="start"/>
        <w:rPr/>
      </w:pPr>
      <w:r>
        <w:rPr>
          <w:b/>
        </w:rPr>
        <w:t>Results:</w:t>
      </w:r>
    </w:p>
    <w:p>
      <w:pPr>
        <w:pStyle w:val="BodyText"/>
        <w:numPr>
          <w:ilvl w:val="0"/>
          <w:numId w:val="256"/>
        </w:numPr>
        <w:tabs>
          <w:tab w:val="clear" w:pos="709"/>
          <w:tab w:val="left" w:pos="709" w:leader="none"/>
        </w:tabs>
        <w:bidi w:val="0"/>
        <w:ind w:hanging="283" w:start="709"/>
        <w:jc w:val="start"/>
        <w:rPr/>
      </w:pPr>
      <w:r>
        <w:rPr>
          <w:b/>
        </w:rPr>
        <w:t>Intrinsic value = $795</w:t>
      </w:r>
    </w:p>
    <w:p>
      <w:pPr>
        <w:pStyle w:val="BodyText"/>
        <w:numPr>
          <w:ilvl w:val="0"/>
          <w:numId w:val="256"/>
        </w:numPr>
        <w:tabs>
          <w:tab w:val="clear" w:pos="709"/>
          <w:tab w:val="left" w:pos="709" w:leader="none"/>
        </w:tabs>
        <w:bidi w:val="0"/>
        <w:ind w:hanging="283" w:start="709"/>
        <w:jc w:val="start"/>
        <w:rPr/>
      </w:pPr>
      <w:r>
        <w:rPr/>
        <w:t xml:space="preserve">Current share price = </w:t>
      </w:r>
      <w:r>
        <w:rPr>
          <w:b/>
        </w:rPr>
        <w:t>$967</w:t>
      </w:r>
      <w:r>
        <w:rPr/>
        <w:t xml:space="preserve"> → </w:t>
      </w:r>
      <w:r>
        <w:rPr>
          <w:b/>
        </w:rPr>
        <w:t>21% overvalued</w:t>
      </w:r>
    </w:p>
    <w:p>
      <w:pPr>
        <w:pStyle w:val="BodyText"/>
        <w:numPr>
          <w:ilvl w:val="0"/>
          <w:numId w:val="256"/>
        </w:numPr>
        <w:tabs>
          <w:tab w:val="clear" w:pos="709"/>
          <w:tab w:val="left" w:pos="709" w:leader="none"/>
        </w:tabs>
        <w:bidi w:val="0"/>
        <w:ind w:hanging="283" w:start="709"/>
        <w:jc w:val="start"/>
        <w:rPr/>
      </w:pPr>
      <w:r>
        <w:rPr>
          <w:b/>
        </w:rPr>
        <w:t>Why StockOracle shows a higher number ($960):</w:t>
      </w:r>
      <w:r>
        <w:rPr/>
        <w:t xml:space="preserve"> StockOracle uses the </w:t>
      </w:r>
      <w:r>
        <w:rPr>
          <w:b/>
        </w:rPr>
        <w:t>projected longer-term growth rate of ~16% (16.07%)</w:t>
      </w:r>
      <w:r>
        <w:rPr/>
        <w:t xml:space="preserve"> rather than the 11.53% 3–5 year figure. Substituting 16.07% into the years 6–10 box pushes intrinsic value </w:t>
      </w:r>
      <w:r>
        <w:rPr>
          <w:b/>
        </w:rPr>
        <w:t>above $900</w:t>
      </w:r>
      <w:r>
        <w:rPr/>
        <w:t>.</w:t>
      </w:r>
    </w:p>
    <w:p>
      <w:pPr>
        <w:pStyle w:val="BodyText"/>
        <w:numPr>
          <w:ilvl w:val="0"/>
          <w:numId w:val="256"/>
        </w:numPr>
        <w:tabs>
          <w:tab w:val="clear" w:pos="709"/>
          <w:tab w:val="left" w:pos="709" w:leader="none"/>
        </w:tabs>
        <w:bidi w:val="0"/>
        <w:ind w:hanging="283" w:start="709"/>
        <w:jc w:val="start"/>
        <w:rPr/>
      </w:pPr>
      <w:r>
        <w:rPr>
          <w:b/>
        </w:rPr>
        <w:t>There is no right or wrong</w:t>
      </w:r>
      <w:r>
        <w:rPr/>
        <w:t xml:space="preserve"> — intrinsic value is a range determined by how optimistic or conservative your growth assumption is.</w:t>
      </w:r>
    </w:p>
    <w:p>
      <w:pPr>
        <w:pStyle w:val="BodyText"/>
        <w:numPr>
          <w:ilvl w:val="0"/>
          <w:numId w:val="256"/>
        </w:numPr>
        <w:tabs>
          <w:tab w:val="clear" w:pos="709"/>
          <w:tab w:val="left" w:pos="709" w:leader="none"/>
        </w:tabs>
        <w:bidi w:val="0"/>
        <w:ind w:hanging="283" w:start="709"/>
        <w:jc w:val="start"/>
        <w:rPr/>
      </w:pPr>
      <w:r>
        <w:rPr>
          <w:b/>
        </w:rPr>
        <w:t>Decision:</w:t>
      </w:r>
      <w:r>
        <w:rPr/>
        <w:t xml:space="preserve"> at $967 this is not a good deal. Interested only at roughly </w:t>
      </w:r>
      <w:r>
        <w:rPr>
          <w:b/>
        </w:rPr>
        <w:t>$700-plus or below $700</w:t>
      </w:r>
      <w:r>
        <w:rPr/>
        <w:t>.</w:t>
      </w:r>
    </w:p>
    <w:p>
      <w:pPr>
        <w:pStyle w:val="HorizontalLine"/>
        <w:bidi w:val="0"/>
        <w:jc w:val="start"/>
        <w:rPr/>
      </w:pPr>
      <w:r>
        <w:rPr/>
      </w:r>
    </w:p>
    <w:p>
      <w:pPr>
        <w:pStyle w:val="Heading3"/>
        <w:bidi w:val="0"/>
        <w:ind w:hanging="0" w:start="0"/>
        <w:jc w:val="start"/>
        <w:rPr/>
      </w:pPr>
      <w:r>
        <w:rPr/>
        <w:t>8. Method 4 — Price to Book Ratio</w:t>
      </w:r>
    </w:p>
    <w:p>
      <w:pPr>
        <w:pStyle w:val="Heading4"/>
        <w:bidi w:val="0"/>
        <w:ind w:hanging="0" w:start="0"/>
        <w:jc w:val="start"/>
        <w:rPr/>
      </w:pPr>
      <w:r>
        <w:rPr/>
        <w:t>8.1 The three use cases</w:t>
      </w:r>
    </w:p>
    <w:p>
      <w:pPr>
        <w:pStyle w:val="BodyText"/>
        <w:numPr>
          <w:ilvl w:val="0"/>
          <w:numId w:val="257"/>
        </w:numPr>
        <w:tabs>
          <w:tab w:val="clear" w:pos="709"/>
          <w:tab w:val="left" w:pos="709" w:leader="none"/>
        </w:tabs>
        <w:bidi w:val="0"/>
        <w:spacing w:before="0" w:after="0"/>
        <w:ind w:hanging="283" w:start="709"/>
        <w:jc w:val="start"/>
        <w:rPr/>
      </w:pPr>
      <w:r>
        <w:rPr>
          <w:b/>
        </w:rPr>
        <w:t>Companies with no profits / making losses</w:t>
      </w:r>
      <w:r>
        <w:rPr/>
        <w:t xml:space="preserve"> — especially </w:t>
      </w:r>
      <w:r>
        <w:rPr>
          <w:b/>
        </w:rPr>
        <w:t>temporary</w:t>
      </w:r>
      <w:r>
        <w:rPr/>
        <w:t xml:space="preserve"> losses:</w:t>
      </w:r>
    </w:p>
    <w:p>
      <w:pPr>
        <w:pStyle w:val="BodyText"/>
        <w:numPr>
          <w:ilvl w:val="1"/>
          <w:numId w:val="257"/>
        </w:numPr>
        <w:tabs>
          <w:tab w:val="clear" w:pos="709"/>
          <w:tab w:val="left" w:pos="1418" w:leader="none"/>
        </w:tabs>
        <w:bidi w:val="0"/>
        <w:ind w:hanging="283" w:start="1418"/>
        <w:jc w:val="start"/>
        <w:rPr/>
      </w:pPr>
      <w:r>
        <w:rPr/>
        <w:t xml:space="preserve">Banks during the </w:t>
      </w:r>
      <w:r>
        <w:rPr>
          <w:b/>
        </w:rPr>
        <w:t>Great Financial Crisis</w:t>
      </w:r>
    </w:p>
    <w:p>
      <w:pPr>
        <w:pStyle w:val="BodyText"/>
        <w:numPr>
          <w:ilvl w:val="1"/>
          <w:numId w:val="257"/>
        </w:numPr>
        <w:tabs>
          <w:tab w:val="clear" w:pos="709"/>
          <w:tab w:val="left" w:pos="1418" w:leader="none"/>
        </w:tabs>
        <w:bidi w:val="0"/>
        <w:ind w:hanging="283" w:start="1418"/>
        <w:jc w:val="start"/>
        <w:rPr/>
      </w:pPr>
      <w:r>
        <w:rPr/>
        <w:t xml:space="preserve">Retailers and other companies during </w:t>
      </w:r>
      <w:r>
        <w:rPr>
          <w:b/>
        </w:rPr>
        <w:t>COVID-19</w:t>
      </w:r>
    </w:p>
    <w:p>
      <w:pPr>
        <w:pStyle w:val="BodyText"/>
        <w:numPr>
          <w:ilvl w:val="1"/>
          <w:numId w:val="257"/>
        </w:numPr>
        <w:tabs>
          <w:tab w:val="clear" w:pos="709"/>
          <w:tab w:val="left" w:pos="1418" w:leader="none"/>
        </w:tabs>
        <w:bidi w:val="0"/>
        <w:ind w:hanging="283" w:start="1418"/>
        <w:jc w:val="start"/>
        <w:rPr/>
      </w:pPr>
      <w:r>
        <w:rPr>
          <w:b/>
        </w:rPr>
        <w:t>Distressed businesses</w:t>
      </w:r>
      <w:r>
        <w:rPr/>
        <w:t xml:space="preserve">, usually cyclical companies temporarily unprofitable because of an </w:t>
      </w:r>
      <w:r>
        <w:rPr>
          <w:b/>
        </w:rPr>
        <w:t>industry recession or crisis</w:t>
      </w:r>
    </w:p>
    <w:p>
      <w:pPr>
        <w:pStyle w:val="BodyText"/>
        <w:numPr>
          <w:ilvl w:val="1"/>
          <w:numId w:val="257"/>
        </w:numPr>
        <w:tabs>
          <w:tab w:val="clear" w:pos="709"/>
          <w:tab w:val="left" w:pos="1418" w:leader="none"/>
        </w:tabs>
        <w:bidi w:val="0"/>
        <w:ind w:hanging="283" w:start="1418"/>
        <w:jc w:val="start"/>
        <w:rPr/>
      </w:pPr>
      <w:r>
        <w:rPr/>
        <w:t xml:space="preserve">Also used when a company is </w:t>
      </w:r>
      <w:r>
        <w:rPr>
          <w:b/>
        </w:rPr>
        <w:t>deeply undervalued relative to liquidation value</w:t>
      </w:r>
    </w:p>
    <w:p>
      <w:pPr>
        <w:pStyle w:val="BodyText"/>
        <w:numPr>
          <w:ilvl w:val="0"/>
          <w:numId w:val="257"/>
        </w:numPr>
        <w:tabs>
          <w:tab w:val="clear" w:pos="709"/>
          <w:tab w:val="left" w:pos="709" w:leader="none"/>
        </w:tabs>
        <w:bidi w:val="0"/>
        <w:ind w:hanging="283" w:start="709"/>
        <w:jc w:val="start"/>
        <w:rPr/>
      </w:pPr>
      <w:r>
        <w:rPr>
          <w:b/>
        </w:rPr>
        <w:t>Banks</w:t>
      </w:r>
      <w:r>
        <w:rPr/>
        <w:t xml:space="preserve"> — even highly profitable ones. </w:t>
      </w:r>
      <w:r>
        <w:rPr>
          <w:i/>
        </w:rPr>
        <w:t>"Banks are a very unique animal."</w:t>
      </w:r>
      <w:r>
        <w:rPr/>
        <w:t xml:space="preserve"> Analysts (Adam included) do </w:t>
      </w:r>
      <w:r>
        <w:rPr>
          <w:b/>
        </w:rPr>
        <w:t>not</w:t>
      </w:r>
      <w:r>
        <w:rPr/>
        <w:t xml:space="preserve"> use DCF or discounted net income for banks.</w:t>
      </w:r>
    </w:p>
    <w:p>
      <w:pPr>
        <w:pStyle w:val="BodyText"/>
        <w:numPr>
          <w:ilvl w:val="0"/>
          <w:numId w:val="257"/>
        </w:numPr>
        <w:tabs>
          <w:tab w:val="clear" w:pos="709"/>
          <w:tab w:val="left" w:pos="709" w:leader="none"/>
        </w:tabs>
        <w:bidi w:val="0"/>
        <w:ind w:hanging="283" w:start="709"/>
        <w:jc w:val="start"/>
        <w:rPr/>
      </w:pPr>
      <w:r>
        <w:rPr>
          <w:b/>
        </w:rPr>
        <w:t>Property developers and REITs</w:t>
      </w:r>
      <w:r>
        <w:rPr/>
        <w:t xml:space="preserve"> — buying a REIT means buying a portfolio of properties.</w:t>
      </w:r>
    </w:p>
    <w:p>
      <w:pPr>
        <w:pStyle w:val="BodyText"/>
        <w:numPr>
          <w:ilvl w:val="0"/>
          <w:numId w:val="258"/>
        </w:numPr>
        <w:tabs>
          <w:tab w:val="clear" w:pos="709"/>
          <w:tab w:val="left" w:pos="709" w:leader="none"/>
        </w:tabs>
        <w:bidi w:val="0"/>
        <w:ind w:hanging="283" w:start="709"/>
        <w:jc w:val="start"/>
        <w:rPr/>
      </w:pPr>
      <w:r>
        <w:rPr/>
        <w:t xml:space="preserve">Why you have no alternative for loss-makers: </w:t>
      </w:r>
      <w:r>
        <w:rPr>
          <w:b/>
        </w:rPr>
        <w:t>no earnings → no PE</w:t>
      </w:r>
      <w:r>
        <w:rPr/>
        <w:t xml:space="preserve">; </w:t>
      </w:r>
      <w:r>
        <w:rPr>
          <w:b/>
        </w:rPr>
        <w:t>negative cash flow → no DCF</w:t>
      </w:r>
      <w:r>
        <w:rPr/>
        <w:t xml:space="preserve">; </w:t>
      </w:r>
      <w:r>
        <w:rPr>
          <w:b/>
        </w:rPr>
        <w:t>negative income → no discounted net income</w:t>
      </w:r>
      <w:r>
        <w:rPr/>
        <w:t xml:space="preserve">. The only thing left to compare price to is </w:t>
      </w:r>
      <w:r>
        <w:rPr>
          <w:b/>
        </w:rPr>
        <w:t>book value</w:t>
      </w:r>
      <w:r>
        <w:rPr/>
        <w:t>.</w:t>
      </w:r>
    </w:p>
    <w:p>
      <w:pPr>
        <w:pStyle w:val="Heading4"/>
        <w:numPr>
          <w:ilvl w:val="0"/>
          <w:numId w:val="0"/>
        </w:numPr>
        <w:bidi w:val="0"/>
        <w:ind w:hanging="0" w:start="0"/>
        <w:jc w:val="start"/>
        <w:rPr/>
      </w:pPr>
      <w:r>
        <w:rPr/>
        <w:t>8.2 Book value and liquidation value</w:t>
      </w:r>
    </w:p>
    <w:p>
      <w:pPr>
        <w:pStyle w:val="BodyText"/>
        <w:numPr>
          <w:ilvl w:val="0"/>
          <w:numId w:val="259"/>
        </w:numPr>
        <w:tabs>
          <w:tab w:val="clear" w:pos="709"/>
          <w:tab w:val="left" w:pos="709" w:leader="none"/>
        </w:tabs>
        <w:bidi w:val="0"/>
        <w:ind w:hanging="283" w:start="709"/>
        <w:jc w:val="start"/>
        <w:rPr/>
      </w:pPr>
      <w:r>
        <w:rPr>
          <w:b/>
        </w:rPr>
        <w:t>Liquidation value:</w:t>
      </w:r>
      <w:r>
        <w:rPr/>
        <w:t xml:space="preserve"> if the company closes down, sells all its assets (property, machinery, equipment), collects the cash and pays off all its debts, </w:t>
      </w:r>
      <w:r>
        <w:rPr>
          <w:b/>
        </w:rPr>
        <w:t>what is left over for shareholders</w:t>
      </w:r>
      <w:r>
        <w:rPr/>
        <w:t xml:space="preserve"> is the liquidation value = </w:t>
      </w:r>
      <w:r>
        <w:rPr>
          <w:b/>
        </w:rPr>
        <w:t>book value</w:t>
      </w:r>
      <w:r>
        <w:rPr/>
        <w:t>.</w:t>
      </w:r>
    </w:p>
    <w:p>
      <w:pPr>
        <w:pStyle w:val="PreformattedText"/>
        <w:shd w:fill="E1E1E1" w:val="clear"/>
        <w:bidi w:val="0"/>
        <w:spacing w:before="0" w:after="283"/>
        <w:jc w:val="start"/>
        <w:rPr/>
      </w:pPr>
      <w:r>
        <w:rPr/>
        <w:t>Book value = Total assets − intangible assets (goodwill, brand) − total liabilities</w:t>
        <w:br/>
        <w:t>Book value per share = Book value ÷ total shares outstanding</w:t>
        <w:br/>
        <w:t>Price to Book ratio (P/B) = Share price ÷ Book value per share</w:t>
      </w:r>
    </w:p>
    <w:p>
      <w:pPr>
        <w:pStyle w:val="BodyText"/>
        <w:numPr>
          <w:ilvl w:val="0"/>
          <w:numId w:val="260"/>
        </w:numPr>
        <w:tabs>
          <w:tab w:val="clear" w:pos="709"/>
          <w:tab w:val="left" w:pos="709" w:leader="none"/>
        </w:tabs>
        <w:bidi w:val="0"/>
        <w:ind w:hanging="283" w:start="709"/>
        <w:jc w:val="start"/>
        <w:rPr/>
      </w:pPr>
      <w:r>
        <w:rPr/>
        <w:t xml:space="preserve">Intangibles are deducted because </w:t>
      </w:r>
      <w:r>
        <w:rPr>
          <w:b/>
        </w:rPr>
        <w:t>goodwill and brand disappear when the company closes down</w:t>
      </w:r>
      <w:r>
        <w:rPr/>
        <w:t>.</w:t>
      </w:r>
    </w:p>
    <w:p>
      <w:pPr>
        <w:pStyle w:val="Heading4"/>
        <w:numPr>
          <w:ilvl w:val="0"/>
          <w:numId w:val="0"/>
        </w:numPr>
        <w:bidi w:val="0"/>
        <w:ind w:hanging="0" w:start="0"/>
        <w:jc w:val="start"/>
        <w:rPr/>
      </w:pPr>
      <w:r>
        <w:rPr/>
        <w:t>8.3 Simple illustration</w:t>
      </w:r>
    </w:p>
    <w:p>
      <w:pPr>
        <w:pStyle w:val="BodyText"/>
        <w:numPr>
          <w:ilvl w:val="0"/>
          <w:numId w:val="261"/>
        </w:numPr>
        <w:tabs>
          <w:tab w:val="clear" w:pos="709"/>
          <w:tab w:val="left" w:pos="709" w:leader="none"/>
        </w:tabs>
        <w:bidi w:val="0"/>
        <w:ind w:hanging="283" w:start="709"/>
        <w:jc w:val="start"/>
        <w:rPr/>
      </w:pPr>
      <w:r>
        <w:rPr/>
        <w:t xml:space="preserve">Liquidation value of the whole company = </w:t>
      </w:r>
      <w:r>
        <w:rPr>
          <w:b/>
        </w:rPr>
        <w:t>$100 million</w:t>
      </w:r>
    </w:p>
    <w:p>
      <w:pPr>
        <w:pStyle w:val="BodyText"/>
        <w:numPr>
          <w:ilvl w:val="0"/>
          <w:numId w:val="261"/>
        </w:numPr>
        <w:tabs>
          <w:tab w:val="clear" w:pos="709"/>
          <w:tab w:val="left" w:pos="709" w:leader="none"/>
        </w:tabs>
        <w:bidi w:val="0"/>
        <w:ind w:hanging="283" w:start="709"/>
        <w:jc w:val="start"/>
        <w:rPr/>
      </w:pPr>
      <w:r>
        <w:rPr/>
        <w:t xml:space="preserve">Shares outstanding = </w:t>
      </w:r>
      <w:r>
        <w:rPr>
          <w:b/>
        </w:rPr>
        <w:t>100 million</w:t>
      </w:r>
    </w:p>
    <w:p>
      <w:pPr>
        <w:pStyle w:val="BodyText"/>
        <w:numPr>
          <w:ilvl w:val="0"/>
          <w:numId w:val="261"/>
        </w:numPr>
        <w:tabs>
          <w:tab w:val="clear" w:pos="709"/>
          <w:tab w:val="left" w:pos="709" w:leader="none"/>
        </w:tabs>
        <w:bidi w:val="0"/>
        <w:ind w:hanging="283" w:start="709"/>
        <w:jc w:val="start"/>
        <w:rPr/>
      </w:pPr>
      <w:r>
        <w:rPr/>
        <w:t xml:space="preserve">Book value per share = 100M ÷ 100M = </w:t>
      </w:r>
      <w:r>
        <w:rPr>
          <w:b/>
        </w:rPr>
        <w:t>$1.00</w:t>
      </w:r>
    </w:p>
    <w:p>
      <w:pPr>
        <w:pStyle w:val="BodyText"/>
        <w:numPr>
          <w:ilvl w:val="0"/>
          <w:numId w:val="261"/>
        </w:numPr>
        <w:tabs>
          <w:tab w:val="clear" w:pos="709"/>
          <w:tab w:val="left" w:pos="709" w:leader="none"/>
        </w:tabs>
        <w:bidi w:val="0"/>
        <w:ind w:hanging="283" w:start="709"/>
        <w:jc w:val="start"/>
        <w:rPr/>
      </w:pPr>
      <w:r>
        <w:rPr/>
        <w:t xml:space="preserve">Share price = </w:t>
      </w:r>
      <w:r>
        <w:rPr>
          <w:b/>
        </w:rPr>
        <w:t>$0.50</w:t>
      </w:r>
    </w:p>
    <w:p>
      <w:pPr>
        <w:pStyle w:val="BodyText"/>
        <w:numPr>
          <w:ilvl w:val="0"/>
          <w:numId w:val="261"/>
        </w:numPr>
        <w:tabs>
          <w:tab w:val="clear" w:pos="709"/>
          <w:tab w:val="left" w:pos="709" w:leader="none"/>
        </w:tabs>
        <w:bidi w:val="0"/>
        <w:ind w:hanging="283" w:start="709"/>
        <w:jc w:val="start"/>
        <w:rPr/>
      </w:pPr>
      <w:r>
        <w:rPr/>
        <w:t xml:space="preserve">P/B = 0.50 ÷ 1.00 = </w:t>
      </w:r>
      <w:r>
        <w:rPr>
          <w:b/>
        </w:rPr>
        <w:t>0.5</w:t>
      </w:r>
      <w:r>
        <w:rPr/>
        <w:t xml:space="preserve"> → you are </w:t>
      </w:r>
      <w:r>
        <w:rPr>
          <w:b/>
        </w:rPr>
        <w:t>paying 50 cents for a dollar</w:t>
      </w:r>
      <w:r>
        <w:rPr/>
        <w:t xml:space="preserve"> of liquidation value</w:t>
      </w:r>
    </w:p>
    <w:p>
      <w:pPr>
        <w:pStyle w:val="BodyText"/>
        <w:numPr>
          <w:ilvl w:val="0"/>
          <w:numId w:val="262"/>
        </w:numPr>
        <w:tabs>
          <w:tab w:val="clear" w:pos="709"/>
          <w:tab w:val="left" w:pos="709" w:leader="none"/>
        </w:tabs>
        <w:bidi w:val="0"/>
        <w:ind w:hanging="283" w:start="709"/>
        <w:jc w:val="start"/>
        <w:rPr/>
      </w:pPr>
      <w:r>
        <w:rPr/>
        <w:t xml:space="preserve">If the company goes bust and liquidates, you get back </w:t>
      </w:r>
      <w:r>
        <w:rPr>
          <w:b/>
        </w:rPr>
        <w:t>more than you paid</w:t>
      </w:r>
      <w:r>
        <w:rPr/>
        <w:t>.</w:t>
      </w:r>
    </w:p>
    <w:p>
      <w:pPr>
        <w:pStyle w:val="Heading4"/>
        <w:numPr>
          <w:ilvl w:val="0"/>
          <w:numId w:val="0"/>
        </w:numPr>
        <w:bidi w:val="0"/>
        <w:ind w:hanging="0" w:start="0"/>
        <w:jc w:val="start"/>
        <w:rPr/>
      </w:pPr>
      <w:r>
        <w:rPr/>
        <w:t>8.4 Thresholds</w:t>
      </w:r>
    </w:p>
    <w:tbl>
      <w:tblPr>
        <w:tblW w:w="5000" w:type="pct"/>
        <w:jc w:val="start"/>
        <w:tblInd w:w="-5" w:type="dxa"/>
        <w:tblLayout w:type="fixed"/>
        <w:tblCellMar>
          <w:top w:w="55" w:type="dxa"/>
          <w:start w:w="55" w:type="dxa"/>
          <w:bottom w:w="55" w:type="dxa"/>
          <w:end w:w="55" w:type="dxa"/>
        </w:tblCellMar>
      </w:tblPr>
      <w:tblGrid>
        <w:gridCol w:w="4819"/>
        <w:gridCol w:w="4819"/>
      </w:tblGrid>
      <w:tr>
        <w:trPr>
          <w:tblHeader w:val="true"/>
        </w:trPr>
        <w:tc>
          <w:tcPr>
            <w:tcW w:w="4819" w:type="dxa"/>
            <w:tcBorders>
              <w:top w:val="single" w:sz="4" w:space="0" w:color="000000"/>
              <w:start w:val="single" w:sz="4" w:space="0" w:color="000000"/>
              <w:bottom w:val="single" w:sz="4" w:space="0" w:color="000000"/>
            </w:tcBorders>
          </w:tcPr>
          <w:p>
            <w:pPr>
              <w:pStyle w:val="TableHeading"/>
              <w:bidi w:val="0"/>
              <w:jc w:val="start"/>
              <w:rPr/>
            </w:pPr>
            <w:r>
              <w:rPr/>
              <w:t>Situation</w:t>
            </w:r>
          </w:p>
        </w:tc>
        <w:tc>
          <w:tcPr>
            <w:tcW w:w="4819"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Threshold</w:t>
            </w:r>
          </w:p>
        </w:tc>
      </w:tr>
      <w:tr>
        <w:trPr/>
        <w:tc>
          <w:tcPr>
            <w:tcW w:w="4819" w:type="dxa"/>
            <w:tcBorders>
              <w:start w:val="single" w:sz="4" w:space="0" w:color="000000"/>
              <w:bottom w:val="single" w:sz="4" w:space="0" w:color="000000"/>
            </w:tcBorders>
          </w:tcPr>
          <w:p>
            <w:pPr>
              <w:pStyle w:val="TableContents"/>
              <w:bidi w:val="0"/>
              <w:jc w:val="start"/>
              <w:rPr/>
            </w:pPr>
            <w:r>
              <w:rPr>
                <w:b/>
              </w:rPr>
              <w:t>Loss-making / distressed company</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 xml:space="preserve">Ideally </w:t>
            </w:r>
            <w:r>
              <w:rPr>
                <w:b/>
              </w:rPr>
              <w:t>P/B ≤ 0.5</w:t>
            </w:r>
            <w:r>
              <w:rPr/>
              <w:t xml:space="preserve"> (buying at 50 cents on the dollar)</w:t>
            </w:r>
          </w:p>
        </w:tc>
      </w:tr>
      <w:tr>
        <w:trPr/>
        <w:tc>
          <w:tcPr>
            <w:tcW w:w="4819" w:type="dxa"/>
            <w:tcBorders>
              <w:start w:val="single" w:sz="4" w:space="0" w:color="000000"/>
              <w:bottom w:val="single" w:sz="4" w:space="0" w:color="000000"/>
            </w:tcBorders>
          </w:tcPr>
          <w:p>
            <w:pPr>
              <w:pStyle w:val="TableContents"/>
              <w:bidi w:val="0"/>
              <w:jc w:val="start"/>
              <w:rPr/>
            </w:pPr>
            <w:r>
              <w:rPr>
                <w:b/>
              </w:rPr>
              <w:t>Banks, general rule</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b/>
              </w:rPr>
              <w:t>P/B 1.2 – 1.4 = fairly valued</w:t>
            </w:r>
          </w:p>
        </w:tc>
      </w:tr>
      <w:tr>
        <w:trPr/>
        <w:tc>
          <w:tcPr>
            <w:tcW w:w="4819" w:type="dxa"/>
            <w:tcBorders>
              <w:start w:val="single" w:sz="4" w:space="0" w:color="000000"/>
              <w:bottom w:val="single" w:sz="4" w:space="0" w:color="000000"/>
            </w:tcBorders>
          </w:tcPr>
          <w:p>
            <w:pPr>
              <w:pStyle w:val="TableContents"/>
              <w:bidi w:val="0"/>
              <w:jc w:val="start"/>
              <w:rPr/>
            </w:pPr>
            <w:r>
              <w:rPr>
                <w:b/>
              </w:rPr>
              <w:t>Banks, cheap</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b/>
              </w:rPr>
              <w:t>Below 1.2</w:t>
            </w:r>
            <w:r>
              <w:rPr/>
              <w:t xml:space="preserve">, and especially </w:t>
            </w:r>
            <w:r>
              <w:rPr>
                <w:b/>
              </w:rPr>
              <w:t>below 1.0</w:t>
            </w:r>
            <w:r>
              <w:rPr/>
              <w:t>, = really undervalued</w:t>
            </w:r>
          </w:p>
        </w:tc>
      </w:tr>
      <w:tr>
        <w:trPr/>
        <w:tc>
          <w:tcPr>
            <w:tcW w:w="4819" w:type="dxa"/>
            <w:tcBorders>
              <w:start w:val="single" w:sz="4" w:space="0" w:color="000000"/>
              <w:bottom w:val="single" w:sz="4" w:space="0" w:color="000000"/>
            </w:tcBorders>
          </w:tcPr>
          <w:p>
            <w:pPr>
              <w:pStyle w:val="TableContents"/>
              <w:bidi w:val="0"/>
              <w:jc w:val="start"/>
              <w:rPr/>
            </w:pPr>
            <w:r>
              <w:rPr>
                <w:b/>
              </w:rPr>
              <w:t>Banks, more accurate method</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 xml:space="preserve">Compare </w:t>
            </w:r>
            <w:r>
              <w:rPr>
                <w:b/>
              </w:rPr>
              <w:t>current P/B to the bank's own 5-year average P/B</w:t>
            </w:r>
            <w:r>
              <w:rPr/>
              <w:t>: above average = overvalued, below = undervalued</w:t>
            </w:r>
          </w:p>
        </w:tc>
      </w:tr>
      <w:tr>
        <w:trPr/>
        <w:tc>
          <w:tcPr>
            <w:tcW w:w="4819" w:type="dxa"/>
            <w:tcBorders>
              <w:start w:val="single" w:sz="4" w:space="0" w:color="000000"/>
              <w:bottom w:val="single" w:sz="4" w:space="0" w:color="000000"/>
            </w:tcBorders>
          </w:tcPr>
          <w:p>
            <w:pPr>
              <w:pStyle w:val="TableContents"/>
              <w:bidi w:val="0"/>
              <w:jc w:val="start"/>
              <w:rPr/>
            </w:pPr>
            <w:r>
              <w:rPr>
                <w:b/>
              </w:rPr>
              <w:t>REITs, general rule</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 xml:space="preserve">Do not pay </w:t>
            </w:r>
            <w:r>
              <w:rPr>
                <w:b/>
              </w:rPr>
              <w:t>more than 1.2× P/B (price to NAV)</w:t>
            </w:r>
          </w:p>
        </w:tc>
      </w:tr>
      <w:tr>
        <w:trPr/>
        <w:tc>
          <w:tcPr>
            <w:tcW w:w="4819" w:type="dxa"/>
            <w:tcBorders>
              <w:start w:val="single" w:sz="4" w:space="0" w:color="000000"/>
              <w:bottom w:val="single" w:sz="4" w:space="0" w:color="000000"/>
            </w:tcBorders>
          </w:tcPr>
          <w:p>
            <w:pPr>
              <w:pStyle w:val="TableContents"/>
              <w:bidi w:val="0"/>
              <w:jc w:val="start"/>
              <w:rPr/>
            </w:pPr>
            <w:r>
              <w:rPr>
                <w:b/>
              </w:rPr>
              <w:t>REITs with high double-digit DPU growth</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 xml:space="preserve">Up to </w:t>
            </w:r>
            <w:r>
              <w:rPr>
                <w:b/>
              </w:rPr>
              <w:t>1.5×</w:t>
            </w:r>
            <w:r>
              <w:rPr/>
              <w:t xml:space="preserve"> is still acceptable</w:t>
            </w:r>
          </w:p>
        </w:tc>
      </w:tr>
    </w:tbl>
    <w:p>
      <w:pPr>
        <w:pStyle w:val="BodyText"/>
        <w:bidi w:val="0"/>
        <w:jc w:val="start"/>
        <w:rPr/>
      </w:pPr>
      <w:r>
        <w:rPr/>
      </w:r>
    </w:p>
    <w:p>
      <w:pPr>
        <w:pStyle w:val="BodyText"/>
        <w:numPr>
          <w:ilvl w:val="0"/>
          <w:numId w:val="263"/>
        </w:numPr>
        <w:tabs>
          <w:tab w:val="clear" w:pos="709"/>
          <w:tab w:val="left" w:pos="709" w:leader="none"/>
        </w:tabs>
        <w:bidi w:val="0"/>
        <w:ind w:hanging="283" w:start="709"/>
        <w:jc w:val="start"/>
        <w:rPr/>
      </w:pPr>
      <w:r>
        <w:rPr>
          <w:b/>
        </w:rPr>
        <w:t>Historical example:</w:t>
      </w:r>
      <w:r>
        <w:rPr/>
        <w:t xml:space="preserve"> in the Great Financial Crisis (2009) Adam bought US banks including </w:t>
      </w:r>
      <w:r>
        <w:rPr>
          <w:b/>
        </w:rPr>
        <w:t>Bank of America at a P/B of 0.4</w:t>
      </w:r>
      <w:r>
        <w:rPr/>
        <w:t xml:space="preserve"> — 40 cents on the dollar; even in liquidation he would theoretically get $1 back for every 40 cents paid.</w:t>
      </w:r>
    </w:p>
    <w:p>
      <w:pPr>
        <w:pStyle w:val="Heading4"/>
        <w:numPr>
          <w:ilvl w:val="0"/>
          <w:numId w:val="0"/>
        </w:numPr>
        <w:bidi w:val="0"/>
        <w:ind w:hanging="0" w:start="0"/>
        <w:jc w:val="start"/>
        <w:rPr/>
      </w:pPr>
      <w:r>
        <w:rPr/>
        <w:t>8.5 Fair value formula for banks / REITs</w:t>
      </w:r>
    </w:p>
    <w:p>
      <w:pPr>
        <w:pStyle w:val="PreformattedText"/>
        <w:shd w:fill="E1E1E1" w:val="clear"/>
        <w:bidi w:val="0"/>
        <w:spacing w:before="0" w:after="283"/>
        <w:jc w:val="start"/>
        <w:rPr/>
      </w:pPr>
      <w:r>
        <w:rPr/>
        <w:t>Fair value (intrinsic value) = (5-year average P/B) × (current book value per share)</w:t>
      </w:r>
    </w:p>
    <w:p>
      <w:pPr>
        <w:pStyle w:val="Heading4"/>
        <w:bidi w:val="0"/>
        <w:ind w:hanging="0" w:start="0"/>
        <w:jc w:val="start"/>
        <w:rPr/>
      </w:pPr>
      <w:r>
        <w:rPr/>
        <w:t>8.6 WORKED EXAMPLE — Bank of America (BAC)</w:t>
      </w:r>
    </w:p>
    <w:p>
      <w:pPr>
        <w:pStyle w:val="BodyText"/>
        <w:numPr>
          <w:ilvl w:val="0"/>
          <w:numId w:val="264"/>
        </w:numPr>
        <w:tabs>
          <w:tab w:val="clear" w:pos="709"/>
          <w:tab w:val="left" w:pos="709" w:leader="none"/>
        </w:tabs>
        <w:bidi w:val="0"/>
        <w:ind w:hanging="283" w:start="709"/>
        <w:jc w:val="start"/>
        <w:rPr/>
      </w:pPr>
      <w:r>
        <w:rPr/>
        <w:t xml:space="preserve">Current share price = </w:t>
      </w:r>
      <w:r>
        <w:rPr>
          <w:b/>
        </w:rPr>
        <w:t>$48.56</w:t>
      </w:r>
    </w:p>
    <w:p>
      <w:pPr>
        <w:pStyle w:val="BodyText"/>
        <w:numPr>
          <w:ilvl w:val="0"/>
          <w:numId w:val="264"/>
        </w:numPr>
        <w:tabs>
          <w:tab w:val="clear" w:pos="709"/>
          <w:tab w:val="left" w:pos="709" w:leader="none"/>
        </w:tabs>
        <w:bidi w:val="0"/>
        <w:ind w:hanging="283" w:start="709"/>
        <w:jc w:val="start"/>
        <w:rPr/>
      </w:pPr>
      <w:r>
        <w:rPr/>
        <w:t xml:space="preserve">Book value per share (StockOracle → Overview) = </w:t>
      </w:r>
      <w:r>
        <w:rPr>
          <w:b/>
        </w:rPr>
        <w:t>$38.44</w:t>
      </w:r>
    </w:p>
    <w:p>
      <w:pPr>
        <w:pStyle w:val="BodyText"/>
        <w:numPr>
          <w:ilvl w:val="0"/>
          <w:numId w:val="264"/>
        </w:numPr>
        <w:tabs>
          <w:tab w:val="clear" w:pos="709"/>
          <w:tab w:val="left" w:pos="709" w:leader="none"/>
        </w:tabs>
        <w:bidi w:val="0"/>
        <w:ind w:hanging="283" w:start="709"/>
        <w:jc w:val="start"/>
        <w:rPr/>
      </w:pPr>
      <w:r>
        <w:rPr/>
        <w:t xml:space="preserve">Current P/B = 48.56 ÷ 38.44 = </w:t>
      </w:r>
      <w:r>
        <w:rPr>
          <w:b/>
        </w:rPr>
        <w:t>1.26</w:t>
      </w:r>
      <w:r>
        <w:rPr/>
        <w:t xml:space="preserve"> (StockOracle's own "Valuation Ratios → P/B, most recent quarter" shows </w:t>
      </w:r>
      <w:r>
        <w:rPr>
          <w:b/>
        </w:rPr>
        <w:t>1.25</w:t>
      </w:r>
      <w:r>
        <w:rPr/>
        <w:t xml:space="preserve"> — rounding difference)</w:t>
      </w:r>
    </w:p>
    <w:p>
      <w:pPr>
        <w:pStyle w:val="BodyText"/>
        <w:numPr>
          <w:ilvl w:val="0"/>
          <w:numId w:val="264"/>
        </w:numPr>
        <w:tabs>
          <w:tab w:val="clear" w:pos="709"/>
          <w:tab w:val="left" w:pos="709" w:leader="none"/>
        </w:tabs>
        <w:bidi w:val="0"/>
        <w:ind w:hanging="283" w:start="709"/>
        <w:jc w:val="start"/>
        <w:rPr/>
      </w:pPr>
      <w:r>
        <w:rPr/>
        <w:t xml:space="preserve">5-year P/B history (StockOracle → Company Metrics → Valuation/Price Ratios → P/B): </w:t>
      </w:r>
      <w:r>
        <w:rPr>
          <w:b/>
        </w:rPr>
        <w:t>1.08, 1.01, 1.24, 1.43, 1.26</w:t>
      </w:r>
    </w:p>
    <w:p>
      <w:pPr>
        <w:pStyle w:val="BodyText"/>
        <w:numPr>
          <w:ilvl w:val="0"/>
          <w:numId w:val="264"/>
        </w:numPr>
        <w:tabs>
          <w:tab w:val="clear" w:pos="709"/>
          <w:tab w:val="left" w:pos="709" w:leader="none"/>
        </w:tabs>
        <w:bidi w:val="0"/>
        <w:ind w:hanging="283" w:start="709"/>
        <w:jc w:val="start"/>
        <w:rPr/>
      </w:pPr>
      <w:r>
        <w:rPr>
          <w:b/>
        </w:rPr>
        <w:t>5-year average P/B = 1.24</w:t>
      </w:r>
    </w:p>
    <w:p>
      <w:pPr>
        <w:pStyle w:val="BodyText"/>
        <w:numPr>
          <w:ilvl w:val="0"/>
          <w:numId w:val="264"/>
        </w:numPr>
        <w:tabs>
          <w:tab w:val="clear" w:pos="709"/>
          <w:tab w:val="left" w:pos="709" w:leader="none"/>
        </w:tabs>
        <w:bidi w:val="0"/>
        <w:ind w:hanging="283" w:start="709"/>
        <w:jc w:val="start"/>
        <w:rPr/>
      </w:pPr>
      <w:r>
        <w:rPr/>
        <w:t xml:space="preserve">Current 1.26 &gt; average 1.24 → </w:t>
      </w:r>
      <w:r>
        <w:rPr>
          <w:b/>
        </w:rPr>
        <w:t>slightly overvalued</w:t>
      </w:r>
    </w:p>
    <w:p>
      <w:pPr>
        <w:pStyle w:val="BodyText"/>
        <w:numPr>
          <w:ilvl w:val="0"/>
          <w:numId w:val="264"/>
        </w:numPr>
        <w:tabs>
          <w:tab w:val="clear" w:pos="709"/>
          <w:tab w:val="left" w:pos="709" w:leader="none"/>
        </w:tabs>
        <w:bidi w:val="0"/>
        <w:ind w:hanging="283" w:start="709"/>
        <w:jc w:val="start"/>
        <w:rPr/>
      </w:pPr>
      <w:r>
        <w:rPr>
          <w:b/>
        </w:rPr>
        <w:t>Fair value = 1.24 × 38.44 = $47.67</w:t>
      </w:r>
    </w:p>
    <w:p>
      <w:pPr>
        <w:pStyle w:val="BodyText"/>
        <w:numPr>
          <w:ilvl w:val="0"/>
          <w:numId w:val="264"/>
        </w:numPr>
        <w:tabs>
          <w:tab w:val="clear" w:pos="709"/>
          <w:tab w:val="left" w:pos="709" w:leader="none"/>
        </w:tabs>
        <w:bidi w:val="0"/>
        <w:ind w:hanging="283" w:start="709"/>
        <w:jc w:val="start"/>
        <w:rPr/>
      </w:pPr>
      <w:r>
        <w:rPr/>
        <w:t xml:space="preserve">Share price $48.56 vs fair value $47.67 → </w:t>
      </w:r>
      <w:r>
        <w:rPr>
          <w:b/>
        </w:rPr>
        <w:t>slightly overvalued</w:t>
      </w:r>
    </w:p>
    <w:p>
      <w:pPr>
        <w:pStyle w:val="Heading4"/>
        <w:numPr>
          <w:ilvl w:val="0"/>
          <w:numId w:val="0"/>
        </w:numPr>
        <w:bidi w:val="0"/>
        <w:ind w:hanging="0" w:start="0"/>
        <w:jc w:val="start"/>
        <w:rPr/>
      </w:pPr>
      <w:r>
        <w:rPr/>
        <w:t>8.7 Singapore banks — the two-filter approach</w:t>
      </w:r>
    </w:p>
    <w:p>
      <w:pPr>
        <w:pStyle w:val="BodyText"/>
        <w:bidi w:val="0"/>
        <w:jc w:val="start"/>
        <w:rPr/>
      </w:pPr>
      <w:r>
        <w:rPr/>
        <w:t xml:space="preserve">Adam buys the three Singapore banks </w:t>
      </w:r>
      <w:r>
        <w:rPr>
          <w:b/>
        </w:rPr>
        <w:t>primarily for dividends</w:t>
      </w:r>
      <w:r>
        <w:rPr/>
        <w:t xml:space="preserve"> (though they also give good capital gains, especially </w:t>
      </w:r>
      <w:r>
        <w:rPr>
          <w:b/>
        </w:rPr>
        <w:t>DBS</w:t>
      </w:r>
      <w:r>
        <w:rPr/>
        <w:t>, which is a relatively high-growth bank). Two checks must both be considered:</w:t>
      </w:r>
    </w:p>
    <w:p>
      <w:pPr>
        <w:pStyle w:val="BodyText"/>
        <w:bidi w:val="0"/>
        <w:jc w:val="start"/>
        <w:rPr/>
      </w:pPr>
      <w:r>
        <w:rPr>
          <w:b/>
        </w:rPr>
        <w:t>Filter 1 — Dividend yield</w:t>
      </w:r>
    </w:p>
    <w:p>
      <w:pPr>
        <w:pStyle w:val="BodyText"/>
        <w:numPr>
          <w:ilvl w:val="0"/>
          <w:numId w:val="265"/>
        </w:numPr>
        <w:tabs>
          <w:tab w:val="clear" w:pos="709"/>
          <w:tab w:val="left" w:pos="709" w:leader="none"/>
        </w:tabs>
        <w:bidi w:val="0"/>
        <w:ind w:hanging="283" w:start="709"/>
        <w:jc w:val="start"/>
        <w:rPr/>
      </w:pPr>
      <w:r>
        <w:rPr/>
        <w:t xml:space="preserve">Target (as of the recording, 26 March, and dependent on the interest-rate environment): </w:t>
      </w:r>
      <w:r>
        <w:rPr>
          <w:b/>
        </w:rPr>
        <w:t>at least 4.5% to 5%</w:t>
      </w:r>
      <w:r>
        <w:rPr/>
        <w:t>. Below that, he will not buy.</w:t>
      </w:r>
    </w:p>
    <w:p>
      <w:pPr>
        <w:pStyle w:val="PreformattedText"/>
        <w:shd w:fill="E1E1E1" w:val="clear"/>
        <w:bidi w:val="0"/>
        <w:spacing w:before="0" w:after="283"/>
        <w:jc w:val="start"/>
        <w:rPr/>
      </w:pPr>
      <w:r>
        <w:rPr/>
        <w:t>Maximum price to pay = Dividend per share (last 12 months) ÷ target dividend yield</w:t>
      </w:r>
    </w:p>
    <w:p>
      <w:pPr>
        <w:pStyle w:val="BodyText"/>
        <w:numPr>
          <w:ilvl w:val="0"/>
          <w:numId w:val="266"/>
        </w:numPr>
        <w:tabs>
          <w:tab w:val="clear" w:pos="709"/>
          <w:tab w:val="left" w:pos="709" w:leader="none"/>
        </w:tabs>
        <w:bidi w:val="0"/>
        <w:spacing w:before="0" w:after="0"/>
        <w:ind w:hanging="283" w:start="709"/>
        <w:jc w:val="start"/>
        <w:rPr/>
      </w:pPr>
      <w:r>
        <w:rPr>
          <w:b/>
        </w:rPr>
        <w:t>UOB (ticker U11 on SGX), via Yahoo Finance → Statistics:</w:t>
      </w:r>
    </w:p>
    <w:p>
      <w:pPr>
        <w:pStyle w:val="BodyText"/>
        <w:numPr>
          <w:ilvl w:val="1"/>
          <w:numId w:val="266"/>
        </w:numPr>
        <w:tabs>
          <w:tab w:val="clear" w:pos="709"/>
          <w:tab w:val="left" w:pos="1418" w:leader="none"/>
        </w:tabs>
        <w:bidi w:val="0"/>
        <w:ind w:hanging="283" w:start="1418"/>
        <w:jc w:val="start"/>
        <w:rPr/>
      </w:pPr>
      <w:r>
        <w:rPr/>
        <w:t xml:space="preserve">Current dividend yield = </w:t>
      </w:r>
      <w:r>
        <w:rPr>
          <w:b/>
        </w:rPr>
        <w:t>4.3%</w:t>
      </w:r>
      <w:r>
        <w:rPr/>
        <w:t xml:space="preserve"> → below the 4.5–5% requirement</w:t>
      </w:r>
    </w:p>
    <w:p>
      <w:pPr>
        <w:pStyle w:val="BodyText"/>
        <w:numPr>
          <w:ilvl w:val="1"/>
          <w:numId w:val="266"/>
        </w:numPr>
        <w:tabs>
          <w:tab w:val="clear" w:pos="709"/>
          <w:tab w:val="left" w:pos="1418" w:leader="none"/>
        </w:tabs>
        <w:bidi w:val="0"/>
        <w:ind w:hanging="283" w:start="1418"/>
        <w:jc w:val="start"/>
        <w:rPr/>
      </w:pPr>
      <w:r>
        <w:rPr/>
        <w:t xml:space="preserve">Trailing 12-month dividend per share = </w:t>
      </w:r>
      <w:r>
        <w:rPr>
          <w:b/>
        </w:rPr>
        <w:t>$1.56</w:t>
      </w:r>
    </w:p>
    <w:p>
      <w:pPr>
        <w:pStyle w:val="BodyText"/>
        <w:numPr>
          <w:ilvl w:val="1"/>
          <w:numId w:val="266"/>
        </w:numPr>
        <w:tabs>
          <w:tab w:val="clear" w:pos="709"/>
          <w:tab w:val="left" w:pos="1418" w:leader="none"/>
        </w:tabs>
        <w:bidi w:val="0"/>
        <w:ind w:hanging="283" w:start="1418"/>
        <w:jc w:val="start"/>
        <w:rPr/>
      </w:pPr>
      <w:r>
        <w:rPr/>
        <w:t xml:space="preserve">Required price for a 4.5% yield = 1.56 ÷ 0.045 = </w:t>
      </w:r>
      <w:r>
        <w:rPr>
          <w:b/>
        </w:rPr>
        <w:t>$34.67</w:t>
      </w:r>
    </w:p>
    <w:p>
      <w:pPr>
        <w:pStyle w:val="BodyText"/>
        <w:numPr>
          <w:ilvl w:val="1"/>
          <w:numId w:val="266"/>
        </w:numPr>
        <w:tabs>
          <w:tab w:val="clear" w:pos="709"/>
          <w:tab w:val="left" w:pos="1418" w:leader="none"/>
        </w:tabs>
        <w:bidi w:val="0"/>
        <w:ind w:hanging="283" w:start="1418"/>
        <w:jc w:val="start"/>
        <w:rPr/>
      </w:pPr>
      <w:r>
        <w:rPr/>
        <w:t xml:space="preserve">Current price = </w:t>
      </w:r>
      <w:r>
        <w:rPr>
          <w:b/>
        </w:rPr>
        <w:t>$36</w:t>
      </w:r>
      <w:r>
        <w:rPr/>
        <w:t xml:space="preserve"> → too expensive; needs to fall to </w:t>
      </w:r>
      <w:r>
        <w:rPr>
          <w:b/>
        </w:rPr>
        <w:t>$34 or lower</w:t>
      </w:r>
    </w:p>
    <w:p>
      <w:pPr>
        <w:pStyle w:val="BodyText"/>
        <w:bidi w:val="0"/>
        <w:jc w:val="start"/>
        <w:rPr/>
      </w:pPr>
      <w:r>
        <w:rPr>
          <w:b/>
        </w:rPr>
        <w:t>Filter 2 — Fair value from P/B</w:t>
      </w:r>
    </w:p>
    <w:p>
      <w:pPr>
        <w:pStyle w:val="BodyText"/>
        <w:numPr>
          <w:ilvl w:val="0"/>
          <w:numId w:val="267"/>
        </w:numPr>
        <w:tabs>
          <w:tab w:val="clear" w:pos="709"/>
          <w:tab w:val="left" w:pos="709" w:leader="none"/>
        </w:tabs>
        <w:bidi w:val="0"/>
        <w:spacing w:before="0" w:after="0"/>
        <w:ind w:hanging="283" w:start="709"/>
        <w:jc w:val="start"/>
        <w:rPr/>
      </w:pPr>
      <w:r>
        <w:rPr>
          <w:b/>
        </w:rPr>
        <w:t>UOB fair value calculation:</w:t>
      </w:r>
    </w:p>
    <w:p>
      <w:pPr>
        <w:pStyle w:val="BodyText"/>
        <w:numPr>
          <w:ilvl w:val="1"/>
          <w:numId w:val="267"/>
        </w:numPr>
        <w:tabs>
          <w:tab w:val="clear" w:pos="709"/>
          <w:tab w:val="left" w:pos="1418" w:leader="none"/>
        </w:tabs>
        <w:bidi w:val="0"/>
        <w:ind w:hanging="283" w:start="1418"/>
        <w:jc w:val="start"/>
        <w:rPr/>
      </w:pPr>
      <w:r>
        <w:rPr/>
        <w:t xml:space="preserve">Current book value per share (Yahoo Finance → Statistics → Balance Sheet section; also on StockOracle) = </w:t>
      </w:r>
      <w:r>
        <w:rPr>
          <w:b/>
        </w:rPr>
        <w:t>$29.35</w:t>
      </w:r>
    </w:p>
    <w:p>
      <w:pPr>
        <w:pStyle w:val="BodyText"/>
        <w:numPr>
          <w:ilvl w:val="1"/>
          <w:numId w:val="267"/>
        </w:numPr>
        <w:tabs>
          <w:tab w:val="clear" w:pos="709"/>
          <w:tab w:val="left" w:pos="1418" w:leader="none"/>
        </w:tabs>
        <w:bidi w:val="0"/>
        <w:ind w:hanging="283" w:start="1418"/>
        <w:jc w:val="start"/>
        <w:rPr/>
      </w:pPr>
      <w:r>
        <w:rPr/>
        <w:t xml:space="preserve">5-year P/B history read from </w:t>
      </w:r>
      <w:r>
        <w:rPr>
          <w:b/>
        </w:rPr>
        <w:t>TradingView</w:t>
      </w:r>
      <w:r>
        <w:rPr/>
        <w:t xml:space="preserve"> (add the "Price to Book Ratio" indicator, set 5-year view, read the value on the </w:t>
      </w:r>
      <w:r>
        <w:rPr>
          <w:b/>
        </w:rPr>
        <w:t>first trading day of January</w:t>
      </w:r>
      <w:r>
        <w:rPr/>
        <w:t xml:space="preserve"> for each of the last 5 years): </w:t>
      </w:r>
      <w:r>
        <w:rPr>
          <w:b/>
        </w:rPr>
        <w:t>2026 = 1.14</w:t>
      </w:r>
      <w:r>
        <w:rPr/>
        <w:t xml:space="preserve">, </w:t>
      </w:r>
      <w:r>
        <w:rPr>
          <w:b/>
        </w:rPr>
        <w:t>2025 = 1.30</w:t>
      </w:r>
      <w:r>
        <w:rPr/>
        <w:t xml:space="preserve">, plus </w:t>
      </w:r>
      <w:r>
        <w:rPr>
          <w:b/>
        </w:rPr>
        <w:t>1.09</w:t>
      </w:r>
      <w:r>
        <w:rPr/>
        <w:t xml:space="preserve"> among the earlier years</w:t>
      </w:r>
    </w:p>
    <w:p>
      <w:pPr>
        <w:pStyle w:val="BodyText"/>
        <w:numPr>
          <w:ilvl w:val="1"/>
          <w:numId w:val="267"/>
        </w:numPr>
        <w:tabs>
          <w:tab w:val="clear" w:pos="709"/>
          <w:tab w:val="left" w:pos="1418" w:leader="none"/>
        </w:tabs>
        <w:bidi w:val="0"/>
        <w:ind w:hanging="283" w:start="1418"/>
        <w:jc w:val="start"/>
        <w:rPr/>
      </w:pPr>
      <w:r>
        <w:rPr/>
        <w:t xml:space="preserve">Sum the five readings and divide by 5 → </w:t>
      </w:r>
      <w:r>
        <w:rPr>
          <w:b/>
        </w:rPr>
        <w:t>5-year average P/B = 1.18</w:t>
      </w:r>
    </w:p>
    <w:p>
      <w:pPr>
        <w:pStyle w:val="BodyText"/>
        <w:numPr>
          <w:ilvl w:val="1"/>
          <w:numId w:val="267"/>
        </w:numPr>
        <w:tabs>
          <w:tab w:val="clear" w:pos="709"/>
          <w:tab w:val="left" w:pos="1418" w:leader="none"/>
        </w:tabs>
        <w:bidi w:val="0"/>
        <w:ind w:hanging="283" w:start="1418"/>
        <w:jc w:val="start"/>
        <w:rPr/>
      </w:pPr>
      <w:r>
        <w:rPr>
          <w:b/>
        </w:rPr>
        <w:t>Fair value = 1.18 × 29.35 = $34.63</w:t>
      </w:r>
    </w:p>
    <w:p>
      <w:pPr>
        <w:pStyle w:val="BodyText"/>
        <w:numPr>
          <w:ilvl w:val="1"/>
          <w:numId w:val="267"/>
        </w:numPr>
        <w:tabs>
          <w:tab w:val="clear" w:pos="709"/>
          <w:tab w:val="left" w:pos="1418" w:leader="none"/>
        </w:tabs>
        <w:bidi w:val="0"/>
        <w:ind w:hanging="283" w:start="1418"/>
        <w:jc w:val="start"/>
        <w:rPr/>
      </w:pPr>
      <w:r>
        <w:rPr/>
        <w:t xml:space="preserve">Current price </w:t>
      </w:r>
      <w:r>
        <w:rPr>
          <w:b/>
        </w:rPr>
        <w:t>$36</w:t>
      </w:r>
      <w:r>
        <w:rPr/>
        <w:t xml:space="preserve"> → slightly overvalued</w:t>
      </w:r>
    </w:p>
    <w:p>
      <w:pPr>
        <w:pStyle w:val="BodyText"/>
        <w:numPr>
          <w:ilvl w:val="0"/>
          <w:numId w:val="267"/>
        </w:numPr>
        <w:tabs>
          <w:tab w:val="clear" w:pos="709"/>
          <w:tab w:val="left" w:pos="709" w:leader="none"/>
        </w:tabs>
        <w:bidi w:val="0"/>
        <w:ind w:hanging="283" w:start="709"/>
        <w:jc w:val="start"/>
        <w:rPr/>
      </w:pPr>
      <w:r>
        <w:rPr>
          <w:b/>
        </w:rPr>
        <w:t>Adam's stance:</w:t>
      </w:r>
      <w:r>
        <w:rPr/>
        <w:t xml:space="preserve"> for Singapore banks he is willing to buy </w:t>
      </w:r>
      <w:r>
        <w:rPr>
          <w:b/>
        </w:rPr>
        <w:t>slightly above fair value</w:t>
      </w:r>
      <w:r>
        <w:rPr/>
        <w:t xml:space="preserve"> as long as the dividend yield is at least </w:t>
      </w:r>
      <w:r>
        <w:rPr>
          <w:b/>
        </w:rPr>
        <w:t>4.5–5%</w:t>
      </w:r>
      <w:r>
        <w:rPr/>
        <w:t xml:space="preserve"> — but </w:t>
      </w:r>
      <w:r>
        <w:rPr>
          <w:b/>
        </w:rPr>
        <w:t>not too far above</w:t>
      </w:r>
      <w:r>
        <w:rPr/>
        <w:t>.</w:t>
      </w:r>
    </w:p>
    <w:p>
      <w:pPr>
        <w:pStyle w:val="Heading4"/>
        <w:numPr>
          <w:ilvl w:val="0"/>
          <w:numId w:val="0"/>
        </w:numPr>
        <w:bidi w:val="0"/>
        <w:ind w:hanging="0" w:start="0"/>
        <w:jc w:val="start"/>
        <w:rPr/>
      </w:pPr>
      <w:r>
        <w:rPr/>
        <w:t>8.8 The Price-to-Book Ratio Calculator (Excel tab)</w:t>
      </w:r>
    </w:p>
    <w:p>
      <w:pPr>
        <w:pStyle w:val="BodyText"/>
        <w:numPr>
          <w:ilvl w:val="0"/>
          <w:numId w:val="268"/>
        </w:numPr>
        <w:tabs>
          <w:tab w:val="clear" w:pos="709"/>
          <w:tab w:val="left" w:pos="709" w:leader="none"/>
        </w:tabs>
        <w:bidi w:val="0"/>
        <w:ind w:hanging="283" w:start="709"/>
        <w:jc w:val="start"/>
        <w:rPr/>
      </w:pPr>
      <w:r>
        <w:rPr/>
        <w:t xml:space="preserve">Located in one of the tabs of the </w:t>
      </w:r>
      <w:r>
        <w:rPr>
          <w:b/>
        </w:rPr>
        <w:t>Intrinsic Value Calculator</w:t>
      </w:r>
      <w:r>
        <w:rPr/>
        <w:t xml:space="preserve"> workbook, called the </w:t>
      </w:r>
      <w:r>
        <w:rPr>
          <w:b/>
        </w:rPr>
        <w:t>Price to Book Ratio calculator</w:t>
      </w:r>
      <w:r>
        <w:rPr/>
        <w:t>.</w:t>
      </w:r>
    </w:p>
    <w:p>
      <w:pPr>
        <w:pStyle w:val="BodyText"/>
        <w:numPr>
          <w:ilvl w:val="0"/>
          <w:numId w:val="268"/>
        </w:numPr>
        <w:tabs>
          <w:tab w:val="clear" w:pos="709"/>
          <w:tab w:val="left" w:pos="709" w:leader="none"/>
        </w:tabs>
        <w:bidi w:val="0"/>
        <w:ind w:hanging="283" w:start="709"/>
        <w:jc w:val="start"/>
        <w:rPr/>
      </w:pPr>
      <w:r>
        <w:rPr>
          <w:b/>
        </w:rPr>
        <w:t>Inputs:</w:t>
      </w:r>
      <w:r>
        <w:rPr/>
        <w:t xml:space="preserve"> current </w:t>
      </w:r>
      <w:r>
        <w:rPr>
          <w:b/>
        </w:rPr>
        <w:t>book value per share</w:t>
      </w:r>
      <w:r>
        <w:rPr/>
        <w:t xml:space="preserve"> + the </w:t>
      </w:r>
      <w:r>
        <w:rPr>
          <w:b/>
        </w:rPr>
        <w:t>P/B ratio for each of the last 5 years</w:t>
      </w:r>
      <w:r>
        <w:rPr/>
        <w:t xml:space="preserve"> (five numbers).</w:t>
      </w:r>
    </w:p>
    <w:p>
      <w:pPr>
        <w:pStyle w:val="BodyText"/>
        <w:numPr>
          <w:ilvl w:val="0"/>
          <w:numId w:val="268"/>
        </w:numPr>
        <w:tabs>
          <w:tab w:val="clear" w:pos="709"/>
          <w:tab w:val="left" w:pos="709" w:leader="none"/>
        </w:tabs>
        <w:bidi w:val="0"/>
        <w:ind w:hanging="283" w:start="709"/>
        <w:jc w:val="start"/>
        <w:rPr/>
      </w:pPr>
      <w:r>
        <w:rPr>
          <w:b/>
        </w:rPr>
        <w:t>Outputs:</w:t>
      </w:r>
      <w:r>
        <w:rPr/>
        <w:t xml:space="preserve"> the fair value </w:t>
      </w:r>
      <w:r>
        <w:rPr>
          <w:b/>
        </w:rPr>
        <w:t>plus the +1 and −1 standard deviation levels</w:t>
      </w:r>
      <w:r>
        <w:rPr/>
        <w:t xml:space="preserve"> — giving a buy range rather than a single point.</w:t>
      </w:r>
    </w:p>
    <w:p>
      <w:pPr>
        <w:pStyle w:val="BodyText"/>
        <w:numPr>
          <w:ilvl w:val="0"/>
          <w:numId w:val="268"/>
        </w:numPr>
        <w:tabs>
          <w:tab w:val="clear" w:pos="709"/>
          <w:tab w:val="left" w:pos="709" w:leader="none"/>
        </w:tabs>
        <w:bidi w:val="0"/>
        <w:ind w:hanging="283" w:start="709"/>
        <w:jc w:val="start"/>
        <w:rPr/>
      </w:pPr>
      <w:r>
        <w:rPr>
          <w:b/>
        </w:rPr>
        <w:t>UOB application:</w:t>
      </w:r>
      <w:r>
        <w:rPr/>
        <w:t xml:space="preserve"> fair value ≈ $34, +1 SD ≈ $37 → willing to buy in that band, but </w:t>
      </w:r>
      <w:r>
        <w:rPr>
          <w:b/>
        </w:rPr>
        <w:t>only if the dividend yield is at least 4.5–5%</w:t>
      </w:r>
      <w:r>
        <w:rPr/>
        <w:t>.</w:t>
      </w:r>
    </w:p>
    <w:p>
      <w:pPr>
        <w:pStyle w:val="Heading4"/>
        <w:numPr>
          <w:ilvl w:val="0"/>
          <w:numId w:val="0"/>
        </w:numPr>
        <w:bidi w:val="0"/>
        <w:ind w:hanging="0" w:start="0"/>
        <w:jc w:val="start"/>
        <w:rPr/>
      </w:pPr>
      <w:r>
        <w:rPr/>
        <w:t>8.9 Update frequency and a full applied example (OCBC)</w:t>
      </w:r>
    </w:p>
    <w:p>
      <w:pPr>
        <w:pStyle w:val="BodyText"/>
        <w:numPr>
          <w:ilvl w:val="0"/>
          <w:numId w:val="269"/>
        </w:numPr>
        <w:tabs>
          <w:tab w:val="clear" w:pos="709"/>
          <w:tab w:val="left" w:pos="709" w:leader="none"/>
        </w:tabs>
        <w:bidi w:val="0"/>
        <w:ind w:hanging="283" w:start="709"/>
        <w:jc w:val="start"/>
        <w:rPr/>
      </w:pPr>
      <w:r>
        <w:rPr>
          <w:b/>
        </w:rPr>
        <w:t>How often to update:</w:t>
      </w:r>
      <w:r>
        <w:rPr/>
        <w:t xml:space="preserve"> once a </w:t>
      </w:r>
      <w:r>
        <w:rPr>
          <w:b/>
        </w:rPr>
        <w:t>quarter</w:t>
      </w:r>
      <w:r>
        <w:rPr/>
        <w:t xml:space="preserve"> is fine; </w:t>
      </w:r>
      <w:r>
        <w:rPr>
          <w:b/>
        </w:rPr>
        <w:t>Adam updates monthly</w:t>
      </w:r>
      <w:r>
        <w:rPr/>
        <w:t>. (Subscribers to the Ultimate Investors Playbook receive his monthly workings, buy levels and fair values.)</w:t>
      </w:r>
    </w:p>
    <w:p>
      <w:pPr>
        <w:pStyle w:val="BodyText"/>
        <w:numPr>
          <w:ilvl w:val="0"/>
          <w:numId w:val="269"/>
        </w:numPr>
        <w:tabs>
          <w:tab w:val="clear" w:pos="709"/>
          <w:tab w:val="left" w:pos="709" w:leader="none"/>
        </w:tabs>
        <w:bidi w:val="0"/>
        <w:spacing w:before="0" w:after="0"/>
        <w:ind w:hanging="283" w:start="709"/>
        <w:jc w:val="start"/>
        <w:rPr/>
      </w:pPr>
      <w:r>
        <w:rPr>
          <w:b/>
        </w:rPr>
        <w:t>OCBC (latest calculation shown):</w:t>
      </w:r>
    </w:p>
    <w:p>
      <w:pPr>
        <w:pStyle w:val="BodyText"/>
        <w:numPr>
          <w:ilvl w:val="1"/>
          <w:numId w:val="269"/>
        </w:numPr>
        <w:tabs>
          <w:tab w:val="clear" w:pos="709"/>
          <w:tab w:val="left" w:pos="1418" w:leader="none"/>
        </w:tabs>
        <w:bidi w:val="0"/>
        <w:ind w:hanging="283" w:start="1418"/>
        <w:jc w:val="start"/>
        <w:rPr/>
      </w:pPr>
      <w:r>
        <w:rPr>
          <w:b/>
        </w:rPr>
        <w:t>Fair value = $16.39</w:t>
      </w:r>
    </w:p>
    <w:p>
      <w:pPr>
        <w:pStyle w:val="BodyText"/>
        <w:numPr>
          <w:ilvl w:val="1"/>
          <w:numId w:val="269"/>
        </w:numPr>
        <w:tabs>
          <w:tab w:val="clear" w:pos="709"/>
          <w:tab w:val="left" w:pos="1418" w:leader="none"/>
        </w:tabs>
        <w:bidi w:val="0"/>
        <w:ind w:hanging="283" w:start="1418"/>
        <w:jc w:val="start"/>
        <w:rPr/>
      </w:pPr>
      <w:r>
        <w:rPr/>
        <w:t xml:space="preserve">Current share price = </w:t>
      </w:r>
      <w:r>
        <w:rPr>
          <w:b/>
        </w:rPr>
        <w:t>$20</w:t>
      </w:r>
      <w:r>
        <w:rPr/>
        <w:t xml:space="preserve"> → </w:t>
      </w:r>
      <w:r>
        <w:rPr>
          <w:b/>
        </w:rPr>
        <w:t>overvalued</w:t>
      </w:r>
      <w:r>
        <w:rPr/>
        <w:t>, with quite a bit to fall before it is attractive</w:t>
      </w:r>
    </w:p>
    <w:p>
      <w:pPr>
        <w:pStyle w:val="BodyText"/>
        <w:numPr>
          <w:ilvl w:val="1"/>
          <w:numId w:val="269"/>
        </w:numPr>
        <w:tabs>
          <w:tab w:val="clear" w:pos="709"/>
          <w:tab w:val="left" w:pos="1418" w:leader="none"/>
        </w:tabs>
        <w:bidi w:val="0"/>
        <w:ind w:hanging="283" w:start="1418"/>
        <w:jc w:val="start"/>
        <w:rPr/>
      </w:pPr>
      <w:r>
        <w:rPr>
          <w:b/>
        </w:rPr>
        <w:t>+1 standard deviation price = $19.25</w:t>
      </w:r>
      <w:r>
        <w:rPr/>
        <w:t xml:space="preserve"> — the maximum he would pay above fair value (current price is above even this → far too expensive)</w:t>
      </w:r>
    </w:p>
    <w:p>
      <w:pPr>
        <w:pStyle w:val="BodyText"/>
        <w:numPr>
          <w:ilvl w:val="1"/>
          <w:numId w:val="269"/>
        </w:numPr>
        <w:tabs>
          <w:tab w:val="clear" w:pos="709"/>
          <w:tab w:val="left" w:pos="1418" w:leader="none"/>
        </w:tabs>
        <w:bidi w:val="0"/>
        <w:ind w:hanging="283" w:start="1418"/>
        <w:jc w:val="start"/>
        <w:rPr/>
      </w:pPr>
      <w:r>
        <w:rPr>
          <w:b/>
        </w:rPr>
        <w:t>5% yield line = $16.40</w:t>
      </w:r>
      <w:r>
        <w:rPr/>
        <w:t xml:space="preserve"> — only at $16.40 or lower does OCBC yield 5%</w:t>
      </w:r>
    </w:p>
    <w:p>
      <w:pPr>
        <w:pStyle w:val="BodyText"/>
        <w:numPr>
          <w:ilvl w:val="1"/>
          <w:numId w:val="269"/>
        </w:numPr>
        <w:tabs>
          <w:tab w:val="clear" w:pos="709"/>
          <w:tab w:val="left" w:pos="1418" w:leader="none"/>
        </w:tabs>
        <w:bidi w:val="0"/>
        <w:spacing w:before="0" w:after="0"/>
        <w:ind w:hanging="283" w:start="1418"/>
        <w:jc w:val="start"/>
        <w:rPr/>
      </w:pPr>
      <w:r>
        <w:rPr>
          <w:b/>
        </w:rPr>
        <w:t>Four identified buy levels: $17.87, $16.35, $14.40, $13.48</w:t>
      </w:r>
    </w:p>
    <w:p>
      <w:pPr>
        <w:pStyle w:val="BodyText"/>
        <w:numPr>
          <w:ilvl w:val="2"/>
          <w:numId w:val="269"/>
        </w:numPr>
        <w:tabs>
          <w:tab w:val="clear" w:pos="709"/>
          <w:tab w:val="left" w:pos="2127" w:leader="none"/>
        </w:tabs>
        <w:bidi w:val="0"/>
        <w:ind w:hanging="283" w:start="2127"/>
        <w:jc w:val="start"/>
        <w:rPr/>
      </w:pPr>
      <w:r>
        <w:rPr/>
        <w:t xml:space="preserve">Derived from </w:t>
      </w:r>
      <w:r>
        <w:rPr>
          <w:b/>
        </w:rPr>
        <w:t>technical support levels</w:t>
      </w:r>
      <w:r>
        <w:rPr/>
        <w:t xml:space="preserve"> (taught in the next lesson) </w:t>
      </w:r>
      <w:r>
        <w:rPr>
          <w:b/>
        </w:rPr>
        <w:t>combined with</w:t>
      </w:r>
      <w:r>
        <w:rPr/>
        <w:t xml:space="preserve"> the yield requirement</w:t>
      </w:r>
    </w:p>
    <w:p>
      <w:pPr>
        <w:pStyle w:val="BodyText"/>
        <w:numPr>
          <w:ilvl w:val="2"/>
          <w:numId w:val="269"/>
        </w:numPr>
        <w:tabs>
          <w:tab w:val="clear" w:pos="709"/>
          <w:tab w:val="left" w:pos="2127" w:leader="none"/>
        </w:tabs>
        <w:bidi w:val="0"/>
        <w:ind w:hanging="283" w:start="2127"/>
        <w:jc w:val="start"/>
        <w:rPr/>
      </w:pPr>
      <w:r>
        <w:rPr/>
        <w:t xml:space="preserve">Example: buying at </w:t>
      </w:r>
      <w:r>
        <w:rPr>
          <w:b/>
        </w:rPr>
        <w:t>$17.87</w:t>
      </w:r>
      <w:r>
        <w:rPr/>
        <w:t xml:space="preserve"> is within one standard deviation and gives roughly a </w:t>
      </w:r>
      <w:r>
        <w:rPr>
          <w:b/>
        </w:rPr>
        <w:t>4.5% yield</w:t>
      </w:r>
    </w:p>
    <w:p>
      <w:pPr>
        <w:pStyle w:val="BodyText"/>
        <w:numPr>
          <w:ilvl w:val="1"/>
          <w:numId w:val="269"/>
        </w:numPr>
        <w:tabs>
          <w:tab w:val="clear" w:pos="709"/>
          <w:tab w:val="left" w:pos="1418" w:leader="none"/>
        </w:tabs>
        <w:bidi w:val="0"/>
        <w:ind w:hanging="283" w:start="1418"/>
        <w:jc w:val="start"/>
        <w:rPr/>
      </w:pPr>
      <w:r>
        <w:rPr/>
        <w:t xml:space="preserve">Method: </w:t>
      </w:r>
      <w:r>
        <w:rPr>
          <w:b/>
        </w:rPr>
        <w:t>combine fundamentals (fair value, yield) with technicals (support levels)</w:t>
      </w:r>
      <w:r>
        <w:rPr/>
        <w:t xml:space="preserve"> to set buy levels.</w:t>
      </w:r>
    </w:p>
    <w:p>
      <w:pPr>
        <w:pStyle w:val="HorizontalLine"/>
        <w:bidi w:val="0"/>
        <w:jc w:val="start"/>
        <w:rPr/>
      </w:pPr>
      <w:r>
        <w:rPr/>
      </w:r>
    </w:p>
    <w:p>
      <w:pPr>
        <w:pStyle w:val="Heading3"/>
        <w:bidi w:val="0"/>
        <w:ind w:hanging="0" w:start="0"/>
        <w:jc w:val="start"/>
        <w:rPr/>
      </w:pPr>
      <w:r>
        <w:rPr/>
        <w:t>9. REITs — Price to Book / Price to NAV + Yield</w:t>
      </w:r>
    </w:p>
    <w:p>
      <w:pPr>
        <w:pStyle w:val="Heading4"/>
        <w:bidi w:val="0"/>
        <w:ind w:hanging="0" w:start="0"/>
        <w:jc w:val="start"/>
        <w:rPr/>
      </w:pPr>
      <w:r>
        <w:rPr/>
        <w:t>9.1 Framework</w:t>
      </w:r>
    </w:p>
    <w:p>
      <w:pPr>
        <w:pStyle w:val="BodyText"/>
        <w:numPr>
          <w:ilvl w:val="0"/>
          <w:numId w:val="270"/>
        </w:numPr>
        <w:tabs>
          <w:tab w:val="clear" w:pos="709"/>
          <w:tab w:val="left" w:pos="709" w:leader="none"/>
        </w:tabs>
        <w:bidi w:val="0"/>
        <w:ind w:hanging="283" w:start="709"/>
        <w:jc w:val="start"/>
        <w:rPr/>
      </w:pPr>
      <w:r>
        <w:rPr/>
        <w:t xml:space="preserve">A REIT (Real Estate Investment Trust) is effectively </w:t>
      </w:r>
      <w:r>
        <w:rPr>
          <w:b/>
        </w:rPr>
        <w:t>a portfolio of properties</w:t>
      </w:r>
      <w:r>
        <w:rPr/>
        <w:t xml:space="preserve">. The best ways to value it are </w:t>
      </w:r>
      <w:r>
        <w:rPr>
          <w:b/>
        </w:rPr>
        <w:t>price-to-book ratio</w:t>
      </w:r>
      <w:r>
        <w:rPr/>
        <w:t xml:space="preserve"> and </w:t>
      </w:r>
      <w:r>
        <w:rPr>
          <w:b/>
        </w:rPr>
        <w:t>dividend yield</w:t>
      </w:r>
      <w:r>
        <w:rPr/>
        <w:t>.</w:t>
      </w:r>
    </w:p>
    <w:p>
      <w:pPr>
        <w:pStyle w:val="BodyText"/>
        <w:numPr>
          <w:ilvl w:val="0"/>
          <w:numId w:val="270"/>
        </w:numPr>
        <w:tabs>
          <w:tab w:val="clear" w:pos="709"/>
          <w:tab w:val="left" w:pos="709" w:leader="none"/>
        </w:tabs>
        <w:bidi w:val="0"/>
        <w:ind w:hanging="283" w:start="709"/>
        <w:jc w:val="start"/>
        <w:rPr/>
      </w:pPr>
      <w:r>
        <w:rPr/>
        <w:t xml:space="preserve">Adam specializes in </w:t>
      </w:r>
      <w:r>
        <w:rPr>
          <w:b/>
        </w:rPr>
        <w:t>Singapore-listed REITs</w:t>
      </w:r>
      <w:r>
        <w:rPr/>
        <w:t xml:space="preserve"> because they pay very high dividend yields and those dividends are </w:t>
      </w:r>
      <w:r>
        <w:rPr>
          <w:b/>
        </w:rPr>
        <w:t>tax-free</w:t>
      </w:r>
      <w:r>
        <w:rPr/>
        <w:t>.</w:t>
      </w:r>
    </w:p>
    <w:p>
      <w:pPr>
        <w:pStyle w:val="BodyText"/>
        <w:numPr>
          <w:ilvl w:val="0"/>
          <w:numId w:val="270"/>
        </w:numPr>
        <w:tabs>
          <w:tab w:val="clear" w:pos="709"/>
          <w:tab w:val="left" w:pos="709" w:leader="none"/>
        </w:tabs>
        <w:bidi w:val="0"/>
        <w:ind w:hanging="283" w:start="709"/>
        <w:jc w:val="start"/>
        <w:rPr/>
      </w:pPr>
      <w:r>
        <w:rPr>
          <w:b/>
        </w:rPr>
        <w:t>NAV = Net Asset Value = estimated market value of the REIT's total assets − total liabilities.</w:t>
      </w:r>
      <w:r>
        <w:rPr/>
        <w:t xml:space="preserve"> NAV per share = NAV ÷ number of units.</w:t>
      </w:r>
    </w:p>
    <w:p>
      <w:pPr>
        <w:pStyle w:val="BodyText"/>
        <w:numPr>
          <w:ilvl w:val="0"/>
          <w:numId w:val="270"/>
        </w:numPr>
        <w:tabs>
          <w:tab w:val="clear" w:pos="709"/>
          <w:tab w:val="left" w:pos="709" w:leader="none"/>
        </w:tabs>
        <w:bidi w:val="0"/>
        <w:ind w:hanging="283" w:start="709"/>
        <w:jc w:val="start"/>
        <w:rPr/>
      </w:pPr>
      <w:r>
        <w:rPr/>
        <w:t xml:space="preserve">For Singapore-listed REITs, </w:t>
      </w:r>
      <w:r>
        <w:rPr>
          <w:b/>
        </w:rPr>
        <w:t>NAV and book value are the same thing</w:t>
      </w:r>
      <w:r>
        <w:rPr/>
        <w:t xml:space="preserve"> and </w:t>
      </w:r>
      <w:r>
        <w:rPr>
          <w:b/>
        </w:rPr>
        <w:t>price-to-NAV and price-to-book are used interchangeably</w:t>
      </w:r>
      <w:r>
        <w:rPr/>
        <w:t xml:space="preserve">, because the book value of a REIT is </w:t>
      </w:r>
      <w:r>
        <w:rPr>
          <w:b/>
        </w:rPr>
        <w:t>marked to market</w:t>
      </w:r>
      <w:r>
        <w:rPr/>
        <w:t>. (US REITs are slightly different; the lesson focuses on Singapore REITs.)</w:t>
      </w:r>
    </w:p>
    <w:p>
      <w:pPr>
        <w:pStyle w:val="Heading4"/>
        <w:numPr>
          <w:ilvl w:val="0"/>
          <w:numId w:val="0"/>
        </w:numPr>
        <w:bidi w:val="0"/>
        <w:ind w:hanging="0" w:start="0"/>
        <w:jc w:val="start"/>
        <w:rPr/>
      </w:pPr>
      <w:r>
        <w:rPr/>
        <w:t>9.2 Interpreting P/NAV</w:t>
      </w:r>
    </w:p>
    <w:p>
      <w:pPr>
        <w:pStyle w:val="BodyText"/>
        <w:numPr>
          <w:ilvl w:val="0"/>
          <w:numId w:val="271"/>
        </w:numPr>
        <w:tabs>
          <w:tab w:val="clear" w:pos="709"/>
          <w:tab w:val="left" w:pos="709" w:leader="none"/>
        </w:tabs>
        <w:bidi w:val="0"/>
        <w:ind w:hanging="283" w:start="709"/>
        <w:jc w:val="start"/>
        <w:rPr/>
      </w:pPr>
      <w:r>
        <w:rPr>
          <w:b/>
        </w:rPr>
        <w:t>P/NAV = 1.0</w:t>
      </w:r>
      <w:r>
        <w:rPr/>
        <w:t xml:space="preserve"> → the REIT trades at exactly the market value of its properties less debt.</w:t>
      </w:r>
    </w:p>
    <w:p>
      <w:pPr>
        <w:pStyle w:val="BodyText"/>
        <w:numPr>
          <w:ilvl w:val="0"/>
          <w:numId w:val="271"/>
        </w:numPr>
        <w:tabs>
          <w:tab w:val="clear" w:pos="709"/>
          <w:tab w:val="left" w:pos="709" w:leader="none"/>
        </w:tabs>
        <w:bidi w:val="0"/>
        <w:ind w:hanging="283" w:start="709"/>
        <w:jc w:val="start"/>
        <w:rPr/>
      </w:pPr>
      <w:r>
        <w:rPr>
          <w:b/>
        </w:rPr>
        <w:t>P/NAV = 1.2</w:t>
      </w:r>
      <w:r>
        <w:rPr/>
        <w:t xml:space="preserve"> → the REIT trades </w:t>
      </w:r>
      <w:r>
        <w:rPr>
          <w:b/>
        </w:rPr>
        <w:t>20% above</w:t>
      </w:r>
      <w:r>
        <w:rPr/>
        <w:t xml:space="preserve"> the market value of its properties less debt.</w:t>
      </w:r>
    </w:p>
    <w:p>
      <w:pPr>
        <w:pStyle w:val="BodyText"/>
        <w:numPr>
          <w:ilvl w:val="0"/>
          <w:numId w:val="271"/>
        </w:numPr>
        <w:tabs>
          <w:tab w:val="clear" w:pos="709"/>
          <w:tab w:val="left" w:pos="709" w:leader="none"/>
        </w:tabs>
        <w:bidi w:val="0"/>
        <w:ind w:hanging="283" w:start="709"/>
        <w:jc w:val="start"/>
        <w:rPr/>
      </w:pPr>
      <w:r>
        <w:rPr>
          <w:b/>
        </w:rPr>
        <w:t>Rule of thumb: do not pay more than 1.2×.</w:t>
      </w:r>
    </w:p>
    <w:p>
      <w:pPr>
        <w:pStyle w:val="BodyText"/>
        <w:numPr>
          <w:ilvl w:val="0"/>
          <w:numId w:val="271"/>
        </w:numPr>
        <w:tabs>
          <w:tab w:val="clear" w:pos="709"/>
          <w:tab w:val="left" w:pos="709" w:leader="none"/>
        </w:tabs>
        <w:bidi w:val="0"/>
        <w:ind w:hanging="283" w:start="709"/>
        <w:jc w:val="start"/>
        <w:rPr/>
      </w:pPr>
      <w:r>
        <w:rPr>
          <w:b/>
        </w:rPr>
        <w:t>Exception:</w:t>
      </w:r>
      <w:r>
        <w:rPr/>
        <w:t xml:space="preserve"> REITs with </w:t>
      </w:r>
      <w:r>
        <w:rPr>
          <w:b/>
        </w:rPr>
        <w:t>high double-digit growth in DPU (distributions per unit)</w:t>
      </w:r>
      <w:r>
        <w:rPr/>
        <w:t xml:space="preserve"> can justify </w:t>
      </w:r>
      <w:r>
        <w:rPr>
          <w:b/>
        </w:rPr>
        <w:t>up to 1.5×</w:t>
      </w:r>
      <w:r>
        <w:rPr/>
        <w:t>.</w:t>
      </w:r>
    </w:p>
    <w:p>
      <w:pPr>
        <w:pStyle w:val="BodyText"/>
        <w:numPr>
          <w:ilvl w:val="0"/>
          <w:numId w:val="271"/>
        </w:numPr>
        <w:tabs>
          <w:tab w:val="clear" w:pos="709"/>
          <w:tab w:val="left" w:pos="709" w:leader="none"/>
        </w:tabs>
        <w:bidi w:val="0"/>
        <w:ind w:hanging="283" w:start="709"/>
        <w:jc w:val="start"/>
        <w:rPr/>
      </w:pPr>
      <w:r>
        <w:rPr>
          <w:b/>
        </w:rPr>
        <w:t>Best practice:</w:t>
      </w:r>
      <w:r>
        <w:rPr/>
        <w:t xml:space="preserve"> compute the individual REIT's own </w:t>
      </w:r>
      <w:r>
        <w:rPr>
          <w:b/>
        </w:rPr>
        <w:t>average P/B</w:t>
      </w:r>
      <w:r>
        <w:rPr/>
        <w:t xml:space="preserve"> (5-year or 10-year) and derive a fair value from that.</w:t>
      </w:r>
    </w:p>
    <w:p>
      <w:pPr>
        <w:pStyle w:val="Heading4"/>
        <w:numPr>
          <w:ilvl w:val="0"/>
          <w:numId w:val="0"/>
        </w:numPr>
        <w:bidi w:val="0"/>
        <w:ind w:hanging="0" w:start="0"/>
        <w:jc w:val="start"/>
        <w:rPr/>
      </w:pPr>
      <w:r>
        <w:rPr/>
        <w:t>9.3 The two REIT checks</w:t>
      </w:r>
    </w:p>
    <w:p>
      <w:pPr>
        <w:pStyle w:val="BodyText"/>
        <w:bidi w:val="0"/>
        <w:jc w:val="start"/>
        <w:rPr/>
      </w:pPr>
      <w:r>
        <w:rPr>
          <w:b/>
        </w:rPr>
        <w:t>Check 1 — Dividend yield</w:t>
      </w:r>
    </w:p>
    <w:p>
      <w:pPr>
        <w:pStyle w:val="BodyText"/>
        <w:numPr>
          <w:ilvl w:val="0"/>
          <w:numId w:val="272"/>
        </w:numPr>
        <w:tabs>
          <w:tab w:val="clear" w:pos="709"/>
          <w:tab w:val="left" w:pos="709" w:leader="none"/>
        </w:tabs>
        <w:bidi w:val="0"/>
        <w:ind w:hanging="283" w:start="709"/>
        <w:jc w:val="start"/>
        <w:rPr/>
      </w:pPr>
      <w:r>
        <w:rPr/>
        <w:t xml:space="preserve">Want </w:t>
      </w:r>
      <w:r>
        <w:rPr>
          <w:b/>
        </w:rPr>
        <w:t>at least 5%</w:t>
      </w:r>
      <w:r>
        <w:rPr/>
        <w:t xml:space="preserve"> in today's interest-rate environment (may change as rates change).</w:t>
      </w:r>
    </w:p>
    <w:p>
      <w:pPr>
        <w:pStyle w:val="PreformattedText"/>
        <w:shd w:fill="E1E1E1" w:val="clear"/>
        <w:bidi w:val="0"/>
        <w:spacing w:before="0" w:after="283"/>
        <w:jc w:val="start"/>
        <w:rPr/>
      </w:pPr>
      <w:r>
        <w:rPr/>
        <w:t>Maximum price to pay = DPU (distributions per unit) ÷ 5%</w:t>
      </w:r>
    </w:p>
    <w:p>
      <w:pPr>
        <w:pStyle w:val="BodyText"/>
        <w:bidi w:val="0"/>
        <w:jc w:val="start"/>
        <w:rPr/>
      </w:pPr>
      <w:r>
        <w:rPr>
          <w:b/>
        </w:rPr>
        <w:t>Check 2 — Price to NAV / Price to Book</w:t>
      </w:r>
    </w:p>
    <w:p>
      <w:pPr>
        <w:pStyle w:val="PreformattedText"/>
        <w:shd w:fill="E1E1E1" w:val="clear"/>
        <w:bidi w:val="0"/>
        <w:spacing w:before="0" w:after="283"/>
        <w:jc w:val="start"/>
        <w:rPr/>
      </w:pPr>
      <w:r>
        <w:rPr/>
        <w:t>Fair value = (10-year or 5-year average P/B) × (current book value / NAV per share)</w:t>
      </w:r>
    </w:p>
    <w:p>
      <w:pPr>
        <w:pStyle w:val="Heading4"/>
        <w:bidi w:val="0"/>
        <w:ind w:hanging="0" w:start="0"/>
        <w:jc w:val="start"/>
        <w:rPr/>
      </w:pPr>
      <w:r>
        <w:rPr/>
        <w:t>9.4 WORKED EXAMPLE — CapitaLand Ascendas REIT</w:t>
      </w:r>
    </w:p>
    <w:p>
      <w:pPr>
        <w:pStyle w:val="BodyText"/>
        <w:numPr>
          <w:ilvl w:val="0"/>
          <w:numId w:val="273"/>
        </w:numPr>
        <w:tabs>
          <w:tab w:val="clear" w:pos="709"/>
          <w:tab w:val="left" w:pos="709" w:leader="none"/>
        </w:tabs>
        <w:bidi w:val="0"/>
        <w:ind w:hanging="283" w:start="709"/>
        <w:jc w:val="start"/>
        <w:rPr/>
      </w:pPr>
      <w:r>
        <w:rPr/>
        <w:t xml:space="preserve">Pull the REIT up on </w:t>
      </w:r>
      <w:r>
        <w:rPr>
          <w:b/>
        </w:rPr>
        <w:t>TradingView</w:t>
      </w:r>
      <w:r>
        <w:rPr/>
        <w:t xml:space="preserve">, add the </w:t>
      </w:r>
      <w:r>
        <w:rPr>
          <w:b/>
        </w:rPr>
        <w:t>Price to Book Ratio indicator</w:t>
      </w:r>
      <w:r>
        <w:rPr/>
        <w:t xml:space="preserve">, set the </w:t>
      </w:r>
      <w:r>
        <w:rPr>
          <w:b/>
        </w:rPr>
        <w:t>10-year</w:t>
      </w:r>
      <w:r>
        <w:rPr/>
        <w:t xml:space="preserve"> view.</w:t>
      </w:r>
    </w:p>
    <w:p>
      <w:pPr>
        <w:pStyle w:val="BodyText"/>
        <w:numPr>
          <w:ilvl w:val="0"/>
          <w:numId w:val="273"/>
        </w:numPr>
        <w:tabs>
          <w:tab w:val="clear" w:pos="709"/>
          <w:tab w:val="left" w:pos="709" w:leader="none"/>
        </w:tabs>
        <w:bidi w:val="0"/>
        <w:ind w:hanging="283" w:start="709"/>
        <w:jc w:val="start"/>
        <w:rPr/>
      </w:pPr>
      <w:r>
        <w:rPr>
          <w:b/>
        </w:rPr>
        <w:t>Proper method:</w:t>
      </w:r>
      <w:r>
        <w:rPr/>
        <w:t xml:space="preserve"> read the P/B for each year (2025, 2024, 2023, …), sum all 10, divide by 10.</w:t>
      </w:r>
    </w:p>
    <w:p>
      <w:pPr>
        <w:pStyle w:val="BodyText"/>
        <w:numPr>
          <w:ilvl w:val="0"/>
          <w:numId w:val="273"/>
        </w:numPr>
        <w:tabs>
          <w:tab w:val="clear" w:pos="709"/>
          <w:tab w:val="left" w:pos="709" w:leader="none"/>
        </w:tabs>
        <w:bidi w:val="0"/>
        <w:spacing w:before="0" w:after="0"/>
        <w:ind w:hanging="283" w:start="709"/>
        <w:jc w:val="start"/>
        <w:rPr/>
      </w:pPr>
      <w:r>
        <w:rPr>
          <w:b/>
        </w:rPr>
        <w:t>Shortcut method</w:t>
      </w:r>
      <w:r>
        <w:rPr/>
        <w:t xml:space="preserve"> (Adam's admitted lazy version, gives a roughly similar number):</w:t>
      </w:r>
    </w:p>
    <w:p>
      <w:pPr>
        <w:pStyle w:val="BodyText"/>
        <w:numPr>
          <w:ilvl w:val="1"/>
          <w:numId w:val="273"/>
        </w:numPr>
        <w:tabs>
          <w:tab w:val="clear" w:pos="709"/>
          <w:tab w:val="left" w:pos="1418" w:leader="none"/>
        </w:tabs>
        <w:bidi w:val="0"/>
        <w:ind w:hanging="283" w:start="1418"/>
        <w:jc w:val="start"/>
        <w:rPr/>
      </w:pPr>
      <w:r>
        <w:rPr/>
        <w:t xml:space="preserve">10-year </w:t>
      </w:r>
      <w:r>
        <w:rPr>
          <w:b/>
        </w:rPr>
        <w:t>high</w:t>
      </w:r>
      <w:r>
        <w:rPr/>
        <w:t xml:space="preserve"> P/B = </w:t>
      </w:r>
      <w:r>
        <w:rPr>
          <w:b/>
        </w:rPr>
        <w:t>1.61</w:t>
      </w:r>
    </w:p>
    <w:p>
      <w:pPr>
        <w:pStyle w:val="BodyText"/>
        <w:numPr>
          <w:ilvl w:val="1"/>
          <w:numId w:val="273"/>
        </w:numPr>
        <w:tabs>
          <w:tab w:val="clear" w:pos="709"/>
          <w:tab w:val="left" w:pos="1418" w:leader="none"/>
        </w:tabs>
        <w:bidi w:val="0"/>
        <w:ind w:hanging="283" w:start="1418"/>
        <w:jc w:val="start"/>
        <w:rPr/>
      </w:pPr>
      <w:r>
        <w:rPr/>
        <w:t xml:space="preserve">10-year </w:t>
      </w:r>
      <w:r>
        <w:rPr>
          <w:b/>
        </w:rPr>
        <w:t>low</w:t>
      </w:r>
      <w:r>
        <w:rPr/>
        <w:t xml:space="preserve"> P/B = </w:t>
      </w:r>
      <w:r>
        <w:rPr>
          <w:b/>
        </w:rPr>
        <w:t>1.03</w:t>
      </w:r>
    </w:p>
    <w:p>
      <w:pPr>
        <w:pStyle w:val="BodyText"/>
        <w:numPr>
          <w:ilvl w:val="1"/>
          <w:numId w:val="273"/>
        </w:numPr>
        <w:tabs>
          <w:tab w:val="clear" w:pos="709"/>
          <w:tab w:val="left" w:pos="1418" w:leader="none"/>
        </w:tabs>
        <w:bidi w:val="0"/>
        <w:ind w:hanging="283" w:start="1418"/>
        <w:jc w:val="start"/>
        <w:rPr/>
      </w:pPr>
      <w:r>
        <w:rPr/>
        <w:t xml:space="preserve">(1.61 + 1.03) ÷ 2 = </w:t>
      </w:r>
      <w:r>
        <w:rPr>
          <w:b/>
        </w:rPr>
        <w:t>1.32</w:t>
      </w:r>
      <w:r>
        <w:rPr/>
        <w:t xml:space="preserve"> ≈ the 10-year average</w:t>
      </w:r>
    </w:p>
    <w:p>
      <w:pPr>
        <w:pStyle w:val="BodyText"/>
        <w:numPr>
          <w:ilvl w:val="0"/>
          <w:numId w:val="273"/>
        </w:numPr>
        <w:tabs>
          <w:tab w:val="clear" w:pos="709"/>
          <w:tab w:val="left" w:pos="709" w:leader="none"/>
        </w:tabs>
        <w:bidi w:val="0"/>
        <w:ind w:hanging="283" w:start="709"/>
        <w:jc w:val="start"/>
        <w:rPr/>
      </w:pPr>
      <w:r>
        <w:rPr>
          <w:b/>
        </w:rPr>
        <w:t>Average P/B = 1.32</w:t>
      </w:r>
      <w:r>
        <w:rPr/>
        <w:t xml:space="preserve"> → below 1.32 = cheap, above 1.32 = expensive. This alone is a very quick valuation test.</w:t>
      </w:r>
    </w:p>
    <w:p>
      <w:pPr>
        <w:pStyle w:val="BodyText"/>
        <w:numPr>
          <w:ilvl w:val="0"/>
          <w:numId w:val="273"/>
        </w:numPr>
        <w:tabs>
          <w:tab w:val="clear" w:pos="709"/>
          <w:tab w:val="left" w:pos="709" w:leader="none"/>
        </w:tabs>
        <w:bidi w:val="0"/>
        <w:ind w:hanging="283" w:start="709"/>
        <w:jc w:val="start"/>
        <w:rPr/>
      </w:pPr>
      <w:r>
        <w:rPr/>
        <w:t xml:space="preserve">Current book value per share (Yahoo Finance) = </w:t>
      </w:r>
      <w:r>
        <w:rPr>
          <w:b/>
        </w:rPr>
        <w:t>$2.27</w:t>
      </w:r>
    </w:p>
    <w:p>
      <w:pPr>
        <w:pStyle w:val="BodyText"/>
        <w:numPr>
          <w:ilvl w:val="0"/>
          <w:numId w:val="273"/>
        </w:numPr>
        <w:tabs>
          <w:tab w:val="clear" w:pos="709"/>
          <w:tab w:val="left" w:pos="709" w:leader="none"/>
        </w:tabs>
        <w:bidi w:val="0"/>
        <w:ind w:hanging="283" w:start="709"/>
        <w:jc w:val="start"/>
        <w:rPr/>
      </w:pPr>
      <w:r>
        <w:rPr>
          <w:b/>
        </w:rPr>
        <w:t>Fair value = 1.32 × 2.27 = $2.99</w:t>
      </w:r>
    </w:p>
    <w:p>
      <w:pPr>
        <w:pStyle w:val="BodyText"/>
        <w:numPr>
          <w:ilvl w:val="0"/>
          <w:numId w:val="273"/>
        </w:numPr>
        <w:tabs>
          <w:tab w:val="clear" w:pos="709"/>
          <w:tab w:val="left" w:pos="709" w:leader="none"/>
        </w:tabs>
        <w:bidi w:val="0"/>
        <w:ind w:hanging="283" w:start="709"/>
        <w:jc w:val="start"/>
        <w:rPr/>
      </w:pPr>
      <w:r>
        <w:rPr/>
        <w:t xml:space="preserve">Current price = </w:t>
      </w:r>
      <w:r>
        <w:rPr>
          <w:b/>
        </w:rPr>
        <w:t>$2.64</w:t>
      </w:r>
      <w:r>
        <w:rPr/>
        <w:t xml:space="preserve"> → </w:t>
      </w:r>
      <w:r>
        <w:rPr>
          <w:b/>
        </w:rPr>
        <w:t>undervalued</w:t>
      </w:r>
      <w:r>
        <w:rPr/>
        <w:t xml:space="preserve"> (below the $2.99 fair-value line)</w:t>
      </w:r>
    </w:p>
    <w:p>
      <w:pPr>
        <w:pStyle w:val="BodyText"/>
        <w:numPr>
          <w:ilvl w:val="0"/>
          <w:numId w:val="273"/>
        </w:numPr>
        <w:tabs>
          <w:tab w:val="clear" w:pos="709"/>
          <w:tab w:val="left" w:pos="709" w:leader="none"/>
        </w:tabs>
        <w:bidi w:val="0"/>
        <w:ind w:hanging="283" w:start="709"/>
        <w:jc w:val="start"/>
        <w:rPr/>
      </w:pPr>
      <w:r>
        <w:rPr>
          <w:b/>
        </w:rPr>
        <w:t>Yield check:</w:t>
      </w:r>
      <w:r>
        <w:rPr/>
        <w:t xml:space="preserve"> current dividend yield = </w:t>
      </w:r>
      <w:r>
        <w:rPr>
          <w:b/>
        </w:rPr>
        <w:t>5.759%</w:t>
      </w:r>
      <w:r>
        <w:rPr/>
        <w:t>, better than the 5% requirement → also attractive</w:t>
      </w:r>
    </w:p>
    <w:p>
      <w:pPr>
        <w:pStyle w:val="BodyText"/>
        <w:numPr>
          <w:ilvl w:val="0"/>
          <w:numId w:val="273"/>
        </w:numPr>
        <w:tabs>
          <w:tab w:val="clear" w:pos="709"/>
          <w:tab w:val="left" w:pos="709" w:leader="none"/>
        </w:tabs>
        <w:bidi w:val="0"/>
        <w:ind w:hanging="283" w:start="709"/>
        <w:jc w:val="start"/>
        <w:rPr/>
      </w:pPr>
      <w:r>
        <w:rPr>
          <w:b/>
        </w:rPr>
        <w:t>Conclusion:</w:t>
      </w:r>
      <w:r>
        <w:rPr/>
        <w:t xml:space="preserve"> attractive on both the price-to-book and the yield test.</w:t>
      </w:r>
    </w:p>
    <w:p>
      <w:pPr>
        <w:pStyle w:val="HorizontalLine"/>
        <w:bidi w:val="0"/>
        <w:jc w:val="start"/>
        <w:rPr/>
      </w:pPr>
      <w:r>
        <w:rPr/>
      </w:r>
    </w:p>
    <w:p>
      <w:pPr>
        <w:pStyle w:val="Heading3"/>
        <w:bidi w:val="0"/>
        <w:ind w:hanging="0" w:start="0"/>
        <w:jc w:val="start"/>
        <w:rPr/>
      </w:pPr>
      <w:r>
        <w:rPr/>
        <w:t>10. Method 5 — Price to Sales (P/S) and Price to Sales Growth (PSG)</w:t>
      </w:r>
    </w:p>
    <w:p>
      <w:pPr>
        <w:pStyle w:val="Heading4"/>
        <w:bidi w:val="0"/>
        <w:ind w:hanging="0" w:start="0"/>
        <w:jc w:val="start"/>
        <w:rPr/>
      </w:pPr>
      <w:r>
        <w:rPr/>
        <w:t>10.1 When to use</w:t>
      </w:r>
    </w:p>
    <w:p>
      <w:pPr>
        <w:pStyle w:val="BodyText"/>
        <w:bidi w:val="0"/>
        <w:jc w:val="start"/>
        <w:rPr/>
      </w:pPr>
      <w:r>
        <w:rPr/>
        <w:t xml:space="preserve">Values a company on </w:t>
      </w:r>
      <w:r>
        <w:rPr>
          <w:b/>
        </w:rPr>
        <w:t>revenue</w:t>
      </w:r>
      <w:r>
        <w:rPr/>
        <w:t xml:space="preserve"> — not profits, not cash flow. Two circumstances:</w:t>
      </w:r>
    </w:p>
    <w:p>
      <w:pPr>
        <w:pStyle w:val="BodyText"/>
        <w:numPr>
          <w:ilvl w:val="0"/>
          <w:numId w:val="274"/>
        </w:numPr>
        <w:tabs>
          <w:tab w:val="clear" w:pos="709"/>
          <w:tab w:val="left" w:pos="709" w:leader="none"/>
        </w:tabs>
        <w:bidi w:val="0"/>
        <w:ind w:hanging="283" w:start="709"/>
        <w:jc w:val="start"/>
        <w:rPr/>
      </w:pPr>
      <w:r>
        <w:rPr>
          <w:b/>
        </w:rPr>
        <w:t>Speculative growth stocks that are not yet profitable</w:t>
      </w:r>
      <w:r>
        <w:rPr/>
        <w:t xml:space="preserve"> — revenue is growing but the company has not reached economies of scale. One day it could be profitable, so you might take a small position first.</w:t>
      </w:r>
    </w:p>
    <w:p>
      <w:pPr>
        <w:pStyle w:val="BodyText"/>
        <w:numPr>
          <w:ilvl w:val="0"/>
          <w:numId w:val="274"/>
        </w:numPr>
        <w:tabs>
          <w:tab w:val="clear" w:pos="709"/>
          <w:tab w:val="left" w:pos="709" w:leader="none"/>
        </w:tabs>
        <w:bidi w:val="0"/>
        <w:spacing w:before="0" w:after="0"/>
        <w:ind w:hanging="283" w:start="709"/>
        <w:jc w:val="start"/>
        <w:rPr/>
      </w:pPr>
      <w:r>
        <w:rPr>
          <w:b/>
        </w:rPr>
        <w:t>Highly cyclical companies</w:t>
      </w:r>
      <w:r>
        <w:rPr/>
        <w:t xml:space="preserve"> whose profits swing up and down with the economic cycle:</w:t>
      </w:r>
    </w:p>
    <w:p>
      <w:pPr>
        <w:pStyle w:val="BodyText"/>
        <w:numPr>
          <w:ilvl w:val="1"/>
          <w:numId w:val="274"/>
        </w:numPr>
        <w:tabs>
          <w:tab w:val="clear" w:pos="709"/>
          <w:tab w:val="left" w:pos="1418" w:leader="none"/>
        </w:tabs>
        <w:bidi w:val="0"/>
        <w:ind w:hanging="283" w:start="1418"/>
        <w:jc w:val="start"/>
        <w:rPr/>
      </w:pPr>
      <w:r>
        <w:rPr>
          <w:b/>
        </w:rPr>
        <w:t>Property developers</w:t>
      </w:r>
    </w:p>
    <w:p>
      <w:pPr>
        <w:pStyle w:val="BodyText"/>
        <w:numPr>
          <w:ilvl w:val="1"/>
          <w:numId w:val="274"/>
        </w:numPr>
        <w:tabs>
          <w:tab w:val="clear" w:pos="709"/>
          <w:tab w:val="left" w:pos="1418" w:leader="none"/>
        </w:tabs>
        <w:bidi w:val="0"/>
        <w:ind w:hanging="283" w:start="1418"/>
        <w:jc w:val="start"/>
        <w:rPr/>
      </w:pPr>
      <w:r>
        <w:rPr>
          <w:b/>
        </w:rPr>
        <w:t>Construction companies</w:t>
      </w:r>
    </w:p>
    <w:p>
      <w:pPr>
        <w:pStyle w:val="BodyText"/>
        <w:numPr>
          <w:ilvl w:val="1"/>
          <w:numId w:val="274"/>
        </w:numPr>
        <w:tabs>
          <w:tab w:val="clear" w:pos="709"/>
          <w:tab w:val="left" w:pos="1418" w:leader="none"/>
        </w:tabs>
        <w:bidi w:val="0"/>
        <w:ind w:hanging="283" w:start="1418"/>
        <w:jc w:val="start"/>
        <w:rPr/>
      </w:pPr>
      <w:r>
        <w:rPr>
          <w:b/>
        </w:rPr>
        <w:t>Shipping companies</w:t>
      </w:r>
    </w:p>
    <w:p>
      <w:pPr>
        <w:pStyle w:val="BodyText"/>
        <w:numPr>
          <w:ilvl w:val="1"/>
          <w:numId w:val="274"/>
        </w:numPr>
        <w:tabs>
          <w:tab w:val="clear" w:pos="709"/>
          <w:tab w:val="left" w:pos="1418" w:leader="none"/>
        </w:tabs>
        <w:bidi w:val="0"/>
        <w:ind w:hanging="283" w:start="1418"/>
        <w:jc w:val="start"/>
        <w:rPr/>
      </w:pPr>
      <w:r>
        <w:rPr>
          <w:b/>
        </w:rPr>
        <w:t>Commodity companies</w:t>
      </w:r>
    </w:p>
    <w:p>
      <w:pPr>
        <w:pStyle w:val="BodyText"/>
        <w:numPr>
          <w:ilvl w:val="1"/>
          <w:numId w:val="274"/>
        </w:numPr>
        <w:tabs>
          <w:tab w:val="clear" w:pos="709"/>
          <w:tab w:val="left" w:pos="1418" w:leader="none"/>
        </w:tabs>
        <w:bidi w:val="0"/>
        <w:ind w:hanging="283" w:start="1418"/>
        <w:jc w:val="start"/>
        <w:rPr/>
      </w:pPr>
      <w:r>
        <w:rPr>
          <w:b/>
        </w:rPr>
        <w:t>Utility companies</w:t>
      </w:r>
    </w:p>
    <w:p>
      <w:pPr>
        <w:pStyle w:val="BodyText"/>
        <w:numPr>
          <w:ilvl w:val="1"/>
          <w:numId w:val="274"/>
        </w:numPr>
        <w:tabs>
          <w:tab w:val="clear" w:pos="709"/>
          <w:tab w:val="left" w:pos="1418" w:leader="none"/>
        </w:tabs>
        <w:bidi w:val="0"/>
        <w:ind w:hanging="283" w:start="1418"/>
        <w:jc w:val="start"/>
        <w:rPr/>
      </w:pPr>
      <w:r>
        <w:rPr/>
        <w:t>(Also the only method available for something like Singapore Airlines — see §5.6, the "mean price to sales ratio method.")</w:t>
      </w:r>
    </w:p>
    <w:p>
      <w:pPr>
        <w:pStyle w:val="BodyText"/>
        <w:numPr>
          <w:ilvl w:val="0"/>
          <w:numId w:val="275"/>
        </w:numPr>
        <w:tabs>
          <w:tab w:val="clear" w:pos="709"/>
          <w:tab w:val="left" w:pos="709" w:leader="none"/>
        </w:tabs>
        <w:bidi w:val="0"/>
        <w:ind w:hanging="283" w:start="709"/>
        <w:jc w:val="start"/>
        <w:rPr/>
      </w:pPr>
      <w:r>
        <w:rPr/>
        <w:t xml:space="preserve">In these cases PE ratio and discounted net income / discounted cash flow </w:t>
      </w:r>
      <w:r>
        <w:rPr>
          <w:b/>
        </w:rPr>
        <w:t>do not work</w:t>
      </w:r>
      <w:r>
        <w:rPr/>
        <w:t>.</w:t>
      </w:r>
    </w:p>
    <w:p>
      <w:pPr>
        <w:pStyle w:val="Heading4"/>
        <w:numPr>
          <w:ilvl w:val="0"/>
          <w:numId w:val="0"/>
        </w:numPr>
        <w:bidi w:val="0"/>
        <w:ind w:hanging="0" w:start="0"/>
        <w:jc w:val="start"/>
        <w:rPr/>
      </w:pPr>
      <w:r>
        <w:rPr/>
        <w:t>10.2 Formulas</w:t>
      </w:r>
    </w:p>
    <w:p>
      <w:pPr>
        <w:pStyle w:val="PreformattedText"/>
        <w:shd w:fill="E1E1E1" w:val="clear"/>
        <w:bidi w:val="0"/>
        <w:spacing w:before="0" w:after="283"/>
        <w:jc w:val="start"/>
        <w:rPr/>
      </w:pPr>
      <w:r>
        <w:rPr/>
        <w:t>Price to Sales ratio = Share price ÷ Revenue per share</w:t>
        <w:br/>
        <w:t>Fair value = (5-year average P/S ratio) × (current revenue per share)</w:t>
      </w:r>
    </w:p>
    <w:p>
      <w:pPr>
        <w:pStyle w:val="BodyText"/>
        <w:numPr>
          <w:ilvl w:val="0"/>
          <w:numId w:val="276"/>
        </w:numPr>
        <w:tabs>
          <w:tab w:val="clear" w:pos="709"/>
          <w:tab w:val="left" w:pos="709" w:leader="none"/>
        </w:tabs>
        <w:bidi w:val="0"/>
        <w:ind w:hanging="283" w:start="709"/>
        <w:jc w:val="start"/>
        <w:rPr/>
      </w:pPr>
      <w:r>
        <w:rPr/>
        <w:t>No need to calculate P/S manually — available on any financial website including StockOracle (</w:t>
      </w:r>
      <w:r>
        <w:rPr>
          <w:b/>
        </w:rPr>
        <w:t>Company Metrics → Price Ratios</w:t>
      </w:r>
      <w:r>
        <w:rPr/>
        <w:t>).</w:t>
      </w:r>
    </w:p>
    <w:p>
      <w:pPr>
        <w:pStyle w:val="BodyText"/>
        <w:numPr>
          <w:ilvl w:val="0"/>
          <w:numId w:val="276"/>
        </w:numPr>
        <w:tabs>
          <w:tab w:val="clear" w:pos="709"/>
          <w:tab w:val="left" w:pos="709" w:leader="none"/>
        </w:tabs>
        <w:bidi w:val="0"/>
        <w:ind w:hanging="283" w:start="709"/>
        <w:jc w:val="start"/>
        <w:rPr/>
      </w:pPr>
      <w:r>
        <w:rPr/>
        <w:t xml:space="preserve">Quick read: </w:t>
      </w:r>
      <w:r>
        <w:rPr>
          <w:b/>
        </w:rPr>
        <w:t>current P/S above the 5-year average → overvalued; below the 5-year average → undervalued.</w:t>
      </w:r>
    </w:p>
    <w:p>
      <w:pPr>
        <w:pStyle w:val="Heading4"/>
        <w:numPr>
          <w:ilvl w:val="0"/>
          <w:numId w:val="0"/>
        </w:numPr>
        <w:bidi w:val="0"/>
        <w:ind w:hanging="0" w:start="0"/>
        <w:jc w:val="start"/>
        <w:rPr/>
      </w:pPr>
      <w:r>
        <w:rPr/>
        <w:t>10.3 WORKED EXAMPLE — Constellation Energy (CEG)</w:t>
      </w:r>
    </w:p>
    <w:p>
      <w:pPr>
        <w:pStyle w:val="BodyText"/>
        <w:bidi w:val="0"/>
        <w:jc w:val="start"/>
        <w:rPr/>
      </w:pPr>
      <w:r>
        <w:rPr>
          <w:b/>
        </w:rPr>
        <w:t>Why P/S:</w:t>
      </w:r>
      <w:r>
        <w:rPr/>
        <w:t xml:space="preserve"> on the financials bar chart, net profit (green) goes up, down, down, up, down — </w:t>
      </w:r>
      <w:r>
        <w:rPr>
          <w:b/>
        </w:rPr>
        <w:t>very inconsistent</w:t>
      </w:r>
      <w:r>
        <w:rPr/>
        <w:t>, unlike Microsoft or Apple. PE ratio, discounted income and discounted cash flow do not work.</w:t>
      </w:r>
    </w:p>
    <w:p>
      <w:pPr>
        <w:pStyle w:val="BodyText"/>
        <w:numPr>
          <w:ilvl w:val="0"/>
          <w:numId w:val="277"/>
        </w:numPr>
        <w:tabs>
          <w:tab w:val="clear" w:pos="709"/>
          <w:tab w:val="left" w:pos="709" w:leader="none"/>
        </w:tabs>
        <w:bidi w:val="0"/>
        <w:spacing w:before="0" w:after="0"/>
        <w:ind w:hanging="283" w:start="709"/>
        <w:jc w:val="start"/>
        <w:rPr/>
      </w:pPr>
      <w:r>
        <w:rPr/>
        <w:t>P/S history (StockOracle → Company Metrics → Price Ratios):</w:t>
      </w:r>
    </w:p>
    <w:p>
      <w:pPr>
        <w:pStyle w:val="BodyText"/>
        <w:numPr>
          <w:ilvl w:val="1"/>
          <w:numId w:val="277"/>
        </w:numPr>
        <w:tabs>
          <w:tab w:val="clear" w:pos="709"/>
          <w:tab w:val="left" w:pos="1418" w:leader="none"/>
        </w:tabs>
        <w:bidi w:val="0"/>
        <w:ind w:hanging="283" w:start="1418"/>
        <w:jc w:val="start"/>
        <w:rPr/>
      </w:pPr>
      <w:r>
        <w:rPr/>
        <w:t xml:space="preserve">2022 = </w:t>
      </w:r>
      <w:r>
        <w:rPr>
          <w:b/>
        </w:rPr>
        <w:t>1.16</w:t>
      </w:r>
    </w:p>
    <w:p>
      <w:pPr>
        <w:pStyle w:val="BodyText"/>
        <w:numPr>
          <w:ilvl w:val="1"/>
          <w:numId w:val="277"/>
        </w:numPr>
        <w:tabs>
          <w:tab w:val="clear" w:pos="709"/>
          <w:tab w:val="left" w:pos="1418" w:leader="none"/>
        </w:tabs>
        <w:bidi w:val="0"/>
        <w:ind w:hanging="283" w:start="1418"/>
        <w:jc w:val="start"/>
        <w:rPr/>
      </w:pPr>
      <w:r>
        <w:rPr/>
        <w:t xml:space="preserve">2023 = </w:t>
      </w:r>
      <w:r>
        <w:rPr>
          <w:b/>
        </w:rPr>
        <w:t>1.79</w:t>
      </w:r>
    </w:p>
    <w:p>
      <w:pPr>
        <w:pStyle w:val="BodyText"/>
        <w:numPr>
          <w:ilvl w:val="1"/>
          <w:numId w:val="277"/>
        </w:numPr>
        <w:tabs>
          <w:tab w:val="clear" w:pos="709"/>
          <w:tab w:val="left" w:pos="1418" w:leader="none"/>
        </w:tabs>
        <w:bidi w:val="0"/>
        <w:ind w:hanging="283" w:start="1418"/>
        <w:jc w:val="start"/>
        <w:rPr/>
      </w:pPr>
      <w:r>
        <w:rPr/>
        <w:t xml:space="preserve">2024 = </w:t>
      </w:r>
      <w:r>
        <w:rPr>
          <w:b/>
        </w:rPr>
        <w:t>2.99</w:t>
      </w:r>
    </w:p>
    <w:p>
      <w:pPr>
        <w:pStyle w:val="BodyText"/>
        <w:numPr>
          <w:ilvl w:val="1"/>
          <w:numId w:val="277"/>
        </w:numPr>
        <w:tabs>
          <w:tab w:val="clear" w:pos="709"/>
          <w:tab w:val="left" w:pos="1418" w:leader="none"/>
        </w:tabs>
        <w:bidi w:val="0"/>
        <w:ind w:hanging="283" w:start="1418"/>
        <w:jc w:val="start"/>
        <w:rPr/>
      </w:pPr>
      <w:r>
        <w:rPr/>
        <w:t xml:space="preserve">2025 = </w:t>
      </w:r>
      <w:r>
        <w:rPr>
          <w:b/>
        </w:rPr>
        <w:t>4.13</w:t>
      </w:r>
    </w:p>
    <w:p>
      <w:pPr>
        <w:pStyle w:val="BodyText"/>
        <w:numPr>
          <w:ilvl w:val="1"/>
          <w:numId w:val="277"/>
        </w:numPr>
        <w:tabs>
          <w:tab w:val="clear" w:pos="709"/>
          <w:tab w:val="left" w:pos="1418" w:leader="none"/>
        </w:tabs>
        <w:bidi w:val="0"/>
        <w:ind w:hanging="283" w:start="1418"/>
        <w:jc w:val="start"/>
        <w:rPr/>
      </w:pPr>
      <w:r>
        <w:rPr/>
        <w:t xml:space="preserve">Most recent = </w:t>
      </w:r>
      <w:r>
        <w:rPr>
          <w:b/>
        </w:rPr>
        <w:t>3.71</w:t>
      </w:r>
    </w:p>
    <w:p>
      <w:pPr>
        <w:pStyle w:val="BodyText"/>
        <w:numPr>
          <w:ilvl w:val="0"/>
          <w:numId w:val="277"/>
        </w:numPr>
        <w:tabs>
          <w:tab w:val="clear" w:pos="709"/>
          <w:tab w:val="left" w:pos="709" w:leader="none"/>
        </w:tabs>
        <w:bidi w:val="0"/>
        <w:ind w:hanging="283" w:start="709"/>
        <w:jc w:val="start"/>
        <w:rPr/>
      </w:pPr>
      <w:r>
        <w:rPr>
          <w:b/>
        </w:rPr>
        <w:t>5-year average P/S = 2.52</w:t>
      </w:r>
    </w:p>
    <w:p>
      <w:pPr>
        <w:pStyle w:val="BodyText"/>
        <w:numPr>
          <w:ilvl w:val="0"/>
          <w:numId w:val="277"/>
        </w:numPr>
        <w:tabs>
          <w:tab w:val="clear" w:pos="709"/>
          <w:tab w:val="left" w:pos="709" w:leader="none"/>
        </w:tabs>
        <w:bidi w:val="0"/>
        <w:ind w:hanging="283" w:start="709"/>
        <w:jc w:val="start"/>
        <w:rPr/>
      </w:pPr>
      <w:r>
        <w:rPr/>
        <w:t xml:space="preserve">Current P/S </w:t>
      </w:r>
      <w:r>
        <w:rPr>
          <w:b/>
        </w:rPr>
        <w:t>3.71 &gt; 2.52</w:t>
      </w:r>
      <w:r>
        <w:rPr/>
        <w:t xml:space="preserve"> → </w:t>
      </w:r>
      <w:r>
        <w:rPr>
          <w:b/>
        </w:rPr>
        <w:t>already tells you it is overvalued</w:t>
      </w:r>
    </w:p>
    <w:p>
      <w:pPr>
        <w:pStyle w:val="BodyText"/>
        <w:numPr>
          <w:ilvl w:val="0"/>
          <w:numId w:val="277"/>
        </w:numPr>
        <w:tabs>
          <w:tab w:val="clear" w:pos="709"/>
          <w:tab w:val="left" w:pos="709" w:leader="none"/>
        </w:tabs>
        <w:bidi w:val="0"/>
        <w:ind w:hanging="283" w:start="709"/>
        <w:jc w:val="start"/>
        <w:rPr/>
      </w:pPr>
      <w:r>
        <w:rPr/>
        <w:t xml:space="preserve">Revenue per share, last 12 months (StockOracle → Overview) = </w:t>
      </w:r>
      <w:r>
        <w:rPr>
          <w:b/>
        </w:rPr>
        <w:t>$85.77</w:t>
      </w:r>
    </w:p>
    <w:p>
      <w:pPr>
        <w:pStyle w:val="BodyText"/>
        <w:numPr>
          <w:ilvl w:val="0"/>
          <w:numId w:val="277"/>
        </w:numPr>
        <w:tabs>
          <w:tab w:val="clear" w:pos="709"/>
          <w:tab w:val="left" w:pos="709" w:leader="none"/>
        </w:tabs>
        <w:bidi w:val="0"/>
        <w:ind w:hanging="283" w:start="709"/>
        <w:jc w:val="start"/>
        <w:rPr/>
      </w:pPr>
      <w:r>
        <w:rPr>
          <w:b/>
        </w:rPr>
        <w:t>Fair value = 2.52 × 85.77 ≈ $216</w:t>
      </w:r>
    </w:p>
    <w:p>
      <w:pPr>
        <w:pStyle w:val="BodyText"/>
        <w:numPr>
          <w:ilvl w:val="0"/>
          <w:numId w:val="277"/>
        </w:numPr>
        <w:tabs>
          <w:tab w:val="clear" w:pos="709"/>
          <w:tab w:val="left" w:pos="709" w:leader="none"/>
        </w:tabs>
        <w:bidi w:val="0"/>
        <w:ind w:hanging="283" w:start="709"/>
        <w:jc w:val="start"/>
        <w:rPr/>
      </w:pPr>
      <w:r>
        <w:rPr/>
        <w:t xml:space="preserve">Current share price = </w:t>
      </w:r>
      <w:r>
        <w:rPr>
          <w:b/>
        </w:rPr>
        <w:t>$317</w:t>
      </w:r>
      <w:r>
        <w:rPr/>
        <w:t xml:space="preserve"> → </w:t>
      </w:r>
      <w:r>
        <w:rPr>
          <w:b/>
        </w:rPr>
        <w:t>overvalued</w:t>
      </w:r>
    </w:p>
    <w:p>
      <w:pPr>
        <w:pStyle w:val="Heading4"/>
        <w:numPr>
          <w:ilvl w:val="0"/>
          <w:numId w:val="0"/>
        </w:numPr>
        <w:bidi w:val="0"/>
        <w:ind w:hanging="0" w:start="0"/>
        <w:jc w:val="start"/>
        <w:rPr/>
      </w:pPr>
      <w:r>
        <w:rPr/>
        <w:t>10.4 Price to Sales Growth (PSG) ratio</w:t>
      </w:r>
    </w:p>
    <w:p>
      <w:pPr>
        <w:pStyle w:val="BodyText"/>
        <w:numPr>
          <w:ilvl w:val="0"/>
          <w:numId w:val="278"/>
        </w:numPr>
        <w:tabs>
          <w:tab w:val="clear" w:pos="709"/>
          <w:tab w:val="left" w:pos="709" w:leader="none"/>
        </w:tabs>
        <w:bidi w:val="0"/>
        <w:ind w:hanging="283" w:start="709"/>
        <w:jc w:val="start"/>
        <w:rPr/>
      </w:pPr>
      <w:r>
        <w:rPr/>
        <w:t xml:space="preserve">The </w:t>
      </w:r>
      <w:r>
        <w:rPr>
          <w:b/>
        </w:rPr>
        <w:t>cousin of the PEG ratio</w:t>
      </w:r>
      <w:r>
        <w:rPr/>
        <w:t xml:space="preserve"> — not commonly used, but useful for </w:t>
      </w:r>
      <w:r>
        <w:rPr>
          <w:b/>
        </w:rPr>
        <w:t>speculative growth companies with very high revenue growth (50%, 100%, 200%) that are not yet profitable</w:t>
      </w:r>
      <w:r>
        <w:rPr/>
        <w:t>.</w:t>
      </w:r>
    </w:p>
    <w:p>
      <w:pPr>
        <w:pStyle w:val="PreformattedText"/>
        <w:shd w:fill="E1E1E1" w:val="clear"/>
        <w:bidi w:val="0"/>
        <w:spacing w:before="0" w:after="283"/>
        <w:jc w:val="start"/>
        <w:rPr/>
      </w:pPr>
      <w:r>
        <w:rPr/>
        <w:t>PSG ratio = Price to Sales ratio ÷ projected revenue growth rate (%)</w:t>
      </w:r>
    </w:p>
    <w:p>
      <w:pPr>
        <w:pStyle w:val="BodyText"/>
        <w:bidi w:val="0"/>
        <w:jc w:val="start"/>
        <w:rPr/>
      </w:pPr>
      <w:r>
        <w:rPr>
          <w:b/>
        </w:rPr>
        <w:t>Thresholds:</w:t>
      </w:r>
    </w:p>
    <w:tbl>
      <w:tblPr>
        <w:tblW w:w="5000" w:type="pct"/>
        <w:jc w:val="start"/>
        <w:tblInd w:w="-5" w:type="dxa"/>
        <w:tblLayout w:type="fixed"/>
        <w:tblCellMar>
          <w:top w:w="55" w:type="dxa"/>
          <w:start w:w="55" w:type="dxa"/>
          <w:bottom w:w="55" w:type="dxa"/>
          <w:end w:w="55" w:type="dxa"/>
        </w:tblCellMar>
      </w:tblPr>
      <w:tblGrid>
        <w:gridCol w:w="4819"/>
        <w:gridCol w:w="4819"/>
      </w:tblGrid>
      <w:tr>
        <w:trPr>
          <w:tblHeader w:val="true"/>
        </w:trPr>
        <w:tc>
          <w:tcPr>
            <w:tcW w:w="4819" w:type="dxa"/>
            <w:tcBorders>
              <w:top w:val="single" w:sz="4" w:space="0" w:color="000000"/>
              <w:start w:val="single" w:sz="4" w:space="0" w:color="000000"/>
              <w:bottom w:val="single" w:sz="4" w:space="0" w:color="000000"/>
            </w:tcBorders>
          </w:tcPr>
          <w:p>
            <w:pPr>
              <w:pStyle w:val="TableHeading"/>
              <w:bidi w:val="0"/>
              <w:jc w:val="start"/>
              <w:rPr/>
            </w:pPr>
            <w:r>
              <w:rPr/>
              <w:t>PSG</w:t>
            </w:r>
          </w:p>
        </w:tc>
        <w:tc>
          <w:tcPr>
            <w:tcW w:w="4819"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Verdict</w:t>
            </w:r>
          </w:p>
        </w:tc>
      </w:tr>
      <w:tr>
        <w:trPr/>
        <w:tc>
          <w:tcPr>
            <w:tcW w:w="4819" w:type="dxa"/>
            <w:tcBorders>
              <w:start w:val="single" w:sz="4" w:space="0" w:color="000000"/>
              <w:bottom w:val="single" w:sz="4" w:space="0" w:color="000000"/>
            </w:tcBorders>
          </w:tcPr>
          <w:p>
            <w:pPr>
              <w:pStyle w:val="TableContents"/>
              <w:bidi w:val="0"/>
              <w:jc w:val="start"/>
              <w:rPr/>
            </w:pPr>
            <w:r>
              <w:rPr>
                <w:b/>
              </w:rPr>
              <w:t>0.2 – 0.3</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Fairly priced</w:t>
            </w:r>
          </w:p>
        </w:tc>
      </w:tr>
      <w:tr>
        <w:trPr/>
        <w:tc>
          <w:tcPr>
            <w:tcW w:w="4819" w:type="dxa"/>
            <w:tcBorders>
              <w:start w:val="single" w:sz="4" w:space="0" w:color="000000"/>
              <w:bottom w:val="single" w:sz="4" w:space="0" w:color="000000"/>
            </w:tcBorders>
          </w:tcPr>
          <w:p>
            <w:pPr>
              <w:pStyle w:val="TableContents"/>
              <w:bidi w:val="0"/>
              <w:jc w:val="start"/>
              <w:rPr/>
            </w:pPr>
            <w:r>
              <w:rPr>
                <w:b/>
              </w:rPr>
              <w:t>Above 0.3</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Overvalued</w:t>
            </w:r>
          </w:p>
        </w:tc>
      </w:tr>
      <w:tr>
        <w:trPr/>
        <w:tc>
          <w:tcPr>
            <w:tcW w:w="4819" w:type="dxa"/>
            <w:tcBorders>
              <w:start w:val="single" w:sz="4" w:space="0" w:color="000000"/>
              <w:bottom w:val="single" w:sz="4" w:space="0" w:color="000000"/>
            </w:tcBorders>
          </w:tcPr>
          <w:p>
            <w:pPr>
              <w:pStyle w:val="TableContents"/>
              <w:bidi w:val="0"/>
              <w:jc w:val="start"/>
              <w:rPr/>
            </w:pPr>
            <w:r>
              <w:rPr>
                <w:b/>
              </w:rPr>
              <w:t>Below 0.2</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Undervalued</w:t>
            </w:r>
          </w:p>
        </w:tc>
      </w:tr>
    </w:tbl>
    <w:p>
      <w:pPr>
        <w:pStyle w:val="BodyText"/>
        <w:bidi w:val="0"/>
        <w:jc w:val="start"/>
        <w:rPr/>
      </w:pPr>
      <w:r>
        <w:rPr/>
      </w:r>
    </w:p>
    <w:p>
      <w:pPr>
        <w:pStyle w:val="Heading4"/>
        <w:bidi w:val="0"/>
        <w:ind w:hanging="0" w:start="0"/>
        <w:jc w:val="start"/>
        <w:rPr/>
      </w:pPr>
      <w:r>
        <w:rPr/>
        <w:t>10.5 WORKED EXAMPLE — Nebius (NBIS)</w:t>
      </w:r>
    </w:p>
    <w:p>
      <w:pPr>
        <w:pStyle w:val="BodyText"/>
        <w:bidi w:val="0"/>
        <w:jc w:val="start"/>
        <w:rPr/>
      </w:pPr>
      <w:r>
        <w:rPr>
          <w:b/>
        </w:rPr>
        <w:t>Profile:</w:t>
      </w:r>
      <w:r>
        <w:rPr/>
        <w:t xml:space="preserve"> revenue growing "like crazy" but the company is </w:t>
      </w:r>
      <w:r>
        <w:rPr>
          <w:b/>
        </w:rPr>
        <w:t>losing money</w:t>
      </w:r>
      <w:r>
        <w:rPr/>
        <w:t>.</w:t>
      </w:r>
    </w:p>
    <w:p>
      <w:pPr>
        <w:pStyle w:val="BodyText"/>
        <w:numPr>
          <w:ilvl w:val="0"/>
          <w:numId w:val="279"/>
        </w:numPr>
        <w:tabs>
          <w:tab w:val="clear" w:pos="709"/>
          <w:tab w:val="left" w:pos="709" w:leader="none"/>
        </w:tabs>
        <w:bidi w:val="0"/>
        <w:ind w:hanging="283" w:start="709"/>
        <w:jc w:val="start"/>
        <w:rPr/>
      </w:pPr>
      <w:r>
        <w:rPr/>
        <w:t xml:space="preserve">Projected revenue growth rate (StockOracle → Company Metrics → Growth Rates → </w:t>
      </w:r>
      <w:r>
        <w:rPr>
          <w:b/>
        </w:rPr>
        <w:t>Projected Revenue Growth Rate</w:t>
      </w:r>
      <w:r>
        <w:rPr/>
        <w:t xml:space="preserve">) = </w:t>
      </w:r>
      <w:r>
        <w:rPr>
          <w:b/>
        </w:rPr>
        <w:t>144.5%</w:t>
      </w:r>
      <w:r>
        <w:rPr/>
        <w:t xml:space="preserve"> (stated as ~144%)</w:t>
      </w:r>
    </w:p>
    <w:p>
      <w:pPr>
        <w:pStyle w:val="BodyText"/>
        <w:numPr>
          <w:ilvl w:val="0"/>
          <w:numId w:val="279"/>
        </w:numPr>
        <w:tabs>
          <w:tab w:val="clear" w:pos="709"/>
          <w:tab w:val="left" w:pos="709" w:leader="none"/>
        </w:tabs>
        <w:bidi w:val="0"/>
        <w:ind w:hanging="283" w:start="709"/>
        <w:jc w:val="start"/>
        <w:rPr/>
      </w:pPr>
      <w:r>
        <w:rPr/>
        <w:t xml:space="preserve">Latest </w:t>
      </w:r>
      <w:r>
        <w:rPr>
          <w:b/>
        </w:rPr>
        <w:t>Price to Sales ratio</w:t>
      </w:r>
      <w:r>
        <w:rPr/>
        <w:t xml:space="preserve"> (Company Metrics → Price Ratios) = </w:t>
      </w:r>
      <w:r>
        <w:rPr>
          <w:b/>
        </w:rPr>
        <w:t>48.72</w:t>
      </w:r>
    </w:p>
    <w:p>
      <w:pPr>
        <w:pStyle w:val="BodyText"/>
        <w:numPr>
          <w:ilvl w:val="0"/>
          <w:numId w:val="279"/>
        </w:numPr>
        <w:tabs>
          <w:tab w:val="clear" w:pos="709"/>
          <w:tab w:val="left" w:pos="709" w:leader="none"/>
        </w:tabs>
        <w:bidi w:val="0"/>
        <w:ind w:hanging="283" w:start="709"/>
        <w:jc w:val="start"/>
        <w:rPr/>
      </w:pPr>
      <w:r>
        <w:rPr>
          <w:b/>
        </w:rPr>
        <w:t>PSG = 48.72 ÷ 144.5 = 0.34</w:t>
      </w:r>
      <w:r>
        <w:rPr/>
        <w:t xml:space="preserve"> (StockOracle also calculates this for you)</w:t>
      </w:r>
    </w:p>
    <w:p>
      <w:pPr>
        <w:pStyle w:val="BodyText"/>
        <w:numPr>
          <w:ilvl w:val="0"/>
          <w:numId w:val="279"/>
        </w:numPr>
        <w:tabs>
          <w:tab w:val="clear" w:pos="709"/>
          <w:tab w:val="left" w:pos="709" w:leader="none"/>
        </w:tabs>
        <w:bidi w:val="0"/>
        <w:ind w:hanging="283" w:start="709"/>
        <w:jc w:val="start"/>
        <w:rPr/>
      </w:pPr>
      <w:r>
        <w:rPr/>
        <w:t xml:space="preserve">0.34 is </w:t>
      </w:r>
      <w:r>
        <w:rPr>
          <w:b/>
        </w:rPr>
        <w:t>above 0.3</w:t>
      </w:r>
      <w:r>
        <w:rPr/>
        <w:t xml:space="preserve"> → </w:t>
      </w:r>
      <w:r>
        <w:rPr>
          <w:b/>
        </w:rPr>
        <w:t>slightly overvalued</w:t>
      </w:r>
    </w:p>
    <w:p>
      <w:pPr>
        <w:pStyle w:val="BodyText"/>
        <w:numPr>
          <w:ilvl w:val="0"/>
          <w:numId w:val="279"/>
        </w:numPr>
        <w:tabs>
          <w:tab w:val="clear" w:pos="709"/>
          <w:tab w:val="left" w:pos="709" w:leader="none"/>
        </w:tabs>
        <w:bidi w:val="0"/>
        <w:ind w:hanging="283" w:start="709"/>
        <w:jc w:val="start"/>
        <w:rPr/>
      </w:pPr>
      <w:r>
        <w:rPr>
          <w:b/>
        </w:rPr>
        <w:t>Buy trigger:</w:t>
      </w:r>
      <w:r>
        <w:rPr/>
        <w:t xml:space="preserve"> when PSG falls </w:t>
      </w:r>
      <w:r>
        <w:rPr>
          <w:b/>
        </w:rPr>
        <w:t>below 0.3</w:t>
      </w:r>
      <w:r>
        <w:rPr/>
        <w:t>, that would be at least a safe price to buy.</w:t>
      </w:r>
    </w:p>
    <w:p>
      <w:pPr>
        <w:pStyle w:val="HorizontalLine"/>
        <w:bidi w:val="0"/>
        <w:jc w:val="start"/>
        <w:rPr/>
      </w:pPr>
      <w:r>
        <w:rPr/>
      </w:r>
    </w:p>
    <w:p>
      <w:pPr>
        <w:pStyle w:val="Heading3"/>
        <w:bidi w:val="0"/>
        <w:ind w:hanging="0" w:start="0"/>
        <w:jc w:val="start"/>
        <w:rPr/>
      </w:pPr>
      <w:r>
        <w:rPr/>
        <w:t>11. Adam's Full Decision Sequence (as summarised in the lesson)</w:t>
      </w:r>
    </w:p>
    <w:p>
      <w:pPr>
        <w:pStyle w:val="BodyText"/>
        <w:numPr>
          <w:ilvl w:val="0"/>
          <w:numId w:val="280"/>
        </w:numPr>
        <w:tabs>
          <w:tab w:val="clear" w:pos="709"/>
          <w:tab w:val="left" w:pos="709" w:leader="none"/>
        </w:tabs>
        <w:bidi w:val="0"/>
        <w:ind w:hanging="283" w:start="709"/>
        <w:jc w:val="start"/>
        <w:rPr/>
      </w:pPr>
      <w:r>
        <w:rPr>
          <w:b/>
        </w:rPr>
        <w:t>Primary/default: DCF method.</w:t>
      </w:r>
      <w:r>
        <w:rPr/>
        <w:t xml:space="preserve"> Take the </w:t>
      </w:r>
      <w:r>
        <w:rPr>
          <w:b/>
        </w:rPr>
        <w:t>free cash flow of the last 12 months</w:t>
      </w:r>
      <w:r>
        <w:rPr/>
        <w:t xml:space="preserve">, project it </w:t>
      </w:r>
      <w:r>
        <w:rPr>
          <w:b/>
        </w:rPr>
        <w:t>20 years</w:t>
      </w:r>
      <w:r>
        <w:rPr/>
        <w:t>, discount to present value.</w:t>
      </w:r>
    </w:p>
    <w:p>
      <w:pPr>
        <w:pStyle w:val="BodyText"/>
        <w:numPr>
          <w:ilvl w:val="0"/>
          <w:numId w:val="280"/>
        </w:numPr>
        <w:tabs>
          <w:tab w:val="clear" w:pos="709"/>
          <w:tab w:val="left" w:pos="709" w:leader="none"/>
        </w:tabs>
        <w:bidi w:val="0"/>
        <w:ind w:hanging="283" w:start="709"/>
        <w:jc w:val="start"/>
        <w:rPr/>
      </w:pPr>
      <w:r>
        <w:rPr>
          <w:b/>
        </w:rPr>
        <w:t>If FCF is inconsistent because capex is inconsistent:</w:t>
      </w:r>
      <w:r>
        <w:rPr/>
        <w:t xml:space="preserve"> use </w:t>
      </w:r>
      <w:r>
        <w:rPr>
          <w:b/>
        </w:rPr>
        <w:t>latest 12-month CFO − 5-year average capex</w:t>
      </w:r>
      <w:r>
        <w:rPr/>
        <w:t xml:space="preserve"> = normalized FCF.</w:t>
      </w:r>
    </w:p>
    <w:p>
      <w:pPr>
        <w:pStyle w:val="BodyText"/>
        <w:numPr>
          <w:ilvl w:val="0"/>
          <w:numId w:val="280"/>
        </w:numPr>
        <w:tabs>
          <w:tab w:val="clear" w:pos="709"/>
          <w:tab w:val="left" w:pos="709" w:leader="none"/>
        </w:tabs>
        <w:bidi w:val="0"/>
        <w:ind w:hanging="283" w:start="709"/>
        <w:jc w:val="start"/>
        <w:rPr/>
      </w:pPr>
      <w:r>
        <w:rPr>
          <w:b/>
        </w:rPr>
        <w:t>Optionally use cash flow from operations directly</w:t>
      </w:r>
      <w:r>
        <w:rPr/>
        <w:t xml:space="preserve"> instead of FCF — </w:t>
      </w:r>
      <w:r>
        <w:rPr>
          <w:b/>
        </w:rPr>
        <w:t>only if CFO is very close to net income (not more than 20% above it)</w:t>
      </w:r>
      <w:r>
        <w:rPr/>
        <w:t>.</w:t>
      </w:r>
    </w:p>
    <w:p>
      <w:pPr>
        <w:pStyle w:val="BodyText"/>
        <w:numPr>
          <w:ilvl w:val="0"/>
          <w:numId w:val="280"/>
        </w:numPr>
        <w:tabs>
          <w:tab w:val="clear" w:pos="709"/>
          <w:tab w:val="left" w:pos="709" w:leader="none"/>
        </w:tabs>
        <w:bidi w:val="0"/>
        <w:ind w:hanging="283" w:start="709"/>
        <w:jc w:val="start"/>
        <w:rPr/>
      </w:pPr>
      <w:r>
        <w:rPr>
          <w:b/>
        </w:rPr>
        <w:t>Precondition for all of the above: cash flow from operations must be increasing consistently.</w:t>
      </w:r>
    </w:p>
    <w:p>
      <w:pPr>
        <w:pStyle w:val="BodyText"/>
        <w:numPr>
          <w:ilvl w:val="0"/>
          <w:numId w:val="280"/>
        </w:numPr>
        <w:tabs>
          <w:tab w:val="clear" w:pos="709"/>
          <w:tab w:val="left" w:pos="709" w:leader="none"/>
        </w:tabs>
        <w:bidi w:val="0"/>
        <w:ind w:hanging="283" w:start="709"/>
        <w:jc w:val="start"/>
        <w:rPr/>
      </w:pPr>
      <w:r>
        <w:rPr>
          <w:b/>
        </w:rPr>
        <w:t>If CFO is not consistently increasing → Discounted Net Income method</w:t>
      </w:r>
      <w:r>
        <w:rPr/>
        <w:t xml:space="preserve">, provided net income is consistently increasing. Typically </w:t>
      </w:r>
      <w:r>
        <w:rPr>
          <w:b/>
        </w:rPr>
        <w:t>financial stocks: insurance companies, asset managers, brokers, finance companies</w:t>
      </w:r>
      <w:r>
        <w:rPr/>
        <w:t>.</w:t>
      </w:r>
    </w:p>
    <w:p>
      <w:pPr>
        <w:pStyle w:val="BodyText"/>
        <w:numPr>
          <w:ilvl w:val="0"/>
          <w:numId w:val="280"/>
        </w:numPr>
        <w:tabs>
          <w:tab w:val="clear" w:pos="709"/>
          <w:tab w:val="left" w:pos="709" w:leader="none"/>
        </w:tabs>
        <w:bidi w:val="0"/>
        <w:ind w:hanging="283" w:start="709"/>
        <w:jc w:val="start"/>
        <w:rPr/>
      </w:pPr>
      <w:r>
        <w:rPr>
          <w:b/>
        </w:rPr>
        <w:t>Banks (special case) → Price to Book.</w:t>
      </w:r>
      <w:r>
        <w:rPr/>
        <w:t xml:space="preserve"> Fair value = </w:t>
      </w:r>
      <w:r>
        <w:rPr>
          <w:b/>
        </w:rPr>
        <w:t>5-year average P/B × current book value per share</w:t>
      </w:r>
      <w:r>
        <w:rPr/>
        <w:t>.</w:t>
      </w:r>
    </w:p>
    <w:p>
      <w:pPr>
        <w:pStyle w:val="BodyText"/>
        <w:numPr>
          <w:ilvl w:val="0"/>
          <w:numId w:val="280"/>
        </w:numPr>
        <w:tabs>
          <w:tab w:val="clear" w:pos="709"/>
          <w:tab w:val="left" w:pos="709" w:leader="none"/>
        </w:tabs>
        <w:bidi w:val="0"/>
        <w:ind w:hanging="283" w:start="709"/>
        <w:jc w:val="start"/>
        <w:rPr/>
      </w:pPr>
      <w:r>
        <w:rPr>
          <w:b/>
        </w:rPr>
        <w:t>REITs → Price to NAV/Book.</w:t>
      </w:r>
      <w:r>
        <w:rPr/>
        <w:t xml:space="preserve"> Fair value = </w:t>
      </w:r>
      <w:r>
        <w:rPr>
          <w:b/>
        </w:rPr>
        <w:t>5-year or 10-year average P/NAV × current NAV per share</w:t>
      </w:r>
      <w:r>
        <w:rPr/>
        <w:t xml:space="preserve">, plus a </w:t>
      </w:r>
      <w:r>
        <w:rPr>
          <w:b/>
        </w:rPr>
        <w:t>dividend yield check (target ≥ ~5%)</w:t>
      </w:r>
      <w:r>
        <w:rPr/>
        <w:t>.</w:t>
      </w:r>
    </w:p>
    <w:p>
      <w:pPr>
        <w:pStyle w:val="BodyText"/>
        <w:numPr>
          <w:ilvl w:val="0"/>
          <w:numId w:val="280"/>
        </w:numPr>
        <w:tabs>
          <w:tab w:val="clear" w:pos="709"/>
          <w:tab w:val="left" w:pos="709" w:leader="none"/>
        </w:tabs>
        <w:bidi w:val="0"/>
        <w:ind w:hanging="283" w:start="709"/>
        <w:jc w:val="start"/>
        <w:rPr/>
      </w:pPr>
      <w:r>
        <w:rPr>
          <w:b/>
        </w:rPr>
        <w:t>Companies with inconsistent profits (cyclicals) → Price to Sales ratio.</w:t>
      </w:r>
    </w:p>
    <w:p>
      <w:pPr>
        <w:pStyle w:val="BodyText"/>
        <w:numPr>
          <w:ilvl w:val="0"/>
          <w:numId w:val="280"/>
        </w:numPr>
        <w:tabs>
          <w:tab w:val="clear" w:pos="709"/>
          <w:tab w:val="left" w:pos="709" w:leader="none"/>
        </w:tabs>
        <w:bidi w:val="0"/>
        <w:ind w:hanging="283" w:start="709"/>
        <w:jc w:val="start"/>
        <w:rPr/>
      </w:pPr>
      <w:r>
        <w:rPr>
          <w:b/>
        </w:rPr>
        <w:t>Speculative growth stocks, high sales growth, unprofitable → Price to Sales Growth (PSG) ratio.</w:t>
      </w:r>
    </w:p>
    <w:p>
      <w:pPr>
        <w:pStyle w:val="BodyText"/>
        <w:numPr>
          <w:ilvl w:val="0"/>
          <w:numId w:val="280"/>
        </w:numPr>
        <w:tabs>
          <w:tab w:val="clear" w:pos="709"/>
          <w:tab w:val="left" w:pos="709" w:leader="none"/>
        </w:tabs>
        <w:bidi w:val="0"/>
        <w:ind w:hanging="283" w:start="709"/>
        <w:jc w:val="start"/>
        <w:rPr/>
      </w:pPr>
      <w:r>
        <w:rPr>
          <w:b/>
        </w:rPr>
        <w:t>Loss-making / distressed companies → Price to Book, ideally P/B ≤ 0.5.</w:t>
      </w:r>
    </w:p>
    <w:p>
      <w:pPr>
        <w:pStyle w:val="BodyText"/>
        <w:numPr>
          <w:ilvl w:val="0"/>
          <w:numId w:val="280"/>
        </w:numPr>
        <w:tabs>
          <w:tab w:val="clear" w:pos="709"/>
          <w:tab w:val="left" w:pos="709" w:leader="none"/>
        </w:tabs>
        <w:bidi w:val="0"/>
        <w:ind w:hanging="283" w:start="709"/>
        <w:jc w:val="start"/>
        <w:rPr/>
      </w:pPr>
      <w:r>
        <w:rPr>
          <w:b/>
        </w:rPr>
        <w:t>PEG ratio</w:t>
      </w:r>
      <w:r>
        <w:rPr/>
        <w:t xml:space="preserve"> sits outside this sequence as a </w:t>
      </w:r>
      <w:r>
        <w:rPr>
          <w:b/>
        </w:rPr>
        <w:t>screening/quick-check tool only</w:t>
      </w:r>
      <w:r>
        <w:rPr/>
        <w:t xml:space="preserve"> (target ≤ 1.5).</w:t>
      </w:r>
    </w:p>
    <w:p>
      <w:pPr>
        <w:pStyle w:val="BodyText"/>
        <w:numPr>
          <w:ilvl w:val="0"/>
          <w:numId w:val="281"/>
        </w:numPr>
        <w:tabs>
          <w:tab w:val="clear" w:pos="709"/>
          <w:tab w:val="left" w:pos="709" w:leader="none"/>
        </w:tabs>
        <w:bidi w:val="0"/>
        <w:spacing w:before="0" w:after="0"/>
        <w:ind w:hanging="283" w:start="709"/>
        <w:jc w:val="start"/>
        <w:rPr/>
      </w:pPr>
      <w:r>
        <w:rPr/>
        <w:t xml:space="preserve">If you would rather not do it manually, the </w:t>
      </w:r>
      <w:r>
        <w:rPr>
          <w:b/>
        </w:rPr>
        <w:t>StockOracle Pro Intrinsic Value tab</w:t>
      </w:r>
      <w:r>
        <w:rPr/>
        <w:t xml:space="preserve"> runs every method and its algorithm picks the most appropriate one, published as the </w:t>
      </w:r>
      <w:r>
        <w:rPr>
          <w:b/>
        </w:rPr>
        <w:t>Oracle Value</w:t>
      </w:r>
      <w:r>
        <w:rPr/>
        <w:t>.</w:t>
      </w:r>
    </w:p>
    <w:p>
      <w:pPr>
        <w:pStyle w:val="BodyText"/>
        <w:numPr>
          <w:ilvl w:val="1"/>
          <w:numId w:val="281"/>
        </w:numPr>
        <w:tabs>
          <w:tab w:val="clear" w:pos="709"/>
          <w:tab w:val="left" w:pos="1418" w:leader="none"/>
        </w:tabs>
        <w:bidi w:val="0"/>
        <w:ind w:hanging="283" w:start="1418"/>
        <w:jc w:val="start"/>
        <w:rPr/>
      </w:pPr>
      <w:r>
        <w:rPr/>
        <w:t xml:space="preserve">Example given: </w:t>
      </w:r>
      <w:r>
        <w:rPr>
          <w:b/>
        </w:rPr>
        <w:t>Microsoft — Oracle Value $557 vs share price $405 → undervalued.</w:t>
      </w:r>
    </w:p>
    <w:p>
      <w:pPr>
        <w:pStyle w:val="HorizontalLine"/>
        <w:bidi w:val="0"/>
        <w:jc w:val="start"/>
        <w:rPr/>
      </w:pPr>
      <w:r>
        <w:rPr/>
      </w:r>
    </w:p>
    <w:p>
      <w:pPr>
        <w:pStyle w:val="Heading3"/>
        <w:bidi w:val="0"/>
        <w:ind w:hanging="0" w:start="0"/>
        <w:jc w:val="start"/>
        <w:rPr/>
      </w:pPr>
      <w:r>
        <w:rPr/>
        <w:t>12. End-of-Lesson Quiz (with answers as given)</w:t>
      </w:r>
    </w:p>
    <w:p>
      <w:pPr>
        <w:pStyle w:val="BodyText"/>
        <w:numPr>
          <w:ilvl w:val="0"/>
          <w:numId w:val="282"/>
        </w:numPr>
        <w:tabs>
          <w:tab w:val="clear" w:pos="709"/>
          <w:tab w:val="left" w:pos="709" w:leader="none"/>
        </w:tabs>
        <w:bidi w:val="0"/>
        <w:ind w:hanging="283" w:start="709"/>
        <w:jc w:val="start"/>
        <w:rPr/>
      </w:pPr>
      <w:r>
        <w:rPr>
          <w:b/>
        </w:rPr>
        <w:t>What type of companies tend to have inconsistent cash flow from operations?</w:t>
      </w:r>
      <w:r>
        <w:rPr/>
        <w:t xml:space="preserve"> → </w:t>
      </w:r>
      <w:r>
        <w:rPr>
          <w:b/>
        </w:rPr>
        <w:t>All of the above</w:t>
      </w:r>
      <w:r>
        <w:rPr/>
        <w:t xml:space="preserve"> — property developers, banks and commodity companies.</w:t>
      </w:r>
    </w:p>
    <w:p>
      <w:pPr>
        <w:pStyle w:val="BodyText"/>
        <w:numPr>
          <w:ilvl w:val="0"/>
          <w:numId w:val="282"/>
        </w:numPr>
        <w:tabs>
          <w:tab w:val="clear" w:pos="709"/>
          <w:tab w:val="left" w:pos="709" w:leader="none"/>
        </w:tabs>
        <w:bidi w:val="0"/>
        <w:ind w:hanging="283" w:start="709"/>
        <w:jc w:val="start"/>
        <w:rPr/>
      </w:pPr>
      <w:r>
        <w:rPr>
          <w:b/>
        </w:rPr>
        <w:t>I want to value a company with inconsistently increasing cash flow from operations but consistently increasing net income. What method?</w:t>
      </w:r>
      <w:r>
        <w:rPr/>
        <w:t xml:space="preserve"> → </w:t>
      </w:r>
      <w:r>
        <w:rPr>
          <w:b/>
        </w:rPr>
        <w:t>(B) Discounted Net Income method.</w:t>
      </w:r>
    </w:p>
    <w:p>
      <w:pPr>
        <w:pStyle w:val="BodyText"/>
        <w:numPr>
          <w:ilvl w:val="0"/>
          <w:numId w:val="282"/>
        </w:numPr>
        <w:tabs>
          <w:tab w:val="clear" w:pos="709"/>
          <w:tab w:val="left" w:pos="709" w:leader="none"/>
        </w:tabs>
        <w:bidi w:val="0"/>
        <w:ind w:hanging="283" w:start="709"/>
        <w:jc w:val="start"/>
        <w:rPr/>
      </w:pPr>
      <w:r>
        <w:rPr>
          <w:b/>
        </w:rPr>
        <w:t>I want to value a bank and a property developer. Which method?</w:t>
      </w:r>
      <w:r>
        <w:rPr/>
        <w:t xml:space="preserve"> → </w:t>
      </w:r>
      <w:r>
        <w:rPr>
          <w:b/>
        </w:rPr>
        <w:t>Price to Book ratio method.</w:t>
      </w:r>
    </w:p>
    <w:p>
      <w:pPr>
        <w:pStyle w:val="BodyText"/>
        <w:numPr>
          <w:ilvl w:val="0"/>
          <w:numId w:val="282"/>
        </w:numPr>
        <w:tabs>
          <w:tab w:val="clear" w:pos="709"/>
          <w:tab w:val="left" w:pos="709" w:leader="none"/>
        </w:tabs>
        <w:bidi w:val="0"/>
        <w:ind w:hanging="283" w:start="709"/>
        <w:jc w:val="start"/>
        <w:rPr/>
      </w:pPr>
      <w:r>
        <w:rPr>
          <w:b/>
        </w:rPr>
        <w:t>I want to value a speculative growth company with high sales growth but still unprofitable. Which method?</w:t>
      </w:r>
      <w:r>
        <w:rPr/>
        <w:t xml:space="preserve"> → </w:t>
      </w:r>
      <w:r>
        <w:rPr>
          <w:b/>
        </w:rPr>
        <w:t>Price to Sales Growth ratio method.</w:t>
      </w:r>
    </w:p>
    <w:p>
      <w:pPr>
        <w:pStyle w:val="HorizontalLine"/>
        <w:bidi w:val="0"/>
        <w:jc w:val="start"/>
        <w:rPr/>
      </w:pPr>
      <w:r>
        <w:rPr/>
      </w:r>
    </w:p>
    <w:p>
      <w:pPr>
        <w:pStyle w:val="Heading3"/>
        <w:bidi w:val="0"/>
        <w:ind w:hanging="0" w:start="0"/>
        <w:jc w:val="start"/>
        <w:rPr/>
      </w:pPr>
      <w:r>
        <w:rPr/>
        <w:t>13. Key Takeaways</w:t>
      </w:r>
    </w:p>
    <w:p>
      <w:pPr>
        <w:pStyle w:val="BodyText"/>
        <w:numPr>
          <w:ilvl w:val="0"/>
          <w:numId w:val="283"/>
        </w:numPr>
        <w:tabs>
          <w:tab w:val="clear" w:pos="709"/>
          <w:tab w:val="left" w:pos="709" w:leader="none"/>
        </w:tabs>
        <w:bidi w:val="0"/>
        <w:ind w:hanging="283" w:start="709"/>
        <w:jc w:val="start"/>
        <w:rPr/>
      </w:pPr>
      <w:r>
        <w:rPr>
          <w:b/>
        </w:rPr>
        <w:t>Great business first, valuation second</w:t>
      </w:r>
      <w:r>
        <w:rPr/>
        <w:t xml:space="preserve"> — but never overpay. "Cheap crap is still crap."</w:t>
      </w:r>
    </w:p>
    <w:p>
      <w:pPr>
        <w:pStyle w:val="BodyText"/>
        <w:numPr>
          <w:ilvl w:val="0"/>
          <w:numId w:val="283"/>
        </w:numPr>
        <w:tabs>
          <w:tab w:val="clear" w:pos="709"/>
          <w:tab w:val="left" w:pos="709" w:leader="none"/>
        </w:tabs>
        <w:bidi w:val="0"/>
        <w:ind w:hanging="283" w:start="709"/>
        <w:jc w:val="start"/>
        <w:rPr/>
      </w:pPr>
      <w:r>
        <w:rPr>
          <w:b/>
        </w:rPr>
        <w:t>Absolute price and recent price moves say nothing about value.</w:t>
      </w:r>
      <w:r>
        <w:rPr/>
        <w:t xml:space="preserve"> NVIDIA rose 120% and is still fairly priced; AMD fell 50% and is still expensive.</w:t>
      </w:r>
    </w:p>
    <w:p>
      <w:pPr>
        <w:pStyle w:val="BodyText"/>
        <w:numPr>
          <w:ilvl w:val="0"/>
          <w:numId w:val="283"/>
        </w:numPr>
        <w:tabs>
          <w:tab w:val="clear" w:pos="709"/>
          <w:tab w:val="left" w:pos="709" w:leader="none"/>
        </w:tabs>
        <w:bidi w:val="0"/>
        <w:ind w:hanging="283" w:start="709"/>
        <w:jc w:val="start"/>
        <w:rPr/>
      </w:pPr>
      <w:r>
        <w:rPr>
          <w:b/>
        </w:rPr>
        <w:t>A business is a money-making machine; its value is the present value of the cash it will generate.</w:t>
      </w:r>
      <w:r>
        <w:rPr/>
        <w:t xml:space="preserve"> Adam projects </w:t>
      </w:r>
      <w:r>
        <w:rPr>
          <w:b/>
        </w:rPr>
        <w:t>20 years</w:t>
      </w:r>
      <w:r>
        <w:rPr/>
        <w:t xml:space="preserve"> (conservative vs. the CFA/textbook perpetuity + terminal-value approach) — anything beyond 20 years is a bonus.</w:t>
      </w:r>
    </w:p>
    <w:p>
      <w:pPr>
        <w:pStyle w:val="BodyText"/>
        <w:numPr>
          <w:ilvl w:val="0"/>
          <w:numId w:val="283"/>
        </w:numPr>
        <w:tabs>
          <w:tab w:val="clear" w:pos="709"/>
          <w:tab w:val="left" w:pos="709" w:leader="none"/>
        </w:tabs>
        <w:bidi w:val="0"/>
        <w:ind w:hanging="283" w:start="709"/>
        <w:jc w:val="start"/>
        <w:rPr/>
      </w:pPr>
      <w:r>
        <w:rPr>
          <w:b/>
        </w:rPr>
        <w:t>DCF on free cash flow is the default, used ~90% of the time</w:t>
      </w:r>
      <w:r>
        <w:rPr/>
        <w:t xml:space="preserve">, but only when </w:t>
      </w:r>
      <w:r>
        <w:rPr>
          <w:b/>
        </w:rPr>
        <w:t>CFO is consistently increasing</w:t>
      </w:r>
      <w:r>
        <w:rPr/>
        <w:t>. One or two down years are fine; a broken trend is not.</w:t>
      </w:r>
    </w:p>
    <w:p>
      <w:pPr>
        <w:pStyle w:val="BodyText"/>
        <w:numPr>
          <w:ilvl w:val="0"/>
          <w:numId w:val="283"/>
        </w:numPr>
        <w:tabs>
          <w:tab w:val="clear" w:pos="709"/>
          <w:tab w:val="left" w:pos="709" w:leader="none"/>
        </w:tabs>
        <w:bidi w:val="0"/>
        <w:ind w:hanging="283" w:start="709"/>
        <w:jc w:val="start"/>
        <w:rPr/>
      </w:pPr>
      <w:r>
        <w:rPr>
          <w:b/>
        </w:rPr>
        <w:t>Growth-rate discipline:</w:t>
      </w:r>
      <w:r>
        <w:rPr/>
        <w:t xml:space="preserve"> average the </w:t>
      </w:r>
      <w:r>
        <w:rPr>
          <w:b/>
        </w:rPr>
        <w:t>StockOracle (FactSet) 3–5 yr EPS growth</w:t>
      </w:r>
      <w:r>
        <w:rPr/>
        <w:t xml:space="preserve">, </w:t>
      </w:r>
      <w:r>
        <w:rPr>
          <w:b/>
        </w:rPr>
        <w:t>FinViz</w:t>
      </w:r>
      <w:r>
        <w:rPr/>
        <w:t xml:space="preserve">, and </w:t>
      </w:r>
      <w:r>
        <w:rPr>
          <w:b/>
        </w:rPr>
        <w:t>Zacks</w:t>
      </w:r>
      <w:r>
        <w:rPr/>
        <w:t xml:space="preserve"> estimates for years 1–5; </w:t>
      </w:r>
      <w:r>
        <w:rPr>
          <w:b/>
        </w:rPr>
        <w:t>cap years 6–10 at a maximum of 15%</w:t>
      </w:r>
      <w:r>
        <w:rPr/>
        <w:t xml:space="preserve">; use </w:t>
      </w:r>
      <w:r>
        <w:rPr>
          <w:b/>
        </w:rPr>
        <w:t>4% for years 11–20</w:t>
      </w:r>
      <w:r>
        <w:rPr/>
        <w:t xml:space="preserve"> (nominal GDP + 2%).</w:t>
      </w:r>
    </w:p>
    <w:p>
      <w:pPr>
        <w:pStyle w:val="BodyText"/>
        <w:numPr>
          <w:ilvl w:val="0"/>
          <w:numId w:val="283"/>
        </w:numPr>
        <w:tabs>
          <w:tab w:val="clear" w:pos="709"/>
          <w:tab w:val="left" w:pos="709" w:leader="none"/>
        </w:tabs>
        <w:bidi w:val="0"/>
        <w:ind w:hanging="283" w:start="709"/>
        <w:jc w:val="start"/>
        <w:rPr/>
      </w:pPr>
      <w:r>
        <w:rPr>
          <w:b/>
        </w:rPr>
        <w:t>Discount rate = risk-free rate + beta × market risk premium</w:t>
      </w:r>
      <w:r>
        <w:rPr/>
        <w:t xml:space="preserve">, using 5-year averages, read off the calculator's beta table (observed: beta 0.28 → 5.8%; 0.83 → 6.1%; 1.1 → 6.6%; 1.4 → 7.4%; 1.49 → 7.7%). Not WACC (that belongs to perpetuity DCF). Buffett instead just uses the </w:t>
      </w:r>
      <w:r>
        <w:rPr>
          <w:b/>
        </w:rPr>
        <w:t>10-year Treasury yield (3.6%)</w:t>
      </w:r>
      <w:r>
        <w:rPr/>
        <w:t>.</w:t>
      </w:r>
    </w:p>
    <w:p>
      <w:pPr>
        <w:pStyle w:val="BodyText"/>
        <w:numPr>
          <w:ilvl w:val="0"/>
          <w:numId w:val="283"/>
        </w:numPr>
        <w:tabs>
          <w:tab w:val="clear" w:pos="709"/>
          <w:tab w:val="left" w:pos="709" w:leader="none"/>
        </w:tabs>
        <w:bidi w:val="0"/>
        <w:ind w:hanging="283" w:start="709"/>
        <w:jc w:val="start"/>
        <w:rPr/>
      </w:pPr>
      <w:r>
        <w:rPr>
          <w:b/>
        </w:rPr>
        <w:t>Lumpy capex ≠ a broken business.</w:t>
      </w:r>
      <w:r>
        <w:rPr/>
        <w:t xml:space="preserve"> Normalize with a </w:t>
      </w:r>
      <w:r>
        <w:rPr>
          <w:b/>
        </w:rPr>
        <w:t>5-year average capex</w:t>
      </w:r>
      <w:r>
        <w:rPr/>
        <w:t xml:space="preserve"> (Amazon: $78,449M average capex → normalized FCF $61,065M). Only inconsistent </w:t>
      </w:r>
      <w:r>
        <w:rPr>
          <w:b/>
        </w:rPr>
        <w:t>operating</w:t>
      </w:r>
      <w:r>
        <w:rPr/>
        <w:t xml:space="preserve"> cash flow disqualifies a stock.</w:t>
      </w:r>
    </w:p>
    <w:p>
      <w:pPr>
        <w:pStyle w:val="BodyText"/>
        <w:numPr>
          <w:ilvl w:val="0"/>
          <w:numId w:val="283"/>
        </w:numPr>
        <w:tabs>
          <w:tab w:val="clear" w:pos="709"/>
          <w:tab w:val="left" w:pos="709" w:leader="none"/>
        </w:tabs>
        <w:bidi w:val="0"/>
        <w:ind w:hanging="283" w:start="709"/>
        <w:jc w:val="start"/>
        <w:rPr/>
      </w:pPr>
      <w:r>
        <w:rPr>
          <w:b/>
        </w:rPr>
        <w:t>CFO may substitute for FCF only if CFO is within 20% of net income</w:t>
      </w:r>
      <w:r>
        <w:rPr/>
        <w:t xml:space="preserve"> (Apple: CFO 135,472 vs NI 117,777).</w:t>
      </w:r>
    </w:p>
    <w:p>
      <w:pPr>
        <w:pStyle w:val="BodyText"/>
        <w:numPr>
          <w:ilvl w:val="0"/>
          <w:numId w:val="283"/>
        </w:numPr>
        <w:tabs>
          <w:tab w:val="clear" w:pos="709"/>
          <w:tab w:val="left" w:pos="709" w:leader="none"/>
        </w:tabs>
        <w:bidi w:val="0"/>
        <w:ind w:hanging="283" w:start="709"/>
        <w:jc w:val="start"/>
        <w:rPr/>
      </w:pPr>
      <w:r>
        <w:rPr>
          <w:b/>
        </w:rPr>
        <w:t>Intrinsic value is a range, not a number.</w:t>
      </w:r>
      <w:r>
        <w:rPr/>
        <w:t xml:space="preserve"> Run base / conservative / doomsday growth cases (MasterCard: $655.97 / $600 / $545.50). Buffett said American Express was worth $60, Munger said $50, the market said $35 — the gap is the </w:t>
      </w:r>
      <w:r>
        <w:rPr>
          <w:b/>
        </w:rPr>
        <w:t>margin of safety</w:t>
      </w:r>
      <w:r>
        <w:rPr/>
        <w:t>.</w:t>
      </w:r>
    </w:p>
    <w:p>
      <w:pPr>
        <w:pStyle w:val="BodyText"/>
        <w:numPr>
          <w:ilvl w:val="0"/>
          <w:numId w:val="283"/>
        </w:numPr>
        <w:tabs>
          <w:tab w:val="clear" w:pos="709"/>
          <w:tab w:val="left" w:pos="709" w:leader="none"/>
        </w:tabs>
        <w:bidi w:val="0"/>
        <w:ind w:hanging="283" w:start="709"/>
        <w:jc w:val="start"/>
        <w:rPr/>
      </w:pPr>
      <w:r>
        <w:rPr>
          <w:b/>
        </w:rPr>
        <w:t>Discipline shown by example:</w:t>
      </w:r>
      <w:r>
        <w:rPr/>
        <w:t xml:space="preserve"> Adam declined Apple at $260.83 (IV $256, conservative $199.98) and BlackRock at $967 (IV $795). Undervaluation, not a good story, triggers a buy.</w:t>
      </w:r>
    </w:p>
    <w:p>
      <w:pPr>
        <w:pStyle w:val="BodyText"/>
        <w:numPr>
          <w:ilvl w:val="0"/>
          <w:numId w:val="283"/>
        </w:numPr>
        <w:tabs>
          <w:tab w:val="clear" w:pos="709"/>
          <w:tab w:val="left" w:pos="709" w:leader="none"/>
        </w:tabs>
        <w:bidi w:val="0"/>
        <w:ind w:hanging="283" w:start="709"/>
        <w:jc w:val="start"/>
        <w:rPr/>
      </w:pPr>
      <w:r>
        <w:rPr>
          <w:b/>
        </w:rPr>
        <w:t>Banks are valued on P/B, never DCF.</w:t>
      </w:r>
      <w:r>
        <w:rPr/>
        <w:t xml:space="preserve"> Fair value = 5-yr avg P/B × current BVPS. 1.2–1.4 is fair; below 1.2 (especially below 1.0) is cheap; 0.4 was the GFC bargain in Bank of America.</w:t>
      </w:r>
    </w:p>
    <w:p>
      <w:pPr>
        <w:pStyle w:val="BodyText"/>
        <w:numPr>
          <w:ilvl w:val="0"/>
          <w:numId w:val="283"/>
        </w:numPr>
        <w:tabs>
          <w:tab w:val="clear" w:pos="709"/>
          <w:tab w:val="left" w:pos="709" w:leader="none"/>
        </w:tabs>
        <w:bidi w:val="0"/>
        <w:ind w:hanging="283" w:start="709"/>
        <w:jc w:val="start"/>
        <w:rPr/>
      </w:pPr>
      <w:r>
        <w:rPr>
          <w:b/>
        </w:rPr>
        <w:t>Singapore banks and REITs get a double filter:</w:t>
      </w:r>
      <w:r>
        <w:rPr/>
        <w:t xml:space="preserve"> fair value from P/B </w:t>
      </w:r>
      <w:r>
        <w:rPr>
          <w:b/>
        </w:rPr>
        <w:t>and</w:t>
      </w:r>
      <w:r>
        <w:rPr/>
        <w:t xml:space="preserve"> a dividend-yield hurdle (</w:t>
      </w:r>
      <w:r>
        <w:rPr>
          <w:b/>
        </w:rPr>
        <w:t>4.5–5% for banks, ≥5% for REITs</w:t>
      </w:r>
      <w:r>
        <w:rPr/>
        <w:t>), with buy levels set at technical supports inside the ±1 standard-deviation band (OCBC: fair value $16.39, +1 SD $19.25, 5% yield line $16.40, buy levels $17.87 / $16.35 / $14.40 / $13.48).</w:t>
      </w:r>
    </w:p>
    <w:p>
      <w:pPr>
        <w:pStyle w:val="BodyText"/>
        <w:numPr>
          <w:ilvl w:val="0"/>
          <w:numId w:val="283"/>
        </w:numPr>
        <w:tabs>
          <w:tab w:val="clear" w:pos="709"/>
          <w:tab w:val="left" w:pos="709" w:leader="none"/>
        </w:tabs>
        <w:bidi w:val="0"/>
        <w:ind w:hanging="283" w:start="709"/>
        <w:jc w:val="start"/>
        <w:rPr/>
      </w:pPr>
      <w:r>
        <w:rPr>
          <w:b/>
        </w:rPr>
        <w:t>REIT rule of thumb: don't pay above 1.2× P/NAV</w:t>
      </w:r>
      <w:r>
        <w:rPr/>
        <w:t>, up to 1.5× only for high double-digit DPU growth. Quick 10-year average shortcut: (10-yr high P/B + 10-yr low P/B) ÷ 2.</w:t>
      </w:r>
    </w:p>
    <w:p>
      <w:pPr>
        <w:pStyle w:val="BodyText"/>
        <w:numPr>
          <w:ilvl w:val="0"/>
          <w:numId w:val="283"/>
        </w:numPr>
        <w:tabs>
          <w:tab w:val="clear" w:pos="709"/>
          <w:tab w:val="left" w:pos="709" w:leader="none"/>
        </w:tabs>
        <w:bidi w:val="0"/>
        <w:ind w:hanging="283" w:start="709"/>
        <w:jc w:val="start"/>
        <w:rPr/>
      </w:pPr>
      <w:r>
        <w:rPr>
          <w:b/>
        </w:rPr>
        <w:t>Loss-making/distressed: P/B ≤ 0.5</w:t>
      </w:r>
      <w:r>
        <w:rPr/>
        <w:t xml:space="preserve"> — 50 cents on the dollar of liquidation value, so you profit even in liquidation.</w:t>
      </w:r>
    </w:p>
    <w:p>
      <w:pPr>
        <w:pStyle w:val="BodyText"/>
        <w:numPr>
          <w:ilvl w:val="0"/>
          <w:numId w:val="283"/>
        </w:numPr>
        <w:tabs>
          <w:tab w:val="clear" w:pos="709"/>
          <w:tab w:val="left" w:pos="709" w:leader="none"/>
        </w:tabs>
        <w:bidi w:val="0"/>
        <w:ind w:hanging="283" w:start="709"/>
        <w:jc w:val="start"/>
        <w:rPr/>
      </w:pPr>
      <w:r>
        <w:rPr>
          <w:b/>
        </w:rPr>
        <w:t>Unprofitable growth or cyclical: use revenue.</w:t>
      </w:r>
      <w:r>
        <w:rPr/>
        <w:t xml:space="preserve"> Fair value = 5-yr avg P/S × revenue per share. For hyper-growth unprofitable names, </w:t>
      </w:r>
      <w:r>
        <w:rPr>
          <w:b/>
        </w:rPr>
        <w:t>PSG 0.2–0.3 = fair, &gt;0.3 overvalued, &lt;0.2 undervalued</w:t>
      </w:r>
      <w:r>
        <w:rPr/>
        <w:t>.</w:t>
      </w:r>
    </w:p>
    <w:p>
      <w:pPr>
        <w:pStyle w:val="BodyText"/>
        <w:numPr>
          <w:ilvl w:val="0"/>
          <w:numId w:val="283"/>
        </w:numPr>
        <w:tabs>
          <w:tab w:val="clear" w:pos="709"/>
          <w:tab w:val="left" w:pos="709" w:leader="none"/>
        </w:tabs>
        <w:bidi w:val="0"/>
        <w:ind w:hanging="283" w:start="709"/>
        <w:jc w:val="start"/>
        <w:rPr/>
      </w:pPr>
      <w:r>
        <w:rPr>
          <w:b/>
        </w:rPr>
        <w:t>Update your valuations at least quarterly; Adam does it monthly.</w:t>
      </w:r>
    </w:p>
    <w:p>
      <w:pPr>
        <w:pStyle w:val="HorizontalLine"/>
        <w:bidi w:val="0"/>
        <w:jc w:val="start"/>
        <w:rPr/>
      </w:pPr>
      <w:r>
        <w:rPr/>
      </w:r>
    </w:p>
    <w:p>
      <w:pPr>
        <w:pStyle w:val="Heading3"/>
        <w:bidi w:val="0"/>
        <w:ind w:hanging="0" w:start="0"/>
        <w:jc w:val="start"/>
        <w:rPr/>
      </w:pPr>
      <w:r>
        <w:rPr/>
        <w:t>14. Decision Table — Company Type → Valuation Method</w:t>
      </w:r>
    </w:p>
    <w:tbl>
      <w:tblPr>
        <w:tblW w:w="5000" w:type="pct"/>
        <w:jc w:val="start"/>
        <w:tblInd w:w="-5" w:type="dxa"/>
        <w:tblLayout w:type="fixed"/>
        <w:tblCellMar>
          <w:top w:w="55" w:type="dxa"/>
          <w:start w:w="55" w:type="dxa"/>
          <w:bottom w:w="55" w:type="dxa"/>
          <w:end w:w="55" w:type="dxa"/>
        </w:tblCellMar>
      </w:tblPr>
      <w:tblGrid>
        <w:gridCol w:w="3212"/>
        <w:gridCol w:w="3213"/>
        <w:gridCol w:w="3213"/>
      </w:tblGrid>
      <w:tr>
        <w:trPr>
          <w:tblHeader w:val="true"/>
        </w:trPr>
        <w:tc>
          <w:tcPr>
            <w:tcW w:w="3212" w:type="dxa"/>
            <w:tcBorders>
              <w:top w:val="single" w:sz="4" w:space="0" w:color="000000"/>
              <w:start w:val="single" w:sz="4" w:space="0" w:color="000000"/>
              <w:bottom w:val="single" w:sz="4" w:space="0" w:color="000000"/>
            </w:tcBorders>
          </w:tcPr>
          <w:p>
            <w:pPr>
              <w:pStyle w:val="TableHeading"/>
              <w:bidi w:val="0"/>
              <w:jc w:val="start"/>
              <w:rPr/>
            </w:pPr>
            <w:r>
              <w:rPr/>
              <w:t>Company type / situation</w:t>
            </w:r>
          </w:p>
        </w:tc>
        <w:tc>
          <w:tcPr>
            <w:tcW w:w="3213" w:type="dxa"/>
            <w:tcBorders>
              <w:top w:val="single" w:sz="4" w:space="0" w:color="000000"/>
              <w:start w:val="single" w:sz="4" w:space="0" w:color="000000"/>
              <w:bottom w:val="single" w:sz="4" w:space="0" w:color="000000"/>
            </w:tcBorders>
          </w:tcPr>
          <w:p>
            <w:pPr>
              <w:pStyle w:val="TableHeading"/>
              <w:bidi w:val="0"/>
              <w:jc w:val="start"/>
              <w:rPr/>
            </w:pPr>
            <w:r>
              <w:rPr/>
              <w:t>Method to use</w:t>
            </w:r>
          </w:p>
        </w:tc>
        <w:tc>
          <w:tcPr>
            <w:tcW w:w="3213"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Key inputs &amp; thresholds</w:t>
            </w:r>
          </w:p>
        </w:tc>
      </w:tr>
      <w:tr>
        <w:trPr/>
        <w:tc>
          <w:tcPr>
            <w:tcW w:w="3212" w:type="dxa"/>
            <w:tcBorders>
              <w:start w:val="single" w:sz="4" w:space="0" w:color="000000"/>
              <w:bottom w:val="single" w:sz="4" w:space="0" w:color="000000"/>
            </w:tcBorders>
          </w:tcPr>
          <w:p>
            <w:pPr>
              <w:pStyle w:val="TableContents"/>
              <w:bidi w:val="0"/>
              <w:jc w:val="start"/>
              <w:rPr/>
            </w:pPr>
            <w:r>
              <w:rPr>
                <w:b/>
              </w:rPr>
              <w:t>Any stock — quick screen only</w:t>
            </w:r>
          </w:p>
        </w:tc>
        <w:tc>
          <w:tcPr>
            <w:tcW w:w="3213" w:type="dxa"/>
            <w:tcBorders>
              <w:start w:val="single" w:sz="4" w:space="0" w:color="000000"/>
              <w:bottom w:val="single" w:sz="4" w:space="0" w:color="000000"/>
            </w:tcBorders>
          </w:tcPr>
          <w:p>
            <w:pPr>
              <w:pStyle w:val="TableContents"/>
              <w:bidi w:val="0"/>
              <w:jc w:val="start"/>
              <w:rPr/>
            </w:pPr>
            <w:r>
              <w:rPr>
                <w:b/>
              </w:rPr>
              <w:t>PEG ratio</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 xml:space="preserve">PE ÷ projected 5-yr EPS growth. Target </w:t>
            </w:r>
            <w:r>
              <w:rPr>
                <w:b/>
              </w:rPr>
              <w:t>≤ 1.5</w:t>
            </w:r>
            <w:r>
              <w:rPr/>
              <w:t>. Theory says &lt;1. Requires positive, consistently rising earnings. NVDA 54.69/61.17 = 0.89; AMD 112/33 = 3.4</w:t>
            </w:r>
          </w:p>
        </w:tc>
      </w:tr>
      <w:tr>
        <w:trPr/>
        <w:tc>
          <w:tcPr>
            <w:tcW w:w="3212" w:type="dxa"/>
            <w:tcBorders>
              <w:start w:val="single" w:sz="4" w:space="0" w:color="000000"/>
              <w:bottom w:val="single" w:sz="4" w:space="0" w:color="000000"/>
            </w:tcBorders>
          </w:tcPr>
          <w:p>
            <w:pPr>
              <w:pStyle w:val="TableContents"/>
              <w:bidi w:val="0"/>
              <w:jc w:val="start"/>
              <w:rPr/>
            </w:pPr>
            <w:r>
              <w:rPr>
                <w:b/>
              </w:rPr>
              <w:t>Great business, consistently rising CFO and positive, rising FCF</w:t>
            </w:r>
            <w:r>
              <w:rPr/>
              <w:t xml:space="preserve"> (e.g. MasterCard, Singapore Exchange)</w:t>
            </w:r>
          </w:p>
        </w:tc>
        <w:tc>
          <w:tcPr>
            <w:tcW w:w="3213" w:type="dxa"/>
            <w:tcBorders>
              <w:start w:val="single" w:sz="4" w:space="0" w:color="000000"/>
              <w:bottom w:val="single" w:sz="4" w:space="0" w:color="000000"/>
            </w:tcBorders>
          </w:tcPr>
          <w:p>
            <w:pPr>
              <w:pStyle w:val="TableContents"/>
              <w:bidi w:val="0"/>
              <w:jc w:val="start"/>
              <w:rPr/>
            </w:pPr>
            <w:r>
              <w:rPr>
                <w:b/>
              </w:rPr>
              <w:t>DCF — Discounted Free Cash Flow</w:t>
            </w:r>
            <w:r>
              <w:rPr/>
              <w:t xml:space="preserve"> (default, ~90% of cases)</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Latest 12-mo FCF; total debt (ST+LT); cash &amp; ST investments; growth yrs 1–5 = avg of StockOracle/FinViz/Zacks; yrs 6–10 capped at 15%; yrs 11–20 = 4%; 20-yr horizon; diluted shares; beta-based discount rate</w:t>
            </w:r>
          </w:p>
        </w:tc>
      </w:tr>
      <w:tr>
        <w:trPr/>
        <w:tc>
          <w:tcPr>
            <w:tcW w:w="3212" w:type="dxa"/>
            <w:tcBorders>
              <w:start w:val="single" w:sz="4" w:space="0" w:color="000000"/>
              <w:bottom w:val="single" w:sz="4" w:space="0" w:color="000000"/>
            </w:tcBorders>
          </w:tcPr>
          <w:p>
            <w:pPr>
              <w:pStyle w:val="TableContents"/>
              <w:bidi w:val="0"/>
              <w:jc w:val="start"/>
              <w:rPr/>
            </w:pPr>
            <w:r>
              <w:rPr>
                <w:b/>
              </w:rPr>
              <w:t>Consistent CFO but lumpy/spiking capex</w:t>
            </w:r>
            <w:r>
              <w:rPr/>
              <w:t xml:space="preserve"> (Amazon, hyperscalers: MSFT, META, GOOGL)</w:t>
            </w:r>
          </w:p>
        </w:tc>
        <w:tc>
          <w:tcPr>
            <w:tcW w:w="3213" w:type="dxa"/>
            <w:tcBorders>
              <w:start w:val="single" w:sz="4" w:space="0" w:color="000000"/>
              <w:bottom w:val="single" w:sz="4" w:space="0" w:color="000000"/>
            </w:tcBorders>
          </w:tcPr>
          <w:p>
            <w:pPr>
              <w:pStyle w:val="TableContents"/>
              <w:bidi w:val="0"/>
              <w:jc w:val="start"/>
              <w:rPr/>
            </w:pPr>
            <w:r>
              <w:rPr>
                <w:b/>
              </w:rPr>
              <w:t>DCF with normalized capex</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 xml:space="preserve">Normalized FCF = latest CFO − </w:t>
            </w:r>
            <w:r>
              <w:rPr>
                <w:b/>
              </w:rPr>
              <w:t>5-year average capex</w:t>
            </w:r>
            <w:r>
              <w:rPr/>
              <w:t>; all other inputs unchanged</w:t>
            </w:r>
          </w:p>
        </w:tc>
      </w:tr>
      <w:tr>
        <w:trPr/>
        <w:tc>
          <w:tcPr>
            <w:tcW w:w="3212" w:type="dxa"/>
            <w:tcBorders>
              <w:start w:val="single" w:sz="4" w:space="0" w:color="000000"/>
              <w:bottom w:val="single" w:sz="4" w:space="0" w:color="000000"/>
            </w:tcBorders>
          </w:tcPr>
          <w:p>
            <w:pPr>
              <w:pStyle w:val="TableContents"/>
              <w:bidi w:val="0"/>
              <w:jc w:val="start"/>
              <w:rPr/>
            </w:pPr>
            <w:r>
              <w:rPr>
                <w:b/>
              </w:rPr>
              <w:t>CFO very close to net income (CFO ≤ 20% above NI)</w:t>
            </w:r>
            <w:r>
              <w:rPr/>
              <w:t xml:space="preserve"> (Apple)</w:t>
            </w:r>
          </w:p>
        </w:tc>
        <w:tc>
          <w:tcPr>
            <w:tcW w:w="3213" w:type="dxa"/>
            <w:tcBorders>
              <w:start w:val="single" w:sz="4" w:space="0" w:color="000000"/>
              <w:bottom w:val="single" w:sz="4" w:space="0" w:color="000000"/>
            </w:tcBorders>
          </w:tcPr>
          <w:p>
            <w:pPr>
              <w:pStyle w:val="TableContents"/>
              <w:bidi w:val="0"/>
              <w:jc w:val="start"/>
              <w:rPr/>
            </w:pPr>
            <w:r>
              <w:rPr>
                <w:b/>
              </w:rPr>
              <w:t>DCF — Discounted Cash Flow from Operations</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Use latest 12-mo CFO in place of FCF. Buffett rationale: no capex deduction when capex is growth, not maintenance</w:t>
            </w:r>
          </w:p>
        </w:tc>
      </w:tr>
      <w:tr>
        <w:trPr/>
        <w:tc>
          <w:tcPr>
            <w:tcW w:w="3212" w:type="dxa"/>
            <w:tcBorders>
              <w:start w:val="single" w:sz="4" w:space="0" w:color="000000"/>
              <w:bottom w:val="single" w:sz="4" w:space="0" w:color="000000"/>
            </w:tcBorders>
          </w:tcPr>
          <w:p>
            <w:pPr>
              <w:pStyle w:val="TableContents"/>
              <w:bidi w:val="0"/>
              <w:jc w:val="start"/>
              <w:rPr/>
            </w:pPr>
            <w:r>
              <w:rPr>
                <w:b/>
              </w:rPr>
              <w:t>Finance companies, insurance companies, brokers, asset managers</w:t>
            </w:r>
            <w:r>
              <w:rPr/>
              <w:t xml:space="preserve"> — cash flow distorted by loans and fund flows (BlackRock)</w:t>
            </w:r>
          </w:p>
        </w:tc>
        <w:tc>
          <w:tcPr>
            <w:tcW w:w="3213" w:type="dxa"/>
            <w:tcBorders>
              <w:start w:val="single" w:sz="4" w:space="0" w:color="000000"/>
              <w:bottom w:val="single" w:sz="4" w:space="0" w:color="000000"/>
            </w:tcBorders>
          </w:tcPr>
          <w:p>
            <w:pPr>
              <w:pStyle w:val="TableContents"/>
              <w:bidi w:val="0"/>
              <w:jc w:val="start"/>
              <w:rPr/>
            </w:pPr>
            <w:r>
              <w:rPr>
                <w:b/>
              </w:rPr>
              <w:t>Discounted Net Income</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 xml:space="preserve">Latest 12-mo net income; requires </w:t>
            </w:r>
            <w:r>
              <w:rPr>
                <w:b/>
              </w:rPr>
              <w:t>consistently increasing</w:t>
            </w:r>
            <w:r>
              <w:rPr/>
              <w:t xml:space="preserve"> net income; all other DCF inputs identical</w:t>
            </w:r>
          </w:p>
        </w:tc>
      </w:tr>
      <w:tr>
        <w:trPr/>
        <w:tc>
          <w:tcPr>
            <w:tcW w:w="3212" w:type="dxa"/>
            <w:tcBorders>
              <w:start w:val="single" w:sz="4" w:space="0" w:color="000000"/>
              <w:bottom w:val="single" w:sz="4" w:space="0" w:color="000000"/>
            </w:tcBorders>
          </w:tcPr>
          <w:p>
            <w:pPr>
              <w:pStyle w:val="TableContents"/>
              <w:bidi w:val="0"/>
              <w:jc w:val="start"/>
              <w:rPr/>
            </w:pPr>
            <w:r>
              <w:rPr>
                <w:b/>
              </w:rPr>
              <w:t>Banks</w:t>
            </w:r>
            <w:r>
              <w:rPr/>
              <w:t xml:space="preserve"> — profitable or not (Bank of America, DBS, UOB, OCBC)</w:t>
            </w:r>
          </w:p>
        </w:tc>
        <w:tc>
          <w:tcPr>
            <w:tcW w:w="3213" w:type="dxa"/>
            <w:tcBorders>
              <w:start w:val="single" w:sz="4" w:space="0" w:color="000000"/>
              <w:bottom w:val="single" w:sz="4" w:space="0" w:color="000000"/>
            </w:tcBorders>
          </w:tcPr>
          <w:p>
            <w:pPr>
              <w:pStyle w:val="TableContents"/>
              <w:bidi w:val="0"/>
              <w:jc w:val="start"/>
              <w:rPr/>
            </w:pPr>
            <w:r>
              <w:rPr>
                <w:b/>
              </w:rPr>
              <w:t>Price to Book</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 xml:space="preserve">Fair value = </w:t>
            </w:r>
            <w:r>
              <w:rPr>
                <w:b/>
              </w:rPr>
              <w:t>5-yr avg P/B × current BVPS</w:t>
            </w:r>
            <w:r>
              <w:rPr/>
              <w:t xml:space="preserve">. Fair band </w:t>
            </w:r>
            <w:r>
              <w:rPr>
                <w:b/>
              </w:rPr>
              <w:t>1.2–1.4</w:t>
            </w:r>
            <w:r>
              <w:rPr/>
              <w:t xml:space="preserve">; cheap below 1.2 / 1.0. For SG banks add </w:t>
            </w:r>
            <w:r>
              <w:rPr>
                <w:b/>
              </w:rPr>
              <w:t>dividend yield ≥ 4.5–5%</w:t>
            </w:r>
            <w:r>
              <w:rPr/>
              <w:t xml:space="preserve"> filter</w:t>
            </w:r>
          </w:p>
        </w:tc>
      </w:tr>
      <w:tr>
        <w:trPr/>
        <w:tc>
          <w:tcPr>
            <w:tcW w:w="3212" w:type="dxa"/>
            <w:tcBorders>
              <w:start w:val="single" w:sz="4" w:space="0" w:color="000000"/>
              <w:bottom w:val="single" w:sz="4" w:space="0" w:color="000000"/>
            </w:tcBorders>
          </w:tcPr>
          <w:p>
            <w:pPr>
              <w:pStyle w:val="TableContents"/>
              <w:bidi w:val="0"/>
              <w:jc w:val="start"/>
              <w:rPr/>
            </w:pPr>
            <w:r>
              <w:rPr>
                <w:b/>
              </w:rPr>
              <w:t>Loss-making, distressed, near-bankruptcy, cyclical firms in an industry recession</w:t>
            </w:r>
            <w:r>
              <w:rPr/>
              <w:t xml:space="preserve"> (GFC banks, COVID retailers)</w:t>
            </w:r>
          </w:p>
        </w:tc>
        <w:tc>
          <w:tcPr>
            <w:tcW w:w="3213" w:type="dxa"/>
            <w:tcBorders>
              <w:start w:val="single" w:sz="4" w:space="0" w:color="000000"/>
              <w:bottom w:val="single" w:sz="4" w:space="0" w:color="000000"/>
            </w:tcBorders>
          </w:tcPr>
          <w:p>
            <w:pPr>
              <w:pStyle w:val="TableContents"/>
              <w:bidi w:val="0"/>
              <w:jc w:val="start"/>
              <w:rPr/>
            </w:pPr>
            <w:r>
              <w:rPr>
                <w:b/>
              </w:rPr>
              <w:t>Price to Book</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 xml:space="preserve">Target </w:t>
            </w:r>
            <w:r>
              <w:rPr>
                <w:b/>
              </w:rPr>
              <w:t>P/B ≤ 0.5</w:t>
            </w:r>
            <w:r>
              <w:rPr/>
              <w:t xml:space="preserve">; BAC bought at </w:t>
            </w:r>
            <w:r>
              <w:rPr>
                <w:b/>
              </w:rPr>
              <w:t>0.4</w:t>
            </w:r>
            <w:r>
              <w:rPr/>
              <w:t xml:space="preserve"> in 2009. Book value = assets − intangibles − total liabilities</w:t>
            </w:r>
          </w:p>
        </w:tc>
      </w:tr>
      <w:tr>
        <w:trPr/>
        <w:tc>
          <w:tcPr>
            <w:tcW w:w="3212" w:type="dxa"/>
            <w:tcBorders>
              <w:start w:val="single" w:sz="4" w:space="0" w:color="000000"/>
              <w:bottom w:val="single" w:sz="4" w:space="0" w:color="000000"/>
            </w:tcBorders>
          </w:tcPr>
          <w:p>
            <w:pPr>
              <w:pStyle w:val="TableContents"/>
              <w:bidi w:val="0"/>
              <w:jc w:val="start"/>
              <w:rPr/>
            </w:pPr>
            <w:r>
              <w:rPr>
                <w:b/>
              </w:rPr>
              <w:t>REITs and property developers</w:t>
            </w:r>
            <w:r>
              <w:rPr/>
              <w:t xml:space="preserve"> (CapitaLand Ascendas REIT)</w:t>
            </w:r>
          </w:p>
        </w:tc>
        <w:tc>
          <w:tcPr>
            <w:tcW w:w="3213" w:type="dxa"/>
            <w:tcBorders>
              <w:start w:val="single" w:sz="4" w:space="0" w:color="000000"/>
              <w:bottom w:val="single" w:sz="4" w:space="0" w:color="000000"/>
            </w:tcBorders>
          </w:tcPr>
          <w:p>
            <w:pPr>
              <w:pStyle w:val="TableContents"/>
              <w:bidi w:val="0"/>
              <w:jc w:val="start"/>
              <w:rPr/>
            </w:pPr>
            <w:r>
              <w:rPr>
                <w:b/>
              </w:rPr>
              <w:t>Price to NAV / Price to Book + dividend yield</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 xml:space="preserve">Fair value = </w:t>
            </w:r>
            <w:r>
              <w:rPr>
                <w:b/>
              </w:rPr>
              <w:t>5- or 10-yr avg P/NAV × current NAV per share</w:t>
            </w:r>
            <w:r>
              <w:rPr/>
              <w:t xml:space="preserve">. Don't exceed </w:t>
            </w:r>
            <w:r>
              <w:rPr>
                <w:b/>
              </w:rPr>
              <w:t>1.2×</w:t>
            </w:r>
            <w:r>
              <w:rPr/>
              <w:t xml:space="preserve"> (1.5× only for high double-digit DPU growth). Yield target </w:t>
            </w:r>
            <w:r>
              <w:rPr>
                <w:b/>
              </w:rPr>
              <w:t>≥ 5%</w:t>
            </w:r>
            <w:r>
              <w:rPr/>
              <w:t>; max price = DPU ÷ 5%</w:t>
            </w:r>
          </w:p>
        </w:tc>
      </w:tr>
      <w:tr>
        <w:trPr/>
        <w:tc>
          <w:tcPr>
            <w:tcW w:w="3212" w:type="dxa"/>
            <w:tcBorders>
              <w:start w:val="single" w:sz="4" w:space="0" w:color="000000"/>
              <w:bottom w:val="single" w:sz="4" w:space="0" w:color="000000"/>
            </w:tcBorders>
          </w:tcPr>
          <w:p>
            <w:pPr>
              <w:pStyle w:val="TableContents"/>
              <w:bidi w:val="0"/>
              <w:jc w:val="start"/>
              <w:rPr/>
            </w:pPr>
            <w:r>
              <w:rPr>
                <w:b/>
              </w:rPr>
              <w:t>Highly cyclical: utilities, shipping, commodities, construction, property developers, airlines</w:t>
            </w:r>
            <w:r>
              <w:rPr/>
              <w:t xml:space="preserve"> (Constellation Energy, Singapore Airlines)</w:t>
            </w:r>
          </w:p>
        </w:tc>
        <w:tc>
          <w:tcPr>
            <w:tcW w:w="3213" w:type="dxa"/>
            <w:tcBorders>
              <w:start w:val="single" w:sz="4" w:space="0" w:color="000000"/>
              <w:bottom w:val="single" w:sz="4" w:space="0" w:color="000000"/>
            </w:tcBorders>
          </w:tcPr>
          <w:p>
            <w:pPr>
              <w:pStyle w:val="TableContents"/>
              <w:bidi w:val="0"/>
              <w:jc w:val="start"/>
              <w:rPr/>
            </w:pPr>
            <w:r>
              <w:rPr>
                <w:b/>
              </w:rPr>
              <w:t>Price to Sales (mean P/S)</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 xml:space="preserve">Fair value = </w:t>
            </w:r>
            <w:r>
              <w:rPr>
                <w:b/>
              </w:rPr>
              <w:t>5-yr avg P/S × revenue per share</w:t>
            </w:r>
            <w:r>
              <w:rPr/>
              <w:t>. Current P/S above avg = overvalued</w:t>
            </w:r>
          </w:p>
        </w:tc>
      </w:tr>
      <w:tr>
        <w:trPr/>
        <w:tc>
          <w:tcPr>
            <w:tcW w:w="3212" w:type="dxa"/>
            <w:tcBorders>
              <w:start w:val="single" w:sz="4" w:space="0" w:color="000000"/>
              <w:bottom w:val="single" w:sz="4" w:space="0" w:color="000000"/>
            </w:tcBorders>
          </w:tcPr>
          <w:p>
            <w:pPr>
              <w:pStyle w:val="TableContents"/>
              <w:bidi w:val="0"/>
              <w:jc w:val="start"/>
              <w:rPr/>
            </w:pPr>
            <w:r>
              <w:rPr>
                <w:b/>
              </w:rPr>
              <w:t>Speculative growth, very high revenue growth (50–200%), not yet profitable</w:t>
            </w:r>
            <w:r>
              <w:rPr/>
              <w:t xml:space="preserve"> (Nebius)</w:t>
            </w:r>
          </w:p>
        </w:tc>
        <w:tc>
          <w:tcPr>
            <w:tcW w:w="3213" w:type="dxa"/>
            <w:tcBorders>
              <w:start w:val="single" w:sz="4" w:space="0" w:color="000000"/>
              <w:bottom w:val="single" w:sz="4" w:space="0" w:color="000000"/>
            </w:tcBorders>
          </w:tcPr>
          <w:p>
            <w:pPr>
              <w:pStyle w:val="TableContents"/>
              <w:bidi w:val="0"/>
              <w:jc w:val="start"/>
              <w:rPr/>
            </w:pPr>
            <w:r>
              <w:rPr>
                <w:b/>
              </w:rPr>
              <w:t>Price to Sales Growth (PSG)</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 xml:space="preserve">PSG = P/S ÷ projected revenue growth %. </w:t>
            </w:r>
            <w:r>
              <w:rPr>
                <w:b/>
              </w:rPr>
              <w:t>0.2–0.3 fair, &gt;0.3 overvalued, &lt;0.2 undervalued</w:t>
            </w:r>
          </w:p>
        </w:tc>
      </w:tr>
      <w:tr>
        <w:trPr/>
        <w:tc>
          <w:tcPr>
            <w:tcW w:w="3212" w:type="dxa"/>
            <w:tcBorders>
              <w:start w:val="single" w:sz="4" w:space="0" w:color="000000"/>
              <w:bottom w:val="single" w:sz="4" w:space="0" w:color="000000"/>
            </w:tcBorders>
          </w:tcPr>
          <w:p>
            <w:pPr>
              <w:pStyle w:val="TableContents"/>
              <w:bidi w:val="0"/>
              <w:jc w:val="start"/>
              <w:rPr/>
            </w:pPr>
            <w:r>
              <w:rPr>
                <w:b/>
              </w:rPr>
              <w:t>Company with inconsistent operating cash flow AND inconsistent net income AND no meaningful book value</w:t>
            </w:r>
          </w:p>
        </w:tc>
        <w:tc>
          <w:tcPr>
            <w:tcW w:w="3213" w:type="dxa"/>
            <w:tcBorders>
              <w:start w:val="single" w:sz="4" w:space="0" w:color="000000"/>
              <w:bottom w:val="single" w:sz="4" w:space="0" w:color="000000"/>
            </w:tcBorders>
          </w:tcPr>
          <w:p>
            <w:pPr>
              <w:pStyle w:val="TableContents"/>
              <w:bidi w:val="0"/>
              <w:jc w:val="start"/>
              <w:rPr/>
            </w:pPr>
            <w:r>
              <w:rPr>
                <w:b/>
              </w:rPr>
              <w:t>Do not buy</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Fails the core criterion of consistently increasing revenue, net income and CFO — find another stock</w:t>
            </w:r>
          </w:p>
        </w:tc>
      </w:tr>
    </w:tbl>
    <w:p>
      <w:pPr>
        <w:pStyle w:val="BodyText"/>
        <w:bidi w:val="0"/>
        <w:jc w:val="start"/>
        <w:rPr/>
      </w:pPr>
      <w:r>
        <w:rPr/>
      </w:r>
    </w:p>
    <w:p>
      <w:pPr>
        <w:pStyle w:val="HorizontalLine"/>
        <w:bidi w:val="0"/>
        <w:jc w:val="start"/>
        <w:rPr/>
      </w:pPr>
      <w:r>
        <w:rPr/>
      </w:r>
    </w:p>
    <w:p>
      <w:pPr>
        <w:pStyle w:val="Heading1"/>
        <w:bidi w:val="0"/>
        <w:ind w:hanging="0" w:start="0"/>
        <w:jc w:val="start"/>
        <w:rPr/>
      </w:pPr>
      <w:r>
        <w:rPr/>
        <w:t>Part V — Technical Analysis: Timing Entries and Exits</w:t>
      </w:r>
    </w:p>
    <w:p>
      <w:pPr>
        <w:pStyle w:val="Heading2"/>
        <w:bidi w:val="0"/>
        <w:ind w:hanging="0" w:start="0"/>
        <w:jc w:val="start"/>
        <w:rPr/>
      </w:pPr>
      <w:r>
        <w:rPr/>
        <w:t>05 — Technical Analysis (Lesson 6: Timing Your Entries with Technical Analysis)</w:t>
      </w:r>
    </w:p>
    <w:p>
      <w:pPr>
        <w:pStyle w:val="BodyText"/>
        <w:bidi w:val="0"/>
        <w:jc w:val="start"/>
        <w:rPr/>
      </w:pPr>
      <w:r>
        <w:rPr>
          <w:i/>
        </w:rPr>
        <w:t>Source transcripts: 43 Reading Charts · 44 Support &amp; Resistance · 45 Moving Averages · 46 Buying on Uptrends · 47 Buy/Sell on Downtrends · 48 Catching Bottoms</w:t>
      </w:r>
    </w:p>
    <w:p>
      <w:pPr>
        <w:pStyle w:val="HorizontalLine"/>
        <w:bidi w:val="0"/>
        <w:jc w:val="start"/>
        <w:rPr/>
      </w:pPr>
      <w:r>
        <w:rPr/>
      </w:r>
    </w:p>
    <w:p>
      <w:pPr>
        <w:pStyle w:val="Heading3"/>
        <w:bidi w:val="0"/>
        <w:ind w:hanging="0" w:start="0"/>
        <w:jc w:val="start"/>
        <w:rPr/>
      </w:pPr>
      <w:r>
        <w:rPr/>
        <w:t>1. Why Technical Analysis in a Value Framework</w:t>
      </w:r>
    </w:p>
    <w:p>
      <w:pPr>
        <w:pStyle w:val="Heading4"/>
        <w:bidi w:val="0"/>
        <w:ind w:hanging="0" w:start="0"/>
        <w:jc w:val="start"/>
        <w:rPr/>
      </w:pPr>
      <w:r>
        <w:rPr/>
        <w:t>1.1 The Rationale</w:t>
      </w:r>
    </w:p>
    <w:p>
      <w:pPr>
        <w:pStyle w:val="BodyText"/>
        <w:numPr>
          <w:ilvl w:val="0"/>
          <w:numId w:val="284"/>
        </w:numPr>
        <w:tabs>
          <w:tab w:val="clear" w:pos="709"/>
          <w:tab w:val="left" w:pos="709" w:leader="none"/>
        </w:tabs>
        <w:bidi w:val="0"/>
        <w:ind w:hanging="283" w:start="709"/>
        <w:jc w:val="start"/>
        <w:rPr/>
      </w:pPr>
      <w:r>
        <w:rPr/>
        <w:t xml:space="preserve">In the </w:t>
      </w:r>
      <w:r>
        <w:rPr>
          <w:b/>
        </w:rPr>
        <w:t>short term the market is not driven by logic — it is driven by emotions (sentiment)</w:t>
      </w:r>
      <w:r>
        <w:rPr/>
        <w:t>.</w:t>
      </w:r>
    </w:p>
    <w:p>
      <w:pPr>
        <w:pStyle w:val="BodyText"/>
        <w:numPr>
          <w:ilvl w:val="0"/>
          <w:numId w:val="284"/>
        </w:numPr>
        <w:tabs>
          <w:tab w:val="clear" w:pos="709"/>
          <w:tab w:val="left" w:pos="709" w:leader="none"/>
        </w:tabs>
        <w:bidi w:val="0"/>
        <w:spacing w:before="0" w:after="0"/>
        <w:ind w:hanging="283" w:start="709"/>
        <w:jc w:val="start"/>
        <w:rPr/>
      </w:pPr>
      <w:r>
        <w:rPr/>
        <w:t xml:space="preserve">Prices are driven by </w:t>
      </w:r>
      <w:r>
        <w:rPr>
          <w:b/>
        </w:rPr>
        <w:t>demand and supply</w:t>
      </w:r>
      <w:r>
        <w:rPr/>
        <w:t xml:space="preserve">, which in turn is driven by </w:t>
      </w:r>
      <w:r>
        <w:rPr>
          <w:b/>
        </w:rPr>
        <w:t>fear and greed</w:t>
      </w:r>
      <w:r>
        <w:rPr/>
        <w:t>.</w:t>
      </w:r>
    </w:p>
    <w:p>
      <w:pPr>
        <w:pStyle w:val="BodyText"/>
        <w:numPr>
          <w:ilvl w:val="1"/>
          <w:numId w:val="284"/>
        </w:numPr>
        <w:tabs>
          <w:tab w:val="clear" w:pos="709"/>
          <w:tab w:val="left" w:pos="1418" w:leader="none"/>
        </w:tabs>
        <w:bidi w:val="0"/>
        <w:ind w:hanging="283" w:start="1418"/>
        <w:jc w:val="start"/>
        <w:rPr/>
      </w:pPr>
      <w:r>
        <w:rPr/>
        <w:t xml:space="preserve">When people are excited → they buy, buy, buy → price keeps going up </w:t>
      </w:r>
      <w:r>
        <w:rPr>
          <w:b/>
        </w:rPr>
        <w:t>even though it's overpriced</w:t>
      </w:r>
      <w:r>
        <w:rPr/>
        <w:t>. "High can get even higher."</w:t>
      </w:r>
    </w:p>
    <w:p>
      <w:pPr>
        <w:pStyle w:val="BodyText"/>
        <w:numPr>
          <w:ilvl w:val="1"/>
          <w:numId w:val="284"/>
        </w:numPr>
        <w:tabs>
          <w:tab w:val="clear" w:pos="709"/>
          <w:tab w:val="left" w:pos="1418" w:leader="none"/>
        </w:tabs>
        <w:bidi w:val="0"/>
        <w:ind w:hanging="283" w:start="1418"/>
        <w:jc w:val="start"/>
        <w:rPr/>
      </w:pPr>
      <w:r>
        <w:rPr/>
        <w:t xml:space="preserve">When people are scared → they sell → price keeps going down </w:t>
      </w:r>
      <w:r>
        <w:rPr>
          <w:b/>
        </w:rPr>
        <w:t>even though it's a good company and undervalued</w:t>
      </w:r>
      <w:r>
        <w:rPr/>
        <w:t>. "Low can keep going lower."</w:t>
      </w:r>
    </w:p>
    <w:p>
      <w:pPr>
        <w:pStyle w:val="BodyText"/>
        <w:numPr>
          <w:ilvl w:val="0"/>
          <w:numId w:val="284"/>
        </w:numPr>
        <w:tabs>
          <w:tab w:val="clear" w:pos="709"/>
          <w:tab w:val="left" w:pos="709" w:leader="none"/>
        </w:tabs>
        <w:bidi w:val="0"/>
        <w:ind w:hanging="283" w:start="709"/>
        <w:jc w:val="start"/>
        <w:rPr/>
      </w:pPr>
      <w:r>
        <w:rPr/>
        <w:t xml:space="preserve">Technical analysis identifies </w:t>
      </w:r>
      <w:r>
        <w:rPr>
          <w:b/>
        </w:rPr>
        <w:t>potential reversal points</w:t>
      </w:r>
      <w:r>
        <w:rPr/>
        <w:t xml:space="preserve"> where price tends to reverse back up — the ideal points to enter.</w:t>
      </w:r>
    </w:p>
    <w:p>
      <w:pPr>
        <w:pStyle w:val="BodyText"/>
        <w:numPr>
          <w:ilvl w:val="0"/>
          <w:numId w:val="284"/>
        </w:numPr>
        <w:tabs>
          <w:tab w:val="clear" w:pos="709"/>
          <w:tab w:val="left" w:pos="709" w:leader="none"/>
        </w:tabs>
        <w:bidi w:val="0"/>
        <w:ind w:hanging="283" w:start="709"/>
        <w:jc w:val="start"/>
        <w:rPr/>
      </w:pPr>
      <w:r>
        <w:rPr/>
        <w:t xml:space="preserve">We do </w:t>
      </w:r>
      <w:r>
        <w:rPr>
          <w:b/>
        </w:rPr>
        <w:t>not</w:t>
      </w:r>
      <w:r>
        <w:rPr/>
        <w:t xml:space="preserve"> want to buy a great, undervalued company and then watch the price keep sliding. We want to buy </w:t>
      </w:r>
      <w:r>
        <w:rPr>
          <w:b/>
        </w:rPr>
        <w:t>at or near the point of reversal</w:t>
      </w:r>
      <w:r>
        <w:rPr/>
        <w:t>.</w:t>
      </w:r>
    </w:p>
    <w:p>
      <w:pPr>
        <w:pStyle w:val="Heading4"/>
        <w:numPr>
          <w:ilvl w:val="0"/>
          <w:numId w:val="0"/>
        </w:numPr>
        <w:bidi w:val="0"/>
        <w:ind w:hanging="0" w:start="0"/>
        <w:jc w:val="start"/>
        <w:rPr/>
      </w:pPr>
      <w:r>
        <w:rPr/>
        <w:t>1.2 Core Caveats Adam Repeats Constantly</w:t>
      </w:r>
    </w:p>
    <w:p>
      <w:pPr>
        <w:pStyle w:val="BodyText"/>
        <w:numPr>
          <w:ilvl w:val="0"/>
          <w:numId w:val="285"/>
        </w:numPr>
        <w:tabs>
          <w:tab w:val="clear" w:pos="709"/>
          <w:tab w:val="left" w:pos="709" w:leader="none"/>
        </w:tabs>
        <w:bidi w:val="0"/>
        <w:ind w:hanging="283" w:start="709"/>
        <w:jc w:val="start"/>
        <w:rPr/>
      </w:pPr>
      <w:r>
        <w:rPr>
          <w:b/>
        </w:rPr>
        <w:t>There is no 100% certainty in technical analysis.</w:t>
      </w:r>
      <w:r>
        <w:rPr/>
        <w:t xml:space="preserve"> We cannot predict the market.</w:t>
      </w:r>
    </w:p>
    <w:p>
      <w:pPr>
        <w:pStyle w:val="BodyText"/>
        <w:numPr>
          <w:ilvl w:val="0"/>
          <w:numId w:val="285"/>
        </w:numPr>
        <w:tabs>
          <w:tab w:val="clear" w:pos="709"/>
          <w:tab w:val="left" w:pos="709" w:leader="none"/>
        </w:tabs>
        <w:bidi w:val="0"/>
        <w:ind w:hanging="283" w:start="709"/>
        <w:jc w:val="start"/>
        <w:rPr/>
      </w:pPr>
      <w:r>
        <w:rPr/>
        <w:t xml:space="preserve">TA is about </w:t>
      </w:r>
      <w:r>
        <w:rPr>
          <w:b/>
        </w:rPr>
        <w:t>probability</w:t>
      </w:r>
      <w:r>
        <w:rPr/>
        <w:t>, not prediction: "Are prices more likely to keep going up, or more likely to keep going down?"</w:t>
      </w:r>
    </w:p>
    <w:p>
      <w:pPr>
        <w:pStyle w:val="BodyText"/>
        <w:numPr>
          <w:ilvl w:val="0"/>
          <w:numId w:val="285"/>
        </w:numPr>
        <w:tabs>
          <w:tab w:val="clear" w:pos="709"/>
          <w:tab w:val="left" w:pos="709" w:leader="none"/>
        </w:tabs>
        <w:bidi w:val="0"/>
        <w:ind w:hanging="283" w:start="709"/>
        <w:jc w:val="start"/>
        <w:rPr/>
      </w:pPr>
      <w:r>
        <w:rPr/>
        <w:t xml:space="preserve">We look for </w:t>
      </w:r>
      <w:r>
        <w:rPr>
          <w:b/>
        </w:rPr>
        <w:t>high-probability reversal points</w:t>
      </w:r>
      <w:r>
        <w:rPr/>
        <w:t xml:space="preserve"> — a high chance the price reverses up at that level. It could still go lower.</w:t>
      </w:r>
    </w:p>
    <w:p>
      <w:pPr>
        <w:pStyle w:val="BodyText"/>
        <w:numPr>
          <w:ilvl w:val="0"/>
          <w:numId w:val="285"/>
        </w:numPr>
        <w:tabs>
          <w:tab w:val="clear" w:pos="709"/>
          <w:tab w:val="left" w:pos="709" w:leader="none"/>
        </w:tabs>
        <w:bidi w:val="0"/>
        <w:ind w:hanging="283" w:start="709"/>
        <w:jc w:val="start"/>
        <w:rPr/>
      </w:pPr>
      <w:r>
        <w:rPr/>
        <w:t xml:space="preserve">Because of this uncertainty: </w:t>
      </w:r>
      <w:r>
        <w:rPr>
          <w:b/>
        </w:rPr>
        <w:t>NEVER go all-in at once. Always buy in tranches — three to four tranches — at these reversal levels.</w:t>
      </w:r>
    </w:p>
    <w:p>
      <w:pPr>
        <w:pStyle w:val="BodyText"/>
        <w:numPr>
          <w:ilvl w:val="0"/>
          <w:numId w:val="285"/>
        </w:numPr>
        <w:tabs>
          <w:tab w:val="clear" w:pos="709"/>
          <w:tab w:val="left" w:pos="709" w:leader="none"/>
        </w:tabs>
        <w:bidi w:val="0"/>
        <w:ind w:hanging="283" w:start="709"/>
        <w:jc w:val="start"/>
        <w:rPr/>
      </w:pPr>
      <w:r>
        <w:rPr/>
        <w:t>Adam's phrase used throughout: we buy at "</w:t>
      </w:r>
      <w:r>
        <w:rPr>
          <w:b/>
        </w:rPr>
        <w:t>potential bottoms</w:t>
      </w:r>
      <w:r>
        <w:rPr/>
        <w:t>", never "the bottom".</w:t>
      </w:r>
    </w:p>
    <w:p>
      <w:pPr>
        <w:pStyle w:val="Heading4"/>
        <w:numPr>
          <w:ilvl w:val="0"/>
          <w:numId w:val="0"/>
        </w:numPr>
        <w:bidi w:val="0"/>
        <w:ind w:hanging="0" w:start="0"/>
        <w:jc w:val="start"/>
        <w:rPr/>
      </w:pPr>
      <w:r>
        <w:rPr/>
        <w:t>1.3 Definition Adam Uses</w:t>
      </w:r>
    </w:p>
    <w:p>
      <w:pPr>
        <w:pStyle w:val="BlockQuotation"/>
        <w:bidi w:val="0"/>
        <w:jc w:val="start"/>
        <w:rPr/>
      </w:pPr>
      <w:r>
        <w:rPr>
          <w:b/>
        </w:rPr>
        <w:t>Technical analysis is the study of emotional patterns that are captured on price charts.</w:t>
      </w:r>
    </w:p>
    <w:p>
      <w:pPr>
        <w:pStyle w:val="BodyText"/>
        <w:numPr>
          <w:ilvl w:val="0"/>
          <w:numId w:val="286"/>
        </w:numPr>
        <w:tabs>
          <w:tab w:val="clear" w:pos="709"/>
          <w:tab w:val="left" w:pos="709" w:leader="none"/>
        </w:tabs>
        <w:bidi w:val="0"/>
        <w:ind w:hanging="283" w:start="709"/>
        <w:jc w:val="start"/>
        <w:rPr/>
      </w:pPr>
      <w:r>
        <w:rPr/>
        <w:t xml:space="preserve">Analogy: reading a chart is like a </w:t>
      </w:r>
      <w:r>
        <w:rPr>
          <w:b/>
        </w:rPr>
        <w:t>psychologist reading a patient</w:t>
      </w:r>
      <w:r>
        <w:rPr/>
        <w:t xml:space="preserve"> — facial expression and body language reveal emotion, and from emotion you anticipate behaviour.</w:t>
      </w:r>
    </w:p>
    <w:p>
      <w:pPr>
        <w:pStyle w:val="BodyText"/>
        <w:numPr>
          <w:ilvl w:val="0"/>
          <w:numId w:val="286"/>
        </w:numPr>
        <w:tabs>
          <w:tab w:val="clear" w:pos="709"/>
          <w:tab w:val="left" w:pos="709" w:leader="none"/>
        </w:tabs>
        <w:bidi w:val="0"/>
        <w:ind w:hanging="283" w:start="709"/>
        <w:jc w:val="start"/>
        <w:rPr/>
      </w:pPr>
      <w:r>
        <w:rPr/>
        <w:t xml:space="preserve">A chart tells you whether investors are </w:t>
      </w:r>
      <w:r>
        <w:rPr>
          <w:b/>
        </w:rPr>
        <w:t>bullish</w:t>
      </w:r>
      <w:r>
        <w:rPr/>
        <w:t xml:space="preserve"> (increasingly optimistic), </w:t>
      </w:r>
      <w:r>
        <w:rPr>
          <w:b/>
        </w:rPr>
        <w:t>bearish</w:t>
      </w:r>
      <w:r>
        <w:rPr/>
        <w:t xml:space="preserve"> (increasingly pessimistic), or </w:t>
      </w:r>
      <w:r>
        <w:rPr>
          <w:b/>
        </w:rPr>
        <w:t>confused</w:t>
      </w:r>
      <w:r>
        <w:rPr/>
        <w:t>, and what the most probable short-term move is.</w:t>
      </w:r>
    </w:p>
    <w:p>
      <w:pPr>
        <w:pStyle w:val="Heading4"/>
        <w:numPr>
          <w:ilvl w:val="0"/>
          <w:numId w:val="0"/>
        </w:numPr>
        <w:bidi w:val="0"/>
        <w:ind w:hanging="0" w:start="0"/>
        <w:jc w:val="start"/>
        <w:rPr/>
      </w:pPr>
      <w:r>
        <w:rPr/>
        <w:t>1.4 The Contrarian Note</w:t>
      </w:r>
    </w:p>
    <w:p>
      <w:pPr>
        <w:pStyle w:val="BodyText"/>
        <w:numPr>
          <w:ilvl w:val="0"/>
          <w:numId w:val="287"/>
        </w:numPr>
        <w:tabs>
          <w:tab w:val="clear" w:pos="709"/>
          <w:tab w:val="left" w:pos="709" w:leader="none"/>
        </w:tabs>
        <w:bidi w:val="0"/>
        <w:ind w:hanging="283" w:start="709"/>
        <w:jc w:val="start"/>
        <w:rPr/>
      </w:pPr>
      <w:r>
        <w:rPr/>
        <w:t xml:space="preserve">Warren Buffett and Peter Lynch </w:t>
      </w:r>
      <w:r>
        <w:rPr>
          <w:b/>
        </w:rPr>
        <w:t>do not look at charts at all</w:t>
      </w:r>
      <w:r>
        <w:rPr/>
        <w:t>. If it's a good company and undervalued, they just buy — they hold 5/10/15 years, so a 6-month or 1-year decline doesn't matter to them.</w:t>
      </w:r>
    </w:p>
    <w:p>
      <w:pPr>
        <w:pStyle w:val="BodyText"/>
        <w:numPr>
          <w:ilvl w:val="0"/>
          <w:numId w:val="287"/>
        </w:numPr>
        <w:tabs>
          <w:tab w:val="clear" w:pos="709"/>
          <w:tab w:val="left" w:pos="709" w:leader="none"/>
        </w:tabs>
        <w:bidi w:val="0"/>
        <w:ind w:hanging="283" w:start="709"/>
        <w:jc w:val="start"/>
        <w:rPr/>
      </w:pPr>
      <w:r>
        <w:rPr/>
        <w:t>Adam: "There's nothing wrong with that. You can ignore all these charts as well."</w:t>
      </w:r>
    </w:p>
    <w:p>
      <w:pPr>
        <w:pStyle w:val="BodyText"/>
        <w:numPr>
          <w:ilvl w:val="0"/>
          <w:numId w:val="287"/>
        </w:numPr>
        <w:tabs>
          <w:tab w:val="clear" w:pos="709"/>
          <w:tab w:val="left" w:pos="709" w:leader="none"/>
        </w:tabs>
        <w:bidi w:val="0"/>
        <w:ind w:hanging="283" w:start="709"/>
        <w:jc w:val="start"/>
        <w:rPr/>
      </w:pPr>
      <w:r>
        <w:rPr>
          <w:b/>
        </w:rPr>
        <w:t>Adam's position:</w:t>
      </w:r>
      <w:r>
        <w:rPr/>
        <w:t xml:space="preserve"> combining chart patterns with great, undervalued companies gives you </w:t>
      </w:r>
      <w:r>
        <w:rPr>
          <w:b/>
        </w:rPr>
        <w:t>better entry points</w:t>
      </w:r>
      <w:r>
        <w:rPr/>
        <w:t xml:space="preserve"> — not perfect entry points, but better.</w:t>
      </w:r>
    </w:p>
    <w:p>
      <w:pPr>
        <w:pStyle w:val="Heading4"/>
        <w:numPr>
          <w:ilvl w:val="0"/>
          <w:numId w:val="0"/>
        </w:numPr>
        <w:bidi w:val="0"/>
        <w:ind w:hanging="0" w:start="0"/>
        <w:jc w:val="start"/>
        <w:rPr/>
      </w:pPr>
      <w:r>
        <w:rPr/>
        <w:t>1.5 Trend Probability Principle</w:t>
      </w:r>
    </w:p>
    <w:p>
      <w:pPr>
        <w:pStyle w:val="BlockQuotation"/>
        <w:bidi w:val="0"/>
        <w:jc w:val="start"/>
        <w:rPr/>
      </w:pPr>
      <w:r>
        <w:rPr>
          <w:b/>
        </w:rPr>
        <w:t>An established trend in price is statistically more likely to continue from one interval to the next than it is to reverse.</w:t>
      </w:r>
    </w:p>
    <w:p>
      <w:pPr>
        <w:pStyle w:val="BodyText"/>
        <w:numPr>
          <w:ilvl w:val="0"/>
          <w:numId w:val="288"/>
        </w:numPr>
        <w:tabs>
          <w:tab w:val="clear" w:pos="709"/>
          <w:tab w:val="left" w:pos="709" w:leader="none"/>
        </w:tabs>
        <w:bidi w:val="0"/>
        <w:ind w:hanging="283" w:start="709"/>
        <w:jc w:val="start"/>
        <w:rPr/>
      </w:pPr>
      <w:r>
        <w:rPr>
          <w:b/>
        </w:rPr>
        <w:t>River-current analogy:</w:t>
      </w:r>
      <w:r>
        <w:rPr/>
        <w:t xml:space="preserve"> if the current flows upward, jumping in carries you up. If the current flows downward, no matter how hard you swim you get swept downstream.</w:t>
      </w:r>
    </w:p>
    <w:p>
      <w:pPr>
        <w:pStyle w:val="BodyText"/>
        <w:numPr>
          <w:ilvl w:val="0"/>
          <w:numId w:val="288"/>
        </w:numPr>
        <w:tabs>
          <w:tab w:val="clear" w:pos="709"/>
          <w:tab w:val="left" w:pos="709" w:leader="none"/>
        </w:tabs>
        <w:bidi w:val="0"/>
        <w:ind w:hanging="283" w:start="709"/>
        <w:jc w:val="start"/>
        <w:rPr/>
      </w:pPr>
      <w:r>
        <w:rPr/>
        <w:t xml:space="preserve">Downtrend → probability is price keeps going lower </w:t>
      </w:r>
      <w:r>
        <w:rPr>
          <w:b/>
        </w:rPr>
        <w:t>until the trend changes</w:t>
      </w:r>
      <w:r>
        <w:rPr/>
        <w:t>.</w:t>
      </w:r>
    </w:p>
    <w:p>
      <w:pPr>
        <w:pStyle w:val="BodyText"/>
        <w:numPr>
          <w:ilvl w:val="0"/>
          <w:numId w:val="288"/>
        </w:numPr>
        <w:tabs>
          <w:tab w:val="clear" w:pos="709"/>
          <w:tab w:val="left" w:pos="709" w:leader="none"/>
        </w:tabs>
        <w:bidi w:val="0"/>
        <w:ind w:hanging="283" w:start="709"/>
        <w:jc w:val="start"/>
        <w:rPr/>
      </w:pPr>
      <w:r>
        <w:rPr/>
        <w:t>Uptrend → probability is price keeps going higher.</w:t>
      </w:r>
    </w:p>
    <w:p>
      <w:pPr>
        <w:pStyle w:val="HorizontalLine"/>
        <w:bidi w:val="0"/>
        <w:jc w:val="start"/>
        <w:rPr/>
      </w:pPr>
      <w:r>
        <w:rPr/>
      </w:r>
    </w:p>
    <w:p>
      <w:pPr>
        <w:pStyle w:val="Heading3"/>
        <w:bidi w:val="0"/>
        <w:ind w:hanging="0" w:start="0"/>
        <w:jc w:val="start"/>
        <w:rPr/>
      </w:pPr>
      <w:r>
        <w:rPr/>
        <w:t>2. Reading Charts: Candlesticks and OHLC</w:t>
      </w:r>
    </w:p>
    <w:p>
      <w:pPr>
        <w:pStyle w:val="Heading4"/>
        <w:bidi w:val="0"/>
        <w:ind w:hanging="0" w:start="0"/>
        <w:jc w:val="start"/>
        <w:rPr/>
      </w:pPr>
      <w:r>
        <w:rPr/>
        <w:t>2.1 The Four Daily Prices</w:t>
      </w:r>
    </w:p>
    <w:p>
      <w:pPr>
        <w:pStyle w:val="BodyText"/>
        <w:numPr>
          <w:ilvl w:val="0"/>
          <w:numId w:val="289"/>
        </w:numPr>
        <w:tabs>
          <w:tab w:val="clear" w:pos="709"/>
          <w:tab w:val="left" w:pos="709" w:leader="none"/>
        </w:tabs>
        <w:bidi w:val="0"/>
        <w:ind w:hanging="283" w:start="709"/>
        <w:jc w:val="start"/>
        <w:rPr/>
      </w:pPr>
      <w:r>
        <w:rPr/>
        <w:t xml:space="preserve">US market </w:t>
      </w:r>
      <w:r>
        <w:rPr>
          <w:b/>
        </w:rPr>
        <w:t>opens 9:30 a.m. Eastern (New York) time</w:t>
      </w:r>
      <w:r>
        <w:rPr/>
        <w:t xml:space="preserve"> every weekday. First transacted price = </w:t>
      </w:r>
      <w:r>
        <w:rPr>
          <w:b/>
        </w:rPr>
        <w:t>opening price</w:t>
      </w:r>
      <w:r>
        <w:rPr/>
        <w:t>.</w:t>
      </w:r>
    </w:p>
    <w:p>
      <w:pPr>
        <w:pStyle w:val="BodyText"/>
        <w:numPr>
          <w:ilvl w:val="0"/>
          <w:numId w:val="289"/>
        </w:numPr>
        <w:tabs>
          <w:tab w:val="clear" w:pos="709"/>
          <w:tab w:val="left" w:pos="709" w:leader="none"/>
        </w:tabs>
        <w:bidi w:val="0"/>
        <w:ind w:hanging="283" w:start="709"/>
        <w:jc w:val="start"/>
        <w:rPr/>
      </w:pPr>
      <w:r>
        <w:rPr/>
        <w:t xml:space="preserve">Market </w:t>
      </w:r>
      <w:r>
        <w:rPr>
          <w:b/>
        </w:rPr>
        <w:t>closes 4:30 p.m. Eastern time</w:t>
      </w:r>
      <w:r>
        <w:rPr/>
        <w:t xml:space="preserve"> </w:t>
      </w:r>
      <w:r>
        <w:rPr>
          <w:i/>
        </w:rPr>
        <w:t>(as spoken in the transcript)</w:t>
      </w:r>
      <w:r>
        <w:rPr/>
        <w:t xml:space="preserve">. Last transacted price = </w:t>
      </w:r>
      <w:r>
        <w:rPr>
          <w:b/>
        </w:rPr>
        <w:t>closing price</w:t>
      </w:r>
      <w:r>
        <w:rPr/>
        <w:t>.</w:t>
      </w:r>
    </w:p>
    <w:p>
      <w:pPr>
        <w:pStyle w:val="BodyText"/>
        <w:numPr>
          <w:ilvl w:val="0"/>
          <w:numId w:val="289"/>
        </w:numPr>
        <w:tabs>
          <w:tab w:val="clear" w:pos="709"/>
          <w:tab w:val="left" w:pos="709" w:leader="none"/>
        </w:tabs>
        <w:bidi w:val="0"/>
        <w:ind w:hanging="283" w:start="709"/>
        <w:jc w:val="start"/>
        <w:rPr/>
      </w:pPr>
      <w:r>
        <w:rPr/>
        <w:t xml:space="preserve">Every trading day has four prices: </w:t>
      </w:r>
      <w:r>
        <w:rPr>
          <w:b/>
        </w:rPr>
        <w:t>Open, High, Low, Close (OHLC)</w:t>
      </w:r>
      <w:r>
        <w:rPr/>
        <w:t>.</w:t>
      </w:r>
    </w:p>
    <w:p>
      <w:pPr>
        <w:pStyle w:val="BodyText"/>
        <w:numPr>
          <w:ilvl w:val="0"/>
          <w:numId w:val="289"/>
        </w:numPr>
        <w:tabs>
          <w:tab w:val="clear" w:pos="709"/>
          <w:tab w:val="left" w:pos="709" w:leader="none"/>
        </w:tabs>
        <w:bidi w:val="0"/>
        <w:spacing w:before="0" w:after="0"/>
        <w:ind w:hanging="283" w:start="709"/>
        <w:jc w:val="start"/>
        <w:rPr/>
      </w:pPr>
      <w:r>
        <w:rPr>
          <w:b/>
        </w:rPr>
        <w:t>Worked example (McDonald's):</w:t>
      </w:r>
    </w:p>
    <w:p>
      <w:pPr>
        <w:pStyle w:val="BodyText"/>
        <w:numPr>
          <w:ilvl w:val="1"/>
          <w:numId w:val="289"/>
        </w:numPr>
        <w:tabs>
          <w:tab w:val="clear" w:pos="709"/>
          <w:tab w:val="left" w:pos="1418" w:leader="none"/>
        </w:tabs>
        <w:bidi w:val="0"/>
        <w:ind w:hanging="283" w:start="1418"/>
        <w:jc w:val="start"/>
        <w:rPr/>
      </w:pPr>
      <w:r>
        <w:rPr/>
        <w:t xml:space="preserve">Open = </w:t>
      </w:r>
      <w:r>
        <w:rPr>
          <w:b/>
        </w:rPr>
        <w:t>$99.70</w:t>
      </w:r>
    </w:p>
    <w:p>
      <w:pPr>
        <w:pStyle w:val="BodyText"/>
        <w:numPr>
          <w:ilvl w:val="1"/>
          <w:numId w:val="289"/>
        </w:numPr>
        <w:tabs>
          <w:tab w:val="clear" w:pos="709"/>
          <w:tab w:val="left" w:pos="1418" w:leader="none"/>
        </w:tabs>
        <w:bidi w:val="0"/>
        <w:ind w:hanging="283" w:start="1418"/>
        <w:jc w:val="start"/>
        <w:rPr/>
      </w:pPr>
      <w:r>
        <w:rPr/>
        <w:t xml:space="preserve">High of day = </w:t>
      </w:r>
      <w:r>
        <w:rPr>
          <w:b/>
        </w:rPr>
        <w:t>$100.30</w:t>
      </w:r>
    </w:p>
    <w:p>
      <w:pPr>
        <w:pStyle w:val="BodyText"/>
        <w:numPr>
          <w:ilvl w:val="1"/>
          <w:numId w:val="289"/>
        </w:numPr>
        <w:tabs>
          <w:tab w:val="clear" w:pos="709"/>
          <w:tab w:val="left" w:pos="1418" w:leader="none"/>
        </w:tabs>
        <w:bidi w:val="0"/>
        <w:ind w:hanging="283" w:start="1418"/>
        <w:jc w:val="start"/>
        <w:rPr/>
      </w:pPr>
      <w:r>
        <w:rPr/>
        <w:t xml:space="preserve">Low of day = </w:t>
      </w:r>
      <w:r>
        <w:rPr>
          <w:b/>
        </w:rPr>
        <w:t>$99.45</w:t>
      </w:r>
    </w:p>
    <w:p>
      <w:pPr>
        <w:pStyle w:val="BodyText"/>
        <w:numPr>
          <w:ilvl w:val="1"/>
          <w:numId w:val="289"/>
        </w:numPr>
        <w:tabs>
          <w:tab w:val="clear" w:pos="709"/>
          <w:tab w:val="left" w:pos="1418" w:leader="none"/>
        </w:tabs>
        <w:bidi w:val="0"/>
        <w:ind w:hanging="283" w:start="1418"/>
        <w:jc w:val="start"/>
        <w:rPr/>
      </w:pPr>
      <w:r>
        <w:rPr/>
        <w:t xml:space="preserve">Close = </w:t>
      </w:r>
      <w:r>
        <w:rPr>
          <w:b/>
        </w:rPr>
        <w:t>$99.99</w:t>
      </w:r>
    </w:p>
    <w:p>
      <w:pPr>
        <w:pStyle w:val="Heading4"/>
        <w:numPr>
          <w:ilvl w:val="0"/>
          <w:numId w:val="0"/>
        </w:numPr>
        <w:bidi w:val="0"/>
        <w:ind w:hanging="0" w:start="0"/>
        <w:jc w:val="start"/>
        <w:rPr/>
      </w:pPr>
      <w:r>
        <w:rPr/>
        <w:t>2.2 Candlestick Anatomy</w:t>
      </w:r>
    </w:p>
    <w:p>
      <w:pPr>
        <w:pStyle w:val="BodyText"/>
        <w:numPr>
          <w:ilvl w:val="0"/>
          <w:numId w:val="290"/>
        </w:numPr>
        <w:tabs>
          <w:tab w:val="clear" w:pos="709"/>
          <w:tab w:val="left" w:pos="709" w:leader="none"/>
        </w:tabs>
        <w:bidi w:val="0"/>
        <w:ind w:hanging="283" w:start="709"/>
        <w:jc w:val="start"/>
        <w:rPr/>
      </w:pPr>
      <w:r>
        <w:rPr/>
        <w:t>Candlesticks represent all four prices in one bar.</w:t>
      </w:r>
    </w:p>
    <w:p>
      <w:pPr>
        <w:pStyle w:val="BodyText"/>
        <w:numPr>
          <w:ilvl w:val="0"/>
          <w:numId w:val="290"/>
        </w:numPr>
        <w:tabs>
          <w:tab w:val="clear" w:pos="709"/>
          <w:tab w:val="left" w:pos="709" w:leader="none"/>
        </w:tabs>
        <w:bidi w:val="0"/>
        <w:spacing w:before="0" w:after="0"/>
        <w:ind w:hanging="283" w:start="709"/>
        <w:jc w:val="start"/>
        <w:rPr/>
      </w:pPr>
      <w:r>
        <w:rPr>
          <w:b/>
        </w:rPr>
        <w:t>Bullish / up day</w:t>
      </w:r>
      <w:r>
        <w:rPr/>
        <w:t xml:space="preserve"> = close </w:t>
      </w:r>
      <w:r>
        <w:rPr>
          <w:b/>
        </w:rPr>
        <w:t>higher</w:t>
      </w:r>
      <w:r>
        <w:rPr/>
        <w:t xml:space="preserve"> than open → </w:t>
      </w:r>
      <w:r>
        <w:rPr>
          <w:b/>
        </w:rPr>
        <w:t>green candle</w:t>
      </w:r>
      <w:r>
        <w:rPr/>
        <w:t xml:space="preserve"> (some platforms use white — same meaning).</w:t>
      </w:r>
    </w:p>
    <w:p>
      <w:pPr>
        <w:pStyle w:val="BodyText"/>
        <w:numPr>
          <w:ilvl w:val="1"/>
          <w:numId w:val="290"/>
        </w:numPr>
        <w:tabs>
          <w:tab w:val="clear" w:pos="709"/>
          <w:tab w:val="left" w:pos="1418" w:leader="none"/>
        </w:tabs>
        <w:bidi w:val="0"/>
        <w:ind w:hanging="283" w:start="1418"/>
        <w:jc w:val="start"/>
        <w:rPr/>
      </w:pPr>
      <w:r>
        <w:rPr/>
        <w:t xml:space="preserve">Body </w:t>
      </w:r>
      <w:r>
        <w:rPr>
          <w:b/>
        </w:rPr>
        <w:t>bottom</w:t>
      </w:r>
      <w:r>
        <w:rPr/>
        <w:t xml:space="preserve"> = opening price</w:t>
      </w:r>
    </w:p>
    <w:p>
      <w:pPr>
        <w:pStyle w:val="BodyText"/>
        <w:numPr>
          <w:ilvl w:val="1"/>
          <w:numId w:val="290"/>
        </w:numPr>
        <w:tabs>
          <w:tab w:val="clear" w:pos="709"/>
          <w:tab w:val="left" w:pos="1418" w:leader="none"/>
        </w:tabs>
        <w:bidi w:val="0"/>
        <w:ind w:hanging="283" w:start="1418"/>
        <w:jc w:val="start"/>
        <w:rPr/>
      </w:pPr>
      <w:r>
        <w:rPr/>
        <w:t xml:space="preserve">Body </w:t>
      </w:r>
      <w:r>
        <w:rPr>
          <w:b/>
        </w:rPr>
        <w:t>top</w:t>
      </w:r>
      <w:r>
        <w:rPr/>
        <w:t xml:space="preserve"> = closing price</w:t>
      </w:r>
    </w:p>
    <w:p>
      <w:pPr>
        <w:pStyle w:val="BodyText"/>
        <w:numPr>
          <w:ilvl w:val="1"/>
          <w:numId w:val="290"/>
        </w:numPr>
        <w:tabs>
          <w:tab w:val="clear" w:pos="709"/>
          <w:tab w:val="left" w:pos="1418" w:leader="none"/>
        </w:tabs>
        <w:bidi w:val="0"/>
        <w:ind w:hanging="283" w:start="1418"/>
        <w:jc w:val="start"/>
        <w:rPr/>
      </w:pPr>
      <w:r>
        <w:rPr/>
        <w:t>Worked example: opens $10, closes $20, high $25, low $8</w:t>
      </w:r>
    </w:p>
    <w:p>
      <w:pPr>
        <w:pStyle w:val="BodyText"/>
        <w:numPr>
          <w:ilvl w:val="0"/>
          <w:numId w:val="290"/>
        </w:numPr>
        <w:tabs>
          <w:tab w:val="clear" w:pos="709"/>
          <w:tab w:val="left" w:pos="709" w:leader="none"/>
        </w:tabs>
        <w:bidi w:val="0"/>
        <w:spacing w:before="0" w:after="0"/>
        <w:ind w:hanging="283" w:start="709"/>
        <w:jc w:val="start"/>
        <w:rPr/>
      </w:pPr>
      <w:r>
        <w:rPr>
          <w:b/>
        </w:rPr>
        <w:t>Bearish / down day</w:t>
      </w:r>
      <w:r>
        <w:rPr/>
        <w:t xml:space="preserve"> = close </w:t>
      </w:r>
      <w:r>
        <w:rPr>
          <w:b/>
        </w:rPr>
        <w:t>lower</w:t>
      </w:r>
      <w:r>
        <w:rPr/>
        <w:t xml:space="preserve"> than open → </w:t>
      </w:r>
      <w:r>
        <w:rPr>
          <w:b/>
        </w:rPr>
        <w:t>red candle</w:t>
      </w:r>
      <w:r>
        <w:rPr/>
        <w:t>.</w:t>
      </w:r>
    </w:p>
    <w:p>
      <w:pPr>
        <w:pStyle w:val="BodyText"/>
        <w:numPr>
          <w:ilvl w:val="1"/>
          <w:numId w:val="290"/>
        </w:numPr>
        <w:tabs>
          <w:tab w:val="clear" w:pos="709"/>
          <w:tab w:val="left" w:pos="1418" w:leader="none"/>
        </w:tabs>
        <w:bidi w:val="0"/>
        <w:ind w:hanging="283" w:start="1418"/>
        <w:jc w:val="start"/>
        <w:rPr/>
      </w:pPr>
      <w:r>
        <w:rPr/>
        <w:t xml:space="preserve">Body </w:t>
      </w:r>
      <w:r>
        <w:rPr>
          <w:b/>
        </w:rPr>
        <w:t>top</w:t>
      </w:r>
      <w:r>
        <w:rPr/>
        <w:t xml:space="preserve"> = opening price</w:t>
      </w:r>
    </w:p>
    <w:p>
      <w:pPr>
        <w:pStyle w:val="BodyText"/>
        <w:numPr>
          <w:ilvl w:val="1"/>
          <w:numId w:val="290"/>
        </w:numPr>
        <w:tabs>
          <w:tab w:val="clear" w:pos="709"/>
          <w:tab w:val="left" w:pos="1418" w:leader="none"/>
        </w:tabs>
        <w:bidi w:val="0"/>
        <w:ind w:hanging="283" w:start="1418"/>
        <w:jc w:val="start"/>
        <w:rPr/>
      </w:pPr>
      <w:r>
        <w:rPr/>
        <w:t xml:space="preserve">Body </w:t>
      </w:r>
      <w:r>
        <w:rPr>
          <w:b/>
        </w:rPr>
        <w:t>bottom</w:t>
      </w:r>
      <w:r>
        <w:rPr/>
        <w:t xml:space="preserve"> = closing price</w:t>
      </w:r>
    </w:p>
    <w:p>
      <w:pPr>
        <w:pStyle w:val="BodyText"/>
        <w:numPr>
          <w:ilvl w:val="1"/>
          <w:numId w:val="290"/>
        </w:numPr>
        <w:tabs>
          <w:tab w:val="clear" w:pos="709"/>
          <w:tab w:val="left" w:pos="1418" w:leader="none"/>
        </w:tabs>
        <w:bidi w:val="0"/>
        <w:ind w:hanging="283" w:start="1418"/>
        <w:jc w:val="start"/>
        <w:rPr/>
      </w:pPr>
      <w:r>
        <w:rPr/>
        <w:t>Worked example: opens $20, closes $10, high $25, low $7</w:t>
      </w:r>
    </w:p>
    <w:p>
      <w:pPr>
        <w:pStyle w:val="BodyText"/>
        <w:numPr>
          <w:ilvl w:val="0"/>
          <w:numId w:val="290"/>
        </w:numPr>
        <w:tabs>
          <w:tab w:val="clear" w:pos="709"/>
          <w:tab w:val="left" w:pos="709" w:leader="none"/>
        </w:tabs>
        <w:bidi w:val="0"/>
        <w:ind w:hanging="283" w:start="709"/>
        <w:jc w:val="start"/>
        <w:rPr/>
      </w:pPr>
      <w:r>
        <w:rPr>
          <w:b/>
        </w:rPr>
        <w:t>Mnemonic:</w:t>
      </w:r>
      <w:r>
        <w:rPr/>
        <w:t xml:space="preserve"> bullish candle — open below, close on top. Bearish candle — the </w:t>
      </w:r>
      <w:r>
        <w:rPr>
          <w:b/>
        </w:rPr>
        <w:t>opposite</w:t>
      </w:r>
      <w:r>
        <w:rPr/>
        <w:t>: open on top, close below.</w:t>
      </w:r>
    </w:p>
    <w:p>
      <w:pPr>
        <w:pStyle w:val="BodyText"/>
        <w:numPr>
          <w:ilvl w:val="0"/>
          <w:numId w:val="290"/>
        </w:numPr>
        <w:tabs>
          <w:tab w:val="clear" w:pos="709"/>
          <w:tab w:val="left" w:pos="709" w:leader="none"/>
        </w:tabs>
        <w:bidi w:val="0"/>
        <w:ind w:hanging="283" w:start="709"/>
        <w:jc w:val="start"/>
        <w:rPr/>
      </w:pPr>
      <w:r>
        <w:rPr>
          <w:b/>
        </w:rPr>
        <w:t>Body</w:t>
      </w:r>
      <w:r>
        <w:rPr/>
        <w:t xml:space="preserve"> = the rectangle (open→close range).</w:t>
      </w:r>
    </w:p>
    <w:p>
      <w:pPr>
        <w:pStyle w:val="BodyText"/>
        <w:numPr>
          <w:ilvl w:val="0"/>
          <w:numId w:val="290"/>
        </w:numPr>
        <w:tabs>
          <w:tab w:val="clear" w:pos="709"/>
          <w:tab w:val="left" w:pos="709" w:leader="none"/>
        </w:tabs>
        <w:bidi w:val="0"/>
        <w:spacing w:before="0" w:after="0"/>
        <w:ind w:hanging="283" w:start="709"/>
        <w:jc w:val="start"/>
        <w:rPr/>
      </w:pPr>
      <w:r>
        <w:rPr>
          <w:b/>
        </w:rPr>
        <w:t>Wick / shadow / tail</w:t>
      </w:r>
      <w:r>
        <w:rPr/>
        <w:t xml:space="preserve"> = the thin lines (all three words mean the same thing).</w:t>
      </w:r>
    </w:p>
    <w:p>
      <w:pPr>
        <w:pStyle w:val="BodyText"/>
        <w:numPr>
          <w:ilvl w:val="1"/>
          <w:numId w:val="290"/>
        </w:numPr>
        <w:tabs>
          <w:tab w:val="clear" w:pos="709"/>
          <w:tab w:val="left" w:pos="1418" w:leader="none"/>
        </w:tabs>
        <w:bidi w:val="0"/>
        <w:ind w:hanging="283" w:start="1418"/>
        <w:jc w:val="start"/>
        <w:rPr/>
      </w:pPr>
      <w:r>
        <w:rPr/>
        <w:t>Upper wick = high of the period</w:t>
      </w:r>
    </w:p>
    <w:p>
      <w:pPr>
        <w:pStyle w:val="BodyText"/>
        <w:numPr>
          <w:ilvl w:val="1"/>
          <w:numId w:val="290"/>
        </w:numPr>
        <w:tabs>
          <w:tab w:val="clear" w:pos="709"/>
          <w:tab w:val="left" w:pos="1418" w:leader="none"/>
        </w:tabs>
        <w:bidi w:val="0"/>
        <w:ind w:hanging="283" w:start="1418"/>
        <w:jc w:val="start"/>
        <w:rPr/>
      </w:pPr>
      <w:r>
        <w:rPr/>
        <w:t>Lower wick = low of the period</w:t>
      </w:r>
    </w:p>
    <w:p>
      <w:pPr>
        <w:pStyle w:val="BodyText"/>
        <w:numPr>
          <w:ilvl w:val="0"/>
          <w:numId w:val="290"/>
        </w:numPr>
        <w:tabs>
          <w:tab w:val="clear" w:pos="709"/>
          <w:tab w:val="left" w:pos="709" w:leader="none"/>
        </w:tabs>
        <w:bidi w:val="0"/>
        <w:ind w:hanging="283" w:start="709"/>
        <w:jc w:val="start"/>
        <w:rPr/>
      </w:pPr>
      <w:r>
        <w:rPr/>
        <w:t xml:space="preserve">Bottom line for the course: </w:t>
      </w:r>
      <w:r>
        <w:rPr>
          <w:b/>
        </w:rPr>
        <w:t>green = bullish, red = bearish.</w:t>
      </w:r>
    </w:p>
    <w:p>
      <w:pPr>
        <w:pStyle w:val="Heading4"/>
        <w:numPr>
          <w:ilvl w:val="0"/>
          <w:numId w:val="0"/>
        </w:numPr>
        <w:bidi w:val="0"/>
        <w:ind w:hanging="0" w:start="0"/>
        <w:jc w:val="start"/>
        <w:rPr/>
      </w:pPr>
      <w:r>
        <w:rPr/>
        <w:t>2.3 The Pin Bar (the one candlestick pattern Adam teaches)</w:t>
      </w:r>
    </w:p>
    <w:p>
      <w:pPr>
        <w:pStyle w:val="BodyText"/>
        <w:numPr>
          <w:ilvl w:val="0"/>
          <w:numId w:val="291"/>
        </w:numPr>
        <w:tabs>
          <w:tab w:val="clear" w:pos="709"/>
          <w:tab w:val="left" w:pos="709" w:leader="none"/>
        </w:tabs>
        <w:bidi w:val="0"/>
        <w:ind w:hanging="283" w:start="709"/>
        <w:jc w:val="start"/>
        <w:rPr/>
      </w:pPr>
      <w:r>
        <w:rPr/>
        <w:t xml:space="preserve">Adam explicitly says: there are many candlestick patterns, but </w:t>
      </w:r>
      <w:r>
        <w:rPr>
          <w:b/>
        </w:rPr>
        <w:t>for investing they are not that important — except the pin bar</w:t>
      </w:r>
      <w:r>
        <w:rPr/>
        <w:t>.</w:t>
      </w:r>
    </w:p>
    <w:p>
      <w:pPr>
        <w:pStyle w:val="BodyText"/>
        <w:numPr>
          <w:ilvl w:val="0"/>
          <w:numId w:val="291"/>
        </w:numPr>
        <w:tabs>
          <w:tab w:val="clear" w:pos="709"/>
          <w:tab w:val="left" w:pos="709" w:leader="none"/>
        </w:tabs>
        <w:bidi w:val="0"/>
        <w:ind w:hanging="283" w:start="709"/>
        <w:jc w:val="start"/>
        <w:rPr/>
      </w:pPr>
      <w:r>
        <w:rPr>
          <w:b/>
        </w:rPr>
        <w:t>Pin bar = a candle with a very small body and one long tail</w:t>
      </w:r>
      <w:r>
        <w:rPr/>
        <w:t xml:space="preserve"> (looks like a pin).</w:t>
      </w:r>
    </w:p>
    <w:p>
      <w:pPr>
        <w:pStyle w:val="BodyText"/>
        <w:bidi w:val="0"/>
        <w:jc w:val="start"/>
        <w:rPr/>
      </w:pPr>
      <w:r>
        <w:rPr>
          <w:b/>
        </w:rPr>
        <w:t>Bullish pin bar</w:t>
      </w:r>
    </w:p>
    <w:p>
      <w:pPr>
        <w:pStyle w:val="BodyText"/>
        <w:numPr>
          <w:ilvl w:val="0"/>
          <w:numId w:val="292"/>
        </w:numPr>
        <w:tabs>
          <w:tab w:val="clear" w:pos="709"/>
          <w:tab w:val="left" w:pos="709" w:leader="none"/>
        </w:tabs>
        <w:bidi w:val="0"/>
        <w:ind w:hanging="283" w:start="709"/>
        <w:jc w:val="start"/>
        <w:rPr/>
      </w:pPr>
      <w:r>
        <w:rPr>
          <w:b/>
        </w:rPr>
        <w:t>Small body</w:t>
      </w:r>
    </w:p>
    <w:p>
      <w:pPr>
        <w:pStyle w:val="BodyText"/>
        <w:numPr>
          <w:ilvl w:val="0"/>
          <w:numId w:val="292"/>
        </w:numPr>
        <w:tabs>
          <w:tab w:val="clear" w:pos="709"/>
          <w:tab w:val="left" w:pos="709" w:leader="none"/>
        </w:tabs>
        <w:bidi w:val="0"/>
        <w:ind w:hanging="283" w:start="709"/>
        <w:jc w:val="start"/>
        <w:rPr/>
      </w:pPr>
      <w:r>
        <w:rPr>
          <w:b/>
        </w:rPr>
        <w:t>Long LOWER tail</w:t>
      </w:r>
      <w:r>
        <w:rPr/>
        <w:t xml:space="preserve"> (tail below the body)</w:t>
      </w:r>
    </w:p>
    <w:p>
      <w:pPr>
        <w:pStyle w:val="BodyText"/>
        <w:numPr>
          <w:ilvl w:val="0"/>
          <w:numId w:val="292"/>
        </w:numPr>
        <w:tabs>
          <w:tab w:val="clear" w:pos="709"/>
          <w:tab w:val="left" w:pos="709" w:leader="none"/>
        </w:tabs>
        <w:bidi w:val="0"/>
        <w:ind w:hanging="283" w:start="709"/>
        <w:jc w:val="start"/>
        <w:rPr/>
      </w:pPr>
      <w:r>
        <w:rPr/>
        <w:t>Upper tail is short or absent</w:t>
      </w:r>
    </w:p>
    <w:p>
      <w:pPr>
        <w:pStyle w:val="BodyText"/>
        <w:numPr>
          <w:ilvl w:val="0"/>
          <w:numId w:val="292"/>
        </w:numPr>
        <w:tabs>
          <w:tab w:val="clear" w:pos="709"/>
          <w:tab w:val="left" w:pos="709" w:leader="none"/>
        </w:tabs>
        <w:bidi w:val="0"/>
        <w:ind w:hanging="283" w:start="709"/>
        <w:jc w:val="start"/>
        <w:rPr/>
      </w:pPr>
      <w:r>
        <w:rPr>
          <w:b/>
        </w:rPr>
        <w:t>Colour of the body does not matter</w:t>
      </w:r>
      <w:r>
        <w:rPr/>
        <w:t xml:space="preserve"> — a red-bodied candle with a long lower tail is still a bullish pin bar</w:t>
      </w:r>
    </w:p>
    <w:p>
      <w:pPr>
        <w:pStyle w:val="BodyText"/>
        <w:numPr>
          <w:ilvl w:val="0"/>
          <w:numId w:val="292"/>
        </w:numPr>
        <w:tabs>
          <w:tab w:val="clear" w:pos="709"/>
          <w:tab w:val="left" w:pos="709" w:leader="none"/>
        </w:tabs>
        <w:bidi w:val="0"/>
        <w:ind w:hanging="283" w:start="709"/>
        <w:jc w:val="start"/>
        <w:rPr/>
      </w:pPr>
      <w:r>
        <w:rPr>
          <w:b/>
        </w:rPr>
        <w:t>Meaning:</w:t>
      </w:r>
      <w:r>
        <w:rPr/>
        <w:t xml:space="preserve"> higher likelihood price moves UP after this candle</w:t>
      </w:r>
    </w:p>
    <w:p>
      <w:pPr>
        <w:pStyle w:val="BodyText"/>
        <w:numPr>
          <w:ilvl w:val="0"/>
          <w:numId w:val="292"/>
        </w:numPr>
        <w:tabs>
          <w:tab w:val="clear" w:pos="709"/>
          <w:tab w:val="left" w:pos="709" w:leader="none"/>
        </w:tabs>
        <w:bidi w:val="0"/>
        <w:ind w:hanging="283" w:start="709"/>
        <w:jc w:val="start"/>
        <w:rPr/>
      </w:pPr>
      <w:r>
        <w:rPr>
          <w:b/>
        </w:rPr>
        <w:t>Critical qualifier:</w:t>
      </w:r>
      <w:r>
        <w:rPr/>
        <w:t xml:space="preserve"> the candle alone is not good enough — it </w:t>
      </w:r>
      <w:r>
        <w:rPr>
          <w:b/>
        </w:rPr>
        <w:t>must appear at a strong support level or at a moving-average support</w:t>
      </w:r>
    </w:p>
    <w:p>
      <w:pPr>
        <w:pStyle w:val="BodyText"/>
        <w:bidi w:val="0"/>
        <w:jc w:val="start"/>
        <w:rPr/>
      </w:pPr>
      <w:r>
        <w:rPr>
          <w:b/>
        </w:rPr>
        <w:t>Bearish pin bar</w:t>
      </w:r>
    </w:p>
    <w:p>
      <w:pPr>
        <w:pStyle w:val="BodyText"/>
        <w:numPr>
          <w:ilvl w:val="0"/>
          <w:numId w:val="293"/>
        </w:numPr>
        <w:tabs>
          <w:tab w:val="clear" w:pos="709"/>
          <w:tab w:val="left" w:pos="709" w:leader="none"/>
        </w:tabs>
        <w:bidi w:val="0"/>
        <w:ind w:hanging="283" w:start="709"/>
        <w:jc w:val="start"/>
        <w:rPr/>
      </w:pPr>
      <w:r>
        <w:rPr>
          <w:b/>
        </w:rPr>
        <w:t>Small body</w:t>
      </w:r>
    </w:p>
    <w:p>
      <w:pPr>
        <w:pStyle w:val="BodyText"/>
        <w:numPr>
          <w:ilvl w:val="0"/>
          <w:numId w:val="293"/>
        </w:numPr>
        <w:tabs>
          <w:tab w:val="clear" w:pos="709"/>
          <w:tab w:val="left" w:pos="709" w:leader="none"/>
        </w:tabs>
        <w:bidi w:val="0"/>
        <w:ind w:hanging="283" w:start="709"/>
        <w:jc w:val="start"/>
        <w:rPr/>
      </w:pPr>
      <w:r>
        <w:rPr>
          <w:b/>
        </w:rPr>
        <w:t>Long UPPER tail</w:t>
      </w:r>
      <w:r>
        <w:rPr/>
        <w:t xml:space="preserve"> (tail above the body)</w:t>
      </w:r>
    </w:p>
    <w:p>
      <w:pPr>
        <w:pStyle w:val="BodyText"/>
        <w:numPr>
          <w:ilvl w:val="0"/>
          <w:numId w:val="293"/>
        </w:numPr>
        <w:tabs>
          <w:tab w:val="clear" w:pos="709"/>
          <w:tab w:val="left" w:pos="709" w:leader="none"/>
        </w:tabs>
        <w:bidi w:val="0"/>
        <w:ind w:hanging="283" w:start="709"/>
        <w:jc w:val="start"/>
        <w:rPr/>
      </w:pPr>
      <w:r>
        <w:rPr>
          <w:b/>
        </w:rPr>
        <w:t>Colour does not matter</w:t>
      </w:r>
      <w:r>
        <w:rPr/>
        <w:t xml:space="preserve"> — a green-bodied candle with a long upper tail is still a bearish pin bar</w:t>
      </w:r>
    </w:p>
    <w:p>
      <w:pPr>
        <w:pStyle w:val="BodyText"/>
        <w:numPr>
          <w:ilvl w:val="0"/>
          <w:numId w:val="293"/>
        </w:numPr>
        <w:tabs>
          <w:tab w:val="clear" w:pos="709"/>
          <w:tab w:val="left" w:pos="709" w:leader="none"/>
        </w:tabs>
        <w:bidi w:val="0"/>
        <w:ind w:hanging="283" w:start="709"/>
        <w:jc w:val="start"/>
        <w:rPr/>
      </w:pPr>
      <w:r>
        <w:rPr>
          <w:b/>
        </w:rPr>
        <w:t>Meaning:</w:t>
      </w:r>
      <w:r>
        <w:rPr/>
        <w:t xml:space="preserve"> higher chance price goes DOWN</w:t>
      </w:r>
    </w:p>
    <w:p>
      <w:pPr>
        <w:pStyle w:val="BodyText"/>
        <w:numPr>
          <w:ilvl w:val="0"/>
          <w:numId w:val="293"/>
        </w:numPr>
        <w:tabs>
          <w:tab w:val="clear" w:pos="709"/>
          <w:tab w:val="left" w:pos="709" w:leader="none"/>
        </w:tabs>
        <w:bidi w:val="0"/>
        <w:ind w:hanging="283" w:start="709"/>
        <w:jc w:val="start"/>
        <w:rPr/>
      </w:pPr>
      <w:r>
        <w:rPr>
          <w:b/>
        </w:rPr>
        <w:t>Critical qualifier:</w:t>
      </w:r>
      <w:r>
        <w:rPr/>
        <w:t xml:space="preserve"> must appear at a </w:t>
      </w:r>
      <w:r>
        <w:rPr>
          <w:b/>
        </w:rPr>
        <w:t>strong resistance level</w:t>
      </w:r>
      <w:r>
        <w:rPr/>
        <w:t xml:space="preserve"> to be reliable</w:t>
      </w:r>
    </w:p>
    <w:p>
      <w:pPr>
        <w:pStyle w:val="BodyText"/>
        <w:numPr>
          <w:ilvl w:val="0"/>
          <w:numId w:val="294"/>
        </w:numPr>
        <w:tabs>
          <w:tab w:val="clear" w:pos="709"/>
          <w:tab w:val="left" w:pos="709" w:leader="none"/>
        </w:tabs>
        <w:bidi w:val="0"/>
        <w:ind w:hanging="283" w:start="709"/>
        <w:jc w:val="start"/>
        <w:rPr/>
      </w:pPr>
      <w:r>
        <w:rPr>
          <w:b/>
        </w:rPr>
        <w:t>Worked example:</w:t>
      </w:r>
      <w:r>
        <w:rPr/>
        <w:t xml:space="preserve"> Amazon (AMZN) </w:t>
      </w:r>
      <w:r>
        <w:rPr>
          <w:b/>
        </w:rPr>
        <w:t>daily</w:t>
      </w:r>
      <w:r>
        <w:rPr/>
        <w:t xml:space="preserve"> candles — multiple red-bodied bullish pin bars with small bodies and long lower tails; price went up after each.</w:t>
      </w:r>
    </w:p>
    <w:p>
      <w:pPr>
        <w:pStyle w:val="Heading4"/>
        <w:numPr>
          <w:ilvl w:val="0"/>
          <w:numId w:val="0"/>
        </w:numPr>
        <w:bidi w:val="0"/>
        <w:ind w:hanging="0" w:start="0"/>
        <w:jc w:val="start"/>
        <w:rPr/>
      </w:pPr>
      <w:r>
        <w:rPr/>
        <w:t>2.4 Gaps</w:t>
      </w:r>
    </w:p>
    <w:p>
      <w:pPr>
        <w:pStyle w:val="BodyText"/>
        <w:numPr>
          <w:ilvl w:val="0"/>
          <w:numId w:val="295"/>
        </w:numPr>
        <w:tabs>
          <w:tab w:val="clear" w:pos="709"/>
          <w:tab w:val="left" w:pos="709" w:leader="none"/>
        </w:tabs>
        <w:bidi w:val="0"/>
        <w:ind w:hanging="283" w:start="709"/>
        <w:jc w:val="start"/>
        <w:rPr/>
      </w:pPr>
      <w:r>
        <w:rPr/>
        <w:t xml:space="preserve">On shorter timeframes you see </w:t>
      </w:r>
      <w:r>
        <w:rPr>
          <w:b/>
        </w:rPr>
        <w:t>big gaps</w:t>
      </w:r>
      <w:r>
        <w:rPr/>
        <w:t xml:space="preserve"> between one candle's close and the next candle's open.</w:t>
      </w:r>
    </w:p>
    <w:p>
      <w:pPr>
        <w:pStyle w:val="BodyText"/>
        <w:numPr>
          <w:ilvl w:val="0"/>
          <w:numId w:val="295"/>
        </w:numPr>
        <w:tabs>
          <w:tab w:val="clear" w:pos="709"/>
          <w:tab w:val="left" w:pos="709" w:leader="none"/>
        </w:tabs>
        <w:bidi w:val="0"/>
        <w:spacing w:before="0" w:after="0"/>
        <w:ind w:hanging="283" w:start="709"/>
        <w:jc w:val="start"/>
        <w:rPr/>
      </w:pPr>
      <w:r>
        <w:rPr>
          <w:b/>
        </w:rPr>
        <w:t>Cause:</w:t>
      </w:r>
      <w:r>
        <w:rPr/>
        <w:t xml:space="preserve"> overnight news — most commonly </w:t>
      </w:r>
      <w:r>
        <w:rPr>
          <w:b/>
        </w:rPr>
        <w:t>earnings announcements</w:t>
      </w:r>
      <w:r>
        <w:rPr/>
        <w:t>.</w:t>
      </w:r>
    </w:p>
    <w:p>
      <w:pPr>
        <w:pStyle w:val="BodyText"/>
        <w:numPr>
          <w:ilvl w:val="1"/>
          <w:numId w:val="295"/>
        </w:numPr>
        <w:tabs>
          <w:tab w:val="clear" w:pos="709"/>
          <w:tab w:val="left" w:pos="1418" w:leader="none"/>
        </w:tabs>
        <w:bidi w:val="0"/>
        <w:ind w:hanging="283" w:start="1418"/>
        <w:jc w:val="start"/>
        <w:rPr/>
      </w:pPr>
      <w:r>
        <w:rPr/>
        <w:t>If earnings disappoint vs expectations → gap down.</w:t>
      </w:r>
    </w:p>
    <w:p>
      <w:pPr>
        <w:pStyle w:val="BodyText"/>
        <w:numPr>
          <w:ilvl w:val="1"/>
          <w:numId w:val="295"/>
        </w:numPr>
        <w:tabs>
          <w:tab w:val="clear" w:pos="709"/>
          <w:tab w:val="left" w:pos="1418" w:leader="none"/>
        </w:tabs>
        <w:bidi w:val="0"/>
        <w:ind w:hanging="283" w:start="1418"/>
        <w:jc w:val="start"/>
        <w:rPr/>
      </w:pPr>
      <w:r>
        <w:rPr/>
        <w:t xml:space="preserve">If earnings beat → often gap up, but </w:t>
      </w:r>
      <w:r>
        <w:rPr>
          <w:b/>
        </w:rPr>
        <w:t>not guaranteed</w:t>
      </w:r>
      <w:r>
        <w:rPr/>
        <w:t>.</w:t>
      </w:r>
    </w:p>
    <w:p>
      <w:pPr>
        <w:pStyle w:val="BodyText"/>
        <w:numPr>
          <w:ilvl w:val="0"/>
          <w:numId w:val="295"/>
        </w:numPr>
        <w:tabs>
          <w:tab w:val="clear" w:pos="709"/>
          <w:tab w:val="left" w:pos="709" w:leader="none"/>
        </w:tabs>
        <w:bidi w:val="0"/>
        <w:ind w:hanging="283" w:start="709"/>
        <w:jc w:val="start"/>
        <w:rPr/>
      </w:pPr>
      <w:r>
        <w:rPr>
          <w:b/>
        </w:rPr>
        <w:t>Worked example:</w:t>
      </w:r>
      <w:r>
        <w:rPr/>
        <w:t xml:space="preserve"> Google — a large gap down between Wednesday's close and Thursday's open, caused by earnings.</w:t>
      </w:r>
    </w:p>
    <w:p>
      <w:pPr>
        <w:pStyle w:val="BodyText"/>
        <w:numPr>
          <w:ilvl w:val="0"/>
          <w:numId w:val="295"/>
        </w:numPr>
        <w:tabs>
          <w:tab w:val="clear" w:pos="709"/>
          <w:tab w:val="left" w:pos="709" w:leader="none"/>
        </w:tabs>
        <w:bidi w:val="0"/>
        <w:ind w:hanging="283" w:start="709"/>
        <w:jc w:val="start"/>
        <w:rPr/>
      </w:pPr>
      <w:r>
        <w:rPr>
          <w:b/>
        </w:rPr>
        <w:t>Counter-example given:</w:t>
      </w:r>
      <w:r>
        <w:rPr/>
        <w:t xml:space="preserve"> McDonald's announced terrible earnings (revenue slowed) and </w:t>
      </w:r>
      <w:r>
        <w:rPr>
          <w:b/>
        </w:rPr>
        <w:t>the price went up</w:t>
      </w:r>
      <w:r>
        <w:rPr/>
        <w:t xml:space="preserve"> — "in the short term, the market can be totally irrational."</w:t>
      </w:r>
    </w:p>
    <w:p>
      <w:pPr>
        <w:pStyle w:val="BodyText"/>
        <w:numPr>
          <w:ilvl w:val="0"/>
          <w:numId w:val="295"/>
        </w:numPr>
        <w:tabs>
          <w:tab w:val="clear" w:pos="709"/>
          <w:tab w:val="left" w:pos="709" w:leader="none"/>
        </w:tabs>
        <w:bidi w:val="0"/>
        <w:ind w:hanging="283" w:start="709"/>
        <w:jc w:val="start"/>
        <w:rPr/>
      </w:pPr>
      <w:r>
        <w:rPr>
          <w:b/>
        </w:rPr>
        <w:t>Investor interpretation:</w:t>
      </w:r>
      <w:r>
        <w:rPr/>
        <w:t xml:space="preserve"> short-term drops on news/earnings are </w:t>
      </w:r>
      <w:r>
        <w:rPr>
          <w:b/>
        </w:rPr>
        <w:t>not important</w:t>
      </w:r>
      <w:r>
        <w:rPr/>
        <w:t xml:space="preserve"> — in fact they are </w:t>
      </w:r>
      <w:r>
        <w:rPr>
          <w:b/>
        </w:rPr>
        <w:t>buying opportunities</w:t>
      </w:r>
      <w:r>
        <w:rPr/>
        <w:t xml:space="preserve"> if the drop makes the stock undervalued.</w:t>
      </w:r>
    </w:p>
    <w:p>
      <w:pPr>
        <w:pStyle w:val="HorizontalLine"/>
        <w:bidi w:val="0"/>
        <w:jc w:val="start"/>
        <w:rPr/>
      </w:pPr>
      <w:r>
        <w:rPr/>
      </w:r>
    </w:p>
    <w:p>
      <w:pPr>
        <w:pStyle w:val="Heading3"/>
        <w:bidi w:val="0"/>
        <w:ind w:hanging="0" w:start="0"/>
        <w:jc w:val="start"/>
        <w:rPr/>
      </w:pPr>
      <w:r>
        <w:rPr/>
        <w:t>3. Timeframes — The Three-Chart Top-Down Routine</w:t>
      </w:r>
    </w:p>
    <w:p>
      <w:pPr>
        <w:pStyle w:val="Heading4"/>
        <w:bidi w:val="0"/>
        <w:ind w:hanging="0" w:start="0"/>
        <w:jc w:val="start"/>
        <w:rPr/>
      </w:pPr>
      <w:r>
        <w:rPr/>
        <w:t>3.1 Candle Periods Available</w:t>
      </w:r>
    </w:p>
    <w:p>
      <w:pPr>
        <w:pStyle w:val="BodyText"/>
        <w:numPr>
          <w:ilvl w:val="0"/>
          <w:numId w:val="296"/>
        </w:numPr>
        <w:tabs>
          <w:tab w:val="clear" w:pos="709"/>
          <w:tab w:val="left" w:pos="709" w:leader="none"/>
        </w:tabs>
        <w:bidi w:val="0"/>
        <w:ind w:hanging="283" w:start="709"/>
        <w:jc w:val="start"/>
        <w:rPr/>
      </w:pPr>
      <w:r>
        <w:rPr>
          <w:b/>
        </w:rPr>
        <w:t>Daily candles</w:t>
      </w:r>
      <w:r>
        <w:rPr/>
        <w:t xml:space="preserve"> — each candle = one trading day</w:t>
      </w:r>
    </w:p>
    <w:p>
      <w:pPr>
        <w:pStyle w:val="BodyText"/>
        <w:numPr>
          <w:ilvl w:val="0"/>
          <w:numId w:val="296"/>
        </w:numPr>
        <w:tabs>
          <w:tab w:val="clear" w:pos="709"/>
          <w:tab w:val="left" w:pos="709" w:leader="none"/>
        </w:tabs>
        <w:bidi w:val="0"/>
        <w:ind w:hanging="283" w:start="709"/>
        <w:jc w:val="start"/>
        <w:rPr/>
      </w:pPr>
      <w:r>
        <w:rPr>
          <w:b/>
        </w:rPr>
        <w:t>Weekly candles</w:t>
      </w:r>
      <w:r>
        <w:rPr/>
        <w:t xml:space="preserve"> — each candle = one week</w:t>
      </w:r>
    </w:p>
    <w:p>
      <w:pPr>
        <w:pStyle w:val="BodyText"/>
        <w:numPr>
          <w:ilvl w:val="0"/>
          <w:numId w:val="296"/>
        </w:numPr>
        <w:tabs>
          <w:tab w:val="clear" w:pos="709"/>
          <w:tab w:val="left" w:pos="709" w:leader="none"/>
        </w:tabs>
        <w:bidi w:val="0"/>
        <w:ind w:hanging="283" w:start="709"/>
        <w:jc w:val="start"/>
        <w:rPr/>
      </w:pPr>
      <w:r>
        <w:rPr>
          <w:b/>
        </w:rPr>
        <w:t>Monthly candles</w:t>
      </w:r>
      <w:r>
        <w:rPr/>
        <w:t xml:space="preserve"> — each candle = one month</w:t>
      </w:r>
    </w:p>
    <w:p>
      <w:pPr>
        <w:pStyle w:val="Heading4"/>
        <w:numPr>
          <w:ilvl w:val="0"/>
          <w:numId w:val="0"/>
        </w:numPr>
        <w:bidi w:val="0"/>
        <w:ind w:hanging="0" w:start="0"/>
        <w:jc w:val="start"/>
        <w:rPr/>
      </w:pPr>
      <w:r>
        <w:rPr/>
        <w:t>3.2 Adam's Fixed Sequence (every new stock, in this order)</w:t>
      </w:r>
    </w:p>
    <w:tbl>
      <w:tblPr>
        <w:tblW w:w="5000" w:type="pct"/>
        <w:jc w:val="start"/>
        <w:tblInd w:w="-5" w:type="dxa"/>
        <w:tblLayout w:type="fixed"/>
        <w:tblCellMar>
          <w:top w:w="55" w:type="dxa"/>
          <w:start w:w="55" w:type="dxa"/>
          <w:bottom w:w="55" w:type="dxa"/>
          <w:end w:w="55" w:type="dxa"/>
        </w:tblCellMar>
      </w:tblPr>
      <w:tblGrid>
        <w:gridCol w:w="2409"/>
        <w:gridCol w:w="2410"/>
        <w:gridCol w:w="2409"/>
        <w:gridCol w:w="2410"/>
      </w:tblGrid>
      <w:tr>
        <w:trPr>
          <w:tblHeader w:val="true"/>
        </w:trPr>
        <w:tc>
          <w:tcPr>
            <w:tcW w:w="2409" w:type="dxa"/>
            <w:tcBorders>
              <w:top w:val="single" w:sz="4" w:space="0" w:color="000000"/>
              <w:start w:val="single" w:sz="4" w:space="0" w:color="000000"/>
              <w:bottom w:val="single" w:sz="4" w:space="0" w:color="000000"/>
            </w:tcBorders>
          </w:tcPr>
          <w:p>
            <w:pPr>
              <w:pStyle w:val="TableHeading"/>
              <w:bidi w:val="0"/>
              <w:jc w:val="start"/>
              <w:rPr/>
            </w:pPr>
            <w:r>
              <w:rPr/>
              <w:t>Step</w:t>
            </w:r>
          </w:p>
        </w:tc>
        <w:tc>
          <w:tcPr>
            <w:tcW w:w="2410" w:type="dxa"/>
            <w:tcBorders>
              <w:top w:val="single" w:sz="4" w:space="0" w:color="000000"/>
              <w:start w:val="single" w:sz="4" w:space="0" w:color="000000"/>
              <w:bottom w:val="single" w:sz="4" w:space="0" w:color="000000"/>
            </w:tcBorders>
          </w:tcPr>
          <w:p>
            <w:pPr>
              <w:pStyle w:val="TableHeading"/>
              <w:bidi w:val="0"/>
              <w:jc w:val="start"/>
              <w:rPr/>
            </w:pPr>
            <w:r>
              <w:rPr/>
              <w:t>Period</w:t>
            </w:r>
          </w:p>
        </w:tc>
        <w:tc>
          <w:tcPr>
            <w:tcW w:w="2409" w:type="dxa"/>
            <w:tcBorders>
              <w:top w:val="single" w:sz="4" w:space="0" w:color="000000"/>
              <w:start w:val="single" w:sz="4" w:space="0" w:color="000000"/>
              <w:bottom w:val="single" w:sz="4" w:space="0" w:color="000000"/>
            </w:tcBorders>
          </w:tcPr>
          <w:p>
            <w:pPr>
              <w:pStyle w:val="TableHeading"/>
              <w:bidi w:val="0"/>
              <w:jc w:val="start"/>
              <w:rPr/>
            </w:pPr>
            <w:r>
              <w:rPr/>
              <w:t>Candles</w:t>
            </w:r>
          </w:p>
        </w:tc>
        <w:tc>
          <w:tcPr>
            <w:tcW w:w="2410"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Purpose</w:t>
            </w:r>
          </w:p>
        </w:tc>
      </w:tr>
      <w:tr>
        <w:trPr/>
        <w:tc>
          <w:tcPr>
            <w:tcW w:w="2409" w:type="dxa"/>
            <w:tcBorders>
              <w:start w:val="single" w:sz="4" w:space="0" w:color="000000"/>
              <w:bottom w:val="single" w:sz="4" w:space="0" w:color="000000"/>
            </w:tcBorders>
          </w:tcPr>
          <w:p>
            <w:pPr>
              <w:pStyle w:val="TableContents"/>
              <w:bidi w:val="0"/>
              <w:jc w:val="start"/>
              <w:rPr/>
            </w:pPr>
            <w:r>
              <w:rPr/>
              <w:t>1</w:t>
            </w:r>
          </w:p>
        </w:tc>
        <w:tc>
          <w:tcPr>
            <w:tcW w:w="2410" w:type="dxa"/>
            <w:tcBorders>
              <w:start w:val="single" w:sz="4" w:space="0" w:color="000000"/>
              <w:bottom w:val="single" w:sz="4" w:space="0" w:color="000000"/>
            </w:tcBorders>
          </w:tcPr>
          <w:p>
            <w:pPr>
              <w:pStyle w:val="TableContents"/>
              <w:bidi w:val="0"/>
              <w:jc w:val="start"/>
              <w:rPr/>
            </w:pPr>
            <w:r>
              <w:rPr>
                <w:b/>
              </w:rPr>
              <w:t>10 years</w:t>
            </w:r>
          </w:p>
        </w:tc>
        <w:tc>
          <w:tcPr>
            <w:tcW w:w="2409" w:type="dxa"/>
            <w:tcBorders>
              <w:start w:val="single" w:sz="4" w:space="0" w:color="000000"/>
              <w:bottom w:val="single" w:sz="4" w:space="0" w:color="000000"/>
            </w:tcBorders>
          </w:tcPr>
          <w:p>
            <w:pPr>
              <w:pStyle w:val="TableContents"/>
              <w:bidi w:val="0"/>
              <w:jc w:val="start"/>
              <w:rPr/>
            </w:pPr>
            <w:r>
              <w:rPr>
                <w:b/>
              </w:rPr>
              <w:t>Monthly</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Confirm long-term uptrend; is this a long-term performer?</w:t>
            </w:r>
          </w:p>
        </w:tc>
      </w:tr>
      <w:tr>
        <w:trPr/>
        <w:tc>
          <w:tcPr>
            <w:tcW w:w="2409" w:type="dxa"/>
            <w:tcBorders>
              <w:start w:val="single" w:sz="4" w:space="0" w:color="000000"/>
              <w:bottom w:val="single" w:sz="4" w:space="0" w:color="000000"/>
            </w:tcBorders>
          </w:tcPr>
          <w:p>
            <w:pPr>
              <w:pStyle w:val="TableContents"/>
              <w:bidi w:val="0"/>
              <w:jc w:val="start"/>
              <w:rPr/>
            </w:pPr>
            <w:r>
              <w:rPr/>
              <w:t>2</w:t>
            </w:r>
          </w:p>
        </w:tc>
        <w:tc>
          <w:tcPr>
            <w:tcW w:w="2410" w:type="dxa"/>
            <w:tcBorders>
              <w:start w:val="single" w:sz="4" w:space="0" w:color="000000"/>
              <w:bottom w:val="single" w:sz="4" w:space="0" w:color="000000"/>
            </w:tcBorders>
          </w:tcPr>
          <w:p>
            <w:pPr>
              <w:pStyle w:val="TableContents"/>
              <w:bidi w:val="0"/>
              <w:jc w:val="start"/>
              <w:rPr/>
            </w:pPr>
            <w:r>
              <w:rPr>
                <w:b/>
              </w:rPr>
              <w:t>5 years</w:t>
            </w:r>
          </w:p>
        </w:tc>
        <w:tc>
          <w:tcPr>
            <w:tcW w:w="2409" w:type="dxa"/>
            <w:tcBorders>
              <w:start w:val="single" w:sz="4" w:space="0" w:color="000000"/>
              <w:bottom w:val="single" w:sz="4" w:space="0" w:color="000000"/>
            </w:tcBorders>
          </w:tcPr>
          <w:p>
            <w:pPr>
              <w:pStyle w:val="TableContents"/>
              <w:bidi w:val="0"/>
              <w:jc w:val="start"/>
              <w:rPr/>
            </w:pPr>
            <w:r>
              <w:rPr>
                <w:b/>
              </w:rPr>
              <w:t>Weekly</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See medium-term cycles (uptrend/downtrend alternation)</w:t>
            </w:r>
          </w:p>
        </w:tc>
      </w:tr>
      <w:tr>
        <w:trPr/>
        <w:tc>
          <w:tcPr>
            <w:tcW w:w="2409" w:type="dxa"/>
            <w:tcBorders>
              <w:start w:val="single" w:sz="4" w:space="0" w:color="000000"/>
              <w:bottom w:val="single" w:sz="4" w:space="0" w:color="000000"/>
            </w:tcBorders>
          </w:tcPr>
          <w:p>
            <w:pPr>
              <w:pStyle w:val="TableContents"/>
              <w:bidi w:val="0"/>
              <w:jc w:val="start"/>
              <w:rPr/>
            </w:pPr>
            <w:r>
              <w:rPr/>
              <w:t>3</w:t>
            </w:r>
          </w:p>
        </w:tc>
        <w:tc>
          <w:tcPr>
            <w:tcW w:w="2410" w:type="dxa"/>
            <w:tcBorders>
              <w:start w:val="single" w:sz="4" w:space="0" w:color="000000"/>
              <w:bottom w:val="single" w:sz="4" w:space="0" w:color="000000"/>
            </w:tcBorders>
          </w:tcPr>
          <w:p>
            <w:pPr>
              <w:pStyle w:val="TableContents"/>
              <w:bidi w:val="0"/>
              <w:jc w:val="start"/>
              <w:rPr/>
            </w:pPr>
            <w:r>
              <w:rPr>
                <w:b/>
              </w:rPr>
              <w:t>1 year</w:t>
            </w:r>
            <w:r>
              <w:rPr/>
              <w:t xml:space="preserve"> (sometimes </w:t>
            </w:r>
            <w:r>
              <w:rPr>
                <w:b/>
              </w:rPr>
              <w:t>6 months</w:t>
            </w:r>
            <w:r>
              <w:rPr/>
              <w:t>)</w:t>
            </w:r>
          </w:p>
        </w:tc>
        <w:tc>
          <w:tcPr>
            <w:tcW w:w="2409" w:type="dxa"/>
            <w:tcBorders>
              <w:start w:val="single" w:sz="4" w:space="0" w:color="000000"/>
              <w:bottom w:val="single" w:sz="4" w:space="0" w:color="000000"/>
            </w:tcBorders>
          </w:tcPr>
          <w:p>
            <w:pPr>
              <w:pStyle w:val="TableContents"/>
              <w:bidi w:val="0"/>
              <w:jc w:val="start"/>
              <w:rPr/>
            </w:pPr>
            <w:r>
              <w:rPr>
                <w:b/>
              </w:rPr>
              <w:t>Daily</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Short-term trend, precise entry timing</w:t>
            </w:r>
          </w:p>
        </w:tc>
      </w:tr>
    </w:tbl>
    <w:p>
      <w:pPr>
        <w:pStyle w:val="BodyText"/>
        <w:bidi w:val="0"/>
        <w:jc w:val="start"/>
        <w:rPr/>
      </w:pPr>
      <w:r>
        <w:rPr/>
      </w:r>
    </w:p>
    <w:p>
      <w:pPr>
        <w:pStyle w:val="BlockQuotation"/>
        <w:bidi w:val="0"/>
        <w:jc w:val="start"/>
        <w:rPr/>
      </w:pPr>
      <w:r>
        <w:rPr/>
        <w:t xml:space="preserve">"As an investor, you have to take a look at </w:t>
      </w:r>
      <w:r>
        <w:rPr>
          <w:b/>
        </w:rPr>
        <w:t>all</w:t>
      </w:r>
      <w:r>
        <w:rPr/>
        <w:t xml:space="preserve"> the timeframes, because every timeframe gives you a different perspective."</w:t>
      </w:r>
    </w:p>
    <w:p>
      <w:pPr>
        <w:pStyle w:val="Heading4"/>
        <w:bidi w:val="0"/>
        <w:ind w:hanging="0" w:start="0"/>
        <w:jc w:val="start"/>
        <w:rPr/>
      </w:pPr>
      <w:r>
        <w:rPr/>
        <w:t>3.3 What Each Timeframe Shows</w:t>
      </w:r>
    </w:p>
    <w:p>
      <w:pPr>
        <w:pStyle w:val="BodyText"/>
        <w:numPr>
          <w:ilvl w:val="0"/>
          <w:numId w:val="297"/>
        </w:numPr>
        <w:tabs>
          <w:tab w:val="clear" w:pos="709"/>
          <w:tab w:val="left" w:pos="709" w:leader="none"/>
        </w:tabs>
        <w:bidi w:val="0"/>
        <w:spacing w:before="0" w:after="0"/>
        <w:ind w:hanging="283" w:start="709"/>
        <w:jc w:val="start"/>
        <w:rPr/>
      </w:pPr>
      <w:r>
        <w:rPr>
          <w:b/>
        </w:rPr>
        <w:t>10-year monthly:</w:t>
      </w:r>
      <w:r>
        <w:rPr/>
        <w:t xml:space="preserve"> should be one clear </w:t>
      </w:r>
      <w:r>
        <w:rPr>
          <w:b/>
        </w:rPr>
        <w:t>long-term uptrend</w:t>
      </w:r>
      <w:r>
        <w:rPr/>
        <w:t>. This is the screening filter.</w:t>
      </w:r>
    </w:p>
    <w:p>
      <w:pPr>
        <w:pStyle w:val="BodyText"/>
        <w:numPr>
          <w:ilvl w:val="1"/>
          <w:numId w:val="297"/>
        </w:numPr>
        <w:tabs>
          <w:tab w:val="clear" w:pos="709"/>
          <w:tab w:val="left" w:pos="1418" w:leader="none"/>
        </w:tabs>
        <w:bidi w:val="0"/>
        <w:ind w:hanging="283" w:start="1418"/>
        <w:jc w:val="start"/>
        <w:rPr/>
      </w:pPr>
      <w:r>
        <w:rPr>
          <w:b/>
        </w:rPr>
        <w:t>If the 10-year chart is not going up, Adam is not interested — he won't even look at the business.</w:t>
      </w:r>
    </w:p>
    <w:p>
      <w:pPr>
        <w:pStyle w:val="BodyText"/>
        <w:numPr>
          <w:ilvl w:val="1"/>
          <w:numId w:val="297"/>
        </w:numPr>
        <w:tabs>
          <w:tab w:val="clear" w:pos="709"/>
          <w:tab w:val="left" w:pos="1418" w:leader="none"/>
        </w:tabs>
        <w:bidi w:val="0"/>
        <w:spacing w:before="0" w:after="0"/>
        <w:ind w:hanging="283" w:start="1418"/>
        <w:jc w:val="start"/>
        <w:rPr/>
      </w:pPr>
      <w:r>
        <w:rPr>
          <w:b/>
        </w:rPr>
        <w:t>Rejection examples:</w:t>
      </w:r>
    </w:p>
    <w:p>
      <w:pPr>
        <w:pStyle w:val="BodyText"/>
        <w:numPr>
          <w:ilvl w:val="2"/>
          <w:numId w:val="297"/>
        </w:numPr>
        <w:tabs>
          <w:tab w:val="clear" w:pos="709"/>
          <w:tab w:val="left" w:pos="2127" w:leader="none"/>
        </w:tabs>
        <w:bidi w:val="0"/>
        <w:ind w:hanging="283" w:start="2127"/>
        <w:jc w:val="start"/>
        <w:rPr/>
      </w:pPr>
      <w:r>
        <w:rPr>
          <w:b/>
        </w:rPr>
        <w:t>TransOcean (RIG)</w:t>
      </w:r>
      <w:r>
        <w:rPr/>
        <w:t xml:space="preserve"> — oil &amp; gas — 10-year chart "not going up" → rejected immediately.</w:t>
      </w:r>
    </w:p>
    <w:p>
      <w:pPr>
        <w:pStyle w:val="BodyText"/>
        <w:numPr>
          <w:ilvl w:val="2"/>
          <w:numId w:val="297"/>
        </w:numPr>
        <w:tabs>
          <w:tab w:val="clear" w:pos="709"/>
          <w:tab w:val="left" w:pos="2127" w:leader="none"/>
        </w:tabs>
        <w:bidi w:val="0"/>
        <w:ind w:hanging="283" w:start="2127"/>
        <w:jc w:val="start"/>
        <w:rPr/>
      </w:pPr>
      <w:r>
        <w:rPr>
          <w:b/>
        </w:rPr>
        <w:t>Singapore Airlines (SIA)</w:t>
      </w:r>
      <w:r>
        <w:rPr/>
        <w:t xml:space="preserve"> — stock did not go up over 10 years → "not long-term performers, forget about it."</w:t>
      </w:r>
    </w:p>
    <w:p>
      <w:pPr>
        <w:pStyle w:val="BodyText"/>
        <w:numPr>
          <w:ilvl w:val="1"/>
          <w:numId w:val="297"/>
        </w:numPr>
        <w:tabs>
          <w:tab w:val="clear" w:pos="709"/>
          <w:tab w:val="left" w:pos="1418" w:leader="none"/>
        </w:tabs>
        <w:bidi w:val="0"/>
        <w:ind w:hanging="283" w:start="1418"/>
        <w:jc w:val="start"/>
        <w:rPr/>
      </w:pPr>
      <w:r>
        <w:rPr/>
        <w:t xml:space="preserve">A rising 10-year chart means the company </w:t>
      </w:r>
      <w:r>
        <w:rPr>
          <w:b/>
        </w:rPr>
        <w:t>increases in value over the long run</w:t>
      </w:r>
      <w:r>
        <w:rPr/>
        <w:t xml:space="preserve"> — makes more and more money, price keeps going up.</w:t>
      </w:r>
    </w:p>
    <w:p>
      <w:pPr>
        <w:pStyle w:val="BodyText"/>
        <w:numPr>
          <w:ilvl w:val="0"/>
          <w:numId w:val="297"/>
        </w:numPr>
        <w:tabs>
          <w:tab w:val="clear" w:pos="709"/>
          <w:tab w:val="left" w:pos="709" w:leader="none"/>
        </w:tabs>
        <w:bidi w:val="0"/>
        <w:spacing w:before="0" w:after="0"/>
        <w:ind w:hanging="283" w:start="709"/>
        <w:jc w:val="start"/>
        <w:rPr/>
      </w:pPr>
      <w:r>
        <w:rPr>
          <w:b/>
        </w:rPr>
        <w:t>5-year weekly:</w:t>
      </w:r>
      <w:r>
        <w:rPr/>
        <w:t xml:space="preserve"> you will </w:t>
      </w:r>
      <w:r>
        <w:rPr>
          <w:b/>
        </w:rPr>
        <w:t>not</w:t>
      </w:r>
      <w:r>
        <w:rPr/>
        <w:t xml:space="preserve"> see one straight line. You see </w:t>
      </w:r>
      <w:r>
        <w:rPr>
          <w:b/>
        </w:rPr>
        <w:t>big medium-term cycles</w:t>
      </w:r>
      <w:r>
        <w:rPr/>
        <w:t xml:space="preserve"> — uptrend, downtrend, uptrend.</w:t>
      </w:r>
    </w:p>
    <w:p>
      <w:pPr>
        <w:pStyle w:val="BodyText"/>
        <w:numPr>
          <w:ilvl w:val="1"/>
          <w:numId w:val="297"/>
        </w:numPr>
        <w:tabs>
          <w:tab w:val="clear" w:pos="709"/>
          <w:tab w:val="left" w:pos="1418" w:leader="none"/>
        </w:tabs>
        <w:bidi w:val="0"/>
        <w:ind w:hanging="283" w:start="1418"/>
        <w:jc w:val="start"/>
        <w:rPr/>
      </w:pPr>
      <w:r>
        <w:rPr/>
        <w:t xml:space="preserve">Key structural fact: </w:t>
      </w:r>
      <w:r>
        <w:rPr>
          <w:b/>
        </w:rPr>
        <w:t>in a great company, the uptrends will be longer than the downtrends.</w:t>
      </w:r>
    </w:p>
    <w:p>
      <w:pPr>
        <w:pStyle w:val="BodyText"/>
        <w:numPr>
          <w:ilvl w:val="1"/>
          <w:numId w:val="297"/>
        </w:numPr>
        <w:tabs>
          <w:tab w:val="clear" w:pos="709"/>
          <w:tab w:val="left" w:pos="1418" w:leader="none"/>
        </w:tabs>
        <w:bidi w:val="0"/>
        <w:ind w:hanging="283" w:start="1418"/>
        <w:jc w:val="start"/>
        <w:rPr/>
      </w:pPr>
      <w:r>
        <w:rPr/>
        <w:t>Worked example: Google 5-year weekly — visible uptrend → downtrend → uptrend sequence.</w:t>
      </w:r>
    </w:p>
    <w:p>
      <w:pPr>
        <w:pStyle w:val="BodyText"/>
        <w:numPr>
          <w:ilvl w:val="0"/>
          <w:numId w:val="297"/>
        </w:numPr>
        <w:tabs>
          <w:tab w:val="clear" w:pos="709"/>
          <w:tab w:val="left" w:pos="709" w:leader="none"/>
        </w:tabs>
        <w:bidi w:val="0"/>
        <w:ind w:hanging="283" w:start="709"/>
        <w:jc w:val="start"/>
        <w:rPr/>
      </w:pPr>
      <w:r>
        <w:rPr>
          <w:b/>
        </w:rPr>
        <w:t>1-year daily:</w:t>
      </w:r>
      <w:r>
        <w:rPr/>
        <w:t xml:space="preserve"> shorter-term trends, gaps, precise support touches.</w:t>
      </w:r>
    </w:p>
    <w:p>
      <w:pPr>
        <w:pStyle w:val="Heading4"/>
        <w:numPr>
          <w:ilvl w:val="0"/>
          <w:numId w:val="0"/>
        </w:numPr>
        <w:bidi w:val="0"/>
        <w:ind w:hanging="0" w:start="0"/>
        <w:jc w:val="start"/>
        <w:rPr/>
      </w:pPr>
      <w:r>
        <w:rPr/>
        <w:t>3.4 The Unclosed-Candle Rule</w:t>
      </w:r>
    </w:p>
    <w:p>
      <w:pPr>
        <w:pStyle w:val="BodyText"/>
        <w:numPr>
          <w:ilvl w:val="0"/>
          <w:numId w:val="298"/>
        </w:numPr>
        <w:tabs>
          <w:tab w:val="clear" w:pos="709"/>
          <w:tab w:val="left" w:pos="709" w:leader="none"/>
        </w:tabs>
        <w:bidi w:val="0"/>
        <w:ind w:hanging="283" w:start="709"/>
        <w:jc w:val="start"/>
        <w:rPr/>
      </w:pPr>
      <w:r>
        <w:rPr>
          <w:b/>
        </w:rPr>
        <w:t>Never analyse a candle that has not closed.</w:t>
      </w:r>
    </w:p>
    <w:p>
      <w:pPr>
        <w:pStyle w:val="BodyText"/>
        <w:numPr>
          <w:ilvl w:val="0"/>
          <w:numId w:val="298"/>
        </w:numPr>
        <w:tabs>
          <w:tab w:val="clear" w:pos="709"/>
          <w:tab w:val="left" w:pos="709" w:leader="none"/>
        </w:tabs>
        <w:bidi w:val="0"/>
        <w:ind w:hanging="283" w:start="709"/>
        <w:jc w:val="start"/>
        <w:rPr/>
      </w:pPr>
      <w:r>
        <w:rPr/>
        <w:t xml:space="preserve">Only analyse </w:t>
      </w:r>
      <w:r>
        <w:rPr>
          <w:b/>
        </w:rPr>
        <w:t>closed</w:t>
      </w:r>
      <w:r>
        <w:rPr/>
        <w:t xml:space="preserve"> candles.</w:t>
      </w:r>
    </w:p>
    <w:p>
      <w:pPr>
        <w:pStyle w:val="BodyText"/>
        <w:numPr>
          <w:ilvl w:val="0"/>
          <w:numId w:val="299"/>
        </w:numPr>
        <w:tabs>
          <w:tab w:val="clear" w:pos="709"/>
          <w:tab w:val="left" w:pos="709" w:leader="none"/>
        </w:tabs>
        <w:bidi w:val="0"/>
        <w:ind w:hanging="283" w:start="709"/>
        <w:jc w:val="start"/>
        <w:rPr/>
      </w:pPr>
      <w:r>
        <w:rPr/>
        <w:t xml:space="preserve">Worked example (recorded </w:t>
      </w:r>
      <w:r>
        <w:rPr>
          <w:b/>
        </w:rPr>
        <w:t>11 February 2025</w:t>
      </w:r>
      <w:r>
        <w:rPr/>
        <w:t xml:space="preserve">): the February monthly candle is still forming → ignore it. </w:t>
      </w:r>
      <w:r>
        <w:rPr>
          <w:b/>
        </w:rPr>
        <w:t>The last valid candle is the January candle.</w:t>
      </w:r>
    </w:p>
    <w:p>
      <w:pPr>
        <w:pStyle w:val="BodyText"/>
        <w:numPr>
          <w:ilvl w:val="0"/>
          <w:numId w:val="299"/>
        </w:numPr>
        <w:tabs>
          <w:tab w:val="clear" w:pos="709"/>
          <w:tab w:val="left" w:pos="709" w:leader="none"/>
        </w:tabs>
        <w:bidi w:val="0"/>
        <w:spacing w:before="0" w:after="0"/>
        <w:ind w:hanging="283" w:start="709"/>
        <w:jc w:val="start"/>
        <w:rPr/>
      </w:pPr>
      <w:r>
        <w:rPr/>
        <w:t>Adam then reads the closed monthly candles of Google:</w:t>
      </w:r>
    </w:p>
    <w:p>
      <w:pPr>
        <w:pStyle w:val="BodyText"/>
        <w:numPr>
          <w:ilvl w:val="1"/>
          <w:numId w:val="299"/>
        </w:numPr>
        <w:tabs>
          <w:tab w:val="clear" w:pos="709"/>
          <w:tab w:val="left" w:pos="1418" w:leader="none"/>
        </w:tabs>
        <w:bidi w:val="0"/>
        <w:ind w:hanging="283" w:start="1418"/>
        <w:jc w:val="start"/>
        <w:rPr/>
      </w:pPr>
      <w:r>
        <w:rPr>
          <w:b/>
        </w:rPr>
        <w:t>January</w:t>
      </w:r>
      <w:r>
        <w:rPr/>
        <w:t xml:space="preserve"> — very bullish month, closed way above the open (open at body bottom, close at body top, wicks = month high/low)</w:t>
      </w:r>
    </w:p>
    <w:p>
      <w:pPr>
        <w:pStyle w:val="BodyText"/>
        <w:numPr>
          <w:ilvl w:val="1"/>
          <w:numId w:val="299"/>
        </w:numPr>
        <w:tabs>
          <w:tab w:val="clear" w:pos="709"/>
          <w:tab w:val="left" w:pos="1418" w:leader="none"/>
        </w:tabs>
        <w:bidi w:val="0"/>
        <w:ind w:hanging="283" w:start="1418"/>
        <w:jc w:val="start"/>
        <w:rPr/>
      </w:pPr>
      <w:r>
        <w:rPr>
          <w:b/>
        </w:rPr>
        <w:t>December</w:t>
      </w:r>
      <w:r>
        <w:rPr/>
        <w:t xml:space="preserve"> — very bullish; opened 1 December at body bottom, ran to month high, closed 31 December at body top</w:t>
      </w:r>
    </w:p>
    <w:p>
      <w:pPr>
        <w:pStyle w:val="BodyText"/>
        <w:numPr>
          <w:ilvl w:val="1"/>
          <w:numId w:val="299"/>
        </w:numPr>
        <w:tabs>
          <w:tab w:val="clear" w:pos="709"/>
          <w:tab w:val="left" w:pos="1418" w:leader="none"/>
        </w:tabs>
        <w:bidi w:val="0"/>
        <w:ind w:hanging="283" w:start="1418"/>
        <w:jc w:val="start"/>
        <w:rPr/>
      </w:pPr>
      <w:r>
        <w:rPr>
          <w:b/>
        </w:rPr>
        <w:t>November</w:t>
      </w:r>
      <w:r>
        <w:rPr/>
        <w:t xml:space="preserve"> — bearish month; opened 1 November at body </w:t>
      </w:r>
      <w:r>
        <w:rPr>
          <w:b/>
        </w:rPr>
        <w:t>top</w:t>
      </w:r>
      <w:r>
        <w:rPr/>
        <w:t xml:space="preserve">, closed at body </w:t>
      </w:r>
      <w:r>
        <w:rPr>
          <w:b/>
        </w:rPr>
        <w:t>bottom</w:t>
      </w:r>
    </w:p>
    <w:p>
      <w:pPr>
        <w:pStyle w:val="HorizontalLine"/>
        <w:bidi w:val="0"/>
        <w:jc w:val="start"/>
        <w:rPr/>
      </w:pPr>
      <w:r>
        <w:rPr/>
      </w:r>
    </w:p>
    <w:p>
      <w:pPr>
        <w:pStyle w:val="Heading3"/>
        <w:bidi w:val="0"/>
        <w:ind w:hanging="0" w:start="0"/>
        <w:jc w:val="start"/>
        <w:rPr/>
      </w:pPr>
      <w:r>
        <w:rPr/>
        <w:t>4. Charting Platform Setup — TradingView</w:t>
      </w:r>
    </w:p>
    <w:p>
      <w:pPr>
        <w:pStyle w:val="Heading4"/>
        <w:bidi w:val="0"/>
        <w:ind w:hanging="0" w:start="0"/>
        <w:jc w:val="start"/>
        <w:rPr/>
      </w:pPr>
      <w:r>
        <w:rPr/>
        <w:t>4.1 Platform Choice</w:t>
      </w:r>
    </w:p>
    <w:p>
      <w:pPr>
        <w:pStyle w:val="BodyText"/>
        <w:numPr>
          <w:ilvl w:val="0"/>
          <w:numId w:val="300"/>
        </w:numPr>
        <w:tabs>
          <w:tab w:val="clear" w:pos="709"/>
          <w:tab w:val="left" w:pos="709" w:leader="none"/>
        </w:tabs>
        <w:bidi w:val="0"/>
        <w:ind w:hanging="283" w:start="709"/>
        <w:jc w:val="start"/>
        <w:rPr/>
      </w:pPr>
      <w:r>
        <w:rPr/>
        <w:t xml:space="preserve">Adam uses </w:t>
      </w:r>
      <w:r>
        <w:rPr>
          <w:b/>
        </w:rPr>
        <w:t>TradingView</w:t>
      </w:r>
      <w:r>
        <w:rPr/>
        <w:t xml:space="preserve">; you may use </w:t>
      </w:r>
      <w:r>
        <w:rPr>
          <w:b/>
        </w:rPr>
        <w:t>any</w:t>
      </w:r>
      <w:r>
        <w:rPr/>
        <w:t xml:space="preserve"> charting software (your broker's own charting works too).</w:t>
      </w:r>
    </w:p>
    <w:p>
      <w:pPr>
        <w:pStyle w:val="BodyText"/>
        <w:numPr>
          <w:ilvl w:val="0"/>
          <w:numId w:val="300"/>
        </w:numPr>
        <w:tabs>
          <w:tab w:val="clear" w:pos="709"/>
          <w:tab w:val="left" w:pos="709" w:leader="none"/>
        </w:tabs>
        <w:bidi w:val="0"/>
        <w:ind w:hanging="283" w:start="709"/>
        <w:jc w:val="start"/>
        <w:rPr/>
      </w:pPr>
      <w:r>
        <w:rPr/>
        <w:t xml:space="preserve">TradingView advantages: </w:t>
      </w:r>
      <w:r>
        <w:rPr>
          <w:b/>
        </w:rPr>
        <w:t>stocks from all around the world</w:t>
      </w:r>
      <w:r>
        <w:rPr/>
        <w:t xml:space="preserve"> (US, Singapore, India) plus other assets (gold, Bitcoin).</w:t>
      </w:r>
    </w:p>
    <w:p>
      <w:pPr>
        <w:pStyle w:val="BodyText"/>
        <w:numPr>
          <w:ilvl w:val="0"/>
          <w:numId w:val="300"/>
        </w:numPr>
        <w:tabs>
          <w:tab w:val="clear" w:pos="709"/>
          <w:tab w:val="left" w:pos="709" w:leader="none"/>
        </w:tabs>
        <w:bidi w:val="0"/>
        <w:ind w:hanging="283" w:start="709"/>
        <w:jc w:val="start"/>
        <w:rPr/>
      </w:pPr>
      <w:r>
        <w:rPr/>
        <w:t xml:space="preserve">Access: </w:t>
      </w:r>
      <w:r>
        <w:rPr>
          <w:b/>
        </w:rPr>
        <w:t>tradingview.com → Products → Supercharts</w:t>
      </w:r>
      <w:r>
        <w:rPr/>
        <w:t>.</w:t>
      </w:r>
    </w:p>
    <w:p>
      <w:pPr>
        <w:pStyle w:val="BodyText"/>
        <w:numPr>
          <w:ilvl w:val="0"/>
          <w:numId w:val="300"/>
        </w:numPr>
        <w:tabs>
          <w:tab w:val="clear" w:pos="709"/>
          <w:tab w:val="left" w:pos="709" w:leader="none"/>
        </w:tabs>
        <w:bidi w:val="0"/>
        <w:ind w:hanging="283" w:start="709"/>
        <w:jc w:val="start"/>
        <w:rPr/>
      </w:pPr>
      <w:r>
        <w:rPr/>
        <w:t xml:space="preserve">Available as </w:t>
      </w:r>
      <w:r>
        <w:rPr>
          <w:b/>
        </w:rPr>
        <w:t>desktop app (Windows/Mac)</w:t>
      </w:r>
      <w:r>
        <w:rPr/>
        <w:t xml:space="preserve"> or </w:t>
      </w:r>
      <w:r>
        <w:rPr>
          <w:b/>
        </w:rPr>
        <w:t>web version</w:t>
      </w:r>
      <w:r>
        <w:rPr/>
        <w:t xml:space="preserve"> — both fine.</w:t>
      </w:r>
    </w:p>
    <w:p>
      <w:pPr>
        <w:pStyle w:val="BodyText"/>
        <w:numPr>
          <w:ilvl w:val="0"/>
          <w:numId w:val="300"/>
        </w:numPr>
        <w:tabs>
          <w:tab w:val="clear" w:pos="709"/>
          <w:tab w:val="left" w:pos="709" w:leader="none"/>
        </w:tabs>
        <w:bidi w:val="0"/>
        <w:ind w:hanging="283" w:start="709"/>
        <w:jc w:val="start"/>
        <w:rPr/>
      </w:pPr>
      <w:r>
        <w:rPr>
          <w:b/>
        </w:rPr>
        <w:t>Paid vs free:</w:t>
      </w:r>
      <w:r>
        <w:rPr/>
        <w:t xml:space="preserve"> free version limits you to </w:t>
      </w:r>
      <w:r>
        <w:rPr>
          <w:b/>
        </w:rPr>
        <w:t>two indicators</w:t>
      </w:r>
      <w:r>
        <w:rPr/>
        <w:t xml:space="preserve">. Adam subscribes to paid for flexibility, but says it is </w:t>
      </w:r>
      <w:r>
        <w:rPr>
          <w:b/>
        </w:rPr>
        <w:t>not a must</w:t>
      </w:r>
      <w:r>
        <w:rPr/>
        <w:t xml:space="preserve"> — there is a workaround (see §6.6).</w:t>
      </w:r>
    </w:p>
    <w:p>
      <w:pPr>
        <w:pStyle w:val="Heading4"/>
        <w:numPr>
          <w:ilvl w:val="0"/>
          <w:numId w:val="0"/>
        </w:numPr>
        <w:bidi w:val="0"/>
        <w:ind w:hanging="0" w:start="0"/>
        <w:jc w:val="start"/>
        <w:rPr/>
      </w:pPr>
      <w:r>
        <w:rPr/>
        <w:t>4.2 Entering a Symbol</w:t>
      </w:r>
    </w:p>
    <w:p>
      <w:pPr>
        <w:pStyle w:val="BodyText"/>
        <w:numPr>
          <w:ilvl w:val="0"/>
          <w:numId w:val="301"/>
        </w:numPr>
        <w:tabs>
          <w:tab w:val="clear" w:pos="709"/>
          <w:tab w:val="left" w:pos="709" w:leader="none"/>
        </w:tabs>
        <w:bidi w:val="0"/>
        <w:ind w:hanging="283" w:start="709"/>
        <w:jc w:val="start"/>
        <w:rPr/>
      </w:pPr>
      <w:r>
        <w:rPr>
          <w:b/>
        </w:rPr>
        <w:t>Top-left corner</w:t>
      </w:r>
      <w:r>
        <w:rPr/>
        <w:t xml:space="preserve"> — type the ticker (e.g. </w:t>
      </w:r>
      <w:r>
        <w:rPr>
          <w:rFonts w:ascii="Liberation Mono" w:hAnsi="Liberation Mono"/>
        </w:rPr>
        <w:t>GOOG</w:t>
      </w:r>
      <w:r>
        <w:rPr/>
        <w:t xml:space="preserve"> or </w:t>
      </w:r>
      <w:r>
        <w:rPr>
          <w:rFonts w:ascii="Liberation Mono" w:hAnsi="Liberation Mono"/>
        </w:rPr>
        <w:t>GOOGL</w:t>
      </w:r>
      <w:r>
        <w:rPr/>
        <w:t>) and the chart loads.</w:t>
      </w:r>
    </w:p>
    <w:p>
      <w:pPr>
        <w:pStyle w:val="Heading4"/>
        <w:numPr>
          <w:ilvl w:val="0"/>
          <w:numId w:val="0"/>
        </w:numPr>
        <w:bidi w:val="0"/>
        <w:ind w:hanging="0" w:start="0"/>
        <w:jc w:val="start"/>
        <w:rPr/>
      </w:pPr>
      <w:r>
        <w:rPr/>
        <w:t xml:space="preserve">4.3 Adam's Chart Settings (right-click on chart → Settings; on Mac use </w:t>
      </w:r>
      <w:r>
        <w:rPr>
          <w:b/>
        </w:rPr>
        <w:t>two fingers on trackpad</w:t>
      </w:r>
      <w:r>
        <w:rPr/>
        <w:t>)</w:t>
      </w:r>
    </w:p>
    <w:p>
      <w:pPr>
        <w:pStyle w:val="BodyText"/>
        <w:bidi w:val="0"/>
        <w:jc w:val="start"/>
        <w:rPr/>
      </w:pPr>
      <w:r>
        <w:rPr>
          <w:b/>
        </w:rPr>
        <w:t>Symbol tab</w:t>
      </w:r>
    </w:p>
    <w:p>
      <w:pPr>
        <w:pStyle w:val="BodyText"/>
        <w:numPr>
          <w:ilvl w:val="0"/>
          <w:numId w:val="302"/>
        </w:numPr>
        <w:tabs>
          <w:tab w:val="clear" w:pos="709"/>
          <w:tab w:val="left" w:pos="709" w:leader="none"/>
        </w:tabs>
        <w:bidi w:val="0"/>
        <w:ind w:hanging="283" w:start="709"/>
        <w:jc w:val="start"/>
        <w:rPr/>
      </w:pPr>
      <w:r>
        <w:rPr/>
        <w:t xml:space="preserve">Candle </w:t>
      </w:r>
      <w:r>
        <w:rPr>
          <w:b/>
        </w:rPr>
        <w:t>body</w:t>
      </w:r>
      <w:r>
        <w:rPr/>
        <w:t>: green / red</w:t>
      </w:r>
    </w:p>
    <w:p>
      <w:pPr>
        <w:pStyle w:val="BodyText"/>
        <w:numPr>
          <w:ilvl w:val="0"/>
          <w:numId w:val="302"/>
        </w:numPr>
        <w:tabs>
          <w:tab w:val="clear" w:pos="709"/>
          <w:tab w:val="left" w:pos="709" w:leader="none"/>
        </w:tabs>
        <w:bidi w:val="0"/>
        <w:ind w:hanging="283" w:start="709"/>
        <w:jc w:val="start"/>
        <w:rPr/>
      </w:pPr>
      <w:r>
        <w:rPr>
          <w:b/>
        </w:rPr>
        <w:t>Borders</w:t>
      </w:r>
      <w:r>
        <w:rPr/>
        <w:t>: green / red</w:t>
      </w:r>
    </w:p>
    <w:p>
      <w:pPr>
        <w:pStyle w:val="BodyText"/>
        <w:numPr>
          <w:ilvl w:val="0"/>
          <w:numId w:val="302"/>
        </w:numPr>
        <w:tabs>
          <w:tab w:val="clear" w:pos="709"/>
          <w:tab w:val="left" w:pos="709" w:leader="none"/>
        </w:tabs>
        <w:bidi w:val="0"/>
        <w:ind w:hanging="283" w:start="709"/>
        <w:jc w:val="start"/>
        <w:rPr/>
      </w:pPr>
      <w:r>
        <w:rPr>
          <w:b/>
        </w:rPr>
        <w:t>Wick</w:t>
      </w:r>
      <w:r>
        <w:rPr/>
        <w:t xml:space="preserve"> (upper and lower tail): green / red</w:t>
      </w:r>
    </w:p>
    <w:p>
      <w:pPr>
        <w:pStyle w:val="BodyText"/>
        <w:bidi w:val="0"/>
        <w:jc w:val="start"/>
        <w:rPr/>
      </w:pPr>
      <w:r>
        <w:rPr>
          <w:b/>
        </w:rPr>
        <w:t>Status line tab</w:t>
      </w:r>
    </w:p>
    <w:p>
      <w:pPr>
        <w:pStyle w:val="BodyText"/>
        <w:numPr>
          <w:ilvl w:val="0"/>
          <w:numId w:val="303"/>
        </w:numPr>
        <w:tabs>
          <w:tab w:val="clear" w:pos="709"/>
          <w:tab w:val="left" w:pos="709" w:leader="none"/>
        </w:tabs>
        <w:bidi w:val="0"/>
        <w:ind w:hanging="283" w:start="709"/>
        <w:jc w:val="start"/>
        <w:rPr/>
      </w:pPr>
      <w:r>
        <w:rPr/>
        <w:t>Logo</w:t>
      </w:r>
    </w:p>
    <w:p>
      <w:pPr>
        <w:pStyle w:val="BodyText"/>
        <w:numPr>
          <w:ilvl w:val="0"/>
          <w:numId w:val="303"/>
        </w:numPr>
        <w:tabs>
          <w:tab w:val="clear" w:pos="709"/>
          <w:tab w:val="left" w:pos="709" w:leader="none"/>
        </w:tabs>
        <w:bidi w:val="0"/>
        <w:ind w:hanging="283" w:start="709"/>
        <w:jc w:val="start"/>
        <w:rPr/>
      </w:pPr>
      <w:r>
        <w:rPr/>
        <w:t>Title</w:t>
      </w:r>
    </w:p>
    <w:p>
      <w:pPr>
        <w:pStyle w:val="BodyText"/>
        <w:numPr>
          <w:ilvl w:val="0"/>
          <w:numId w:val="303"/>
        </w:numPr>
        <w:tabs>
          <w:tab w:val="clear" w:pos="709"/>
          <w:tab w:val="left" w:pos="709" w:leader="none"/>
        </w:tabs>
        <w:bidi w:val="0"/>
        <w:ind w:hanging="283" w:start="709"/>
        <w:jc w:val="start"/>
        <w:rPr/>
      </w:pPr>
      <w:r>
        <w:rPr/>
        <w:t>Chart values</w:t>
      </w:r>
    </w:p>
    <w:p>
      <w:pPr>
        <w:pStyle w:val="BodyText"/>
        <w:numPr>
          <w:ilvl w:val="0"/>
          <w:numId w:val="303"/>
        </w:numPr>
        <w:tabs>
          <w:tab w:val="clear" w:pos="709"/>
          <w:tab w:val="left" w:pos="709" w:leader="none"/>
        </w:tabs>
        <w:bidi w:val="0"/>
        <w:ind w:hanging="283" w:start="709"/>
        <w:jc w:val="start"/>
        <w:rPr/>
      </w:pPr>
      <w:r>
        <w:rPr/>
        <w:t>Bar change values</w:t>
      </w:r>
    </w:p>
    <w:p>
      <w:pPr>
        <w:pStyle w:val="BodyText"/>
        <w:bidi w:val="0"/>
        <w:jc w:val="start"/>
        <w:rPr/>
      </w:pPr>
      <w:r>
        <w:rPr>
          <w:b/>
        </w:rPr>
        <w:t>Scales and lines tab</w:t>
      </w:r>
    </w:p>
    <w:p>
      <w:pPr>
        <w:pStyle w:val="BodyText"/>
        <w:numPr>
          <w:ilvl w:val="0"/>
          <w:numId w:val="304"/>
        </w:numPr>
        <w:tabs>
          <w:tab w:val="clear" w:pos="709"/>
          <w:tab w:val="left" w:pos="709" w:leader="none"/>
        </w:tabs>
        <w:bidi w:val="0"/>
        <w:ind w:hanging="283" w:start="709"/>
        <w:jc w:val="start"/>
        <w:rPr/>
      </w:pPr>
      <w:r>
        <w:rPr/>
        <w:t xml:space="preserve">Currency and unit: </w:t>
      </w:r>
      <w:r>
        <w:rPr>
          <w:b/>
        </w:rPr>
        <w:t>always visible</w:t>
      </w:r>
    </w:p>
    <w:p>
      <w:pPr>
        <w:pStyle w:val="BodyText"/>
        <w:numPr>
          <w:ilvl w:val="0"/>
          <w:numId w:val="304"/>
        </w:numPr>
        <w:tabs>
          <w:tab w:val="clear" w:pos="709"/>
          <w:tab w:val="left" w:pos="709" w:leader="none"/>
        </w:tabs>
        <w:bidi w:val="0"/>
        <w:ind w:hanging="283" w:start="709"/>
        <w:jc w:val="start"/>
        <w:rPr/>
      </w:pPr>
      <w:r>
        <w:rPr/>
        <w:t xml:space="preserve">Scale modes </w:t>
      </w:r>
      <w:r>
        <w:rPr>
          <w:b/>
        </w:rPr>
        <w:t>A and L</w:t>
      </w:r>
      <w:r>
        <w:rPr/>
        <w:t>: visible</w:t>
      </w:r>
    </w:p>
    <w:p>
      <w:pPr>
        <w:pStyle w:val="BodyText"/>
        <w:numPr>
          <w:ilvl w:val="0"/>
          <w:numId w:val="304"/>
        </w:numPr>
        <w:tabs>
          <w:tab w:val="clear" w:pos="709"/>
          <w:tab w:val="left" w:pos="709" w:leader="none"/>
        </w:tabs>
        <w:bidi w:val="0"/>
        <w:ind w:hanging="283" w:start="709"/>
        <w:jc w:val="start"/>
        <w:rPr/>
      </w:pPr>
      <w:r>
        <w:rPr/>
        <w:t>On mouse-over scale</w:t>
      </w:r>
    </w:p>
    <w:p>
      <w:pPr>
        <w:pStyle w:val="BodyText"/>
        <w:numPr>
          <w:ilvl w:val="0"/>
          <w:numId w:val="304"/>
        </w:numPr>
        <w:tabs>
          <w:tab w:val="clear" w:pos="709"/>
          <w:tab w:val="left" w:pos="709" w:leader="none"/>
        </w:tabs>
        <w:bidi w:val="0"/>
        <w:ind w:hanging="283" w:start="709"/>
        <w:jc w:val="start"/>
        <w:rPr/>
      </w:pPr>
      <w:r>
        <w:rPr/>
        <w:t xml:space="preserve">Scale </w:t>
      </w:r>
      <w:r>
        <w:rPr>
          <w:b/>
        </w:rPr>
        <w:t>placement: auto</w:t>
      </w:r>
    </w:p>
    <w:p>
      <w:pPr>
        <w:pStyle w:val="BodyText"/>
        <w:numPr>
          <w:ilvl w:val="0"/>
          <w:numId w:val="304"/>
        </w:numPr>
        <w:tabs>
          <w:tab w:val="clear" w:pos="709"/>
          <w:tab w:val="left" w:pos="709" w:leader="none"/>
        </w:tabs>
        <w:bidi w:val="0"/>
        <w:ind w:hanging="283" w:start="709"/>
        <w:jc w:val="start"/>
        <w:rPr/>
      </w:pPr>
      <w:r>
        <w:rPr/>
        <w:t xml:space="preserve">Symbol </w:t>
      </w:r>
      <w:r>
        <w:rPr>
          <w:b/>
        </w:rPr>
        <w:t>name and value</w:t>
      </w:r>
    </w:p>
    <w:p>
      <w:pPr>
        <w:pStyle w:val="BodyText"/>
        <w:bidi w:val="0"/>
        <w:jc w:val="start"/>
        <w:rPr/>
      </w:pPr>
      <w:r>
        <w:rPr>
          <w:b/>
        </w:rPr>
        <w:t>Canvas tab</w:t>
      </w:r>
      <w:r>
        <w:rPr/>
        <w:t xml:space="preserve"> (background)</w:t>
      </w:r>
    </w:p>
    <w:p>
      <w:pPr>
        <w:pStyle w:val="BodyText"/>
        <w:numPr>
          <w:ilvl w:val="0"/>
          <w:numId w:val="305"/>
        </w:numPr>
        <w:tabs>
          <w:tab w:val="clear" w:pos="709"/>
          <w:tab w:val="left" w:pos="709" w:leader="none"/>
        </w:tabs>
        <w:bidi w:val="0"/>
        <w:ind w:hanging="283" w:start="709"/>
        <w:jc w:val="start"/>
        <w:rPr/>
      </w:pPr>
      <w:r>
        <w:rPr/>
        <w:t xml:space="preserve">Background: </w:t>
      </w:r>
      <w:r>
        <w:rPr>
          <w:b/>
        </w:rPr>
        <w:t>solid white</w:t>
      </w:r>
      <w:r>
        <w:rPr/>
        <w:t xml:space="preserve"> (Adam's personal preference — "I don't like a dark background")</w:t>
      </w:r>
    </w:p>
    <w:p>
      <w:pPr>
        <w:pStyle w:val="BodyText"/>
        <w:numPr>
          <w:ilvl w:val="0"/>
          <w:numId w:val="305"/>
        </w:numPr>
        <w:tabs>
          <w:tab w:val="clear" w:pos="709"/>
          <w:tab w:val="left" w:pos="709" w:leader="none"/>
        </w:tabs>
        <w:bidi w:val="0"/>
        <w:ind w:hanging="283" w:start="709"/>
        <w:jc w:val="start"/>
        <w:rPr/>
      </w:pPr>
      <w:r>
        <w:rPr/>
        <w:t>Crosshairs: set colour</w:t>
      </w:r>
    </w:p>
    <w:p>
      <w:pPr>
        <w:pStyle w:val="BodyText"/>
        <w:numPr>
          <w:ilvl w:val="0"/>
          <w:numId w:val="305"/>
        </w:numPr>
        <w:tabs>
          <w:tab w:val="clear" w:pos="709"/>
          <w:tab w:val="left" w:pos="709" w:leader="none"/>
        </w:tabs>
        <w:bidi w:val="0"/>
        <w:ind w:hanging="283" w:start="709"/>
        <w:jc w:val="start"/>
        <w:rPr/>
      </w:pPr>
      <w:r>
        <w:rPr/>
        <w:t xml:space="preserve">Text: </w:t>
      </w:r>
      <w:r>
        <w:rPr>
          <w:b/>
        </w:rPr>
        <w:t>black</w:t>
      </w:r>
    </w:p>
    <w:p>
      <w:pPr>
        <w:pStyle w:val="BodyText"/>
        <w:numPr>
          <w:ilvl w:val="0"/>
          <w:numId w:val="305"/>
        </w:numPr>
        <w:tabs>
          <w:tab w:val="clear" w:pos="709"/>
          <w:tab w:val="left" w:pos="709" w:leader="none"/>
        </w:tabs>
        <w:bidi w:val="0"/>
        <w:ind w:hanging="283" w:start="709"/>
        <w:jc w:val="start"/>
        <w:rPr/>
      </w:pPr>
      <w:r>
        <w:rPr/>
        <w:t xml:space="preserve">Lines: </w:t>
      </w:r>
      <w:r>
        <w:rPr>
          <w:b/>
        </w:rPr>
        <w:t>black</w:t>
      </w:r>
    </w:p>
    <w:p>
      <w:pPr>
        <w:pStyle w:val="BodyText"/>
        <w:bidi w:val="0"/>
        <w:jc w:val="start"/>
        <w:rPr/>
      </w:pPr>
      <w:r>
        <w:rPr>
          <w:b/>
        </w:rPr>
        <w:t>Events tab</w:t>
      </w:r>
      <w:r>
        <w:rPr/>
        <w:t xml:space="preserve"> (Adam enables all of these)</w:t>
      </w:r>
    </w:p>
    <w:p>
      <w:pPr>
        <w:pStyle w:val="BodyText"/>
        <w:numPr>
          <w:ilvl w:val="0"/>
          <w:numId w:val="306"/>
        </w:numPr>
        <w:tabs>
          <w:tab w:val="clear" w:pos="709"/>
          <w:tab w:val="left" w:pos="709" w:leader="none"/>
        </w:tabs>
        <w:bidi w:val="0"/>
        <w:ind w:hanging="283" w:start="709"/>
        <w:jc w:val="start"/>
        <w:rPr/>
      </w:pPr>
      <w:r>
        <w:rPr>
          <w:b/>
        </w:rPr>
        <w:t>Dividends</w:t>
      </w:r>
      <w:r>
        <w:rPr/>
        <w:t xml:space="preserve"> (so he sees ex-dividend dates)</w:t>
      </w:r>
    </w:p>
    <w:p>
      <w:pPr>
        <w:pStyle w:val="BodyText"/>
        <w:numPr>
          <w:ilvl w:val="0"/>
          <w:numId w:val="306"/>
        </w:numPr>
        <w:tabs>
          <w:tab w:val="clear" w:pos="709"/>
          <w:tab w:val="left" w:pos="709" w:leader="none"/>
        </w:tabs>
        <w:bidi w:val="0"/>
        <w:ind w:hanging="283" w:start="709"/>
        <w:jc w:val="start"/>
        <w:rPr/>
      </w:pPr>
      <w:r>
        <w:rPr>
          <w:b/>
        </w:rPr>
        <w:t>Splits</w:t>
      </w:r>
    </w:p>
    <w:p>
      <w:pPr>
        <w:pStyle w:val="BodyText"/>
        <w:numPr>
          <w:ilvl w:val="0"/>
          <w:numId w:val="306"/>
        </w:numPr>
        <w:tabs>
          <w:tab w:val="clear" w:pos="709"/>
          <w:tab w:val="left" w:pos="709" w:leader="none"/>
        </w:tabs>
        <w:bidi w:val="0"/>
        <w:ind w:hanging="283" w:start="709"/>
        <w:jc w:val="start"/>
        <w:rPr/>
      </w:pPr>
      <w:r>
        <w:rPr>
          <w:b/>
        </w:rPr>
        <w:t>Earnings</w:t>
      </w:r>
    </w:p>
    <w:p>
      <w:pPr>
        <w:pStyle w:val="BodyText"/>
        <w:numPr>
          <w:ilvl w:val="0"/>
          <w:numId w:val="306"/>
        </w:numPr>
        <w:tabs>
          <w:tab w:val="clear" w:pos="709"/>
          <w:tab w:val="left" w:pos="709" w:leader="none"/>
        </w:tabs>
        <w:bidi w:val="0"/>
        <w:ind w:hanging="283" w:start="709"/>
        <w:jc w:val="start"/>
        <w:rPr/>
      </w:pPr>
      <w:r>
        <w:rPr>
          <w:b/>
        </w:rPr>
        <w:t>Latest news</w:t>
      </w:r>
    </w:p>
    <w:p>
      <w:pPr>
        <w:pStyle w:val="Heading4"/>
        <w:numPr>
          <w:ilvl w:val="0"/>
          <w:numId w:val="0"/>
        </w:numPr>
        <w:bidi w:val="0"/>
        <w:ind w:hanging="0" w:start="0"/>
        <w:jc w:val="start"/>
        <w:rPr/>
      </w:pPr>
      <w:r>
        <w:rPr/>
        <w:t>4.4 Scale Setting</w:t>
      </w:r>
    </w:p>
    <w:p>
      <w:pPr>
        <w:pStyle w:val="BodyText"/>
        <w:numPr>
          <w:ilvl w:val="0"/>
          <w:numId w:val="307"/>
        </w:numPr>
        <w:tabs>
          <w:tab w:val="clear" w:pos="709"/>
          <w:tab w:val="left" w:pos="709" w:leader="none"/>
        </w:tabs>
        <w:bidi w:val="0"/>
        <w:ind w:hanging="283" w:start="709"/>
        <w:jc w:val="start"/>
        <w:rPr/>
      </w:pPr>
      <w:r>
        <w:rPr/>
        <w:t xml:space="preserve">On the </w:t>
      </w:r>
      <w:r>
        <w:rPr>
          <w:b/>
        </w:rPr>
        <w:t>right-hand side</w:t>
      </w:r>
      <w:r>
        <w:rPr/>
        <w:t xml:space="preserve">, enable </w:t>
      </w:r>
      <w:r>
        <w:rPr>
          <w:b/>
        </w:rPr>
        <w:t>log (logarithmic) scale</w:t>
      </w:r>
      <w:r>
        <w:rPr/>
        <w:t xml:space="preserve"> when viewing the 10-year chart — makes the long-term trend read clearly.</w:t>
      </w:r>
    </w:p>
    <w:p>
      <w:pPr>
        <w:pStyle w:val="Heading4"/>
        <w:numPr>
          <w:ilvl w:val="0"/>
          <w:numId w:val="0"/>
        </w:numPr>
        <w:bidi w:val="0"/>
        <w:ind w:hanging="0" w:start="0"/>
        <w:jc w:val="start"/>
        <w:rPr/>
      </w:pPr>
      <w:r>
        <w:rPr/>
        <w:t>4.5 Period Buttons</w:t>
      </w:r>
    </w:p>
    <w:p>
      <w:pPr>
        <w:pStyle w:val="BodyText"/>
        <w:numPr>
          <w:ilvl w:val="0"/>
          <w:numId w:val="308"/>
        </w:numPr>
        <w:tabs>
          <w:tab w:val="clear" w:pos="709"/>
          <w:tab w:val="left" w:pos="709" w:leader="none"/>
        </w:tabs>
        <w:bidi w:val="0"/>
        <w:ind w:hanging="283" w:start="709"/>
        <w:jc w:val="start"/>
        <w:rPr/>
      </w:pPr>
      <w:r>
        <w:rPr>
          <w:b/>
        </w:rPr>
        <w:t>"All"</w:t>
      </w:r>
      <w:r>
        <w:rPr/>
        <w:t xml:space="preserve"> → shows the stock from the beginning of its listing and </w:t>
      </w:r>
      <w:r>
        <w:rPr>
          <w:b/>
        </w:rPr>
        <w:t>automatically switches to monthly candles</w:t>
      </w:r>
      <w:r>
        <w:rPr/>
        <w:t xml:space="preserve">. Adam then drags the chart back to show roughly the </w:t>
      </w:r>
      <w:r>
        <w:rPr>
          <w:b/>
        </w:rPr>
        <w:t>last 10 years</w:t>
      </w:r>
      <w:r>
        <w:rPr/>
        <w:t xml:space="preserve"> (in 2025 → back to ~2015).</w:t>
      </w:r>
    </w:p>
    <w:p>
      <w:pPr>
        <w:pStyle w:val="BodyText"/>
        <w:numPr>
          <w:ilvl w:val="0"/>
          <w:numId w:val="308"/>
        </w:numPr>
        <w:tabs>
          <w:tab w:val="clear" w:pos="709"/>
          <w:tab w:val="left" w:pos="709" w:leader="none"/>
        </w:tabs>
        <w:bidi w:val="0"/>
        <w:ind w:hanging="283" w:start="709"/>
        <w:jc w:val="start"/>
        <w:rPr/>
      </w:pPr>
      <w:r>
        <w:rPr>
          <w:b/>
        </w:rPr>
        <w:t>"5Y"</w:t>
      </w:r>
      <w:r>
        <w:rPr/>
        <w:t xml:space="preserve"> → automatically shows </w:t>
      </w:r>
      <w:r>
        <w:rPr>
          <w:b/>
        </w:rPr>
        <w:t>weekly candles</w:t>
      </w:r>
      <w:r>
        <w:rPr/>
        <w:t>.</w:t>
      </w:r>
    </w:p>
    <w:p>
      <w:pPr>
        <w:pStyle w:val="BodyText"/>
        <w:numPr>
          <w:ilvl w:val="0"/>
          <w:numId w:val="308"/>
        </w:numPr>
        <w:tabs>
          <w:tab w:val="clear" w:pos="709"/>
          <w:tab w:val="left" w:pos="709" w:leader="none"/>
        </w:tabs>
        <w:bidi w:val="0"/>
        <w:ind w:hanging="283" w:start="709"/>
        <w:jc w:val="start"/>
        <w:rPr/>
      </w:pPr>
      <w:r>
        <w:rPr>
          <w:b/>
        </w:rPr>
        <w:t>"1Y"</w:t>
      </w:r>
      <w:r>
        <w:rPr/>
        <w:t xml:space="preserve"> → automatically shows </w:t>
      </w:r>
      <w:r>
        <w:rPr>
          <w:b/>
        </w:rPr>
        <w:t>daily candles</w:t>
      </w:r>
      <w:r>
        <w:rPr/>
        <w:t>.</w:t>
      </w:r>
    </w:p>
    <w:p>
      <w:pPr>
        <w:pStyle w:val="Heading4"/>
        <w:numPr>
          <w:ilvl w:val="0"/>
          <w:numId w:val="0"/>
        </w:numPr>
        <w:bidi w:val="0"/>
        <w:ind w:hanging="0" w:start="0"/>
        <w:jc w:val="start"/>
        <w:rPr/>
      </w:pPr>
      <w:r>
        <w:rPr/>
        <w:t>4.6 Chart Event Icons (bottom of chart)</w:t>
      </w:r>
    </w:p>
    <w:p>
      <w:pPr>
        <w:pStyle w:val="BodyText"/>
        <w:numPr>
          <w:ilvl w:val="0"/>
          <w:numId w:val="309"/>
        </w:numPr>
        <w:tabs>
          <w:tab w:val="clear" w:pos="709"/>
          <w:tab w:val="left" w:pos="709" w:leader="none"/>
        </w:tabs>
        <w:bidi w:val="0"/>
        <w:spacing w:before="0" w:after="0"/>
        <w:ind w:hanging="283" w:start="709"/>
        <w:jc w:val="start"/>
        <w:rPr/>
      </w:pPr>
      <w:r>
        <w:rPr>
          <w:rFonts w:ascii="Liberation Mono" w:hAnsi="Liberation Mono"/>
          <w:b/>
        </w:rPr>
        <w:t>E</w:t>
      </w:r>
      <w:r>
        <w:rPr>
          <w:b/>
        </w:rPr>
        <w:t xml:space="preserve"> in a square (outlined)</w:t>
      </w:r>
      <w:r>
        <w:rPr/>
        <w:t xml:space="preserve"> = earnings </w:t>
      </w:r>
      <w:r>
        <w:rPr>
          <w:b/>
        </w:rPr>
        <w:t>not yet reported / upcoming</w:t>
      </w:r>
      <w:r>
        <w:rPr/>
        <w:t>.</w:t>
      </w:r>
    </w:p>
    <w:p>
      <w:pPr>
        <w:pStyle w:val="BodyText"/>
        <w:numPr>
          <w:ilvl w:val="1"/>
          <w:numId w:val="309"/>
        </w:numPr>
        <w:tabs>
          <w:tab w:val="clear" w:pos="709"/>
          <w:tab w:val="left" w:pos="1418" w:leader="none"/>
        </w:tabs>
        <w:bidi w:val="0"/>
        <w:ind w:hanging="283" w:start="1418"/>
        <w:jc w:val="start"/>
        <w:rPr/>
      </w:pPr>
      <w:r>
        <w:rPr/>
        <w:t xml:space="preserve">Worked example: </w:t>
      </w:r>
      <w:r>
        <w:rPr>
          <w:b/>
        </w:rPr>
        <w:t>NVIDIA</w:t>
      </w:r>
      <w:r>
        <w:rPr/>
        <w:t xml:space="preserve"> — hovering shows earnings on </w:t>
      </w:r>
      <w:r>
        <w:rPr>
          <w:b/>
        </w:rPr>
        <w:t>Wednesday 26 February</w:t>
      </w:r>
      <w:r>
        <w:rPr/>
        <w:t xml:space="preserve">; the icon style indicates it reports </w:t>
      </w:r>
      <w:r>
        <w:rPr>
          <w:b/>
        </w:rPr>
        <w:t>after the market closes</w:t>
      </w:r>
      <w:r>
        <w:rPr/>
        <w:t xml:space="preserve"> that day (some companies report </w:t>
      </w:r>
      <w:r>
        <w:rPr>
          <w:b/>
        </w:rPr>
        <w:t>before the open</w:t>
      </w:r>
      <w:r>
        <w:rPr/>
        <w:t>).</w:t>
      </w:r>
    </w:p>
    <w:p>
      <w:pPr>
        <w:pStyle w:val="BodyText"/>
        <w:numPr>
          <w:ilvl w:val="0"/>
          <w:numId w:val="309"/>
        </w:numPr>
        <w:tabs>
          <w:tab w:val="clear" w:pos="709"/>
          <w:tab w:val="left" w:pos="709" w:leader="none"/>
        </w:tabs>
        <w:bidi w:val="0"/>
        <w:ind w:hanging="283" w:start="709"/>
        <w:jc w:val="start"/>
        <w:rPr/>
      </w:pPr>
      <w:r>
        <w:rPr>
          <w:b/>
        </w:rPr>
        <w:t xml:space="preserve">Green </w:t>
      </w:r>
      <w:r>
        <w:rPr>
          <w:rFonts w:ascii="Liberation Mono" w:hAnsi="Liberation Mono"/>
          <w:b/>
        </w:rPr>
        <w:t>E</w:t>
      </w:r>
      <w:r>
        <w:rPr/>
        <w:t xml:space="preserve"> = earnings </w:t>
      </w:r>
      <w:r>
        <w:rPr>
          <w:b/>
        </w:rPr>
        <w:t>already reported</w:t>
      </w:r>
      <w:r>
        <w:rPr/>
        <w:t>.</w:t>
      </w:r>
    </w:p>
    <w:p>
      <w:pPr>
        <w:pStyle w:val="BodyText"/>
        <w:numPr>
          <w:ilvl w:val="0"/>
          <w:numId w:val="309"/>
        </w:numPr>
        <w:tabs>
          <w:tab w:val="clear" w:pos="709"/>
          <w:tab w:val="left" w:pos="709" w:leader="none"/>
        </w:tabs>
        <w:bidi w:val="0"/>
        <w:ind w:hanging="283" w:start="709"/>
        <w:jc w:val="start"/>
        <w:rPr/>
      </w:pPr>
      <w:r>
        <w:rPr>
          <w:b/>
        </w:rPr>
        <w:t>News icon</w:t>
      </w:r>
      <w:r>
        <w:rPr/>
        <w:t xml:space="preserve"> = click to see all news related to the stock on that day — useful when price suddenly drops or spikes and you want the cause.</w:t>
      </w:r>
    </w:p>
    <w:p>
      <w:pPr>
        <w:pStyle w:val="BodyText"/>
        <w:numPr>
          <w:ilvl w:val="0"/>
          <w:numId w:val="309"/>
        </w:numPr>
        <w:tabs>
          <w:tab w:val="clear" w:pos="709"/>
          <w:tab w:val="left" w:pos="709" w:leader="none"/>
        </w:tabs>
        <w:bidi w:val="0"/>
        <w:ind w:hanging="283" w:start="709"/>
        <w:jc w:val="start"/>
        <w:rPr/>
      </w:pPr>
      <w:r>
        <w:rPr>
          <w:rFonts w:ascii="Liberation Mono" w:hAnsi="Liberation Mono"/>
          <w:b/>
        </w:rPr>
        <w:t>D</w:t>
      </w:r>
      <w:r>
        <w:rPr/>
        <w:t xml:space="preserve"> = </w:t>
      </w:r>
      <w:r>
        <w:rPr>
          <w:b/>
        </w:rPr>
        <w:t>dividend</w:t>
      </w:r>
      <w:r>
        <w:rPr/>
        <w:t xml:space="preserve">, usually the </w:t>
      </w:r>
      <w:r>
        <w:rPr>
          <w:b/>
        </w:rPr>
        <w:t>ex-dividend date</w:t>
      </w:r>
      <w:r>
        <w:rPr/>
        <w:t xml:space="preserve">. Buy </w:t>
      </w:r>
      <w:r>
        <w:rPr>
          <w:b/>
        </w:rPr>
        <w:t>before</w:t>
      </w:r>
      <w:r>
        <w:rPr/>
        <w:t xml:space="preserve"> the ex-dividend date to receive the dividend.</w:t>
      </w:r>
    </w:p>
    <w:p>
      <w:pPr>
        <w:pStyle w:val="Heading4"/>
        <w:numPr>
          <w:ilvl w:val="0"/>
          <w:numId w:val="0"/>
        </w:numPr>
        <w:bidi w:val="0"/>
        <w:ind w:hanging="0" w:start="0"/>
        <w:jc w:val="start"/>
        <w:rPr/>
      </w:pPr>
      <w:r>
        <w:rPr/>
        <w:t>4.7 Dividend-Adjustment Toggle (bottom right)</w:t>
      </w:r>
    </w:p>
    <w:p>
      <w:pPr>
        <w:pStyle w:val="BodyText"/>
        <w:numPr>
          <w:ilvl w:val="0"/>
          <w:numId w:val="310"/>
        </w:numPr>
        <w:tabs>
          <w:tab w:val="clear" w:pos="709"/>
          <w:tab w:val="left" w:pos="709" w:leader="none"/>
        </w:tabs>
        <w:bidi w:val="0"/>
        <w:ind w:hanging="283" w:start="709"/>
        <w:jc w:val="start"/>
        <w:rPr/>
      </w:pPr>
      <w:r>
        <w:rPr>
          <w:b/>
        </w:rPr>
        <w:t>Analysing a single stock on its own → DO NOT adjust for dividends.</w:t>
      </w:r>
    </w:p>
    <w:p>
      <w:pPr>
        <w:pStyle w:val="BodyText"/>
        <w:numPr>
          <w:ilvl w:val="0"/>
          <w:numId w:val="310"/>
        </w:numPr>
        <w:tabs>
          <w:tab w:val="clear" w:pos="709"/>
          <w:tab w:val="left" w:pos="709" w:leader="none"/>
        </w:tabs>
        <w:bidi w:val="0"/>
        <w:ind w:hanging="283" w:start="709"/>
        <w:jc w:val="start"/>
        <w:rPr/>
      </w:pPr>
      <w:r>
        <w:rPr>
          <w:b/>
        </w:rPr>
        <w:t>Comparing the performance of two or more stocks → DO adjust for dividends.</w:t>
      </w:r>
    </w:p>
    <w:p>
      <w:pPr>
        <w:pStyle w:val="BodyText"/>
        <w:numPr>
          <w:ilvl w:val="0"/>
          <w:numId w:val="311"/>
        </w:numPr>
        <w:tabs>
          <w:tab w:val="clear" w:pos="709"/>
          <w:tab w:val="left" w:pos="709" w:leader="none"/>
        </w:tabs>
        <w:bidi w:val="0"/>
        <w:spacing w:before="0" w:after="0"/>
        <w:ind w:hanging="283" w:start="709"/>
        <w:jc w:val="start"/>
        <w:rPr/>
      </w:pPr>
      <w:r>
        <w:rPr>
          <w:b/>
        </w:rPr>
        <w:t>Worked example (5-year comparison):</w:t>
      </w:r>
    </w:p>
    <w:p>
      <w:pPr>
        <w:pStyle w:val="BodyText"/>
        <w:numPr>
          <w:ilvl w:val="1"/>
          <w:numId w:val="311"/>
        </w:numPr>
        <w:tabs>
          <w:tab w:val="clear" w:pos="709"/>
          <w:tab w:val="left" w:pos="1418" w:leader="none"/>
        </w:tabs>
        <w:bidi w:val="0"/>
        <w:ind w:hanging="283" w:start="1418"/>
        <w:jc w:val="start"/>
        <w:rPr/>
      </w:pPr>
      <w:r>
        <w:rPr/>
        <w:t xml:space="preserve">Unadjusted: </w:t>
      </w:r>
      <w:r>
        <w:rPr>
          <w:b/>
        </w:rPr>
        <w:t>Google +152%</w:t>
      </w:r>
      <w:r>
        <w:rPr/>
        <w:t xml:space="preserve"> vs </w:t>
      </w:r>
      <w:r>
        <w:rPr>
          <w:b/>
        </w:rPr>
        <w:t>DBS Bank (Singapore) +92%</w:t>
      </w:r>
      <w:r>
        <w:rPr/>
        <w:t xml:space="preserve"> → Google looks far better.</w:t>
      </w:r>
    </w:p>
    <w:p>
      <w:pPr>
        <w:pStyle w:val="BodyText"/>
        <w:numPr>
          <w:ilvl w:val="1"/>
          <w:numId w:val="311"/>
        </w:numPr>
        <w:tabs>
          <w:tab w:val="clear" w:pos="709"/>
          <w:tab w:val="left" w:pos="1418" w:leader="none"/>
        </w:tabs>
        <w:bidi w:val="0"/>
        <w:ind w:hanging="283" w:start="1418"/>
        <w:jc w:val="start"/>
        <w:rPr/>
      </w:pPr>
      <w:r>
        <w:rPr/>
        <w:t>DBS pays large dividends; Google pays none.</w:t>
      </w:r>
    </w:p>
    <w:p>
      <w:pPr>
        <w:pStyle w:val="BodyText"/>
        <w:numPr>
          <w:ilvl w:val="1"/>
          <w:numId w:val="311"/>
        </w:numPr>
        <w:tabs>
          <w:tab w:val="clear" w:pos="709"/>
          <w:tab w:val="left" w:pos="1418" w:leader="none"/>
        </w:tabs>
        <w:bidi w:val="0"/>
        <w:ind w:hanging="283" w:start="1418"/>
        <w:jc w:val="start"/>
        <w:rPr/>
      </w:pPr>
      <w:r>
        <w:rPr>
          <w:b/>
        </w:rPr>
        <w:t>Adjusted for dividends: the two are almost neck and neck — only about 4% difference.</w:t>
      </w:r>
    </w:p>
    <w:p>
      <w:pPr>
        <w:pStyle w:val="BodyText"/>
        <w:numPr>
          <w:ilvl w:val="0"/>
          <w:numId w:val="311"/>
        </w:numPr>
        <w:tabs>
          <w:tab w:val="clear" w:pos="709"/>
          <w:tab w:val="left" w:pos="709" w:leader="none"/>
        </w:tabs>
        <w:bidi w:val="0"/>
        <w:ind w:hanging="283" w:start="709"/>
        <w:jc w:val="start"/>
        <w:rPr/>
      </w:pPr>
      <w:r>
        <w:rPr/>
        <w:t xml:space="preserve">Lesson: dividend adjustment is </w:t>
      </w:r>
      <w:r>
        <w:rPr>
          <w:b/>
        </w:rPr>
        <w:t>essential</w:t>
      </w:r>
      <w:r>
        <w:rPr/>
        <w:t xml:space="preserve"> for fair cross-stock comparison.</w:t>
      </w:r>
    </w:p>
    <w:p>
      <w:pPr>
        <w:pStyle w:val="Heading4"/>
        <w:numPr>
          <w:ilvl w:val="0"/>
          <w:numId w:val="0"/>
        </w:numPr>
        <w:bidi w:val="0"/>
        <w:ind w:hanging="0" w:start="0"/>
        <w:jc w:val="start"/>
        <w:rPr/>
      </w:pPr>
      <w:r>
        <w:rPr/>
        <w:t>4.8 Drawing Tools</w:t>
      </w:r>
    </w:p>
    <w:p>
      <w:pPr>
        <w:pStyle w:val="BodyText"/>
        <w:numPr>
          <w:ilvl w:val="0"/>
          <w:numId w:val="312"/>
        </w:numPr>
        <w:tabs>
          <w:tab w:val="clear" w:pos="709"/>
          <w:tab w:val="left" w:pos="709" w:leader="none"/>
        </w:tabs>
        <w:bidi w:val="0"/>
        <w:ind w:hanging="283" w:start="709"/>
        <w:jc w:val="start"/>
        <w:rPr/>
      </w:pPr>
      <w:r>
        <w:rPr/>
        <w:t xml:space="preserve">Drawing tools are on the </w:t>
      </w:r>
      <w:r>
        <w:rPr>
          <w:b/>
        </w:rPr>
        <w:t>left-hand side</w:t>
      </w:r>
      <w:r>
        <w:rPr/>
        <w:t xml:space="preserve"> of the chart.</w:t>
      </w:r>
    </w:p>
    <w:p>
      <w:pPr>
        <w:pStyle w:val="BodyText"/>
        <w:numPr>
          <w:ilvl w:val="0"/>
          <w:numId w:val="312"/>
        </w:numPr>
        <w:tabs>
          <w:tab w:val="clear" w:pos="709"/>
          <w:tab w:val="left" w:pos="709" w:leader="none"/>
        </w:tabs>
        <w:bidi w:val="0"/>
        <w:ind w:hanging="283" w:start="709"/>
        <w:jc w:val="start"/>
        <w:rPr/>
      </w:pPr>
      <w:r>
        <w:rPr>
          <w:b/>
        </w:rPr>
        <w:t>Horizontal Line</w:t>
      </w:r>
      <w:r>
        <w:rPr/>
        <w:t xml:space="preserve"> → used for support and resistance levels.</w:t>
      </w:r>
    </w:p>
    <w:p>
      <w:pPr>
        <w:pStyle w:val="BodyText"/>
        <w:numPr>
          <w:ilvl w:val="0"/>
          <w:numId w:val="312"/>
        </w:numPr>
        <w:tabs>
          <w:tab w:val="clear" w:pos="709"/>
          <w:tab w:val="left" w:pos="709" w:leader="none"/>
        </w:tabs>
        <w:bidi w:val="0"/>
        <w:ind w:hanging="283" w:start="709"/>
        <w:jc w:val="start"/>
        <w:rPr/>
      </w:pPr>
      <w:r>
        <w:rPr>
          <w:b/>
        </w:rPr>
        <w:t>Horizontal Ray</w:t>
      </w:r>
      <w:r>
        <w:rPr/>
        <w:t xml:space="preserve"> → used for the </w:t>
      </w:r>
      <w:r>
        <w:rPr>
          <w:b/>
        </w:rPr>
        <w:t>intrinsic value line</w:t>
      </w:r>
      <w:r>
        <w:rPr/>
        <w:t>.</w:t>
      </w:r>
    </w:p>
    <w:p>
      <w:pPr>
        <w:pStyle w:val="BodyText"/>
        <w:numPr>
          <w:ilvl w:val="0"/>
          <w:numId w:val="312"/>
        </w:numPr>
        <w:tabs>
          <w:tab w:val="clear" w:pos="709"/>
          <w:tab w:val="left" w:pos="709" w:leader="none"/>
        </w:tabs>
        <w:bidi w:val="0"/>
        <w:ind w:hanging="283" w:start="709"/>
        <w:jc w:val="start"/>
        <w:rPr/>
      </w:pPr>
      <w:r>
        <w:rPr/>
        <w:t xml:space="preserve">To style a drawn line: put mouse on it → </w:t>
      </w:r>
      <w:r>
        <w:rPr>
          <w:b/>
        </w:rPr>
        <w:t>right-click</w:t>
      </w:r>
      <w:r>
        <w:rPr/>
        <w:t xml:space="preserve"> (or two fingers on Mac trackpad) → </w:t>
      </w:r>
      <w:r>
        <w:rPr>
          <w:b/>
        </w:rPr>
        <w:t>Settings</w:t>
      </w:r>
      <w:r>
        <w:rPr/>
        <w:t xml:space="preserve"> → set colour, label text, and line style.</w:t>
      </w:r>
    </w:p>
    <w:p>
      <w:pPr>
        <w:pStyle w:val="HorizontalLine"/>
        <w:bidi w:val="0"/>
        <w:jc w:val="start"/>
        <w:rPr/>
      </w:pPr>
      <w:r>
        <w:rPr/>
      </w:r>
    </w:p>
    <w:p>
      <w:pPr>
        <w:pStyle w:val="Heading3"/>
        <w:bidi w:val="0"/>
        <w:ind w:hanging="0" w:start="0"/>
        <w:jc w:val="start"/>
        <w:rPr/>
      </w:pPr>
      <w:r>
        <w:rPr/>
        <w:t>5. Swing Points, Support and Resistance</w:t>
      </w:r>
    </w:p>
    <w:p>
      <w:pPr>
        <w:pStyle w:val="Heading4"/>
        <w:bidi w:val="0"/>
        <w:ind w:hanging="0" w:start="0"/>
        <w:jc w:val="start"/>
        <w:rPr/>
      </w:pPr>
      <w:r>
        <w:rPr/>
        <w:t>5.1 Order of Operations</w:t>
      </w:r>
    </w:p>
    <w:p>
      <w:pPr>
        <w:pStyle w:val="BlockQuotation"/>
        <w:bidi w:val="0"/>
        <w:jc w:val="start"/>
        <w:rPr/>
      </w:pPr>
      <w:r>
        <w:rPr/>
        <w:t xml:space="preserve">"The first thing I do when I look at charts is identify </w:t>
      </w:r>
      <w:r>
        <w:rPr>
          <w:b/>
        </w:rPr>
        <w:t>swing high and swing low points</w:t>
      </w:r>
      <w:r>
        <w:rPr/>
        <w:t xml:space="preserve">, then </w:t>
      </w:r>
      <w:r>
        <w:rPr>
          <w:b/>
        </w:rPr>
        <w:t>support and resistance levels</w:t>
      </w:r>
      <w:r>
        <w:rPr/>
        <w:t xml:space="preserve">. And I do this on </w:t>
      </w:r>
      <w:r>
        <w:rPr>
          <w:b/>
        </w:rPr>
        <w:t>all</w:t>
      </w:r>
      <w:r>
        <w:rPr/>
        <w:t xml:space="preserve"> the timeframes, </w:t>
      </w:r>
      <w:r>
        <w:rPr>
          <w:b/>
        </w:rPr>
        <w:t>especially on the weekly and on the daily</w:t>
      </w:r>
      <w:r>
        <w:rPr/>
        <w:t>."</w:t>
      </w:r>
    </w:p>
    <w:p>
      <w:pPr>
        <w:pStyle w:val="BodyText"/>
        <w:bidi w:val="0"/>
        <w:jc w:val="start"/>
        <w:rPr/>
      </w:pPr>
      <w:r>
        <w:rPr>
          <w:b/>
        </w:rPr>
        <w:t>Why:</w:t>
      </w:r>
      <w:r>
        <w:rPr/>
        <w:t xml:space="preserve"> it tells you where price is likely to reverse.</w:t>
      </w:r>
    </w:p>
    <w:p>
      <w:pPr>
        <w:pStyle w:val="BodyText"/>
        <w:numPr>
          <w:ilvl w:val="0"/>
          <w:numId w:val="313"/>
        </w:numPr>
        <w:tabs>
          <w:tab w:val="clear" w:pos="709"/>
          <w:tab w:val="left" w:pos="709" w:leader="none"/>
        </w:tabs>
        <w:bidi w:val="0"/>
        <w:ind w:hanging="283" w:start="709"/>
        <w:jc w:val="start"/>
        <w:rPr/>
      </w:pPr>
      <w:r>
        <w:rPr/>
        <w:t xml:space="preserve">Price falling → at a </w:t>
      </w:r>
      <w:r>
        <w:rPr>
          <w:b/>
        </w:rPr>
        <w:t>support level</w:t>
      </w:r>
      <w:r>
        <w:rPr/>
        <w:t xml:space="preserve"> it is more likely to reverse back </w:t>
      </w:r>
      <w:r>
        <w:rPr>
          <w:b/>
        </w:rPr>
        <w:t>up</w:t>
      </w:r>
      <w:r>
        <w:rPr/>
        <w:t>.</w:t>
      </w:r>
    </w:p>
    <w:p>
      <w:pPr>
        <w:pStyle w:val="BodyText"/>
        <w:numPr>
          <w:ilvl w:val="0"/>
          <w:numId w:val="313"/>
        </w:numPr>
        <w:tabs>
          <w:tab w:val="clear" w:pos="709"/>
          <w:tab w:val="left" w:pos="709" w:leader="none"/>
        </w:tabs>
        <w:bidi w:val="0"/>
        <w:ind w:hanging="283" w:start="709"/>
        <w:jc w:val="start"/>
        <w:rPr/>
      </w:pPr>
      <w:r>
        <w:rPr/>
        <w:t xml:space="preserve">Price rising → at a </w:t>
      </w:r>
      <w:r>
        <w:rPr>
          <w:b/>
        </w:rPr>
        <w:t>resistance level</w:t>
      </w:r>
      <w:r>
        <w:rPr/>
        <w:t xml:space="preserve"> it is more likely to reverse back </w:t>
      </w:r>
      <w:r>
        <w:rPr>
          <w:b/>
        </w:rPr>
        <w:t>down</w:t>
      </w:r>
      <w:r>
        <w:rPr/>
        <w:t>.</w:t>
      </w:r>
    </w:p>
    <w:p>
      <w:pPr>
        <w:pStyle w:val="BodyText"/>
        <w:numPr>
          <w:ilvl w:val="0"/>
          <w:numId w:val="313"/>
        </w:numPr>
        <w:tabs>
          <w:tab w:val="clear" w:pos="709"/>
          <w:tab w:val="left" w:pos="709" w:leader="none"/>
        </w:tabs>
        <w:bidi w:val="0"/>
        <w:ind w:hanging="283" w:start="709"/>
        <w:jc w:val="start"/>
        <w:rPr/>
      </w:pPr>
      <w:r>
        <w:rPr/>
        <w:t xml:space="preserve">Not a guarantee — a </w:t>
      </w:r>
      <w:r>
        <w:rPr>
          <w:b/>
        </w:rPr>
        <w:t>high probability</w:t>
      </w:r>
      <w:r>
        <w:rPr/>
        <w:t>.</w:t>
      </w:r>
    </w:p>
    <w:p>
      <w:pPr>
        <w:pStyle w:val="Heading4"/>
        <w:numPr>
          <w:ilvl w:val="0"/>
          <w:numId w:val="0"/>
        </w:numPr>
        <w:bidi w:val="0"/>
        <w:ind w:hanging="0" w:start="0"/>
        <w:jc w:val="start"/>
        <w:rPr/>
      </w:pPr>
      <w:r>
        <w:rPr/>
        <w:t>5.2 Swing Point Definitions</w:t>
      </w:r>
    </w:p>
    <w:p>
      <w:pPr>
        <w:pStyle w:val="BodyText"/>
        <w:numPr>
          <w:ilvl w:val="0"/>
          <w:numId w:val="314"/>
        </w:numPr>
        <w:tabs>
          <w:tab w:val="clear" w:pos="709"/>
          <w:tab w:val="left" w:pos="709" w:leader="none"/>
        </w:tabs>
        <w:bidi w:val="0"/>
        <w:ind w:hanging="283" w:start="709"/>
        <w:jc w:val="start"/>
        <w:rPr/>
      </w:pPr>
      <w:r>
        <w:rPr>
          <w:b/>
        </w:rPr>
        <w:t>Swing high</w:t>
      </w:r>
      <w:r>
        <w:rPr/>
        <w:t xml:space="preserve"> = price goes </w:t>
      </w:r>
      <w:r>
        <w:rPr>
          <w:b/>
        </w:rPr>
        <w:t>up</w:t>
      </w:r>
      <w:r>
        <w:rPr/>
        <w:t xml:space="preserve">, then reverses </w:t>
      </w:r>
      <w:r>
        <w:rPr>
          <w:b/>
        </w:rPr>
        <w:t>down</w:t>
      </w:r>
      <w:r>
        <w:rPr/>
        <w:t>. The peak is the swing high.</w:t>
      </w:r>
    </w:p>
    <w:p>
      <w:pPr>
        <w:pStyle w:val="BodyText"/>
        <w:numPr>
          <w:ilvl w:val="0"/>
          <w:numId w:val="314"/>
        </w:numPr>
        <w:tabs>
          <w:tab w:val="clear" w:pos="709"/>
          <w:tab w:val="left" w:pos="709" w:leader="none"/>
        </w:tabs>
        <w:bidi w:val="0"/>
        <w:ind w:hanging="283" w:start="709"/>
        <w:jc w:val="start"/>
        <w:rPr/>
      </w:pPr>
      <w:r>
        <w:rPr>
          <w:b/>
        </w:rPr>
        <w:t>Swing low</w:t>
      </w:r>
      <w:r>
        <w:rPr/>
        <w:t xml:space="preserve"> = price goes </w:t>
      </w:r>
      <w:r>
        <w:rPr>
          <w:b/>
        </w:rPr>
        <w:t>down</w:t>
      </w:r>
      <w:r>
        <w:rPr/>
        <w:t xml:space="preserve">, then reverses </w:t>
      </w:r>
      <w:r>
        <w:rPr>
          <w:b/>
        </w:rPr>
        <w:t>up</w:t>
      </w:r>
      <w:r>
        <w:rPr/>
        <w:t>. The trough is the swing low.</w:t>
      </w:r>
    </w:p>
    <w:p>
      <w:pPr>
        <w:pStyle w:val="Heading4"/>
        <w:numPr>
          <w:ilvl w:val="0"/>
          <w:numId w:val="0"/>
        </w:numPr>
        <w:bidi w:val="0"/>
        <w:ind w:hanging="0" w:start="0"/>
        <w:jc w:val="start"/>
        <w:rPr/>
      </w:pPr>
      <w:r>
        <w:rPr/>
        <w:t>5.3 Support Level — Identification Rules</w:t>
      </w:r>
    </w:p>
    <w:p>
      <w:pPr>
        <w:pStyle w:val="BodyText"/>
        <w:numPr>
          <w:ilvl w:val="0"/>
          <w:numId w:val="315"/>
        </w:numPr>
        <w:tabs>
          <w:tab w:val="clear" w:pos="709"/>
          <w:tab w:val="left" w:pos="709" w:leader="none"/>
        </w:tabs>
        <w:bidi w:val="0"/>
        <w:ind w:hanging="283" w:start="709"/>
        <w:jc w:val="start"/>
        <w:rPr/>
      </w:pPr>
      <w:r>
        <w:rPr/>
        <w:t xml:space="preserve">Find a </w:t>
      </w:r>
      <w:r>
        <w:rPr>
          <w:b/>
        </w:rPr>
        <w:t>swing low</w:t>
      </w:r>
      <w:r>
        <w:rPr/>
        <w:t>.</w:t>
      </w:r>
    </w:p>
    <w:p>
      <w:pPr>
        <w:pStyle w:val="BodyText"/>
        <w:numPr>
          <w:ilvl w:val="0"/>
          <w:numId w:val="315"/>
        </w:numPr>
        <w:tabs>
          <w:tab w:val="clear" w:pos="709"/>
          <w:tab w:val="left" w:pos="709" w:leader="none"/>
        </w:tabs>
        <w:bidi w:val="0"/>
        <w:ind w:hanging="283" w:start="709"/>
        <w:jc w:val="start"/>
        <w:rPr/>
      </w:pPr>
      <w:r>
        <w:rPr/>
        <w:t xml:space="preserve">If price comes down again and reverses up at </w:t>
      </w:r>
      <w:r>
        <w:rPr>
          <w:b/>
        </w:rPr>
        <w:t>roughly the same price</w:t>
      </w:r>
      <w:r>
        <w:rPr/>
        <w:t xml:space="preserve">, you now have </w:t>
      </w:r>
      <w:r>
        <w:rPr>
          <w:b/>
        </w:rPr>
        <w:t>two swing lows at a similar level</w:t>
      </w:r>
      <w:r>
        <w:rPr/>
        <w:t>.</w:t>
      </w:r>
    </w:p>
    <w:p>
      <w:pPr>
        <w:pStyle w:val="BodyText"/>
        <w:numPr>
          <w:ilvl w:val="0"/>
          <w:numId w:val="315"/>
        </w:numPr>
        <w:tabs>
          <w:tab w:val="clear" w:pos="709"/>
          <w:tab w:val="left" w:pos="709" w:leader="none"/>
        </w:tabs>
        <w:bidi w:val="0"/>
        <w:ind w:hanging="283" w:start="709"/>
        <w:jc w:val="start"/>
        <w:rPr/>
      </w:pPr>
      <w:r>
        <w:rPr>
          <w:b/>
        </w:rPr>
        <w:t>Two swing lows at roughly the same price → draw a horizontal line across them → this is a POTENTIAL support level.</w:t>
      </w:r>
    </w:p>
    <w:p>
      <w:pPr>
        <w:pStyle w:val="BodyText"/>
        <w:numPr>
          <w:ilvl w:val="0"/>
          <w:numId w:val="315"/>
        </w:numPr>
        <w:tabs>
          <w:tab w:val="clear" w:pos="709"/>
          <w:tab w:val="left" w:pos="709" w:leader="none"/>
        </w:tabs>
        <w:bidi w:val="0"/>
        <w:ind w:hanging="283" w:start="709"/>
        <w:jc w:val="start"/>
        <w:rPr/>
      </w:pPr>
      <w:r>
        <w:rPr/>
        <w:t xml:space="preserve">If price returns to that same level a </w:t>
      </w:r>
      <w:r>
        <w:rPr>
          <w:b/>
        </w:rPr>
        <w:t>third time</w:t>
      </w:r>
      <w:r>
        <w:rPr/>
        <w:t xml:space="preserve"> and reverses up again → it becomes a </w:t>
      </w:r>
      <w:r>
        <w:rPr>
          <w:b/>
        </w:rPr>
        <w:t>CONFIRMED support level</w:t>
      </w:r>
      <w:r>
        <w:rPr/>
        <w:t>.</w:t>
      </w:r>
    </w:p>
    <w:p>
      <w:pPr>
        <w:pStyle w:val="BodyText"/>
        <w:numPr>
          <w:ilvl w:val="0"/>
          <w:numId w:val="315"/>
        </w:numPr>
        <w:tabs>
          <w:tab w:val="clear" w:pos="709"/>
          <w:tab w:val="left" w:pos="709" w:leader="none"/>
        </w:tabs>
        <w:bidi w:val="0"/>
        <w:ind w:hanging="283" w:start="709"/>
        <w:jc w:val="start"/>
        <w:rPr/>
      </w:pPr>
      <w:r>
        <w:rPr/>
        <w:t xml:space="preserve">Levels do </w:t>
      </w:r>
      <w:r>
        <w:rPr>
          <w:b/>
        </w:rPr>
        <w:t>not</w:t>
      </w:r>
      <w:r>
        <w:rPr/>
        <w:t xml:space="preserve"> have to be exact — "roughly the same point, doesn't have to be exact."</w:t>
      </w:r>
    </w:p>
    <w:p>
      <w:pPr>
        <w:pStyle w:val="BodyText"/>
        <w:bidi w:val="0"/>
        <w:jc w:val="start"/>
        <w:rPr/>
      </w:pPr>
      <w:r>
        <w:rPr>
          <w:b/>
        </w:rPr>
        <w:t>Definition:</w:t>
      </w:r>
      <w:r>
        <w:rPr/>
        <w:t xml:space="preserve"> A support level is a price where every time the stock drops to it, it reverses back up.</w:t>
      </w:r>
    </w:p>
    <w:p>
      <w:pPr>
        <w:pStyle w:val="BodyText"/>
        <w:bidi w:val="0"/>
        <w:jc w:val="start"/>
        <w:rPr/>
      </w:pPr>
      <w:r>
        <w:rPr>
          <w:b/>
        </w:rPr>
        <w:t>Why it works (mechanism):</w:t>
      </w:r>
      <w:r>
        <w:rPr/>
        <w:t xml:space="preserve"> At that price there are </w:t>
      </w:r>
      <w:r>
        <w:rPr>
          <w:b/>
        </w:rPr>
        <w:t>a lot of buyers queued waiting to buy</w:t>
      </w:r>
      <w:r>
        <w:rPr/>
        <w:t xml:space="preserve"> — a </w:t>
      </w:r>
      <w:r>
        <w:rPr>
          <w:b/>
        </w:rPr>
        <w:t>demand zone</w:t>
      </w:r>
      <w:r>
        <w:rPr/>
        <w:t xml:space="preserve">. When price hits it, buy orders flood in, </w:t>
      </w:r>
      <w:r>
        <w:rPr>
          <w:b/>
        </w:rPr>
        <w:t>demand exceeds supply</w:t>
      </w:r>
      <w:r>
        <w:rPr/>
        <w:t>, price reverses up.</w:t>
      </w:r>
    </w:p>
    <w:p>
      <w:pPr>
        <w:pStyle w:val="Heading4"/>
        <w:bidi w:val="0"/>
        <w:ind w:hanging="0" w:start="0"/>
        <w:jc w:val="start"/>
        <w:rPr/>
      </w:pPr>
      <w:r>
        <w:rPr/>
        <w:t>5.4 Resistance Level — Identification Rules</w:t>
      </w:r>
    </w:p>
    <w:p>
      <w:pPr>
        <w:pStyle w:val="BodyText"/>
        <w:numPr>
          <w:ilvl w:val="0"/>
          <w:numId w:val="316"/>
        </w:numPr>
        <w:tabs>
          <w:tab w:val="clear" w:pos="709"/>
          <w:tab w:val="left" w:pos="709" w:leader="none"/>
        </w:tabs>
        <w:bidi w:val="0"/>
        <w:ind w:hanging="283" w:start="709"/>
        <w:jc w:val="start"/>
        <w:rPr/>
      </w:pPr>
      <w:r>
        <w:rPr/>
        <w:t xml:space="preserve">Find a </w:t>
      </w:r>
      <w:r>
        <w:rPr>
          <w:b/>
        </w:rPr>
        <w:t>swing high</w:t>
      </w:r>
      <w:r>
        <w:rPr/>
        <w:t>.</w:t>
      </w:r>
    </w:p>
    <w:p>
      <w:pPr>
        <w:pStyle w:val="BodyText"/>
        <w:numPr>
          <w:ilvl w:val="0"/>
          <w:numId w:val="316"/>
        </w:numPr>
        <w:tabs>
          <w:tab w:val="clear" w:pos="709"/>
          <w:tab w:val="left" w:pos="709" w:leader="none"/>
        </w:tabs>
        <w:bidi w:val="0"/>
        <w:ind w:hanging="283" w:start="709"/>
        <w:jc w:val="start"/>
        <w:rPr/>
      </w:pPr>
      <w:r>
        <w:rPr/>
        <w:t xml:space="preserve">Price rallies again and reverses down at </w:t>
      </w:r>
      <w:r>
        <w:rPr>
          <w:b/>
        </w:rPr>
        <w:t>a very similar swing-high level</w:t>
      </w:r>
      <w:r>
        <w:rPr/>
        <w:t>.</w:t>
      </w:r>
    </w:p>
    <w:p>
      <w:pPr>
        <w:pStyle w:val="BodyText"/>
        <w:numPr>
          <w:ilvl w:val="0"/>
          <w:numId w:val="316"/>
        </w:numPr>
        <w:tabs>
          <w:tab w:val="clear" w:pos="709"/>
          <w:tab w:val="left" w:pos="709" w:leader="none"/>
        </w:tabs>
        <w:bidi w:val="0"/>
        <w:ind w:hanging="283" w:start="709"/>
        <w:jc w:val="start"/>
        <w:rPr/>
      </w:pPr>
      <w:r>
        <w:rPr>
          <w:b/>
        </w:rPr>
        <w:t>Two or more swing highs coinciding at a similar level → draw a horizontal line → resistance level.</w:t>
      </w:r>
    </w:p>
    <w:p>
      <w:pPr>
        <w:pStyle w:val="BodyText"/>
        <w:numPr>
          <w:ilvl w:val="0"/>
          <w:numId w:val="316"/>
        </w:numPr>
        <w:tabs>
          <w:tab w:val="clear" w:pos="709"/>
          <w:tab w:val="left" w:pos="709" w:leader="none"/>
        </w:tabs>
        <w:bidi w:val="0"/>
        <w:ind w:hanging="283" w:start="709"/>
        <w:jc w:val="start"/>
        <w:rPr/>
      </w:pPr>
      <w:r>
        <w:rPr/>
        <w:t xml:space="preserve">Subsequently, when price returns to that level it has a </w:t>
      </w:r>
      <w:r>
        <w:rPr>
          <w:b/>
        </w:rPr>
        <w:t>higher likelihood of reversing back down</w:t>
      </w:r>
      <w:r>
        <w:rPr/>
        <w:t>.</w:t>
      </w:r>
    </w:p>
    <w:p>
      <w:pPr>
        <w:pStyle w:val="BodyText"/>
        <w:bidi w:val="0"/>
        <w:jc w:val="start"/>
        <w:rPr/>
      </w:pPr>
      <w:r>
        <w:rPr>
          <w:b/>
        </w:rPr>
        <w:t>Why it works (mechanism):</w:t>
      </w:r>
      <w:r>
        <w:rPr/>
        <w:t xml:space="preserve"> At that level there are </w:t>
      </w:r>
      <w:r>
        <w:rPr>
          <w:b/>
        </w:rPr>
        <w:t>many sellers queuing to sell</w:t>
      </w:r>
      <w:r>
        <w:rPr/>
        <w:t xml:space="preserve">. When price reaches it, sellers rush in, </w:t>
      </w:r>
      <w:r>
        <w:rPr>
          <w:b/>
        </w:rPr>
        <w:t>supply exceeds demand</w:t>
      </w:r>
      <w:r>
        <w:rPr/>
        <w:t>, price reverses down.</w:t>
      </w:r>
    </w:p>
    <w:p>
      <w:pPr>
        <w:pStyle w:val="Heading4"/>
        <w:bidi w:val="0"/>
        <w:ind w:hanging="0" w:start="0"/>
        <w:jc w:val="start"/>
        <w:rPr/>
      </w:pPr>
      <w:r>
        <w:rPr/>
        <w:t>5.5 THE POLARITY RULE (Adam: "Very important concept. Please write this down.")</w:t>
      </w:r>
    </w:p>
    <w:p>
      <w:pPr>
        <w:pStyle w:val="BlockQuotation"/>
        <w:bidi w:val="0"/>
        <w:jc w:val="start"/>
        <w:rPr/>
      </w:pPr>
      <w:r>
        <w:rPr>
          <w:b/>
        </w:rPr>
        <w:t>When a resistance level is broken, that previous resistance becomes a SUPPORT level.</w:t>
      </w:r>
      <w:r>
        <w:rPr/>
        <w:t> </w:t>
      </w:r>
      <w:r>
        <w:rPr>
          <w:b/>
        </w:rPr>
        <w:t>When a support level is broken, that previous support becomes a RESISTANCE level.</w:t>
      </w:r>
    </w:p>
    <w:p>
      <w:pPr>
        <w:pStyle w:val="BodyText"/>
        <w:numPr>
          <w:ilvl w:val="0"/>
          <w:numId w:val="317"/>
        </w:numPr>
        <w:tabs>
          <w:tab w:val="clear" w:pos="709"/>
          <w:tab w:val="left" w:pos="709" w:leader="none"/>
        </w:tabs>
        <w:bidi w:val="0"/>
        <w:ind w:hanging="283" w:start="709"/>
        <w:jc w:val="start"/>
        <w:rPr/>
      </w:pPr>
      <w:r>
        <w:rPr/>
        <w:t xml:space="preserve">Practical consequence: </w:t>
      </w:r>
      <w:r>
        <w:rPr>
          <w:b/>
        </w:rPr>
        <w:t>previous swing highs and previous resistance levels are your future support levels — the places where you add shares.</w:t>
      </w:r>
    </w:p>
    <w:p>
      <w:pPr>
        <w:pStyle w:val="BodyText"/>
        <w:numPr>
          <w:ilvl w:val="0"/>
          <w:numId w:val="317"/>
        </w:numPr>
        <w:tabs>
          <w:tab w:val="clear" w:pos="709"/>
          <w:tab w:val="left" w:pos="709" w:leader="none"/>
        </w:tabs>
        <w:bidi w:val="0"/>
        <w:ind w:hanging="283" w:start="709"/>
        <w:jc w:val="start"/>
        <w:rPr/>
      </w:pPr>
      <w:r>
        <w:rPr/>
        <w:t>Adam: "That is why it's important to look at previously where were the resistance levels, where were the swing highs."</w:t>
      </w:r>
    </w:p>
    <w:p>
      <w:pPr>
        <w:pStyle w:val="BodyText"/>
        <w:numPr>
          <w:ilvl w:val="0"/>
          <w:numId w:val="317"/>
        </w:numPr>
        <w:tabs>
          <w:tab w:val="clear" w:pos="709"/>
          <w:tab w:val="left" w:pos="709" w:leader="none"/>
        </w:tabs>
        <w:bidi w:val="0"/>
        <w:ind w:hanging="283" w:start="709"/>
        <w:jc w:val="start"/>
        <w:rPr/>
      </w:pPr>
      <w:r>
        <w:rPr/>
        <w:t xml:space="preserve">If it's a good company with good fundamentals and it's undervalued, it will </w:t>
      </w:r>
      <w:r>
        <w:rPr>
          <w:b/>
        </w:rPr>
        <w:t>eventually break out</w:t>
      </w:r>
      <w:r>
        <w:rPr/>
        <w:t xml:space="preserve"> of a resistance — and then that level flips to support on the way back down.</w:t>
      </w:r>
    </w:p>
    <w:p>
      <w:pPr>
        <w:pStyle w:val="Heading4"/>
        <w:numPr>
          <w:ilvl w:val="0"/>
          <w:numId w:val="0"/>
        </w:numPr>
        <w:bidi w:val="0"/>
        <w:ind w:hanging="0" w:start="0"/>
        <w:jc w:val="start"/>
        <w:rPr/>
      </w:pPr>
      <w:r>
        <w:rPr/>
        <w:t>5.6 Support/Resistance Is a ZONE, Not a Line</w:t>
      </w:r>
    </w:p>
    <w:p>
      <w:pPr>
        <w:pStyle w:val="BodyText"/>
        <w:numPr>
          <w:ilvl w:val="0"/>
          <w:numId w:val="318"/>
        </w:numPr>
        <w:tabs>
          <w:tab w:val="clear" w:pos="709"/>
          <w:tab w:val="left" w:pos="709" w:leader="none"/>
        </w:tabs>
        <w:bidi w:val="0"/>
        <w:ind w:hanging="283" w:start="709"/>
        <w:jc w:val="start"/>
        <w:rPr/>
      </w:pPr>
      <w:r>
        <w:rPr/>
        <w:t xml:space="preserve">Although you draw a line, </w:t>
      </w:r>
      <w:r>
        <w:rPr>
          <w:b/>
        </w:rPr>
        <w:t>think of it as a zone with a buffer</w:t>
      </w:r>
      <w:r>
        <w:rPr/>
        <w:t>.</w:t>
      </w:r>
    </w:p>
    <w:p>
      <w:pPr>
        <w:pStyle w:val="BodyText"/>
        <w:numPr>
          <w:ilvl w:val="0"/>
          <w:numId w:val="318"/>
        </w:numPr>
        <w:tabs>
          <w:tab w:val="clear" w:pos="709"/>
          <w:tab w:val="left" w:pos="709" w:leader="none"/>
        </w:tabs>
        <w:bidi w:val="0"/>
        <w:spacing w:before="0" w:after="0"/>
        <w:ind w:hanging="283" w:start="709"/>
        <w:jc w:val="start"/>
        <w:rPr/>
      </w:pPr>
      <w:r>
        <w:rPr/>
        <w:t>Price may:</w:t>
      </w:r>
    </w:p>
    <w:p>
      <w:pPr>
        <w:pStyle w:val="BodyText"/>
        <w:numPr>
          <w:ilvl w:val="1"/>
          <w:numId w:val="318"/>
        </w:numPr>
        <w:tabs>
          <w:tab w:val="clear" w:pos="709"/>
          <w:tab w:val="left" w:pos="1418" w:leader="none"/>
        </w:tabs>
        <w:bidi w:val="0"/>
        <w:ind w:hanging="283" w:start="1418"/>
        <w:jc w:val="start"/>
        <w:rPr/>
      </w:pPr>
      <w:r>
        <w:rPr/>
        <w:t xml:space="preserve">Overshoot slightly </w:t>
      </w:r>
      <w:r>
        <w:rPr>
          <w:b/>
        </w:rPr>
        <w:t>below</w:t>
      </w:r>
      <w:r>
        <w:rPr/>
        <w:t xml:space="preserve"> the support line and then reverse up ("like hitting a fence and the fence moves a bit").</w:t>
      </w:r>
    </w:p>
    <w:p>
      <w:pPr>
        <w:pStyle w:val="BodyText"/>
        <w:numPr>
          <w:ilvl w:val="1"/>
          <w:numId w:val="318"/>
        </w:numPr>
        <w:tabs>
          <w:tab w:val="clear" w:pos="709"/>
          <w:tab w:val="left" w:pos="1418" w:leader="none"/>
        </w:tabs>
        <w:bidi w:val="0"/>
        <w:ind w:hanging="283" w:start="1418"/>
        <w:jc w:val="start"/>
        <w:rPr/>
      </w:pPr>
      <w:r>
        <w:rPr>
          <w:b/>
        </w:rPr>
        <w:t>Fall short</w:t>
      </w:r>
      <w:r>
        <w:rPr/>
        <w:t xml:space="preserve"> of the line — buyers anticipate the touch, buy early, and price reverses before reaching the line.</w:t>
      </w:r>
    </w:p>
    <w:p>
      <w:pPr>
        <w:pStyle w:val="BodyText"/>
        <w:numPr>
          <w:ilvl w:val="0"/>
          <w:numId w:val="318"/>
        </w:numPr>
        <w:tabs>
          <w:tab w:val="clear" w:pos="709"/>
          <w:tab w:val="left" w:pos="709" w:leader="none"/>
        </w:tabs>
        <w:bidi w:val="0"/>
        <w:ind w:hanging="283" w:start="709"/>
        <w:jc w:val="start"/>
        <w:rPr/>
      </w:pPr>
      <w:r>
        <w:rPr/>
        <w:t xml:space="preserve">Give the level </w:t>
      </w:r>
      <w:r>
        <w:rPr>
          <w:b/>
        </w:rPr>
        <w:t>a bit of a buffer</w:t>
      </w:r>
      <w:r>
        <w:rPr/>
        <w:t>.</w:t>
      </w:r>
    </w:p>
    <w:p>
      <w:pPr>
        <w:pStyle w:val="Heading4"/>
        <w:numPr>
          <w:ilvl w:val="0"/>
          <w:numId w:val="0"/>
        </w:numPr>
        <w:bidi w:val="0"/>
        <w:ind w:hanging="0" w:start="0"/>
        <w:jc w:val="start"/>
        <w:rPr/>
      </w:pPr>
      <w:r>
        <w:rPr/>
        <w:t>5.7 Line-of-Best-Fit Rule (where exactly to draw the line)</w:t>
      </w:r>
    </w:p>
    <w:p>
      <w:pPr>
        <w:pStyle w:val="BodyText"/>
        <w:numPr>
          <w:ilvl w:val="0"/>
          <w:numId w:val="319"/>
        </w:numPr>
        <w:tabs>
          <w:tab w:val="clear" w:pos="709"/>
          <w:tab w:val="left" w:pos="709" w:leader="none"/>
        </w:tabs>
        <w:bidi w:val="0"/>
        <w:ind w:hanging="283" w:start="709"/>
        <w:jc w:val="start"/>
        <w:rPr/>
      </w:pPr>
      <w:r>
        <w:rPr/>
        <w:t xml:space="preserve">Place the line at the </w:t>
      </w:r>
      <w:r>
        <w:rPr>
          <w:b/>
        </w:rPr>
        <w:t>point of best fit</w:t>
      </w:r>
      <w:r>
        <w:rPr/>
        <w:t>.</w:t>
      </w:r>
    </w:p>
    <w:p>
      <w:pPr>
        <w:pStyle w:val="BodyText"/>
        <w:numPr>
          <w:ilvl w:val="0"/>
          <w:numId w:val="319"/>
        </w:numPr>
        <w:tabs>
          <w:tab w:val="clear" w:pos="709"/>
          <w:tab w:val="left" w:pos="709" w:leader="none"/>
        </w:tabs>
        <w:bidi w:val="0"/>
        <w:ind w:hanging="283" w:start="709"/>
        <w:jc w:val="start"/>
        <w:rPr/>
      </w:pPr>
      <w:r>
        <w:rPr/>
        <w:t xml:space="preserve">Best fit = </w:t>
      </w:r>
      <w:r>
        <w:rPr>
          <w:b/>
        </w:rPr>
        <w:t>the line that touches as MANY swing lows (or swing highs) as possible</w:t>
      </w:r>
      <w:r>
        <w:rPr/>
        <w:t>.</w:t>
      </w:r>
    </w:p>
    <w:p>
      <w:pPr>
        <w:pStyle w:val="BodyText"/>
        <w:numPr>
          <w:ilvl w:val="0"/>
          <w:numId w:val="319"/>
        </w:numPr>
        <w:tabs>
          <w:tab w:val="clear" w:pos="709"/>
          <w:tab w:val="left" w:pos="709" w:leader="none"/>
        </w:tabs>
        <w:bidi w:val="0"/>
        <w:ind w:hanging="283" w:start="709"/>
        <w:jc w:val="start"/>
        <w:rPr/>
      </w:pPr>
      <w:r>
        <w:rPr/>
        <w:t xml:space="preserve">A line touching only one swing low is </w:t>
      </w:r>
      <w:r>
        <w:rPr>
          <w:b/>
        </w:rPr>
        <w:t>not significant</w:t>
      </w:r>
      <w:r>
        <w:rPr/>
        <w:t>.</w:t>
      </w:r>
    </w:p>
    <w:p>
      <w:pPr>
        <w:pStyle w:val="BodyText"/>
        <w:numPr>
          <w:ilvl w:val="0"/>
          <w:numId w:val="319"/>
        </w:numPr>
        <w:tabs>
          <w:tab w:val="clear" w:pos="709"/>
          <w:tab w:val="left" w:pos="709" w:leader="none"/>
        </w:tabs>
        <w:bidi w:val="0"/>
        <w:ind w:hanging="283" w:start="709"/>
        <w:jc w:val="start"/>
        <w:rPr/>
      </w:pPr>
      <w:r>
        <w:rPr>
          <w:b/>
        </w:rPr>
        <w:t>The more swing lows it touches, the more significant the level.</w:t>
      </w:r>
      <w:r>
        <w:rPr/>
        <w:t xml:space="preserve"> (Adam's demonstration line touched </w:t>
      </w:r>
      <w:r>
        <w:rPr>
          <w:b/>
        </w:rPr>
        <w:t>five</w:t>
      </w:r>
      <w:r>
        <w:rPr/>
        <w:t xml:space="preserve"> swing lows.)</w:t>
      </w:r>
    </w:p>
    <w:p>
      <w:pPr>
        <w:pStyle w:val="Heading4"/>
        <w:numPr>
          <w:ilvl w:val="0"/>
          <w:numId w:val="0"/>
        </w:numPr>
        <w:bidi w:val="0"/>
        <w:ind w:hanging="0" w:start="0"/>
        <w:jc w:val="start"/>
        <w:rPr/>
      </w:pPr>
      <w:r>
        <w:rPr/>
        <w:t>5.8 Timeframe Applicability</w:t>
      </w:r>
    </w:p>
    <w:p>
      <w:pPr>
        <w:pStyle w:val="BodyText"/>
        <w:numPr>
          <w:ilvl w:val="0"/>
          <w:numId w:val="320"/>
        </w:numPr>
        <w:tabs>
          <w:tab w:val="clear" w:pos="709"/>
          <w:tab w:val="left" w:pos="709" w:leader="none"/>
        </w:tabs>
        <w:bidi w:val="0"/>
        <w:ind w:hanging="283" w:start="709"/>
        <w:jc w:val="start"/>
        <w:rPr/>
      </w:pPr>
      <w:r>
        <w:rPr/>
        <w:t xml:space="preserve">Support and resistance levels appear on </w:t>
      </w:r>
      <w:r>
        <w:rPr>
          <w:b/>
        </w:rPr>
        <w:t>different timeframes at different places</w:t>
      </w:r>
      <w:r>
        <w:rPr/>
        <w:t xml:space="preserve"> — draw them on </w:t>
      </w:r>
      <w:r>
        <w:rPr>
          <w:b/>
        </w:rPr>
        <w:t>both daily and weekly</w:t>
      </w:r>
      <w:r>
        <w:rPr/>
        <w:t>.</w:t>
      </w:r>
    </w:p>
    <w:p>
      <w:pPr>
        <w:pStyle w:val="BodyText"/>
        <w:numPr>
          <w:ilvl w:val="0"/>
          <w:numId w:val="320"/>
        </w:numPr>
        <w:tabs>
          <w:tab w:val="clear" w:pos="709"/>
          <w:tab w:val="left" w:pos="709" w:leader="none"/>
        </w:tabs>
        <w:bidi w:val="0"/>
        <w:ind w:hanging="283" w:start="709"/>
        <w:jc w:val="start"/>
        <w:rPr/>
      </w:pPr>
      <w:r>
        <w:rPr>
          <w:b/>
        </w:rPr>
        <w:t>Weekly is usually clearer</w:t>
      </w:r>
      <w:r>
        <w:rPr/>
        <w:t xml:space="preserve"> than daily.</w:t>
      </w:r>
    </w:p>
    <w:p>
      <w:pPr>
        <w:pStyle w:val="BodyText"/>
        <w:numPr>
          <w:ilvl w:val="0"/>
          <w:numId w:val="320"/>
        </w:numPr>
        <w:tabs>
          <w:tab w:val="clear" w:pos="709"/>
          <w:tab w:val="left" w:pos="709" w:leader="none"/>
        </w:tabs>
        <w:bidi w:val="0"/>
        <w:ind w:hanging="283" w:start="709"/>
        <w:jc w:val="start"/>
        <w:rPr/>
      </w:pPr>
      <w:r>
        <w:rPr>
          <w:b/>
        </w:rPr>
        <w:t>Monthly:</w:t>
      </w:r>
      <w:r>
        <w:rPr/>
        <w:t xml:space="preserve"> occasionally you will find them, but </w:t>
      </w:r>
      <w:r>
        <w:rPr>
          <w:b/>
        </w:rPr>
        <w:t>usually not</w:t>
      </w:r>
      <w:r>
        <w:rPr/>
        <w:t xml:space="preserve"> — on monthly the price is normally in a very clear uptrend. S/R normally occurs at the </w:t>
      </w:r>
      <w:r>
        <w:rPr>
          <w:b/>
        </w:rPr>
        <w:t>shorter timeframes (weekly and daily)</w:t>
      </w:r>
      <w:r>
        <w:rPr/>
        <w:t>.</w:t>
      </w:r>
    </w:p>
    <w:p>
      <w:pPr>
        <w:pStyle w:val="BodyText"/>
        <w:numPr>
          <w:ilvl w:val="0"/>
          <w:numId w:val="320"/>
        </w:numPr>
        <w:tabs>
          <w:tab w:val="clear" w:pos="709"/>
          <w:tab w:val="left" w:pos="709" w:leader="none"/>
        </w:tabs>
        <w:bidi w:val="0"/>
        <w:ind w:hanging="283" w:start="709"/>
        <w:jc w:val="start"/>
        <w:rPr/>
      </w:pPr>
      <w:r>
        <w:rPr/>
        <w:t xml:space="preserve">Note also: </w:t>
      </w:r>
      <w:r>
        <w:rPr>
          <w:b/>
        </w:rPr>
        <w:t>when a stock is in a very strong trending phase you won't see many support levels</w:t>
      </w:r>
      <w:r>
        <w:rPr/>
        <w:t xml:space="preserve"> — S/R levels form mostly when price moves into </w:t>
      </w:r>
      <w:r>
        <w:rPr>
          <w:b/>
        </w:rPr>
        <w:t>consolidation</w:t>
      </w:r>
      <w:r>
        <w:rPr/>
        <w:t>.</w:t>
      </w:r>
    </w:p>
    <w:p>
      <w:pPr>
        <w:pStyle w:val="BodyText"/>
        <w:numPr>
          <w:ilvl w:val="0"/>
          <w:numId w:val="320"/>
        </w:numPr>
        <w:tabs>
          <w:tab w:val="clear" w:pos="709"/>
          <w:tab w:val="left" w:pos="709" w:leader="none"/>
        </w:tabs>
        <w:bidi w:val="0"/>
        <w:ind w:hanging="283" w:start="709"/>
        <w:jc w:val="start"/>
        <w:rPr/>
      </w:pPr>
      <w:r>
        <w:rPr>
          <w:b/>
        </w:rPr>
        <w:t>The market has a long-term memory</w:t>
      </w:r>
      <w:r>
        <w:rPr/>
        <w:t xml:space="preserve"> — a support level can be respected again </w:t>
      </w:r>
      <w:r>
        <w:rPr>
          <w:b/>
        </w:rPr>
        <w:t>many months later</w:t>
      </w:r>
      <w:r>
        <w:rPr/>
        <w:t>.</w:t>
      </w:r>
    </w:p>
    <w:p>
      <w:pPr>
        <w:pStyle w:val="Heading4"/>
        <w:numPr>
          <w:ilvl w:val="0"/>
          <w:numId w:val="0"/>
        </w:numPr>
        <w:bidi w:val="0"/>
        <w:ind w:hanging="0" w:start="0"/>
        <w:jc w:val="start"/>
        <w:rPr/>
      </w:pPr>
      <w:r>
        <w:rPr/>
        <w:t>5.9 Worked Support/Resistance Examples</w:t>
      </w:r>
    </w:p>
    <w:p>
      <w:pPr>
        <w:pStyle w:val="BodyText"/>
        <w:bidi w:val="0"/>
        <w:jc w:val="start"/>
        <w:rPr/>
      </w:pPr>
      <w:r>
        <w:rPr>
          <w:b/>
        </w:rPr>
        <w:t>Google (GOOG/GOOGL)</w:t>
      </w:r>
    </w:p>
    <w:p>
      <w:pPr>
        <w:pStyle w:val="BodyText"/>
        <w:numPr>
          <w:ilvl w:val="0"/>
          <w:numId w:val="321"/>
        </w:numPr>
        <w:tabs>
          <w:tab w:val="clear" w:pos="709"/>
          <w:tab w:val="left" w:pos="709" w:leader="none"/>
        </w:tabs>
        <w:bidi w:val="0"/>
        <w:ind w:hanging="283" w:start="709"/>
        <w:jc w:val="start"/>
        <w:rPr/>
      </w:pPr>
      <w:r>
        <w:rPr/>
        <w:t xml:space="preserve">Support at </w:t>
      </w:r>
      <w:r>
        <w:rPr>
          <w:b/>
        </w:rPr>
        <w:t>$49.90 / ~$50</w:t>
      </w:r>
      <w:r>
        <w:rPr/>
        <w:t xml:space="preserve"> — three-plus swing lows; price repeatedly bounced there.</w:t>
      </w:r>
    </w:p>
    <w:p>
      <w:pPr>
        <w:pStyle w:val="BodyText"/>
        <w:numPr>
          <w:ilvl w:val="0"/>
          <w:numId w:val="321"/>
        </w:numPr>
        <w:tabs>
          <w:tab w:val="clear" w:pos="709"/>
          <w:tab w:val="left" w:pos="709" w:leader="none"/>
        </w:tabs>
        <w:bidi w:val="0"/>
        <w:ind w:hanging="283" w:start="709"/>
        <w:jc w:val="start"/>
        <w:rPr/>
      </w:pPr>
      <w:r>
        <w:rPr>
          <w:b/>
        </w:rPr>
        <w:t>Polarity:</w:t>
      </w:r>
      <w:r>
        <w:rPr/>
        <w:t xml:space="preserve"> </w:t>
      </w:r>
      <w:r>
        <w:rPr>
          <w:i/>
        </w:rPr>
        <w:t>before</w:t>
      </w:r>
      <w:r>
        <w:rPr/>
        <w:t xml:space="preserve"> becoming support, </w:t>
      </w:r>
      <w:r>
        <w:rPr>
          <w:b/>
        </w:rPr>
        <w:t>$49.90 was RESISTANCE</w:t>
      </w:r>
      <w:r>
        <w:rPr/>
        <w:t xml:space="preserve"> — price hit $49.90 and reversed down, hit $49.90 again and reversed down, was rejected a third time, then </w:t>
      </w:r>
      <w:r>
        <w:rPr>
          <w:b/>
        </w:rPr>
        <w:t>broke out</w:t>
      </w:r>
      <w:r>
        <w:rPr/>
        <w:t xml:space="preserve">. After breakout, $49.90 became </w:t>
      </w:r>
      <w:r>
        <w:rPr>
          <w:b/>
        </w:rPr>
        <w:t>support</w:t>
      </w:r>
      <w:r>
        <w:rPr/>
        <w:t>.</w:t>
      </w:r>
    </w:p>
    <w:p>
      <w:pPr>
        <w:pStyle w:val="BodyText"/>
        <w:numPr>
          <w:ilvl w:val="0"/>
          <w:numId w:val="321"/>
        </w:numPr>
        <w:tabs>
          <w:tab w:val="clear" w:pos="709"/>
          <w:tab w:val="left" w:pos="709" w:leader="none"/>
        </w:tabs>
        <w:bidi w:val="0"/>
        <w:ind w:hanging="283" w:start="709"/>
        <w:jc w:val="start"/>
        <w:rPr/>
      </w:pPr>
      <w:r>
        <w:rPr/>
        <w:t>Multiple additional support levels drawn on the same chart.</w:t>
      </w:r>
    </w:p>
    <w:p>
      <w:pPr>
        <w:pStyle w:val="BodyText"/>
        <w:bidi w:val="0"/>
        <w:jc w:val="start"/>
        <w:rPr/>
      </w:pPr>
      <w:r>
        <w:rPr>
          <w:b/>
        </w:rPr>
        <w:t>McDonald's (MCD)</w:t>
      </w:r>
    </w:p>
    <w:p>
      <w:pPr>
        <w:pStyle w:val="BodyText"/>
        <w:numPr>
          <w:ilvl w:val="0"/>
          <w:numId w:val="322"/>
        </w:numPr>
        <w:tabs>
          <w:tab w:val="clear" w:pos="709"/>
          <w:tab w:val="left" w:pos="709" w:leader="none"/>
        </w:tabs>
        <w:bidi w:val="0"/>
        <w:ind w:hanging="283" w:start="709"/>
        <w:jc w:val="start"/>
        <w:rPr/>
      </w:pPr>
      <w:r>
        <w:rPr/>
        <w:t xml:space="preserve">Support at </w:t>
      </w:r>
      <w:r>
        <w:rPr>
          <w:b/>
        </w:rPr>
        <w:t>~$230</w:t>
      </w:r>
      <w:r>
        <w:rPr/>
        <w:t xml:space="preserve"> — price dropped to $230, reversed up; came back to a similar level, reversed up; came back again, reversed up. Many buyers waiting at 230 = demand zone.</w:t>
      </w:r>
    </w:p>
    <w:p>
      <w:pPr>
        <w:pStyle w:val="BodyText"/>
        <w:numPr>
          <w:ilvl w:val="0"/>
          <w:numId w:val="322"/>
        </w:numPr>
        <w:tabs>
          <w:tab w:val="clear" w:pos="709"/>
          <w:tab w:val="left" w:pos="709" w:leader="none"/>
        </w:tabs>
        <w:bidi w:val="0"/>
        <w:ind w:hanging="283" w:start="709"/>
        <w:jc w:val="start"/>
        <w:rPr/>
      </w:pPr>
      <w:r>
        <w:rPr/>
        <w:t>A second, lower support level also identified (swing low, rally, return to the same point, reversal up).</w:t>
      </w:r>
    </w:p>
    <w:p>
      <w:pPr>
        <w:pStyle w:val="BodyText"/>
        <w:bidi w:val="0"/>
        <w:jc w:val="start"/>
        <w:rPr/>
      </w:pPr>
      <w:r>
        <w:rPr>
          <w:b/>
        </w:rPr>
        <w:t>Thermo Fisher (TMO)</w:t>
      </w:r>
      <w:r>
        <w:rPr/>
        <w:t xml:space="preserve"> — weekly and daily</w:t>
      </w:r>
    </w:p>
    <w:p>
      <w:pPr>
        <w:pStyle w:val="BodyText"/>
        <w:numPr>
          <w:ilvl w:val="0"/>
          <w:numId w:val="323"/>
        </w:numPr>
        <w:tabs>
          <w:tab w:val="clear" w:pos="709"/>
          <w:tab w:val="left" w:pos="709" w:leader="none"/>
        </w:tabs>
        <w:bidi w:val="0"/>
        <w:ind w:hanging="283" w:start="709"/>
        <w:jc w:val="start"/>
        <w:rPr/>
      </w:pPr>
      <w:r>
        <w:rPr/>
        <w:t xml:space="preserve">Support at </w:t>
      </w:r>
      <w:r>
        <w:rPr>
          <w:b/>
        </w:rPr>
        <w:t>~$520</w:t>
      </w:r>
      <w:r>
        <w:rPr/>
        <w:t xml:space="preserve"> — repeated reversals; demonstrates the </w:t>
      </w:r>
      <w:r>
        <w:rPr>
          <w:b/>
        </w:rPr>
        <w:t>zone</w:t>
      </w:r>
      <w:r>
        <w:rPr/>
        <w:t xml:space="preserve"> concept (price sometimes goes slightly below $520 before reversing, sometimes reverses just above it).</w:t>
      </w:r>
    </w:p>
    <w:p>
      <w:pPr>
        <w:pStyle w:val="BodyText"/>
        <w:numPr>
          <w:ilvl w:val="0"/>
          <w:numId w:val="323"/>
        </w:numPr>
        <w:tabs>
          <w:tab w:val="clear" w:pos="709"/>
          <w:tab w:val="left" w:pos="709" w:leader="none"/>
        </w:tabs>
        <w:bidi w:val="0"/>
        <w:ind w:hanging="283" w:start="709"/>
        <w:jc w:val="start"/>
        <w:rPr/>
      </w:pPr>
      <w:r>
        <w:rPr/>
        <w:t xml:space="preserve">Support at </w:t>
      </w:r>
      <w:r>
        <w:rPr>
          <w:b/>
        </w:rPr>
        <w:t>~$439</w:t>
      </w:r>
      <w:r>
        <w:rPr/>
        <w:t xml:space="preserve"> — repeated reversals; and </w:t>
      </w:r>
      <w:r>
        <w:rPr>
          <w:b/>
        </w:rPr>
        <w:t>many months later</w:t>
      </w:r>
      <w:r>
        <w:rPr/>
        <w:t xml:space="preserve"> the market "remembered" $439 and reversed there again.</w:t>
      </w:r>
    </w:p>
    <w:p>
      <w:pPr>
        <w:pStyle w:val="BodyText"/>
        <w:numPr>
          <w:ilvl w:val="0"/>
          <w:numId w:val="323"/>
        </w:numPr>
        <w:tabs>
          <w:tab w:val="clear" w:pos="709"/>
          <w:tab w:val="left" w:pos="709" w:leader="none"/>
        </w:tabs>
        <w:bidi w:val="0"/>
        <w:spacing w:before="0" w:after="0"/>
        <w:ind w:hanging="283" w:start="709"/>
        <w:jc w:val="start"/>
        <w:rPr/>
      </w:pPr>
      <w:r>
        <w:rPr/>
        <w:t xml:space="preserve">Resistance at </w:t>
      </w:r>
      <w:r>
        <w:rPr>
          <w:b/>
        </w:rPr>
        <w:t>~$604</w:t>
      </w:r>
      <w:r>
        <w:rPr/>
        <w:t xml:space="preserve"> — four-plus swing highs rejected; price has been below $604 for </w:t>
      </w:r>
      <w:r>
        <w:rPr>
          <w:b/>
        </w:rPr>
        <w:t>one, two, three years</w:t>
      </w:r>
      <w:r>
        <w:rPr/>
        <w:t>.</w:t>
      </w:r>
    </w:p>
    <w:p>
      <w:pPr>
        <w:pStyle w:val="BodyText"/>
        <w:numPr>
          <w:ilvl w:val="1"/>
          <w:numId w:val="323"/>
        </w:numPr>
        <w:tabs>
          <w:tab w:val="clear" w:pos="709"/>
          <w:tab w:val="left" w:pos="1418" w:leader="none"/>
        </w:tabs>
        <w:bidi w:val="0"/>
        <w:ind w:hanging="283" w:start="1418"/>
        <w:jc w:val="start"/>
        <w:rPr/>
      </w:pPr>
      <w:r>
        <w:rPr/>
        <w:t xml:space="preserve">Adam's forward view: Thermo Fisher is a great company, will earn more over time and increase in value, so </w:t>
      </w:r>
      <w:r>
        <w:rPr>
          <w:b/>
        </w:rPr>
        <w:t>eventually it will break $604 — exactly when, unknown</w:t>
      </w:r>
      <w:r>
        <w:rPr/>
        <w:t xml:space="preserve"> — and once broken, </w:t>
      </w:r>
      <w:r>
        <w:rPr>
          <w:b/>
        </w:rPr>
        <w:t>that very strong resistance becomes future support</w:t>
      </w:r>
      <w:r>
        <w:rPr/>
        <w:t>.</w:t>
      </w:r>
    </w:p>
    <w:p>
      <w:pPr>
        <w:pStyle w:val="BodyText"/>
        <w:numPr>
          <w:ilvl w:val="0"/>
          <w:numId w:val="323"/>
        </w:numPr>
        <w:tabs>
          <w:tab w:val="clear" w:pos="709"/>
          <w:tab w:val="left" w:pos="709" w:leader="none"/>
        </w:tabs>
        <w:bidi w:val="0"/>
        <w:ind w:hanging="283" w:start="709"/>
        <w:jc w:val="start"/>
        <w:rPr/>
      </w:pPr>
      <w:r>
        <w:rPr/>
        <w:t xml:space="preserve">Also noted: the </w:t>
      </w:r>
      <w:r>
        <w:rPr>
          <w:b/>
        </w:rPr>
        <w:t>$520 level was itself a previous resistance</w:t>
      </w:r>
      <w:r>
        <w:rPr/>
        <w:t xml:space="preserve"> before becoming support.</w:t>
      </w:r>
    </w:p>
    <w:p>
      <w:pPr>
        <w:pStyle w:val="BodyText"/>
        <w:bidi w:val="0"/>
        <w:jc w:val="start"/>
        <w:rPr/>
      </w:pPr>
      <w:r>
        <w:rPr>
          <w:b/>
        </w:rPr>
        <w:t>IWM (Russell 2000 / small-cap ETF)</w:t>
      </w:r>
    </w:p>
    <w:p>
      <w:pPr>
        <w:pStyle w:val="BodyText"/>
        <w:numPr>
          <w:ilvl w:val="0"/>
          <w:numId w:val="324"/>
        </w:numPr>
        <w:tabs>
          <w:tab w:val="clear" w:pos="709"/>
          <w:tab w:val="left" w:pos="709" w:leader="none"/>
        </w:tabs>
        <w:bidi w:val="0"/>
        <w:ind w:hanging="283" w:start="709"/>
        <w:jc w:val="start"/>
        <w:rPr/>
      </w:pPr>
      <w:r>
        <w:rPr/>
        <w:t xml:space="preserve">Support at </w:t>
      </w:r>
      <w:r>
        <w:rPr>
          <w:b/>
        </w:rPr>
        <w:t>$162.70 / $162.72</w:t>
      </w:r>
      <w:r>
        <w:rPr/>
        <w:t xml:space="preserve"> — swing low, then repeated bounces "right on the dot".</w:t>
      </w:r>
    </w:p>
    <w:p>
      <w:pPr>
        <w:pStyle w:val="BodyText"/>
        <w:numPr>
          <w:ilvl w:val="0"/>
          <w:numId w:val="324"/>
        </w:numPr>
        <w:tabs>
          <w:tab w:val="clear" w:pos="709"/>
          <w:tab w:val="left" w:pos="709" w:leader="none"/>
        </w:tabs>
        <w:bidi w:val="0"/>
        <w:ind w:hanging="283" w:start="709"/>
        <w:jc w:val="start"/>
        <w:rPr/>
      </w:pPr>
      <w:r>
        <w:rPr/>
        <w:t xml:space="preserve">Resistance at </w:t>
      </w:r>
      <w:r>
        <w:rPr>
          <w:b/>
        </w:rPr>
        <w:t>$198</w:t>
      </w:r>
      <w:r>
        <w:rPr/>
        <w:t xml:space="preserve"> — three swing highs rejected at $198.</w:t>
      </w:r>
    </w:p>
    <w:p>
      <w:pPr>
        <w:pStyle w:val="BodyText"/>
        <w:numPr>
          <w:ilvl w:val="0"/>
          <w:numId w:val="324"/>
        </w:numPr>
        <w:tabs>
          <w:tab w:val="clear" w:pos="709"/>
          <w:tab w:val="left" w:pos="709" w:leader="none"/>
        </w:tabs>
        <w:bidi w:val="0"/>
        <w:ind w:hanging="283" w:start="709"/>
        <w:jc w:val="start"/>
        <w:rPr/>
      </w:pPr>
      <w:r>
        <w:rPr/>
        <w:t xml:space="preserve">Then $198 was </w:t>
      </w:r>
      <w:r>
        <w:rPr>
          <w:b/>
        </w:rPr>
        <w:t>broken</w:t>
      </w:r>
      <w:r>
        <w:rPr/>
        <w:t xml:space="preserve">, and on the pullback </w:t>
      </w:r>
      <w:r>
        <w:rPr>
          <w:b/>
        </w:rPr>
        <w:t>$198 acted as support</w:t>
      </w:r>
      <w:r>
        <w:rPr/>
        <w:t xml:space="preserve"> — repeated bounces, and the stock began to trend up.</w:t>
      </w:r>
    </w:p>
    <w:p>
      <w:pPr>
        <w:pStyle w:val="BodyText"/>
        <w:numPr>
          <w:ilvl w:val="0"/>
          <w:numId w:val="324"/>
        </w:numPr>
        <w:tabs>
          <w:tab w:val="clear" w:pos="709"/>
          <w:tab w:val="left" w:pos="709" w:leader="none"/>
        </w:tabs>
        <w:bidi w:val="0"/>
        <w:ind w:hanging="283" w:start="709"/>
        <w:jc w:val="start"/>
        <w:rPr/>
      </w:pPr>
      <w:r>
        <w:rPr/>
        <w:t xml:space="preserve">Zooming from weekly to </w:t>
      </w:r>
      <w:r>
        <w:rPr>
          <w:b/>
        </w:rPr>
        <w:t>daily</w:t>
      </w:r>
      <w:r>
        <w:rPr/>
        <w:t xml:space="preserve"> made the support level "a lot clearer".</w:t>
      </w:r>
    </w:p>
    <w:p>
      <w:pPr>
        <w:pStyle w:val="BodyText"/>
        <w:numPr>
          <w:ilvl w:val="0"/>
          <w:numId w:val="324"/>
        </w:numPr>
        <w:tabs>
          <w:tab w:val="clear" w:pos="709"/>
          <w:tab w:val="left" w:pos="709" w:leader="none"/>
        </w:tabs>
        <w:bidi w:val="0"/>
        <w:ind w:hanging="283" w:start="709"/>
        <w:jc w:val="start"/>
        <w:rPr/>
      </w:pPr>
      <w:r>
        <w:rPr/>
        <w:t xml:space="preserve">Line-of-best-fit demonstration on this chart: a line touching </w:t>
      </w:r>
      <w:r>
        <w:rPr>
          <w:b/>
        </w:rPr>
        <w:t>five swing lows</w:t>
      </w:r>
      <w:r>
        <w:rPr/>
        <w:t>; price later reversed again at ~</w:t>
      </w:r>
      <w:r>
        <w:rPr>
          <w:b/>
        </w:rPr>
        <w:t>210</w:t>
      </w:r>
      <w:r>
        <w:rPr/>
        <w:t xml:space="preserve"> </w:t>
      </w:r>
      <w:r>
        <w:rPr>
          <w:i/>
        </w:rPr>
        <w:t>(figure as spoken in the ASR transcript)</w:t>
      </w:r>
      <w:r>
        <w:rPr/>
        <w:t>.</w:t>
      </w:r>
    </w:p>
    <w:p>
      <w:pPr>
        <w:pStyle w:val="BodyText"/>
        <w:bidi w:val="0"/>
        <w:jc w:val="start"/>
        <w:rPr/>
      </w:pPr>
      <w:r>
        <w:rPr>
          <w:b/>
        </w:rPr>
        <w:t>Mercado Libre (MELI) — daily</w:t>
      </w:r>
    </w:p>
    <w:p>
      <w:pPr>
        <w:pStyle w:val="BodyText"/>
        <w:numPr>
          <w:ilvl w:val="0"/>
          <w:numId w:val="325"/>
        </w:numPr>
        <w:tabs>
          <w:tab w:val="clear" w:pos="709"/>
          <w:tab w:val="left" w:pos="709" w:leader="none"/>
        </w:tabs>
        <w:bidi w:val="0"/>
        <w:ind w:hanging="283" w:start="709"/>
        <w:jc w:val="start"/>
        <w:rPr/>
      </w:pPr>
      <w:r>
        <w:rPr/>
        <w:t xml:space="preserve">Resistance at </w:t>
      </w:r>
      <w:r>
        <w:rPr>
          <w:b/>
        </w:rPr>
        <w:t>~$288 / $280</w:t>
      </w:r>
      <w:r>
        <w:rPr/>
        <w:t xml:space="preserve"> formed by two coinciding swing highs → broke out → came back down → </w:t>
      </w:r>
      <w:r>
        <w:rPr>
          <w:b/>
        </w:rPr>
        <w:t>that same line became support</w:t>
      </w:r>
      <w:r>
        <w:rPr/>
        <w:t>, bounced there repeatedly.</w:t>
      </w:r>
    </w:p>
    <w:p>
      <w:pPr>
        <w:pStyle w:val="BodyText"/>
        <w:numPr>
          <w:ilvl w:val="0"/>
          <w:numId w:val="325"/>
        </w:numPr>
        <w:tabs>
          <w:tab w:val="clear" w:pos="709"/>
          <w:tab w:val="left" w:pos="709" w:leader="none"/>
        </w:tabs>
        <w:bidi w:val="0"/>
        <w:ind w:hanging="283" w:start="709"/>
        <w:jc w:val="start"/>
        <w:rPr/>
      </w:pPr>
      <w:r>
        <w:rPr/>
        <w:t xml:space="preserve">Another support identified from a matching pair of swing lows → </w:t>
      </w:r>
      <w:r>
        <w:rPr>
          <w:b/>
        </w:rPr>
        <w:t>when broken it became resistance</w:t>
      </w:r>
      <w:r>
        <w:rPr/>
        <w:t>.</w:t>
      </w:r>
    </w:p>
    <w:p>
      <w:pPr>
        <w:pStyle w:val="BodyText"/>
        <w:numPr>
          <w:ilvl w:val="0"/>
          <w:numId w:val="325"/>
        </w:numPr>
        <w:tabs>
          <w:tab w:val="clear" w:pos="709"/>
          <w:tab w:val="left" w:pos="709" w:leader="none"/>
        </w:tabs>
        <w:bidi w:val="0"/>
        <w:ind w:hanging="283" w:start="709"/>
        <w:jc w:val="start"/>
        <w:rPr/>
      </w:pPr>
      <w:r>
        <w:rPr/>
        <w:t>Adam summarises on this chart: "Support when broken becomes resistance. Resistance when broken becomes support. The same phenomenon."</w:t>
      </w:r>
    </w:p>
    <w:p>
      <w:pPr>
        <w:pStyle w:val="BodyText"/>
        <w:bidi w:val="0"/>
        <w:jc w:val="start"/>
        <w:rPr/>
      </w:pPr>
      <w:r>
        <w:rPr>
          <w:b/>
        </w:rPr>
        <w:t>Mercado Libre (MELI) — weekly</w:t>
      </w:r>
    </w:p>
    <w:p>
      <w:pPr>
        <w:pStyle w:val="BodyText"/>
        <w:numPr>
          <w:ilvl w:val="0"/>
          <w:numId w:val="326"/>
        </w:numPr>
        <w:tabs>
          <w:tab w:val="clear" w:pos="709"/>
          <w:tab w:val="left" w:pos="709" w:leader="none"/>
        </w:tabs>
        <w:bidi w:val="0"/>
        <w:ind w:hanging="283" w:start="709"/>
        <w:jc w:val="start"/>
        <w:rPr/>
      </w:pPr>
      <w:r>
        <w:rPr/>
        <w:t xml:space="preserve">Resistance at </w:t>
      </w:r>
      <w:r>
        <w:rPr>
          <w:b/>
        </w:rPr>
        <w:t>~$290</w:t>
      </w:r>
      <w:r>
        <w:rPr/>
        <w:t xml:space="preserve"> — three swing highs rejected; price "not able to break out of it yet."</w:t>
      </w:r>
    </w:p>
    <w:p>
      <w:pPr>
        <w:pStyle w:val="BodyText"/>
        <w:numPr>
          <w:ilvl w:val="0"/>
          <w:numId w:val="326"/>
        </w:numPr>
        <w:tabs>
          <w:tab w:val="clear" w:pos="709"/>
          <w:tab w:val="left" w:pos="709" w:leader="none"/>
        </w:tabs>
        <w:bidi w:val="0"/>
        <w:ind w:hanging="283" w:start="709"/>
        <w:jc w:val="start"/>
        <w:rPr/>
      </w:pPr>
      <w:r>
        <w:rPr/>
        <w:t>Forward view: good company, good fundamentals, undervalued → eventually breaks out → then that resistance becomes support and price bounces off it repeatedly on the way up.</w:t>
      </w:r>
    </w:p>
    <w:p>
      <w:pPr>
        <w:pStyle w:val="BodyText"/>
        <w:bidi w:val="0"/>
        <w:jc w:val="start"/>
        <w:rPr/>
      </w:pPr>
      <w:r>
        <w:rPr>
          <w:b/>
        </w:rPr>
        <w:t>Walmart (WMT) — weekly</w:t>
      </w:r>
    </w:p>
    <w:p>
      <w:pPr>
        <w:pStyle w:val="BodyText"/>
        <w:numPr>
          <w:ilvl w:val="0"/>
          <w:numId w:val="327"/>
        </w:numPr>
        <w:tabs>
          <w:tab w:val="clear" w:pos="709"/>
          <w:tab w:val="left" w:pos="709" w:leader="none"/>
        </w:tabs>
        <w:bidi w:val="0"/>
        <w:ind w:hanging="283" w:start="709"/>
        <w:jc w:val="start"/>
        <w:rPr/>
      </w:pPr>
      <w:r>
        <w:rPr/>
        <w:t xml:space="preserve">Two swing highs at the same level = </w:t>
      </w:r>
      <w:r>
        <w:rPr>
          <w:b/>
        </w:rPr>
        <w:t>resistance</w:t>
      </w:r>
      <w:r>
        <w:rPr/>
        <w:t xml:space="preserve">; once broken, the level became </w:t>
      </w:r>
      <w:r>
        <w:rPr>
          <w:b/>
        </w:rPr>
        <w:t>support</w:t>
      </w:r>
      <w:r>
        <w:rPr/>
        <w:t xml:space="preserve"> and price bounced off it repeatedly before running higher.</w:t>
      </w:r>
    </w:p>
    <w:p>
      <w:pPr>
        <w:pStyle w:val="BodyText"/>
        <w:numPr>
          <w:ilvl w:val="0"/>
          <w:numId w:val="327"/>
        </w:numPr>
        <w:tabs>
          <w:tab w:val="clear" w:pos="709"/>
          <w:tab w:val="left" w:pos="709" w:leader="none"/>
        </w:tabs>
        <w:bidi w:val="0"/>
        <w:ind w:hanging="283" w:start="709"/>
        <w:jc w:val="start"/>
        <w:rPr/>
      </w:pPr>
      <w:r>
        <w:rPr/>
        <w:t>A second support level from matching swing lows also identified.</w:t>
      </w:r>
    </w:p>
    <w:p>
      <w:pPr>
        <w:pStyle w:val="Heading4"/>
        <w:numPr>
          <w:ilvl w:val="0"/>
          <w:numId w:val="0"/>
        </w:numPr>
        <w:bidi w:val="0"/>
        <w:ind w:hanging="0" w:start="0"/>
        <w:jc w:val="start"/>
        <w:rPr/>
      </w:pPr>
      <w:r>
        <w:rPr/>
        <w:t>5.10 The Investing Purpose of S/R</w:t>
      </w:r>
    </w:p>
    <w:p>
      <w:pPr>
        <w:pStyle w:val="BlockQuotation"/>
        <w:bidi w:val="0"/>
        <w:jc w:val="start"/>
        <w:rPr/>
      </w:pPr>
      <w:r>
        <w:rPr/>
        <w:t xml:space="preserve">"Before we buy a stock — ideally it's a great company, it is undervalued, </w:t>
      </w:r>
      <w:r>
        <w:rPr>
          <w:b/>
        </w:rPr>
        <w:t>and it has dropped to a support level</w:t>
      </w:r>
      <w:r>
        <w:rPr/>
        <w:t xml:space="preserve"> — we get in right at the support so that we have a high probability of catching the reversal back up."</w:t>
      </w:r>
    </w:p>
    <w:p>
      <w:pPr>
        <w:pStyle w:val="BodyText"/>
        <w:numPr>
          <w:ilvl w:val="0"/>
          <w:numId w:val="328"/>
        </w:numPr>
        <w:tabs>
          <w:tab w:val="clear" w:pos="709"/>
          <w:tab w:val="left" w:pos="709" w:leader="none"/>
        </w:tabs>
        <w:bidi w:val="0"/>
        <w:ind w:hanging="283" w:start="709"/>
        <w:jc w:val="start"/>
        <w:rPr/>
      </w:pPr>
      <w:r>
        <w:rPr/>
        <w:t xml:space="preserve">Adam: "For me, when I buy shares, </w:t>
      </w:r>
      <w:r>
        <w:rPr>
          <w:b/>
        </w:rPr>
        <w:t>I always buy them at support levels</w:t>
      </w:r>
      <w:r>
        <w:rPr/>
        <w:t>."</w:t>
      </w:r>
    </w:p>
    <w:p>
      <w:pPr>
        <w:pStyle w:val="BodyText"/>
        <w:numPr>
          <w:ilvl w:val="0"/>
          <w:numId w:val="328"/>
        </w:numPr>
        <w:tabs>
          <w:tab w:val="clear" w:pos="709"/>
          <w:tab w:val="left" w:pos="709" w:leader="none"/>
        </w:tabs>
        <w:bidi w:val="0"/>
        <w:ind w:hanging="283" w:start="709"/>
        <w:jc w:val="start"/>
        <w:rPr/>
      </w:pPr>
      <w:r>
        <w:rPr/>
        <w:t xml:space="preserve">Corollary: if price is </w:t>
      </w:r>
      <w:r>
        <w:rPr>
          <w:b/>
        </w:rPr>
        <w:t>mid-fall between levels</w:t>
      </w:r>
      <w:r>
        <w:rPr/>
        <w:t xml:space="preserve">, he'd </w:t>
      </w:r>
      <w:r>
        <w:rPr>
          <w:b/>
        </w:rPr>
        <w:t>rather not buy there</w:t>
      </w:r>
      <w:r>
        <w:rPr/>
        <w:t>, knowing there's a high chance it drops to the support first.</w:t>
      </w:r>
    </w:p>
    <w:p>
      <w:pPr>
        <w:pStyle w:val="HorizontalLine"/>
        <w:bidi w:val="0"/>
        <w:jc w:val="start"/>
        <w:rPr/>
      </w:pPr>
      <w:r>
        <w:rPr/>
      </w:r>
    </w:p>
    <w:p>
      <w:pPr>
        <w:pStyle w:val="Heading3"/>
        <w:bidi w:val="0"/>
        <w:ind w:hanging="0" w:start="0"/>
        <w:jc w:val="start"/>
        <w:rPr/>
      </w:pPr>
      <w:r>
        <w:rPr/>
        <w:t>6. Moving Averages</w:t>
      </w:r>
    </w:p>
    <w:p>
      <w:pPr>
        <w:pStyle w:val="Heading4"/>
        <w:bidi w:val="0"/>
        <w:ind w:hanging="0" w:start="0"/>
        <w:jc w:val="start"/>
        <w:rPr/>
      </w:pPr>
      <w:r>
        <w:rPr/>
        <w:t>6.1 What They Are and Why</w:t>
      </w:r>
    </w:p>
    <w:p>
      <w:pPr>
        <w:pStyle w:val="BodyText"/>
        <w:numPr>
          <w:ilvl w:val="0"/>
          <w:numId w:val="329"/>
        </w:numPr>
        <w:tabs>
          <w:tab w:val="clear" w:pos="709"/>
          <w:tab w:val="left" w:pos="709" w:leader="none"/>
        </w:tabs>
        <w:bidi w:val="0"/>
        <w:ind w:hanging="283" w:start="709"/>
        <w:jc w:val="start"/>
        <w:rPr/>
      </w:pPr>
      <w:r>
        <w:rPr/>
        <w:t xml:space="preserve">A </w:t>
      </w:r>
      <w:r>
        <w:rPr>
          <w:b/>
        </w:rPr>
        <w:t>moving average is a mathematical calculation that averages the price of a stock over a certain period of time</w:t>
      </w:r>
      <w:r>
        <w:rPr/>
        <w:t>; the charting software plots it.</w:t>
      </w:r>
    </w:p>
    <w:p>
      <w:pPr>
        <w:pStyle w:val="BodyText"/>
        <w:numPr>
          <w:ilvl w:val="0"/>
          <w:numId w:val="329"/>
        </w:numPr>
        <w:tabs>
          <w:tab w:val="clear" w:pos="709"/>
          <w:tab w:val="left" w:pos="709" w:leader="none"/>
        </w:tabs>
        <w:bidi w:val="0"/>
        <w:spacing w:before="0" w:after="0"/>
        <w:ind w:hanging="283" w:start="709"/>
        <w:jc w:val="start"/>
        <w:rPr/>
      </w:pPr>
      <w:r>
        <w:rPr>
          <w:b/>
        </w:rPr>
        <w:t>Key function: moving averages act as DYNAMIC support levels.</w:t>
      </w:r>
    </w:p>
    <w:p>
      <w:pPr>
        <w:pStyle w:val="BodyText"/>
        <w:numPr>
          <w:ilvl w:val="1"/>
          <w:numId w:val="329"/>
        </w:numPr>
        <w:tabs>
          <w:tab w:val="clear" w:pos="709"/>
          <w:tab w:val="left" w:pos="1418" w:leader="none"/>
        </w:tabs>
        <w:bidi w:val="0"/>
        <w:ind w:hanging="283" w:start="1418"/>
        <w:jc w:val="start"/>
        <w:rPr/>
      </w:pPr>
      <w:r>
        <w:rPr/>
        <w:t>"Stocks have a tendency to wave down towards their moving averages and use the moving average as a support where they bounce off."</w:t>
      </w:r>
    </w:p>
    <w:p>
      <w:pPr>
        <w:pStyle w:val="BodyText"/>
        <w:numPr>
          <w:ilvl w:val="1"/>
          <w:numId w:val="329"/>
        </w:numPr>
        <w:tabs>
          <w:tab w:val="clear" w:pos="709"/>
          <w:tab w:val="left" w:pos="1418" w:leader="none"/>
        </w:tabs>
        <w:bidi w:val="0"/>
        <w:ind w:hanging="283" w:start="1418"/>
        <w:jc w:val="start"/>
        <w:rPr/>
      </w:pPr>
      <w:r>
        <w:rPr/>
        <w:t xml:space="preserve">Worked illustration: </w:t>
      </w:r>
      <w:r>
        <w:rPr>
          <w:b/>
        </w:rPr>
        <w:t>Meta</w:t>
      </w:r>
      <w:r>
        <w:rPr/>
        <w:t xml:space="preserve"> — price waves down, hits the blue 50 MA, bounces; repeated six-plus times.</w:t>
      </w:r>
    </w:p>
    <w:p>
      <w:pPr>
        <w:pStyle w:val="BodyText"/>
        <w:numPr>
          <w:ilvl w:val="0"/>
          <w:numId w:val="329"/>
        </w:numPr>
        <w:tabs>
          <w:tab w:val="clear" w:pos="709"/>
          <w:tab w:val="left" w:pos="709" w:leader="none"/>
        </w:tabs>
        <w:bidi w:val="0"/>
        <w:ind w:hanging="283" w:start="709"/>
        <w:jc w:val="start"/>
        <w:rPr/>
      </w:pPr>
      <w:r>
        <w:rPr>
          <w:b/>
        </w:rPr>
        <w:t>Moving averages are areas where Adam likes to buy</w:t>
      </w:r>
      <w:r>
        <w:rPr/>
        <w:t xml:space="preserve"> — because that's where price tends to bounce and reverse back up after dropping.</w:t>
      </w:r>
    </w:p>
    <w:p>
      <w:pPr>
        <w:pStyle w:val="BodyText"/>
        <w:numPr>
          <w:ilvl w:val="0"/>
          <w:numId w:val="329"/>
        </w:numPr>
        <w:tabs>
          <w:tab w:val="clear" w:pos="709"/>
          <w:tab w:val="left" w:pos="709" w:leader="none"/>
        </w:tabs>
        <w:bidi w:val="0"/>
        <w:ind w:hanging="283" w:start="709"/>
        <w:jc w:val="start"/>
        <w:rPr/>
      </w:pPr>
      <w:r>
        <w:rPr/>
        <w:t xml:space="preserve">Not every stock bounces off the 50 — some bounce off the 100, some the 150. Hence a </w:t>
      </w:r>
      <w:r>
        <w:rPr>
          <w:b/>
        </w:rPr>
        <w:t>set</w:t>
      </w:r>
      <w:r>
        <w:rPr/>
        <w:t xml:space="preserve"> of MAs.</w:t>
      </w:r>
    </w:p>
    <w:p>
      <w:pPr>
        <w:pStyle w:val="Heading4"/>
        <w:numPr>
          <w:ilvl w:val="0"/>
          <w:numId w:val="0"/>
        </w:numPr>
        <w:bidi w:val="0"/>
        <w:ind w:hanging="0" w:start="0"/>
        <w:jc w:val="start"/>
        <w:rPr/>
      </w:pPr>
      <w:r>
        <w:rPr/>
        <w:t>6.2 Adam's EXACT Moving-Average Set (6 total)</w:t>
      </w:r>
    </w:p>
    <w:p>
      <w:pPr>
        <w:pStyle w:val="BodyText"/>
        <w:bidi w:val="0"/>
        <w:jc w:val="start"/>
        <w:rPr/>
      </w:pPr>
      <w:r>
        <w:rPr>
          <w:b/>
        </w:rPr>
        <w:t>Simple Moving Averages (SMA) — 4 of them</w:t>
      </w:r>
    </w:p>
    <w:tbl>
      <w:tblPr>
        <w:tblW w:w="5000" w:type="pct"/>
        <w:jc w:val="start"/>
        <w:tblInd w:w="-5" w:type="dxa"/>
        <w:tblLayout w:type="fixed"/>
        <w:tblCellMar>
          <w:top w:w="55" w:type="dxa"/>
          <w:start w:w="55" w:type="dxa"/>
          <w:bottom w:w="55" w:type="dxa"/>
          <w:end w:w="55" w:type="dxa"/>
        </w:tblCellMar>
      </w:tblPr>
      <w:tblGrid>
        <w:gridCol w:w="3212"/>
        <w:gridCol w:w="3213"/>
        <w:gridCol w:w="3213"/>
      </w:tblGrid>
      <w:tr>
        <w:trPr>
          <w:tblHeader w:val="true"/>
        </w:trPr>
        <w:tc>
          <w:tcPr>
            <w:tcW w:w="3212" w:type="dxa"/>
            <w:tcBorders>
              <w:top w:val="single" w:sz="4" w:space="0" w:color="000000"/>
              <w:start w:val="single" w:sz="4" w:space="0" w:color="000000"/>
              <w:bottom w:val="single" w:sz="4" w:space="0" w:color="000000"/>
            </w:tcBorders>
          </w:tcPr>
          <w:p>
            <w:pPr>
              <w:pStyle w:val="TableHeading"/>
              <w:bidi w:val="0"/>
              <w:jc w:val="start"/>
              <w:rPr/>
            </w:pPr>
            <w:r>
              <w:rPr/>
              <w:t>Period</w:t>
            </w:r>
          </w:p>
        </w:tc>
        <w:tc>
          <w:tcPr>
            <w:tcW w:w="3213" w:type="dxa"/>
            <w:tcBorders>
              <w:top w:val="single" w:sz="4" w:space="0" w:color="000000"/>
              <w:start w:val="single" w:sz="4" w:space="0" w:color="000000"/>
              <w:bottom w:val="single" w:sz="4" w:space="0" w:color="000000"/>
            </w:tcBorders>
          </w:tcPr>
          <w:p>
            <w:pPr>
              <w:pStyle w:val="TableHeading"/>
              <w:bidi w:val="0"/>
              <w:jc w:val="start"/>
              <w:rPr/>
            </w:pPr>
            <w:r>
              <w:rPr/>
              <w:t>Colour</w:t>
            </w:r>
          </w:p>
        </w:tc>
        <w:tc>
          <w:tcPr>
            <w:tcW w:w="3213"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Line weight</w:t>
            </w:r>
          </w:p>
        </w:tc>
      </w:tr>
      <w:tr>
        <w:trPr/>
        <w:tc>
          <w:tcPr>
            <w:tcW w:w="3212" w:type="dxa"/>
            <w:tcBorders>
              <w:start w:val="single" w:sz="4" w:space="0" w:color="000000"/>
              <w:bottom w:val="single" w:sz="4" w:space="0" w:color="000000"/>
            </w:tcBorders>
          </w:tcPr>
          <w:p>
            <w:pPr>
              <w:pStyle w:val="TableContents"/>
              <w:bidi w:val="0"/>
              <w:jc w:val="start"/>
              <w:rPr/>
            </w:pPr>
            <w:r>
              <w:rPr>
                <w:b/>
              </w:rPr>
              <w:t>50 SMA</w:t>
            </w:r>
          </w:p>
        </w:tc>
        <w:tc>
          <w:tcPr>
            <w:tcW w:w="3213" w:type="dxa"/>
            <w:tcBorders>
              <w:start w:val="single" w:sz="4" w:space="0" w:color="000000"/>
              <w:bottom w:val="single" w:sz="4" w:space="0" w:color="000000"/>
            </w:tcBorders>
          </w:tcPr>
          <w:p>
            <w:pPr>
              <w:pStyle w:val="TableContents"/>
              <w:bidi w:val="0"/>
              <w:jc w:val="start"/>
              <w:rPr/>
            </w:pPr>
            <w:r>
              <w:rPr>
                <w:b/>
              </w:rPr>
              <w:t>Blue</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Thick (2nd thickness)</w:t>
            </w:r>
          </w:p>
        </w:tc>
      </w:tr>
      <w:tr>
        <w:trPr/>
        <w:tc>
          <w:tcPr>
            <w:tcW w:w="3212" w:type="dxa"/>
            <w:tcBorders>
              <w:start w:val="single" w:sz="4" w:space="0" w:color="000000"/>
              <w:bottom w:val="single" w:sz="4" w:space="0" w:color="000000"/>
            </w:tcBorders>
          </w:tcPr>
          <w:p>
            <w:pPr>
              <w:pStyle w:val="TableContents"/>
              <w:bidi w:val="0"/>
              <w:jc w:val="start"/>
              <w:rPr/>
            </w:pPr>
            <w:r>
              <w:rPr>
                <w:b/>
              </w:rPr>
              <w:t>100 SMA</w:t>
            </w:r>
          </w:p>
        </w:tc>
        <w:tc>
          <w:tcPr>
            <w:tcW w:w="3213" w:type="dxa"/>
            <w:tcBorders>
              <w:start w:val="single" w:sz="4" w:space="0" w:color="000000"/>
              <w:bottom w:val="single" w:sz="4" w:space="0" w:color="000000"/>
            </w:tcBorders>
          </w:tcPr>
          <w:p>
            <w:pPr>
              <w:pStyle w:val="TableContents"/>
              <w:bidi w:val="0"/>
              <w:jc w:val="start"/>
              <w:rPr/>
            </w:pPr>
            <w:r>
              <w:rPr>
                <w:b/>
              </w:rPr>
              <w:t>Orange</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Thick</w:t>
            </w:r>
          </w:p>
        </w:tc>
      </w:tr>
      <w:tr>
        <w:trPr/>
        <w:tc>
          <w:tcPr>
            <w:tcW w:w="3212" w:type="dxa"/>
            <w:tcBorders>
              <w:start w:val="single" w:sz="4" w:space="0" w:color="000000"/>
              <w:bottom w:val="single" w:sz="4" w:space="0" w:color="000000"/>
            </w:tcBorders>
          </w:tcPr>
          <w:p>
            <w:pPr>
              <w:pStyle w:val="TableContents"/>
              <w:bidi w:val="0"/>
              <w:jc w:val="start"/>
              <w:rPr/>
            </w:pPr>
            <w:r>
              <w:rPr>
                <w:b/>
              </w:rPr>
              <w:t>150 SMA</w:t>
            </w:r>
          </w:p>
        </w:tc>
        <w:tc>
          <w:tcPr>
            <w:tcW w:w="3213" w:type="dxa"/>
            <w:tcBorders>
              <w:start w:val="single" w:sz="4" w:space="0" w:color="000000"/>
              <w:bottom w:val="single" w:sz="4" w:space="0" w:color="000000"/>
            </w:tcBorders>
          </w:tcPr>
          <w:p>
            <w:pPr>
              <w:pStyle w:val="TableContents"/>
              <w:bidi w:val="0"/>
              <w:jc w:val="start"/>
              <w:rPr/>
            </w:pPr>
            <w:r>
              <w:rPr>
                <w:b/>
              </w:rPr>
              <w:t>Green</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Thick</w:t>
            </w:r>
          </w:p>
        </w:tc>
      </w:tr>
      <w:tr>
        <w:trPr/>
        <w:tc>
          <w:tcPr>
            <w:tcW w:w="3212" w:type="dxa"/>
            <w:tcBorders>
              <w:start w:val="single" w:sz="4" w:space="0" w:color="000000"/>
              <w:bottom w:val="single" w:sz="4" w:space="0" w:color="000000"/>
            </w:tcBorders>
          </w:tcPr>
          <w:p>
            <w:pPr>
              <w:pStyle w:val="TableContents"/>
              <w:bidi w:val="0"/>
              <w:jc w:val="start"/>
              <w:rPr/>
            </w:pPr>
            <w:r>
              <w:rPr>
                <w:b/>
              </w:rPr>
              <w:t>200 SMA</w:t>
            </w:r>
          </w:p>
        </w:tc>
        <w:tc>
          <w:tcPr>
            <w:tcW w:w="3213" w:type="dxa"/>
            <w:tcBorders>
              <w:start w:val="single" w:sz="4" w:space="0" w:color="000000"/>
              <w:bottom w:val="single" w:sz="4" w:space="0" w:color="000000"/>
            </w:tcBorders>
          </w:tcPr>
          <w:p>
            <w:pPr>
              <w:pStyle w:val="TableContents"/>
              <w:bidi w:val="0"/>
              <w:jc w:val="start"/>
              <w:rPr/>
            </w:pPr>
            <w:r>
              <w:rPr>
                <w:b/>
              </w:rPr>
              <w:t>Red</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Thick</w:t>
            </w:r>
          </w:p>
        </w:tc>
      </w:tr>
    </w:tbl>
    <w:p>
      <w:pPr>
        <w:pStyle w:val="BodyText"/>
        <w:bidi w:val="0"/>
        <w:jc w:val="start"/>
        <w:rPr/>
      </w:pPr>
      <w:r>
        <w:rPr/>
      </w:r>
    </w:p>
    <w:p>
      <w:pPr>
        <w:pStyle w:val="BodyText"/>
        <w:bidi w:val="0"/>
        <w:jc w:val="start"/>
        <w:rPr/>
      </w:pPr>
      <w:r>
        <w:rPr>
          <w:b/>
        </w:rPr>
        <w:t>Exponential Moving Averages (EMA) — 2 of them</w:t>
      </w:r>
    </w:p>
    <w:tbl>
      <w:tblPr>
        <w:tblW w:w="5000" w:type="pct"/>
        <w:jc w:val="start"/>
        <w:tblInd w:w="-5" w:type="dxa"/>
        <w:tblLayout w:type="fixed"/>
        <w:tblCellMar>
          <w:top w:w="55" w:type="dxa"/>
          <w:start w:w="55" w:type="dxa"/>
          <w:bottom w:w="55" w:type="dxa"/>
          <w:end w:w="55" w:type="dxa"/>
        </w:tblCellMar>
      </w:tblPr>
      <w:tblGrid>
        <w:gridCol w:w="3212"/>
        <w:gridCol w:w="3213"/>
        <w:gridCol w:w="3213"/>
      </w:tblGrid>
      <w:tr>
        <w:trPr>
          <w:tblHeader w:val="true"/>
        </w:trPr>
        <w:tc>
          <w:tcPr>
            <w:tcW w:w="3212" w:type="dxa"/>
            <w:tcBorders>
              <w:top w:val="single" w:sz="4" w:space="0" w:color="000000"/>
              <w:start w:val="single" w:sz="4" w:space="0" w:color="000000"/>
              <w:bottom w:val="single" w:sz="4" w:space="0" w:color="000000"/>
            </w:tcBorders>
          </w:tcPr>
          <w:p>
            <w:pPr>
              <w:pStyle w:val="TableHeading"/>
              <w:bidi w:val="0"/>
              <w:jc w:val="start"/>
              <w:rPr/>
            </w:pPr>
            <w:r>
              <w:rPr/>
              <w:t>Period</w:t>
            </w:r>
          </w:p>
        </w:tc>
        <w:tc>
          <w:tcPr>
            <w:tcW w:w="3213" w:type="dxa"/>
            <w:tcBorders>
              <w:top w:val="single" w:sz="4" w:space="0" w:color="000000"/>
              <w:start w:val="single" w:sz="4" w:space="0" w:color="000000"/>
              <w:bottom w:val="single" w:sz="4" w:space="0" w:color="000000"/>
            </w:tcBorders>
          </w:tcPr>
          <w:p>
            <w:pPr>
              <w:pStyle w:val="TableHeading"/>
              <w:bidi w:val="0"/>
              <w:jc w:val="start"/>
              <w:rPr/>
            </w:pPr>
            <w:r>
              <w:rPr/>
              <w:t>Colour</w:t>
            </w:r>
          </w:p>
        </w:tc>
        <w:tc>
          <w:tcPr>
            <w:tcW w:w="3213"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Line weight</w:t>
            </w:r>
          </w:p>
        </w:tc>
      </w:tr>
      <w:tr>
        <w:trPr/>
        <w:tc>
          <w:tcPr>
            <w:tcW w:w="3212" w:type="dxa"/>
            <w:tcBorders>
              <w:start w:val="single" w:sz="4" w:space="0" w:color="000000"/>
              <w:bottom w:val="single" w:sz="4" w:space="0" w:color="000000"/>
            </w:tcBorders>
          </w:tcPr>
          <w:p>
            <w:pPr>
              <w:pStyle w:val="TableContents"/>
              <w:bidi w:val="0"/>
              <w:jc w:val="start"/>
              <w:rPr/>
            </w:pPr>
            <w:r>
              <w:rPr>
                <w:b/>
              </w:rPr>
              <w:t>20 EMA</w:t>
            </w:r>
          </w:p>
        </w:tc>
        <w:tc>
          <w:tcPr>
            <w:tcW w:w="3213" w:type="dxa"/>
            <w:tcBorders>
              <w:start w:val="single" w:sz="4" w:space="0" w:color="000000"/>
              <w:bottom w:val="single" w:sz="4" w:space="0" w:color="000000"/>
            </w:tcBorders>
          </w:tcPr>
          <w:p>
            <w:pPr>
              <w:pStyle w:val="TableContents"/>
              <w:bidi w:val="0"/>
              <w:jc w:val="start"/>
              <w:rPr/>
            </w:pPr>
            <w:r>
              <w:rPr>
                <w:b/>
              </w:rPr>
              <w:t>Red</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b/>
              </w:rPr>
              <w:t>Thin</w:t>
            </w:r>
            <w:r>
              <w:rPr/>
              <w:t xml:space="preserve"> (to distinguish from the red 200 SMA)</w:t>
            </w:r>
          </w:p>
        </w:tc>
      </w:tr>
      <w:tr>
        <w:trPr/>
        <w:tc>
          <w:tcPr>
            <w:tcW w:w="3212" w:type="dxa"/>
            <w:tcBorders>
              <w:start w:val="single" w:sz="4" w:space="0" w:color="000000"/>
              <w:bottom w:val="single" w:sz="4" w:space="0" w:color="000000"/>
            </w:tcBorders>
          </w:tcPr>
          <w:p>
            <w:pPr>
              <w:pStyle w:val="TableContents"/>
              <w:bidi w:val="0"/>
              <w:jc w:val="start"/>
              <w:rPr/>
            </w:pPr>
            <w:r>
              <w:rPr>
                <w:b/>
              </w:rPr>
              <w:t>40 EMA</w:t>
            </w:r>
          </w:p>
        </w:tc>
        <w:tc>
          <w:tcPr>
            <w:tcW w:w="3213" w:type="dxa"/>
            <w:tcBorders>
              <w:start w:val="single" w:sz="4" w:space="0" w:color="000000"/>
              <w:bottom w:val="single" w:sz="4" w:space="0" w:color="000000"/>
            </w:tcBorders>
          </w:tcPr>
          <w:p>
            <w:pPr>
              <w:pStyle w:val="TableContents"/>
              <w:bidi w:val="0"/>
              <w:jc w:val="start"/>
              <w:rPr/>
            </w:pPr>
            <w:r>
              <w:rPr>
                <w:b/>
              </w:rPr>
              <w:t>Blue</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b/>
              </w:rPr>
              <w:t>Thin</w:t>
            </w:r>
            <w:r>
              <w:rPr/>
              <w:t xml:space="preserve"> (to distinguish from the blue 50 SMA)</w:t>
            </w:r>
          </w:p>
        </w:tc>
      </w:tr>
    </w:tbl>
    <w:p>
      <w:pPr>
        <w:pStyle w:val="BodyText"/>
        <w:bidi w:val="0"/>
        <w:jc w:val="start"/>
        <w:rPr/>
      </w:pPr>
      <w:r>
        <w:rPr/>
      </w:r>
    </w:p>
    <w:p>
      <w:pPr>
        <w:pStyle w:val="BodyText"/>
        <w:numPr>
          <w:ilvl w:val="0"/>
          <w:numId w:val="330"/>
        </w:numPr>
        <w:tabs>
          <w:tab w:val="clear" w:pos="709"/>
          <w:tab w:val="left" w:pos="709" w:leader="none"/>
        </w:tabs>
        <w:bidi w:val="0"/>
        <w:ind w:hanging="283" w:start="709"/>
        <w:jc w:val="start"/>
        <w:rPr/>
      </w:pPr>
      <w:r>
        <w:rPr/>
        <w:t xml:space="preserve">Adam on the colour scheme: "The 50 is always in blue. Why? </w:t>
      </w:r>
      <w:r>
        <w:rPr>
          <w:b/>
        </w:rPr>
        <w:t>Because I said so, so follow it.</w:t>
      </w:r>
      <w:r>
        <w:rPr/>
        <w:t xml:space="preserve">" "150 </w:t>
      </w:r>
      <w:r>
        <w:rPr>
          <w:b/>
        </w:rPr>
        <w:t>has to be</w:t>
      </w:r>
      <w:r>
        <w:rPr/>
        <w:t xml:space="preserve"> green." "200 is </w:t>
      </w:r>
      <w:r>
        <w:rPr>
          <w:b/>
        </w:rPr>
        <w:t>always</w:t>
      </w:r>
      <w:r>
        <w:rPr/>
        <w:t xml:space="preserve"> red."</w:t>
      </w:r>
    </w:p>
    <w:p>
      <w:pPr>
        <w:pStyle w:val="BodyText"/>
        <w:numPr>
          <w:ilvl w:val="0"/>
          <w:numId w:val="330"/>
        </w:numPr>
        <w:tabs>
          <w:tab w:val="clear" w:pos="709"/>
          <w:tab w:val="left" w:pos="709" w:leader="none"/>
        </w:tabs>
        <w:bidi w:val="0"/>
        <w:ind w:hanging="283" w:start="709"/>
        <w:jc w:val="start"/>
        <w:rPr/>
      </w:pPr>
      <w:r>
        <w:rPr/>
        <w:t>Justification for the periods: "</w:t>
      </w:r>
      <w:r>
        <w:rPr>
          <w:b/>
        </w:rPr>
        <w:t>Over the years I found that these are the most reliable simple moving averages.</w:t>
      </w:r>
      <w:r>
        <w:rPr/>
        <w:t>"</w:t>
      </w:r>
    </w:p>
    <w:p>
      <w:pPr>
        <w:pStyle w:val="Heading4"/>
        <w:numPr>
          <w:ilvl w:val="0"/>
          <w:numId w:val="0"/>
        </w:numPr>
        <w:bidi w:val="0"/>
        <w:ind w:hanging="0" w:start="0"/>
        <w:jc w:val="start"/>
        <w:rPr/>
      </w:pPr>
      <w:r>
        <w:rPr/>
        <w:t>6.3 SMA vs EMA — The Calculation Difference</w:t>
      </w:r>
    </w:p>
    <w:p>
      <w:pPr>
        <w:pStyle w:val="BodyText"/>
        <w:numPr>
          <w:ilvl w:val="0"/>
          <w:numId w:val="331"/>
        </w:numPr>
        <w:tabs>
          <w:tab w:val="clear" w:pos="709"/>
          <w:tab w:val="left" w:pos="709" w:leader="none"/>
        </w:tabs>
        <w:bidi w:val="0"/>
        <w:spacing w:before="0" w:after="0"/>
        <w:ind w:hanging="283" w:start="709"/>
        <w:jc w:val="start"/>
        <w:rPr/>
      </w:pPr>
      <w:r>
        <w:rPr>
          <w:b/>
        </w:rPr>
        <w:t>SMA:</w:t>
      </w:r>
      <w:r>
        <w:rPr/>
        <w:t xml:space="preserve"> software takes the </w:t>
      </w:r>
      <w:r>
        <w:rPr>
          <w:b/>
        </w:rPr>
        <w:t>last N days of closing prices, adds them together, divides by N</w:t>
      </w:r>
      <w:r>
        <w:rPr/>
        <w:t>, equally weighted. Repeats every day.</w:t>
      </w:r>
    </w:p>
    <w:p>
      <w:pPr>
        <w:pStyle w:val="BodyText"/>
        <w:numPr>
          <w:ilvl w:val="1"/>
          <w:numId w:val="331"/>
        </w:numPr>
        <w:tabs>
          <w:tab w:val="clear" w:pos="709"/>
          <w:tab w:val="left" w:pos="1418" w:leader="none"/>
        </w:tabs>
        <w:bidi w:val="0"/>
        <w:ind w:hanging="283" w:start="1418"/>
        <w:jc w:val="start"/>
        <w:rPr/>
      </w:pPr>
      <w:r>
        <w:rPr/>
        <w:t>50 SMA = sum of last 50 closes ÷ 50.</w:t>
      </w:r>
    </w:p>
    <w:p>
      <w:pPr>
        <w:pStyle w:val="BodyText"/>
        <w:numPr>
          <w:ilvl w:val="1"/>
          <w:numId w:val="331"/>
        </w:numPr>
        <w:tabs>
          <w:tab w:val="clear" w:pos="709"/>
          <w:tab w:val="left" w:pos="1418" w:leader="none"/>
        </w:tabs>
        <w:bidi w:val="0"/>
        <w:ind w:hanging="283" w:start="1418"/>
        <w:jc w:val="start"/>
        <w:rPr/>
      </w:pPr>
      <w:r>
        <w:rPr/>
        <w:t>200 SMA = sum of last 200 closes ÷ 200.</w:t>
      </w:r>
    </w:p>
    <w:p>
      <w:pPr>
        <w:pStyle w:val="BodyText"/>
        <w:numPr>
          <w:ilvl w:val="0"/>
          <w:numId w:val="331"/>
        </w:numPr>
        <w:tabs>
          <w:tab w:val="clear" w:pos="709"/>
          <w:tab w:val="left" w:pos="709" w:leader="none"/>
        </w:tabs>
        <w:bidi w:val="0"/>
        <w:ind w:hanging="283" w:start="709"/>
        <w:jc w:val="start"/>
        <w:rPr/>
      </w:pPr>
      <w:r>
        <w:rPr>
          <w:b/>
        </w:rPr>
        <w:t>EMA:</w:t>
      </w:r>
      <w:r>
        <w:rPr/>
        <w:t xml:space="preserve"> software takes the last N closes but </w:t>
      </w:r>
      <w:r>
        <w:rPr>
          <w:b/>
        </w:rPr>
        <w:t>assigns individual weights</w:t>
      </w:r>
      <w:r>
        <w:rPr/>
        <w:t xml:space="preserve"> — </w:t>
      </w:r>
      <w:r>
        <w:rPr>
          <w:b/>
        </w:rPr>
        <w:t>recent prices are weighted more heavily</w:t>
      </w:r>
      <w:r>
        <w:rPr/>
        <w:t xml:space="preserve"> than older prices. It is a </w:t>
      </w:r>
      <w:r>
        <w:rPr>
          <w:b/>
        </w:rPr>
        <w:t>weighted</w:t>
      </w:r>
      <w:r>
        <w:rPr/>
        <w:t xml:space="preserve"> moving average.</w:t>
      </w:r>
    </w:p>
    <w:p>
      <w:pPr>
        <w:pStyle w:val="BodyText"/>
        <w:numPr>
          <w:ilvl w:val="0"/>
          <w:numId w:val="331"/>
        </w:numPr>
        <w:tabs>
          <w:tab w:val="clear" w:pos="709"/>
          <w:tab w:val="left" w:pos="709" w:leader="none"/>
        </w:tabs>
        <w:bidi w:val="0"/>
        <w:ind w:hanging="283" w:start="709"/>
        <w:jc w:val="start"/>
        <w:rPr/>
      </w:pPr>
      <w:r>
        <w:rPr/>
        <w:t xml:space="preserve">Adam: "You don't have to worry about the mathematics behind it. It's not important. </w:t>
      </w:r>
      <w:r>
        <w:rPr>
          <w:b/>
        </w:rPr>
        <w:t>Just know when to use which one.</w:t>
      </w:r>
      <w:r>
        <w:rPr/>
        <w:t>"</w:t>
      </w:r>
    </w:p>
    <w:p>
      <w:pPr>
        <w:pStyle w:val="Heading4"/>
        <w:numPr>
          <w:ilvl w:val="0"/>
          <w:numId w:val="0"/>
        </w:numPr>
        <w:bidi w:val="0"/>
        <w:ind w:hanging="0" w:start="0"/>
        <w:jc w:val="start"/>
        <w:rPr/>
      </w:pPr>
      <w:r>
        <w:rPr/>
        <w:t>6.4 TIMEFRAME RULE — Which MAs Apply Where (critical)</w:t>
      </w:r>
    </w:p>
    <w:tbl>
      <w:tblPr>
        <w:tblW w:w="5000" w:type="pct"/>
        <w:jc w:val="start"/>
        <w:tblInd w:w="-5" w:type="dxa"/>
        <w:tblLayout w:type="fixed"/>
        <w:tblCellMar>
          <w:top w:w="55" w:type="dxa"/>
          <w:start w:w="55" w:type="dxa"/>
          <w:bottom w:w="55" w:type="dxa"/>
          <w:end w:w="55" w:type="dxa"/>
        </w:tblCellMar>
      </w:tblPr>
      <w:tblGrid>
        <w:gridCol w:w="3212"/>
        <w:gridCol w:w="3213"/>
        <w:gridCol w:w="3213"/>
      </w:tblGrid>
      <w:tr>
        <w:trPr>
          <w:tblHeader w:val="true"/>
        </w:trPr>
        <w:tc>
          <w:tcPr>
            <w:tcW w:w="3212" w:type="dxa"/>
            <w:tcBorders>
              <w:top w:val="single" w:sz="4" w:space="0" w:color="000000"/>
              <w:start w:val="single" w:sz="4" w:space="0" w:color="000000"/>
              <w:bottom w:val="single" w:sz="4" w:space="0" w:color="000000"/>
            </w:tcBorders>
          </w:tcPr>
          <w:p>
            <w:pPr>
              <w:pStyle w:val="TableHeading"/>
              <w:bidi w:val="0"/>
              <w:jc w:val="start"/>
              <w:rPr/>
            </w:pPr>
            <w:r>
              <w:rPr/>
              <w:t>Timeframe</w:t>
            </w:r>
          </w:p>
        </w:tc>
        <w:tc>
          <w:tcPr>
            <w:tcW w:w="3213" w:type="dxa"/>
            <w:tcBorders>
              <w:top w:val="single" w:sz="4" w:space="0" w:color="000000"/>
              <w:start w:val="single" w:sz="4" w:space="0" w:color="000000"/>
              <w:bottom w:val="single" w:sz="4" w:space="0" w:color="000000"/>
            </w:tcBorders>
          </w:tcPr>
          <w:p>
            <w:pPr>
              <w:pStyle w:val="TableHeading"/>
              <w:bidi w:val="0"/>
              <w:jc w:val="start"/>
              <w:rPr/>
            </w:pPr>
            <w:r>
              <w:rPr/>
              <w:t>Moving averages that act as support</w:t>
            </w:r>
          </w:p>
        </w:tc>
        <w:tc>
          <w:tcPr>
            <w:tcW w:w="3213"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Ignore</w:t>
            </w:r>
          </w:p>
        </w:tc>
      </w:tr>
      <w:tr>
        <w:trPr/>
        <w:tc>
          <w:tcPr>
            <w:tcW w:w="3212" w:type="dxa"/>
            <w:tcBorders>
              <w:start w:val="single" w:sz="4" w:space="0" w:color="000000"/>
              <w:bottom w:val="single" w:sz="4" w:space="0" w:color="000000"/>
            </w:tcBorders>
          </w:tcPr>
          <w:p>
            <w:pPr>
              <w:pStyle w:val="TableContents"/>
              <w:bidi w:val="0"/>
              <w:jc w:val="start"/>
              <w:rPr/>
            </w:pPr>
            <w:r>
              <w:rPr>
                <w:b/>
              </w:rPr>
              <w:t>Daily</w:t>
            </w:r>
          </w:p>
        </w:tc>
        <w:tc>
          <w:tcPr>
            <w:tcW w:w="3213" w:type="dxa"/>
            <w:tcBorders>
              <w:start w:val="single" w:sz="4" w:space="0" w:color="000000"/>
              <w:bottom w:val="single" w:sz="4" w:space="0" w:color="000000"/>
            </w:tcBorders>
          </w:tcPr>
          <w:p>
            <w:pPr>
              <w:pStyle w:val="TableContents"/>
              <w:bidi w:val="0"/>
              <w:jc w:val="start"/>
              <w:rPr/>
            </w:pPr>
            <w:r>
              <w:rPr>
                <w:b/>
              </w:rPr>
              <w:t>50, 100, 150, 200 SMA only</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b/>
              </w:rPr>
              <w:t>20 and 40 EMA</w:t>
            </w:r>
          </w:p>
        </w:tc>
      </w:tr>
      <w:tr>
        <w:trPr/>
        <w:tc>
          <w:tcPr>
            <w:tcW w:w="3212" w:type="dxa"/>
            <w:tcBorders>
              <w:start w:val="single" w:sz="4" w:space="0" w:color="000000"/>
              <w:bottom w:val="single" w:sz="4" w:space="0" w:color="000000"/>
            </w:tcBorders>
          </w:tcPr>
          <w:p>
            <w:pPr>
              <w:pStyle w:val="TableContents"/>
              <w:bidi w:val="0"/>
              <w:jc w:val="start"/>
              <w:rPr/>
            </w:pPr>
            <w:r>
              <w:rPr>
                <w:b/>
              </w:rPr>
              <w:t>Weekly</w:t>
            </w:r>
          </w:p>
        </w:tc>
        <w:tc>
          <w:tcPr>
            <w:tcW w:w="3213" w:type="dxa"/>
            <w:tcBorders>
              <w:start w:val="single" w:sz="4" w:space="0" w:color="000000"/>
              <w:bottom w:val="single" w:sz="4" w:space="0" w:color="000000"/>
            </w:tcBorders>
          </w:tcPr>
          <w:p>
            <w:pPr>
              <w:pStyle w:val="TableContents"/>
              <w:bidi w:val="0"/>
              <w:jc w:val="start"/>
              <w:rPr/>
            </w:pPr>
            <w:r>
              <w:rPr>
                <w:b/>
              </w:rPr>
              <w:t>20 and 40 EMA</w:t>
            </w:r>
            <w:r>
              <w:rPr/>
              <w:t xml:space="preserve"> (plus SMAs)</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w:t>
            </w:r>
          </w:p>
        </w:tc>
      </w:tr>
      <w:tr>
        <w:trPr/>
        <w:tc>
          <w:tcPr>
            <w:tcW w:w="3212" w:type="dxa"/>
            <w:tcBorders>
              <w:start w:val="single" w:sz="4" w:space="0" w:color="000000"/>
              <w:bottom w:val="single" w:sz="4" w:space="0" w:color="000000"/>
            </w:tcBorders>
          </w:tcPr>
          <w:p>
            <w:pPr>
              <w:pStyle w:val="TableContents"/>
              <w:bidi w:val="0"/>
              <w:jc w:val="start"/>
              <w:rPr/>
            </w:pPr>
            <w:r>
              <w:rPr>
                <w:b/>
              </w:rPr>
              <w:t>Monthly</w:t>
            </w:r>
          </w:p>
        </w:tc>
        <w:tc>
          <w:tcPr>
            <w:tcW w:w="3213" w:type="dxa"/>
            <w:tcBorders>
              <w:start w:val="single" w:sz="4" w:space="0" w:color="000000"/>
              <w:bottom w:val="single" w:sz="4" w:space="0" w:color="000000"/>
            </w:tcBorders>
          </w:tcPr>
          <w:p>
            <w:pPr>
              <w:pStyle w:val="TableContents"/>
              <w:bidi w:val="0"/>
              <w:jc w:val="start"/>
              <w:rPr/>
            </w:pPr>
            <w:r>
              <w:rPr>
                <w:b/>
              </w:rPr>
              <w:t>20 and 40 EMA</w:t>
            </w:r>
            <w:r>
              <w:rPr/>
              <w:t xml:space="preserve"> (plus SMAs)</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w:t>
            </w:r>
          </w:p>
        </w:tc>
      </w:tr>
    </w:tbl>
    <w:p>
      <w:pPr>
        <w:pStyle w:val="BodyText"/>
        <w:bidi w:val="0"/>
        <w:jc w:val="start"/>
        <w:rPr/>
      </w:pPr>
      <w:r>
        <w:rPr/>
      </w:r>
    </w:p>
    <w:p>
      <w:pPr>
        <w:pStyle w:val="BlockQuotation"/>
        <w:bidi w:val="0"/>
        <w:jc w:val="start"/>
        <w:rPr/>
      </w:pPr>
      <w:r>
        <w:rPr/>
        <w:t xml:space="preserve">"On the </w:t>
      </w:r>
      <w:r>
        <w:rPr>
          <w:b/>
        </w:rPr>
        <w:t>daily</w:t>
      </w:r>
      <w:r>
        <w:rPr/>
        <w:t xml:space="preserve"> timeframe we pay attention mainly to the simple moving averages — the 50, 100, 150 and 200. </w:t>
      </w:r>
      <w:r>
        <w:rPr>
          <w:b/>
        </w:rPr>
        <w:t>We do not really pay attention to the 20 and 40 EMAs. Please take note of that.</w:t>
      </w:r>
      <w:r>
        <w:rPr/>
        <w:t xml:space="preserve"> The 20 and 40 EMAs only come into service at the higher timeframes — at the weekly and the monthly candles."</w:t>
      </w:r>
    </w:p>
    <w:p>
      <w:pPr>
        <w:pStyle w:val="Heading4"/>
        <w:bidi w:val="0"/>
        <w:ind w:hanging="0" w:start="0"/>
        <w:jc w:val="start"/>
        <w:rPr/>
      </w:pPr>
      <w:r>
        <w:rPr/>
        <w:t>6.5 How to Install Them in TradingView (step-by-step)</w:t>
      </w:r>
    </w:p>
    <w:p>
      <w:pPr>
        <w:pStyle w:val="BodyText"/>
        <w:numPr>
          <w:ilvl w:val="0"/>
          <w:numId w:val="332"/>
        </w:numPr>
        <w:tabs>
          <w:tab w:val="clear" w:pos="709"/>
          <w:tab w:val="left" w:pos="709" w:leader="none"/>
        </w:tabs>
        <w:bidi w:val="0"/>
        <w:ind w:hanging="283" w:start="709"/>
        <w:jc w:val="start"/>
        <w:rPr/>
      </w:pPr>
      <w:r>
        <w:rPr/>
        <w:t xml:space="preserve">Click </w:t>
      </w:r>
      <w:r>
        <w:rPr>
          <w:b/>
        </w:rPr>
        <w:t>Indicators</w:t>
      </w:r>
      <w:r>
        <w:rPr/>
        <w:t>.</w:t>
      </w:r>
    </w:p>
    <w:p>
      <w:pPr>
        <w:pStyle w:val="BodyText"/>
        <w:numPr>
          <w:ilvl w:val="0"/>
          <w:numId w:val="332"/>
        </w:numPr>
        <w:tabs>
          <w:tab w:val="clear" w:pos="709"/>
          <w:tab w:val="left" w:pos="709" w:leader="none"/>
        </w:tabs>
        <w:bidi w:val="0"/>
        <w:ind w:hanging="283" w:start="709"/>
        <w:jc w:val="start"/>
        <w:rPr/>
      </w:pPr>
      <w:r>
        <w:rPr/>
        <w:t xml:space="preserve">Type </w:t>
      </w:r>
      <w:r>
        <w:rPr>
          <w:b/>
        </w:rPr>
        <w:t>"moving average"</w:t>
      </w:r>
      <w:r>
        <w:rPr/>
        <w:t xml:space="preserve"> → select </w:t>
      </w:r>
      <w:r>
        <w:rPr>
          <w:b/>
        </w:rPr>
        <w:t>Moving Average Simple</w:t>
      </w:r>
      <w:r>
        <w:rPr/>
        <w:t xml:space="preserve"> (or type </w:t>
      </w:r>
      <w:r>
        <w:rPr>
          <w:b/>
        </w:rPr>
        <w:t>EMA</w:t>
      </w:r>
      <w:r>
        <w:rPr/>
        <w:t xml:space="preserve"> → </w:t>
      </w:r>
      <w:r>
        <w:rPr>
          <w:b/>
        </w:rPr>
        <w:t>Moving Average Exponential</w:t>
      </w:r>
      <w:r>
        <w:rPr/>
        <w:t>).</w:t>
      </w:r>
    </w:p>
    <w:p>
      <w:pPr>
        <w:pStyle w:val="BodyText"/>
        <w:numPr>
          <w:ilvl w:val="0"/>
          <w:numId w:val="332"/>
        </w:numPr>
        <w:tabs>
          <w:tab w:val="clear" w:pos="709"/>
          <w:tab w:val="left" w:pos="709" w:leader="none"/>
        </w:tabs>
        <w:bidi w:val="0"/>
        <w:ind w:hanging="283" w:start="709"/>
        <w:jc w:val="start"/>
        <w:rPr/>
      </w:pPr>
      <w:r>
        <w:rPr/>
        <w:t xml:space="preserve">TradingView defaults to the </w:t>
      </w:r>
      <w:r>
        <w:rPr>
          <w:b/>
        </w:rPr>
        <w:t>9 period</w:t>
      </w:r>
      <w:r>
        <w:rPr/>
        <w:t xml:space="preserve"> — this must be changed.</w:t>
      </w:r>
    </w:p>
    <w:p>
      <w:pPr>
        <w:pStyle w:val="BodyText"/>
        <w:numPr>
          <w:ilvl w:val="0"/>
          <w:numId w:val="332"/>
        </w:numPr>
        <w:tabs>
          <w:tab w:val="clear" w:pos="709"/>
          <w:tab w:val="left" w:pos="709" w:leader="none"/>
        </w:tabs>
        <w:bidi w:val="0"/>
        <w:ind w:hanging="283" w:start="709"/>
        <w:jc w:val="start"/>
        <w:rPr/>
      </w:pPr>
      <w:r>
        <w:rPr/>
        <w:t xml:space="preserve">Click the </w:t>
      </w:r>
      <w:r>
        <w:rPr>
          <w:b/>
        </w:rPr>
        <w:t>gear icon</w:t>
      </w:r>
      <w:r>
        <w:rPr/>
        <w:t xml:space="preserve"> (settings) on the indicator → </w:t>
      </w:r>
      <w:r>
        <w:rPr>
          <w:b/>
        </w:rPr>
        <w:t>Inputs</w:t>
      </w:r>
      <w:r>
        <w:rPr/>
        <w:t xml:space="preserve"> tab → change the period to 50 / 100 / 150 / 200 (or 20 / 40 for EMA). </w:t>
      </w:r>
      <w:r>
        <w:rPr>
          <w:b/>
        </w:rPr>
        <w:t>Change nothing else in Inputs.</w:t>
      </w:r>
    </w:p>
    <w:p>
      <w:pPr>
        <w:pStyle w:val="BodyText"/>
        <w:numPr>
          <w:ilvl w:val="0"/>
          <w:numId w:val="332"/>
        </w:numPr>
        <w:tabs>
          <w:tab w:val="clear" w:pos="709"/>
          <w:tab w:val="left" w:pos="709" w:leader="none"/>
        </w:tabs>
        <w:bidi w:val="0"/>
        <w:ind w:hanging="283" w:start="709"/>
        <w:jc w:val="start"/>
        <w:rPr/>
      </w:pPr>
      <w:r>
        <w:rPr/>
        <w:t xml:space="preserve">Go to the </w:t>
      </w:r>
      <w:r>
        <w:rPr>
          <w:b/>
        </w:rPr>
        <w:t>Style</w:t>
      </w:r>
      <w:r>
        <w:rPr/>
        <w:t xml:space="preserve"> tab → set the colour per the table above and the line thickness (thick for SMAs, thin for EMAs).</w:t>
      </w:r>
    </w:p>
    <w:p>
      <w:pPr>
        <w:pStyle w:val="BodyText"/>
        <w:numPr>
          <w:ilvl w:val="0"/>
          <w:numId w:val="332"/>
        </w:numPr>
        <w:tabs>
          <w:tab w:val="clear" w:pos="709"/>
          <w:tab w:val="left" w:pos="709" w:leader="none"/>
        </w:tabs>
        <w:bidi w:val="0"/>
        <w:ind w:hanging="283" w:start="709"/>
        <w:jc w:val="start"/>
        <w:rPr/>
      </w:pPr>
      <w:r>
        <w:rPr/>
        <w:t>Repeat for all six.</w:t>
      </w:r>
    </w:p>
    <w:p>
      <w:pPr>
        <w:pStyle w:val="BodyText"/>
        <w:numPr>
          <w:ilvl w:val="0"/>
          <w:numId w:val="332"/>
        </w:numPr>
        <w:tabs>
          <w:tab w:val="clear" w:pos="709"/>
          <w:tab w:val="left" w:pos="709" w:leader="none"/>
        </w:tabs>
        <w:bidi w:val="0"/>
        <w:ind w:hanging="283" w:start="709"/>
        <w:jc w:val="start"/>
        <w:rPr/>
      </w:pPr>
      <w:r>
        <w:rPr>
          <w:b/>
        </w:rPr>
        <w:t>Save the template:</w:t>
      </w:r>
      <w:r>
        <w:rPr/>
        <w:t xml:space="preserve"> click the </w:t>
      </w:r>
      <w:r>
        <w:rPr>
          <w:b/>
        </w:rPr>
        <w:t>four-boxes icon ("Indicator templates") → Save</w:t>
      </w:r>
      <w:r>
        <w:rPr/>
        <w:t xml:space="preserve"> → name it e.g. </w:t>
      </w:r>
      <w:r>
        <w:rPr>
          <w:b/>
        </w:rPr>
        <w:t>"all moving averages"</w:t>
      </w:r>
      <w:r>
        <w:rPr/>
        <w:t>.</w:t>
      </w:r>
    </w:p>
    <w:p>
      <w:pPr>
        <w:pStyle w:val="BodyText"/>
        <w:numPr>
          <w:ilvl w:val="0"/>
          <w:numId w:val="332"/>
        </w:numPr>
        <w:tabs>
          <w:tab w:val="clear" w:pos="709"/>
          <w:tab w:val="left" w:pos="709" w:leader="none"/>
        </w:tabs>
        <w:bidi w:val="0"/>
        <w:ind w:hanging="283" w:start="709"/>
        <w:jc w:val="start"/>
        <w:rPr/>
      </w:pPr>
      <w:r>
        <w:rPr/>
        <w:t xml:space="preserve">For any new stock (e.g. Apple) with a blank chart, just load the saved </w:t>
      </w:r>
      <w:r>
        <w:rPr>
          <w:b/>
        </w:rPr>
        <w:t>"all moving averages"</w:t>
      </w:r>
      <w:r>
        <w:rPr/>
        <w:t xml:space="preserve"> template instead of re-keying everything.</w:t>
      </w:r>
    </w:p>
    <w:p>
      <w:pPr>
        <w:pStyle w:val="Heading4"/>
        <w:numPr>
          <w:ilvl w:val="0"/>
          <w:numId w:val="0"/>
        </w:numPr>
        <w:bidi w:val="0"/>
        <w:ind w:hanging="0" w:start="0"/>
        <w:jc w:val="start"/>
        <w:rPr/>
      </w:pPr>
      <w:r>
        <w:rPr/>
        <w:t>6.6 Free-Account Workaround — PP Multi MA</w:t>
      </w:r>
    </w:p>
    <w:p>
      <w:pPr>
        <w:pStyle w:val="BodyText"/>
        <w:numPr>
          <w:ilvl w:val="0"/>
          <w:numId w:val="333"/>
        </w:numPr>
        <w:tabs>
          <w:tab w:val="clear" w:pos="709"/>
          <w:tab w:val="left" w:pos="709" w:leader="none"/>
        </w:tabs>
        <w:bidi w:val="0"/>
        <w:ind w:hanging="283" w:start="709"/>
        <w:jc w:val="start"/>
        <w:rPr/>
      </w:pPr>
      <w:r>
        <w:rPr/>
        <w:t xml:space="preserve">TradingView </w:t>
      </w:r>
      <w:r>
        <w:rPr>
          <w:b/>
        </w:rPr>
        <w:t>free version allows only two indicators</w:t>
      </w:r>
      <w:r>
        <w:rPr/>
        <w:t>.</w:t>
      </w:r>
    </w:p>
    <w:p>
      <w:pPr>
        <w:pStyle w:val="BodyText"/>
        <w:numPr>
          <w:ilvl w:val="0"/>
          <w:numId w:val="333"/>
        </w:numPr>
        <w:tabs>
          <w:tab w:val="clear" w:pos="709"/>
          <w:tab w:val="left" w:pos="709" w:leader="none"/>
        </w:tabs>
        <w:bidi w:val="0"/>
        <w:ind w:hanging="283" w:start="709"/>
        <w:jc w:val="start"/>
        <w:rPr/>
      </w:pPr>
      <w:r>
        <w:rPr/>
        <w:t xml:space="preserve">Piranha Profits has built a </w:t>
      </w:r>
      <w:r>
        <w:rPr>
          <w:b/>
        </w:rPr>
        <w:t>single indicator containing all the moving averages</w:t>
      </w:r>
      <w:r>
        <w:rPr/>
        <w:t xml:space="preserve">: </w:t>
      </w:r>
      <w:r>
        <w:rPr>
          <w:b/>
        </w:rPr>
        <w:t>PP Multi MA</w:t>
      </w:r>
      <w:r>
        <w:rPr/>
        <w:t>.</w:t>
      </w:r>
    </w:p>
    <w:p>
      <w:pPr>
        <w:pStyle w:val="BodyText"/>
        <w:numPr>
          <w:ilvl w:val="0"/>
          <w:numId w:val="333"/>
        </w:numPr>
        <w:tabs>
          <w:tab w:val="clear" w:pos="709"/>
          <w:tab w:val="left" w:pos="709" w:leader="none"/>
        </w:tabs>
        <w:bidi w:val="0"/>
        <w:spacing w:before="0" w:after="0"/>
        <w:ind w:hanging="283" w:start="709"/>
        <w:jc w:val="start"/>
        <w:rPr/>
      </w:pPr>
      <w:r>
        <w:rPr>
          <w:b/>
        </w:rPr>
        <w:t>How to get it:</w:t>
      </w:r>
    </w:p>
    <w:p>
      <w:pPr>
        <w:pStyle w:val="BodyText"/>
        <w:numPr>
          <w:ilvl w:val="1"/>
          <w:numId w:val="333"/>
        </w:numPr>
        <w:tabs>
          <w:tab w:val="clear" w:pos="709"/>
          <w:tab w:val="left" w:pos="1418" w:leader="none"/>
        </w:tabs>
        <w:bidi w:val="0"/>
        <w:ind w:hanging="283" w:start="1418"/>
        <w:jc w:val="start"/>
        <w:rPr/>
      </w:pPr>
      <w:r>
        <w:rPr/>
        <w:t xml:space="preserve">Go to the Piranha Profits website where you watch the video → </w:t>
      </w:r>
      <w:r>
        <w:rPr>
          <w:b/>
        </w:rPr>
        <w:t>Lesson 6</w:t>
      </w:r>
      <w:r>
        <w:rPr/>
        <w:t xml:space="preserve"> → scroll to </w:t>
      </w:r>
      <w:r>
        <w:rPr>
          <w:b/>
        </w:rPr>
        <w:t>"Course notes and resources"</w:t>
      </w:r>
      <w:r>
        <w:rPr/>
        <w:t>.</w:t>
      </w:r>
    </w:p>
    <w:p>
      <w:pPr>
        <w:pStyle w:val="BodyText"/>
        <w:numPr>
          <w:ilvl w:val="1"/>
          <w:numId w:val="333"/>
        </w:numPr>
        <w:tabs>
          <w:tab w:val="clear" w:pos="709"/>
          <w:tab w:val="left" w:pos="1418" w:leader="none"/>
        </w:tabs>
        <w:bidi w:val="0"/>
        <w:ind w:hanging="283" w:start="1418"/>
        <w:jc w:val="start"/>
        <w:rPr/>
      </w:pPr>
      <w:r>
        <w:rPr/>
        <w:t xml:space="preserve">Below the course notes, find </w:t>
      </w:r>
      <w:r>
        <w:rPr>
          <w:b/>
        </w:rPr>
        <w:t>"PP Multi MA"</w:t>
      </w:r>
      <w:r>
        <w:rPr/>
        <w:t xml:space="preserve"> and click the link.</w:t>
      </w:r>
    </w:p>
    <w:p>
      <w:pPr>
        <w:pStyle w:val="BodyText"/>
        <w:numPr>
          <w:ilvl w:val="1"/>
          <w:numId w:val="333"/>
        </w:numPr>
        <w:tabs>
          <w:tab w:val="clear" w:pos="709"/>
          <w:tab w:val="left" w:pos="1418" w:leader="none"/>
        </w:tabs>
        <w:bidi w:val="0"/>
        <w:ind w:hanging="283" w:start="1418"/>
        <w:jc w:val="start"/>
        <w:rPr/>
      </w:pPr>
      <w:r>
        <w:rPr/>
        <w:t xml:space="preserve">On the page that opens, </w:t>
      </w:r>
      <w:r>
        <w:rPr>
          <w:b/>
        </w:rPr>
        <w:t>scroll down</w:t>
      </w:r>
      <w:r>
        <w:rPr/>
        <w:t xml:space="preserve"> and click </w:t>
      </w:r>
      <w:r>
        <w:rPr>
          <w:b/>
        </w:rPr>
        <w:t>"Add to favorites"</w:t>
      </w:r>
      <w:r>
        <w:rPr/>
        <w:t>. Done.</w:t>
      </w:r>
    </w:p>
    <w:p>
      <w:pPr>
        <w:pStyle w:val="BodyText"/>
        <w:numPr>
          <w:ilvl w:val="1"/>
          <w:numId w:val="333"/>
        </w:numPr>
        <w:tabs>
          <w:tab w:val="clear" w:pos="709"/>
          <w:tab w:val="left" w:pos="1418" w:leader="none"/>
        </w:tabs>
        <w:bidi w:val="0"/>
        <w:ind w:hanging="283" w:start="1418"/>
        <w:jc w:val="start"/>
        <w:rPr/>
      </w:pPr>
      <w:r>
        <w:rPr/>
        <w:t xml:space="preserve">Back on your chart → </w:t>
      </w:r>
      <w:r>
        <w:rPr>
          <w:b/>
        </w:rPr>
        <w:t>Indicators → Favorites → PP Multi MA</w:t>
      </w:r>
      <w:r>
        <w:rPr/>
        <w:t xml:space="preserve"> → all moving averages appear at once.</w:t>
      </w:r>
    </w:p>
    <w:p>
      <w:pPr>
        <w:pStyle w:val="BodyText"/>
        <w:numPr>
          <w:ilvl w:val="0"/>
          <w:numId w:val="333"/>
        </w:numPr>
        <w:tabs>
          <w:tab w:val="clear" w:pos="709"/>
          <w:tab w:val="left" w:pos="709" w:leader="none"/>
        </w:tabs>
        <w:bidi w:val="0"/>
        <w:ind w:hanging="283" w:start="709"/>
        <w:jc w:val="start"/>
        <w:rPr/>
      </w:pPr>
      <w:r>
        <w:rPr>
          <w:b/>
        </w:rPr>
        <w:t>Trade-off / only drawback:</w:t>
      </w:r>
      <w:r>
        <w:rPr/>
        <w:t xml:space="preserve"> with PP Multi MA you must </w:t>
      </w:r>
      <w:r>
        <w:rPr>
          <w:b/>
        </w:rPr>
        <w:t>view all MAs together — you cannot hide individual ones</w:t>
      </w:r>
      <w:r>
        <w:rPr/>
        <w:t>. Installing them individually lets you hide/show any single MA (e.g. show only the 50).</w:t>
      </w:r>
    </w:p>
    <w:p>
      <w:pPr>
        <w:pStyle w:val="Heading4"/>
        <w:numPr>
          <w:ilvl w:val="0"/>
          <w:numId w:val="0"/>
        </w:numPr>
        <w:bidi w:val="0"/>
        <w:ind w:hanging="0" w:start="0"/>
        <w:jc w:val="start"/>
        <w:rPr/>
      </w:pPr>
      <w:r>
        <w:rPr/>
        <w:t>6.7 Moving Averages and Stock "Personality"</w:t>
      </w:r>
    </w:p>
    <w:p>
      <w:pPr>
        <w:pStyle w:val="BlockQuotation"/>
        <w:bidi w:val="0"/>
        <w:jc w:val="start"/>
        <w:rPr/>
      </w:pPr>
      <w:r>
        <w:rPr/>
        <w:t>"Stocks are like people. We are all different. Same with stocks."</w:t>
      </w:r>
    </w:p>
    <w:p>
      <w:pPr>
        <w:pStyle w:val="BodyText"/>
        <w:numPr>
          <w:ilvl w:val="0"/>
          <w:numId w:val="334"/>
        </w:numPr>
        <w:tabs>
          <w:tab w:val="clear" w:pos="709"/>
          <w:tab w:val="left" w:pos="709" w:leader="none"/>
        </w:tabs>
        <w:bidi w:val="0"/>
        <w:ind w:hanging="283" w:start="709"/>
        <w:jc w:val="start"/>
        <w:rPr/>
      </w:pPr>
      <w:r>
        <w:rPr/>
        <w:t xml:space="preserve">Some stocks like to bounce off the </w:t>
      </w:r>
      <w:r>
        <w:rPr>
          <w:b/>
        </w:rPr>
        <w:t>20</w:t>
      </w:r>
      <w:r>
        <w:rPr/>
        <w:t xml:space="preserve">; others ignore the 20 and bounce off the </w:t>
      </w:r>
      <w:r>
        <w:rPr>
          <w:b/>
        </w:rPr>
        <w:t>40</w:t>
      </w:r>
      <w:r>
        <w:rPr/>
        <w:t xml:space="preserve">; others use the </w:t>
      </w:r>
      <w:r>
        <w:rPr>
          <w:b/>
        </w:rPr>
        <w:t>50</w:t>
      </w:r>
      <w:r>
        <w:rPr/>
        <w:t xml:space="preserve"> or </w:t>
      </w:r>
      <w:r>
        <w:rPr>
          <w:b/>
        </w:rPr>
        <w:t>100</w:t>
      </w:r>
      <w:r>
        <w:rPr/>
        <w:t>.</w:t>
      </w:r>
    </w:p>
    <w:p>
      <w:pPr>
        <w:pStyle w:val="BodyText"/>
        <w:numPr>
          <w:ilvl w:val="0"/>
          <w:numId w:val="334"/>
        </w:numPr>
        <w:tabs>
          <w:tab w:val="clear" w:pos="709"/>
          <w:tab w:val="left" w:pos="709" w:leader="none"/>
        </w:tabs>
        <w:bidi w:val="0"/>
        <w:ind w:hanging="283" w:start="709"/>
        <w:jc w:val="start"/>
        <w:rPr/>
      </w:pPr>
      <w:r>
        <w:rPr>
          <w:b/>
        </w:rPr>
        <w:t>Rule:</w:t>
      </w:r>
      <w:r>
        <w:rPr/>
        <w:t xml:space="preserve"> </w:t>
      </w:r>
      <w:r>
        <w:rPr>
          <w:i/>
        </w:rPr>
        <w:t>Before buying a stock, look at HISTORICALLY which moving averages it bounced off. Determine the "personality" of the stock. Then wait for it to hit its preferred moving average — the one where it tended to bounce in the past — and add shares there.</w:t>
      </w:r>
    </w:p>
    <w:p>
      <w:pPr>
        <w:pStyle w:val="BodyText"/>
        <w:numPr>
          <w:ilvl w:val="0"/>
          <w:numId w:val="334"/>
        </w:numPr>
        <w:tabs>
          <w:tab w:val="clear" w:pos="709"/>
          <w:tab w:val="left" w:pos="709" w:leader="none"/>
        </w:tabs>
        <w:bidi w:val="0"/>
        <w:ind w:hanging="283" w:start="709"/>
        <w:jc w:val="start"/>
        <w:rPr/>
      </w:pPr>
      <w:r>
        <w:rPr/>
        <w:t xml:space="preserve">Adam draws a </w:t>
      </w:r>
      <w:r>
        <w:rPr>
          <w:b/>
        </w:rPr>
        <w:t>horizontal support line at that preferred moving average</w:t>
      </w:r>
      <w:r>
        <w:rPr/>
        <w:t xml:space="preserve"> on the chart.</w:t>
      </w:r>
    </w:p>
    <w:p>
      <w:pPr>
        <w:pStyle w:val="HorizontalLine"/>
        <w:bidi w:val="0"/>
        <w:jc w:val="start"/>
        <w:rPr/>
      </w:pPr>
      <w:r>
        <w:rPr/>
      </w:r>
    </w:p>
    <w:p>
      <w:pPr>
        <w:pStyle w:val="Heading3"/>
        <w:bidi w:val="0"/>
        <w:ind w:hanging="0" w:start="0"/>
        <w:jc w:val="start"/>
        <w:rPr/>
      </w:pPr>
      <w:r>
        <w:rPr/>
        <w:t>7. Trend Identification</w:t>
      </w:r>
    </w:p>
    <w:p>
      <w:pPr>
        <w:pStyle w:val="Heading4"/>
        <w:bidi w:val="0"/>
        <w:ind w:hanging="0" w:start="0"/>
        <w:jc w:val="start"/>
        <w:rPr/>
      </w:pPr>
      <w:r>
        <w:rPr/>
        <w:t>7.1 The Three Trends</w:t>
      </w:r>
    </w:p>
    <w:p>
      <w:pPr>
        <w:pStyle w:val="BodyText"/>
        <w:numPr>
          <w:ilvl w:val="0"/>
          <w:numId w:val="335"/>
        </w:numPr>
        <w:tabs>
          <w:tab w:val="clear" w:pos="709"/>
          <w:tab w:val="left" w:pos="709" w:leader="none"/>
        </w:tabs>
        <w:bidi w:val="0"/>
        <w:ind w:hanging="283" w:start="709"/>
        <w:jc w:val="start"/>
        <w:rPr/>
      </w:pPr>
      <w:r>
        <w:rPr>
          <w:b/>
        </w:rPr>
        <w:t>Uptrend</w:t>
      </w:r>
      <w:r>
        <w:rPr/>
        <w:t xml:space="preserve"> — price generally moves upward</w:t>
      </w:r>
    </w:p>
    <w:p>
      <w:pPr>
        <w:pStyle w:val="BodyText"/>
        <w:numPr>
          <w:ilvl w:val="0"/>
          <w:numId w:val="335"/>
        </w:numPr>
        <w:tabs>
          <w:tab w:val="clear" w:pos="709"/>
          <w:tab w:val="left" w:pos="709" w:leader="none"/>
        </w:tabs>
        <w:bidi w:val="0"/>
        <w:ind w:hanging="283" w:start="709"/>
        <w:jc w:val="start"/>
        <w:rPr/>
      </w:pPr>
      <w:r>
        <w:rPr>
          <w:b/>
        </w:rPr>
        <w:t>Downtrend</w:t>
      </w:r>
      <w:r>
        <w:rPr/>
        <w:t xml:space="preserve"> — price generally moves downward</w:t>
      </w:r>
    </w:p>
    <w:p>
      <w:pPr>
        <w:pStyle w:val="BodyText"/>
        <w:numPr>
          <w:ilvl w:val="0"/>
          <w:numId w:val="335"/>
        </w:numPr>
        <w:tabs>
          <w:tab w:val="clear" w:pos="709"/>
          <w:tab w:val="left" w:pos="709" w:leader="none"/>
        </w:tabs>
        <w:bidi w:val="0"/>
        <w:ind w:hanging="283" w:start="709"/>
        <w:jc w:val="start"/>
        <w:rPr/>
      </w:pPr>
      <w:r>
        <w:rPr>
          <w:b/>
        </w:rPr>
        <w:t>Consolidation</w:t>
      </w:r>
      <w:r>
        <w:rPr/>
        <w:t xml:space="preserve"> — price generally moves sideways</w:t>
      </w:r>
    </w:p>
    <w:p>
      <w:pPr>
        <w:pStyle w:val="Heading4"/>
        <w:numPr>
          <w:ilvl w:val="0"/>
          <w:numId w:val="0"/>
        </w:numPr>
        <w:bidi w:val="0"/>
        <w:ind w:hanging="0" w:start="0"/>
        <w:jc w:val="start"/>
        <w:rPr/>
      </w:pPr>
      <w:r>
        <w:rPr/>
        <w:t>7.2 UPTREND — Definition and Confirmation</w:t>
      </w:r>
    </w:p>
    <w:p>
      <w:pPr>
        <w:pStyle w:val="BodyText"/>
        <w:bidi w:val="0"/>
        <w:jc w:val="start"/>
        <w:rPr/>
      </w:pPr>
      <w:r>
        <w:rPr>
          <w:b/>
        </w:rPr>
        <w:t>Price-structure definition</w:t>
      </w:r>
    </w:p>
    <w:p>
      <w:pPr>
        <w:pStyle w:val="BodyText"/>
        <w:numPr>
          <w:ilvl w:val="0"/>
          <w:numId w:val="336"/>
        </w:numPr>
        <w:tabs>
          <w:tab w:val="clear" w:pos="709"/>
          <w:tab w:val="left" w:pos="709" w:leader="none"/>
        </w:tabs>
        <w:bidi w:val="0"/>
        <w:spacing w:before="0" w:after="0"/>
        <w:ind w:hanging="283" w:start="709"/>
        <w:jc w:val="start"/>
        <w:rPr/>
      </w:pPr>
      <w:r>
        <w:rPr>
          <w:b/>
        </w:rPr>
        <w:t>Higher swing highs AND higher swing lows.</w:t>
      </w:r>
    </w:p>
    <w:p>
      <w:pPr>
        <w:pStyle w:val="BodyText"/>
        <w:numPr>
          <w:ilvl w:val="1"/>
          <w:numId w:val="336"/>
        </w:numPr>
        <w:tabs>
          <w:tab w:val="clear" w:pos="709"/>
          <w:tab w:val="left" w:pos="1418" w:leader="none"/>
        </w:tabs>
        <w:bidi w:val="0"/>
        <w:ind w:hanging="283" w:start="1418"/>
        <w:jc w:val="start"/>
        <w:rPr/>
      </w:pPr>
      <w:r>
        <w:rPr/>
        <w:t xml:space="preserve">Prices still drop on an uptrend — but each drop makes a </w:t>
      </w:r>
      <w:r>
        <w:rPr>
          <w:b/>
        </w:rPr>
        <w:t>swing low higher than the previous low</w:t>
      </w:r>
      <w:r>
        <w:rPr/>
        <w:t xml:space="preserve">, and each rally makes an </w:t>
      </w:r>
      <w:r>
        <w:rPr>
          <w:b/>
        </w:rPr>
        <w:t>even higher high</w:t>
      </w:r>
      <w:r>
        <w:rPr/>
        <w:t>.</w:t>
      </w:r>
    </w:p>
    <w:p>
      <w:pPr>
        <w:pStyle w:val="BodyText"/>
        <w:numPr>
          <w:ilvl w:val="0"/>
          <w:numId w:val="336"/>
        </w:numPr>
        <w:tabs>
          <w:tab w:val="clear" w:pos="709"/>
          <w:tab w:val="left" w:pos="709" w:leader="none"/>
        </w:tabs>
        <w:bidi w:val="0"/>
        <w:ind w:hanging="283" w:start="709"/>
        <w:jc w:val="start"/>
        <w:rPr/>
      </w:pPr>
      <w:r>
        <w:rPr/>
        <w:t xml:space="preserve">Message: </w:t>
      </w:r>
      <w:r>
        <w:rPr>
          <w:b/>
        </w:rPr>
        <w:t>the market is bullish</w:t>
      </w:r>
      <w:r>
        <w:rPr/>
        <w:t xml:space="preserve"> on this stock; probability is price continues higher.</w:t>
      </w:r>
    </w:p>
    <w:p>
      <w:pPr>
        <w:pStyle w:val="BodyText"/>
        <w:bidi w:val="0"/>
        <w:jc w:val="start"/>
        <w:rPr/>
      </w:pPr>
      <w:r>
        <w:rPr>
          <w:b/>
        </w:rPr>
        <w:t>Moving-average confirmation (two clues)</w:t>
      </w:r>
    </w:p>
    <w:p>
      <w:pPr>
        <w:pStyle w:val="BodyText"/>
        <w:numPr>
          <w:ilvl w:val="0"/>
          <w:numId w:val="337"/>
        </w:numPr>
        <w:tabs>
          <w:tab w:val="clear" w:pos="709"/>
          <w:tab w:val="left" w:pos="709" w:leader="none"/>
        </w:tabs>
        <w:bidi w:val="0"/>
        <w:ind w:hanging="283" w:start="709"/>
        <w:jc w:val="start"/>
        <w:rPr/>
      </w:pPr>
      <w:r>
        <w:rPr>
          <w:b/>
        </w:rPr>
        <w:t>All moving averages sloping UPWARDS.</w:t>
      </w:r>
      <w:r>
        <w:rPr/>
        <w:t xml:space="preserve"> "The slope of the moving average tells you the direction of the trend."</w:t>
      </w:r>
    </w:p>
    <w:p>
      <w:pPr>
        <w:pStyle w:val="BodyText"/>
        <w:numPr>
          <w:ilvl w:val="0"/>
          <w:numId w:val="337"/>
        </w:numPr>
        <w:tabs>
          <w:tab w:val="clear" w:pos="709"/>
          <w:tab w:val="left" w:pos="709" w:leader="none"/>
        </w:tabs>
        <w:bidi w:val="0"/>
        <w:ind w:hanging="283" w:start="709"/>
        <w:jc w:val="start"/>
        <w:rPr/>
      </w:pPr>
      <w:r>
        <w:rPr>
          <w:b/>
        </w:rPr>
        <w:t>Sequence: shorter-term MAs ABOVE longer-term MAs</w:t>
      </w:r>
      <w:r>
        <w:rPr/>
        <w:t xml:space="preserve"> → </w:t>
      </w:r>
      <w:r>
        <w:rPr>
          <w:b/>
        </w:rPr>
        <w:t>50 above 100 above 150 above 200.</w:t>
      </w:r>
    </w:p>
    <w:p>
      <w:pPr>
        <w:pStyle w:val="BodyText"/>
        <w:bidi w:val="0"/>
        <w:jc w:val="start"/>
        <w:rPr/>
      </w:pPr>
      <w:r>
        <w:rPr>
          <w:b/>
        </w:rPr>
        <w:t>Wave behaviour</w:t>
      </w:r>
    </w:p>
    <w:p>
      <w:pPr>
        <w:pStyle w:val="BodyText"/>
        <w:numPr>
          <w:ilvl w:val="0"/>
          <w:numId w:val="338"/>
        </w:numPr>
        <w:tabs>
          <w:tab w:val="clear" w:pos="709"/>
          <w:tab w:val="left" w:pos="709" w:leader="none"/>
        </w:tabs>
        <w:bidi w:val="0"/>
        <w:ind w:hanging="283" w:start="709"/>
        <w:jc w:val="start"/>
        <w:rPr/>
      </w:pPr>
      <w:r>
        <w:rPr/>
        <w:t xml:space="preserve">Price moves in </w:t>
      </w:r>
      <w:r>
        <w:rPr>
          <w:b/>
        </w:rPr>
        <w:t>waves</w:t>
      </w:r>
      <w:r>
        <w:rPr/>
        <w:t xml:space="preserve">: wave up, wave down, wave up, wave down — "like a breathing pattern: breathe out, breathe in." The pattern continues </w:t>
      </w:r>
      <w:r>
        <w:rPr>
          <w:b/>
        </w:rPr>
        <w:t>until the trend reverses</w:t>
      </w:r>
      <w:r>
        <w:rPr/>
        <w:t>.</w:t>
      </w:r>
    </w:p>
    <w:p>
      <w:pPr>
        <w:pStyle w:val="BodyText"/>
        <w:numPr>
          <w:ilvl w:val="0"/>
          <w:numId w:val="338"/>
        </w:numPr>
        <w:tabs>
          <w:tab w:val="clear" w:pos="709"/>
          <w:tab w:val="left" w:pos="709" w:leader="none"/>
        </w:tabs>
        <w:bidi w:val="0"/>
        <w:ind w:hanging="283" w:start="709"/>
        <w:jc w:val="start"/>
        <w:rPr/>
      </w:pPr>
      <w:r>
        <w:rPr/>
        <w:t xml:space="preserve">Normal uptrend advances at roughly a </w:t>
      </w:r>
      <w:r>
        <w:rPr>
          <w:b/>
        </w:rPr>
        <w:t>45-degree angle</w:t>
      </w:r>
      <w:r>
        <w:rPr/>
        <w:t>.</w:t>
      </w:r>
    </w:p>
    <w:p>
      <w:pPr>
        <w:pStyle w:val="Heading4"/>
        <w:numPr>
          <w:ilvl w:val="0"/>
          <w:numId w:val="0"/>
        </w:numPr>
        <w:bidi w:val="0"/>
        <w:ind w:hanging="0" w:start="0"/>
        <w:jc w:val="start"/>
        <w:rPr/>
      </w:pPr>
      <w:r>
        <w:rPr/>
        <w:t>7.3 DOWNTREND — Definition and Confirmation</w:t>
      </w:r>
    </w:p>
    <w:p>
      <w:pPr>
        <w:pStyle w:val="BodyText"/>
        <w:bidi w:val="0"/>
        <w:jc w:val="start"/>
        <w:rPr/>
      </w:pPr>
      <w:r>
        <w:rPr>
          <w:b/>
        </w:rPr>
        <w:t>Price-structure definition</w:t>
      </w:r>
    </w:p>
    <w:p>
      <w:pPr>
        <w:pStyle w:val="BodyText"/>
        <w:numPr>
          <w:ilvl w:val="0"/>
          <w:numId w:val="339"/>
        </w:numPr>
        <w:tabs>
          <w:tab w:val="clear" w:pos="709"/>
          <w:tab w:val="left" w:pos="709" w:leader="none"/>
        </w:tabs>
        <w:bidi w:val="0"/>
        <w:spacing w:before="0" w:after="0"/>
        <w:ind w:hanging="283" w:start="709"/>
        <w:jc w:val="start"/>
        <w:rPr/>
      </w:pPr>
      <w:r>
        <w:rPr>
          <w:b/>
        </w:rPr>
        <w:t>Lower swing highs AND lower swing lows.</w:t>
      </w:r>
    </w:p>
    <w:p>
      <w:pPr>
        <w:pStyle w:val="BodyText"/>
        <w:numPr>
          <w:ilvl w:val="1"/>
          <w:numId w:val="339"/>
        </w:numPr>
        <w:tabs>
          <w:tab w:val="clear" w:pos="709"/>
          <w:tab w:val="left" w:pos="1418" w:leader="none"/>
        </w:tabs>
        <w:bidi w:val="0"/>
        <w:ind w:hanging="283" w:start="1418"/>
        <w:jc w:val="start"/>
        <w:rPr/>
      </w:pPr>
      <w:r>
        <w:rPr/>
        <w:t xml:space="preserve">Prices still go up on a downtrend — each rise is a </w:t>
      </w:r>
      <w:r>
        <w:rPr>
          <w:b/>
        </w:rPr>
        <w:t>short-term rally</w:t>
      </w:r>
      <w:r>
        <w:rPr/>
        <w:t xml:space="preserve"> — but each rally tops out </w:t>
      </w:r>
      <w:r>
        <w:rPr>
          <w:b/>
        </w:rPr>
        <w:t>lower than the last</w:t>
      </w:r>
      <w:r>
        <w:rPr/>
        <w:t xml:space="preserve">, and each drop goes </w:t>
      </w:r>
      <w:r>
        <w:rPr>
          <w:b/>
        </w:rPr>
        <w:t>lower than the last</w:t>
      </w:r>
      <w:r>
        <w:rPr/>
        <w:t>.</w:t>
      </w:r>
    </w:p>
    <w:p>
      <w:pPr>
        <w:pStyle w:val="BodyText"/>
        <w:numPr>
          <w:ilvl w:val="0"/>
          <w:numId w:val="339"/>
        </w:numPr>
        <w:tabs>
          <w:tab w:val="clear" w:pos="709"/>
          <w:tab w:val="left" w:pos="709" w:leader="none"/>
        </w:tabs>
        <w:bidi w:val="0"/>
        <w:ind w:hanging="283" w:start="709"/>
        <w:jc w:val="start"/>
        <w:rPr/>
      </w:pPr>
      <w:r>
        <w:rPr/>
        <w:t xml:space="preserve">Message: </w:t>
      </w:r>
      <w:r>
        <w:rPr>
          <w:b/>
        </w:rPr>
        <w:t>the market is bearish / pessimistic</w:t>
      </w:r>
      <w:r>
        <w:rPr/>
        <w:t>; probability is price continues downward.</w:t>
      </w:r>
    </w:p>
    <w:p>
      <w:pPr>
        <w:pStyle w:val="BodyText"/>
        <w:numPr>
          <w:ilvl w:val="0"/>
          <w:numId w:val="339"/>
        </w:numPr>
        <w:tabs>
          <w:tab w:val="clear" w:pos="709"/>
          <w:tab w:val="left" w:pos="709" w:leader="none"/>
        </w:tabs>
        <w:bidi w:val="0"/>
        <w:ind w:hanging="283" w:start="709"/>
        <w:jc w:val="start"/>
        <w:rPr/>
      </w:pPr>
      <w:r>
        <w:rPr/>
        <w:t xml:space="preserve">"Even if it's a great company and it's undervalued, on a downtrend, because of the downward momentum — </w:t>
      </w:r>
      <w:r>
        <w:rPr>
          <w:b/>
        </w:rPr>
        <w:t>cheap can get cheaper, low can get lower.</w:t>
      </w:r>
      <w:r>
        <w:rPr/>
        <w:t>"</w:t>
      </w:r>
    </w:p>
    <w:p>
      <w:pPr>
        <w:pStyle w:val="BodyText"/>
        <w:bidi w:val="0"/>
        <w:jc w:val="start"/>
        <w:rPr/>
      </w:pPr>
      <w:r>
        <w:rPr>
          <w:b/>
        </w:rPr>
        <w:t>Moving-average confirmation (two clues — exact opposite of uptrend)</w:t>
      </w:r>
    </w:p>
    <w:p>
      <w:pPr>
        <w:pStyle w:val="BodyText"/>
        <w:numPr>
          <w:ilvl w:val="0"/>
          <w:numId w:val="340"/>
        </w:numPr>
        <w:tabs>
          <w:tab w:val="clear" w:pos="709"/>
          <w:tab w:val="left" w:pos="709" w:leader="none"/>
        </w:tabs>
        <w:bidi w:val="0"/>
        <w:ind w:hanging="283" w:start="709"/>
        <w:jc w:val="start"/>
        <w:rPr/>
      </w:pPr>
      <w:r>
        <w:rPr>
          <w:b/>
        </w:rPr>
        <w:t>All moving averages sloping DOWNWARDS</w:t>
      </w:r>
      <w:r>
        <w:rPr/>
        <w:t xml:space="preserve"> (50, 100, 150, 200 all sloping down).</w:t>
      </w:r>
    </w:p>
    <w:p>
      <w:pPr>
        <w:pStyle w:val="BodyText"/>
        <w:numPr>
          <w:ilvl w:val="0"/>
          <w:numId w:val="340"/>
        </w:numPr>
        <w:tabs>
          <w:tab w:val="clear" w:pos="709"/>
          <w:tab w:val="left" w:pos="709" w:leader="none"/>
        </w:tabs>
        <w:bidi w:val="0"/>
        <w:ind w:hanging="283" w:start="709"/>
        <w:jc w:val="start"/>
        <w:rPr/>
      </w:pPr>
      <w:r>
        <w:rPr>
          <w:b/>
        </w:rPr>
        <w:t>Sequence reversed: longer-term MAs ABOVE shorter-term MAs</w:t>
      </w:r>
      <w:r>
        <w:rPr/>
        <w:t xml:space="preserve"> → </w:t>
      </w:r>
      <w:r>
        <w:rPr>
          <w:b/>
        </w:rPr>
        <w:t>200 above 150 above 50.</w:t>
      </w:r>
    </w:p>
    <w:p>
      <w:pPr>
        <w:pStyle w:val="BodyText"/>
        <w:bidi w:val="0"/>
        <w:jc w:val="start"/>
        <w:rPr/>
      </w:pPr>
      <w:r>
        <w:rPr>
          <w:b/>
        </w:rPr>
        <w:t>Timeframe note</w:t>
      </w:r>
    </w:p>
    <w:p>
      <w:pPr>
        <w:pStyle w:val="BodyText"/>
        <w:numPr>
          <w:ilvl w:val="0"/>
          <w:numId w:val="341"/>
        </w:numPr>
        <w:tabs>
          <w:tab w:val="clear" w:pos="709"/>
          <w:tab w:val="left" w:pos="709" w:leader="none"/>
        </w:tabs>
        <w:bidi w:val="0"/>
        <w:ind w:hanging="283" w:start="709"/>
        <w:jc w:val="start"/>
        <w:rPr/>
      </w:pPr>
      <w:r>
        <w:rPr/>
        <w:t xml:space="preserve">Downtrends can appear on </w:t>
      </w:r>
      <w:r>
        <w:rPr>
          <w:b/>
        </w:rPr>
        <w:t>daily and weekly</w:t>
      </w:r>
      <w:r>
        <w:rPr/>
        <w:t>.</w:t>
      </w:r>
    </w:p>
    <w:p>
      <w:pPr>
        <w:pStyle w:val="BodyText"/>
        <w:numPr>
          <w:ilvl w:val="0"/>
          <w:numId w:val="341"/>
        </w:numPr>
        <w:tabs>
          <w:tab w:val="clear" w:pos="709"/>
          <w:tab w:val="left" w:pos="709" w:leader="none"/>
        </w:tabs>
        <w:bidi w:val="0"/>
        <w:ind w:hanging="283" w:start="709"/>
        <w:jc w:val="start"/>
        <w:rPr/>
      </w:pPr>
      <w:r>
        <w:rPr/>
        <w:t xml:space="preserve">On the </w:t>
      </w:r>
      <w:r>
        <w:rPr>
          <w:b/>
        </w:rPr>
        <w:t>monthly</w:t>
      </w:r>
      <w:r>
        <w:rPr/>
        <w:t xml:space="preserve"> you normally do </w:t>
      </w:r>
      <w:r>
        <w:rPr>
          <w:b/>
        </w:rPr>
        <w:t>not</w:t>
      </w:r>
      <w:r>
        <w:rPr/>
        <w:t xml:space="preserve"> see a downtrend for a good company — the monthly is the long-term trend and it should always be going up.</w:t>
      </w:r>
    </w:p>
    <w:p>
      <w:pPr>
        <w:pStyle w:val="BodyText"/>
        <w:numPr>
          <w:ilvl w:val="0"/>
          <w:numId w:val="341"/>
        </w:numPr>
        <w:tabs>
          <w:tab w:val="clear" w:pos="709"/>
          <w:tab w:val="left" w:pos="709" w:leader="none"/>
        </w:tabs>
        <w:bidi w:val="0"/>
        <w:ind w:hanging="283" w:start="709"/>
        <w:jc w:val="start"/>
        <w:rPr/>
      </w:pPr>
      <w:r>
        <w:rPr>
          <w:b/>
        </w:rPr>
        <w:t>If the long-term monthly trend is going down → do not touch that company.</w:t>
      </w:r>
    </w:p>
    <w:p>
      <w:pPr>
        <w:pStyle w:val="BodyText"/>
        <w:numPr>
          <w:ilvl w:val="0"/>
          <w:numId w:val="341"/>
        </w:numPr>
        <w:tabs>
          <w:tab w:val="clear" w:pos="709"/>
          <w:tab w:val="left" w:pos="709" w:leader="none"/>
        </w:tabs>
        <w:bidi w:val="0"/>
        <w:ind w:hanging="283" w:start="709"/>
        <w:jc w:val="start"/>
        <w:rPr/>
      </w:pPr>
      <w:r>
        <w:rPr/>
        <w:t>Daily and weekly downtrends in an otherwise-good company: "</w:t>
      </w:r>
      <w:r>
        <w:rPr>
          <w:b/>
        </w:rPr>
        <w:t>that's fine. I don't sweat it.</w:t>
      </w:r>
      <w:r>
        <w:rPr/>
        <w:t>"</w:t>
      </w:r>
    </w:p>
    <w:p>
      <w:pPr>
        <w:pStyle w:val="Heading4"/>
        <w:numPr>
          <w:ilvl w:val="0"/>
          <w:numId w:val="0"/>
        </w:numPr>
        <w:bidi w:val="0"/>
        <w:ind w:hanging="0" w:start="0"/>
        <w:jc w:val="start"/>
        <w:rPr/>
      </w:pPr>
      <w:r>
        <w:rPr/>
        <w:t>7.4 TREND-CHANGE RULES (from Lesson 2 — DAILY timeframe specifically)</w:t>
      </w:r>
    </w:p>
    <w:p>
      <w:pPr>
        <w:pStyle w:val="BodyText"/>
        <w:bidi w:val="0"/>
        <w:jc w:val="start"/>
        <w:rPr/>
      </w:pPr>
      <w:r>
        <w:rPr>
          <w:b/>
        </w:rPr>
        <w:t>Uptrend → Downtrend reversal. BOTH conditions required:</w:t>
      </w:r>
    </w:p>
    <w:p>
      <w:pPr>
        <w:pStyle w:val="BodyText"/>
        <w:numPr>
          <w:ilvl w:val="0"/>
          <w:numId w:val="342"/>
        </w:numPr>
        <w:tabs>
          <w:tab w:val="clear" w:pos="709"/>
          <w:tab w:val="left" w:pos="709" w:leader="none"/>
        </w:tabs>
        <w:bidi w:val="0"/>
        <w:spacing w:before="0" w:after="0"/>
        <w:ind w:hanging="283" w:start="709"/>
        <w:jc w:val="start"/>
        <w:rPr/>
      </w:pPr>
      <w:r>
        <w:rPr>
          <w:b/>
        </w:rPr>
        <w:t>The 50 MA (blue) must flatten or slope DOWNWARDS</w:t>
      </w:r>
      <w:r>
        <w:rPr/>
        <w:t xml:space="preserve">, AND </w:t>
      </w:r>
      <w:r>
        <w:rPr>
          <w:b/>
        </w:rPr>
        <w:t>the 150 MA (green) must flatten or slope DOWNWARDS.</w:t>
      </w:r>
    </w:p>
    <w:p>
      <w:pPr>
        <w:pStyle w:val="BodyText"/>
        <w:numPr>
          <w:ilvl w:val="1"/>
          <w:numId w:val="342"/>
        </w:numPr>
        <w:tabs>
          <w:tab w:val="clear" w:pos="709"/>
          <w:tab w:val="left" w:pos="1418" w:leader="none"/>
        </w:tabs>
        <w:bidi w:val="0"/>
        <w:ind w:hanging="283" w:start="1418"/>
        <w:jc w:val="start"/>
        <w:rPr/>
      </w:pPr>
      <w:r>
        <w:rPr>
          <w:b/>
        </w:rPr>
        <w:t>If EITHER one is still sloping up, it is NOT a change of trend.</w:t>
      </w:r>
      <w:r>
        <w:rPr/>
        <w:t xml:space="preserve"> Both must be flat or sloping down.</w:t>
      </w:r>
    </w:p>
    <w:p>
      <w:pPr>
        <w:pStyle w:val="BodyText"/>
        <w:numPr>
          <w:ilvl w:val="0"/>
          <w:numId w:val="342"/>
        </w:numPr>
        <w:tabs>
          <w:tab w:val="clear" w:pos="709"/>
          <w:tab w:val="left" w:pos="709" w:leader="none"/>
        </w:tabs>
        <w:bidi w:val="0"/>
        <w:ind w:hanging="283" w:start="709"/>
        <w:jc w:val="start"/>
        <w:rPr/>
      </w:pPr>
      <w:r>
        <w:rPr>
          <w:b/>
        </w:rPr>
        <w:t>The 50 MA must CROSS BELOW the 150 MA</w:t>
      </w:r>
      <w:r>
        <w:rPr/>
        <w:t xml:space="preserve"> (blue crosses under green).</w:t>
      </w:r>
    </w:p>
    <w:p>
      <w:pPr>
        <w:pStyle w:val="BodyText"/>
        <w:numPr>
          <w:ilvl w:val="0"/>
          <w:numId w:val="343"/>
        </w:numPr>
        <w:tabs>
          <w:tab w:val="clear" w:pos="709"/>
          <w:tab w:val="left" w:pos="709" w:leader="none"/>
        </w:tabs>
        <w:bidi w:val="0"/>
        <w:ind w:hanging="283" w:start="709"/>
        <w:jc w:val="start"/>
        <w:rPr/>
      </w:pPr>
      <w:r>
        <w:rPr/>
        <w:t xml:space="preserve">Both satisfied → </w:t>
      </w:r>
      <w:r>
        <w:rPr>
          <w:b/>
        </w:rPr>
        <w:t>the uptrend has reversed into a downtrend.</w:t>
      </w:r>
    </w:p>
    <w:p>
      <w:pPr>
        <w:pStyle w:val="BodyText"/>
        <w:bidi w:val="0"/>
        <w:jc w:val="start"/>
        <w:rPr/>
      </w:pPr>
      <w:r>
        <w:rPr>
          <w:b/>
        </w:rPr>
        <w:t>Downtrend → Uptrend reversal. The exact opposite, BOTH required:</w:t>
      </w:r>
    </w:p>
    <w:p>
      <w:pPr>
        <w:pStyle w:val="BodyText"/>
        <w:numPr>
          <w:ilvl w:val="0"/>
          <w:numId w:val="344"/>
        </w:numPr>
        <w:tabs>
          <w:tab w:val="clear" w:pos="709"/>
          <w:tab w:val="left" w:pos="709" w:leader="none"/>
        </w:tabs>
        <w:bidi w:val="0"/>
        <w:ind w:hanging="283" w:start="709"/>
        <w:jc w:val="start"/>
        <w:rPr/>
      </w:pPr>
      <w:r>
        <w:rPr/>
        <w:t xml:space="preserve">The </w:t>
      </w:r>
      <w:r>
        <w:rPr>
          <w:b/>
        </w:rPr>
        <w:t>50 must flatten and slope UP</w:t>
      </w:r>
      <w:r>
        <w:rPr/>
        <w:t xml:space="preserve">, AND the </w:t>
      </w:r>
      <w:r>
        <w:rPr>
          <w:b/>
        </w:rPr>
        <w:t>150 must flatten and slope UP</w:t>
      </w:r>
      <w:r>
        <w:rPr/>
        <w:t>.</w:t>
      </w:r>
    </w:p>
    <w:p>
      <w:pPr>
        <w:pStyle w:val="BodyText"/>
        <w:numPr>
          <w:ilvl w:val="0"/>
          <w:numId w:val="344"/>
        </w:numPr>
        <w:tabs>
          <w:tab w:val="clear" w:pos="709"/>
          <w:tab w:val="left" w:pos="709" w:leader="none"/>
        </w:tabs>
        <w:bidi w:val="0"/>
        <w:ind w:hanging="283" w:start="709"/>
        <w:jc w:val="start"/>
        <w:rPr/>
      </w:pPr>
      <w:r>
        <w:rPr/>
        <w:t xml:space="preserve">The </w:t>
      </w:r>
      <w:r>
        <w:rPr>
          <w:b/>
        </w:rPr>
        <w:t>50 must cross back ABOVE the 150</w:t>
      </w:r>
      <w:r>
        <w:rPr/>
        <w:t>.</w:t>
      </w:r>
    </w:p>
    <w:p>
      <w:pPr>
        <w:pStyle w:val="BodyText"/>
        <w:numPr>
          <w:ilvl w:val="0"/>
          <w:numId w:val="345"/>
        </w:numPr>
        <w:tabs>
          <w:tab w:val="clear" w:pos="709"/>
          <w:tab w:val="left" w:pos="709" w:leader="none"/>
        </w:tabs>
        <w:bidi w:val="0"/>
        <w:ind w:hanging="283" w:start="709"/>
        <w:jc w:val="start"/>
        <w:rPr/>
      </w:pPr>
      <w:r>
        <w:rPr>
          <w:b/>
        </w:rPr>
        <w:t>Invalidation example given (Mercado Libre):</w:t>
      </w:r>
      <w:r>
        <w:rPr/>
        <w:t xml:space="preserve"> the blue 50 crossed above the green 150 — </w:t>
      </w:r>
      <w:r>
        <w:rPr>
          <w:b/>
        </w:rPr>
        <w:t>but the green 150 was still sloping down → NOT a valid uptrend confirmation.</w:t>
      </w:r>
      <w:r>
        <w:rPr/>
        <w:t xml:space="preserve"> You must wait for </w:t>
      </w:r>
      <w:r>
        <w:rPr>
          <w:b/>
        </w:rPr>
        <w:t>both</w:t>
      </w:r>
      <w:r>
        <w:rPr/>
        <w:t xml:space="preserve"> lines to flatten and slope up.</w:t>
      </w:r>
    </w:p>
    <w:p>
      <w:pPr>
        <w:pStyle w:val="Heading4"/>
        <w:numPr>
          <w:ilvl w:val="0"/>
          <w:numId w:val="0"/>
        </w:numPr>
        <w:bidi w:val="0"/>
        <w:ind w:hanging="0" w:start="0"/>
        <w:jc w:val="start"/>
        <w:rPr/>
      </w:pPr>
      <w:r>
        <w:rPr/>
        <w:t>7.5 CONSOLIDATION / CHANNEL — Definition</w:t>
      </w:r>
    </w:p>
    <w:p>
      <w:pPr>
        <w:pStyle w:val="BodyText"/>
        <w:numPr>
          <w:ilvl w:val="0"/>
          <w:numId w:val="346"/>
        </w:numPr>
        <w:tabs>
          <w:tab w:val="clear" w:pos="709"/>
          <w:tab w:val="left" w:pos="709" w:leader="none"/>
        </w:tabs>
        <w:bidi w:val="0"/>
        <w:ind w:hanging="283" w:start="709"/>
        <w:jc w:val="start"/>
        <w:rPr/>
      </w:pPr>
      <w:r>
        <w:rPr>
          <w:b/>
        </w:rPr>
        <w:t>Same highs, same lows</w:t>
      </w:r>
      <w:r>
        <w:rPr/>
        <w:t xml:space="preserve"> (contrast: uptrend = higher highs/higher lows; downtrend = lower highs/lower lows).</w:t>
      </w:r>
    </w:p>
    <w:p>
      <w:pPr>
        <w:pStyle w:val="BodyText"/>
        <w:numPr>
          <w:ilvl w:val="0"/>
          <w:numId w:val="346"/>
        </w:numPr>
        <w:tabs>
          <w:tab w:val="clear" w:pos="709"/>
          <w:tab w:val="left" w:pos="709" w:leader="none"/>
        </w:tabs>
        <w:bidi w:val="0"/>
        <w:spacing w:before="0" w:after="0"/>
        <w:ind w:hanging="283" w:start="709"/>
        <w:jc w:val="start"/>
        <w:rPr/>
      </w:pPr>
      <w:r>
        <w:rPr>
          <w:b/>
        </w:rPr>
        <w:t>Confirmation rule:</w:t>
      </w:r>
    </w:p>
    <w:p>
      <w:pPr>
        <w:pStyle w:val="BodyText"/>
        <w:numPr>
          <w:ilvl w:val="1"/>
          <w:numId w:val="346"/>
        </w:numPr>
        <w:tabs>
          <w:tab w:val="clear" w:pos="709"/>
          <w:tab w:val="left" w:pos="1418" w:leader="none"/>
        </w:tabs>
        <w:bidi w:val="0"/>
        <w:ind w:hanging="283" w:start="1418"/>
        <w:jc w:val="start"/>
        <w:rPr/>
      </w:pPr>
      <w:r>
        <w:rPr>
          <w:b/>
        </w:rPr>
        <w:t>Three same highs</w:t>
      </w:r>
      <w:r>
        <w:rPr/>
        <w:t xml:space="preserve"> → confirms a </w:t>
      </w:r>
      <w:r>
        <w:rPr>
          <w:b/>
        </w:rPr>
        <w:t>resistance</w:t>
      </w:r>
      <w:r>
        <w:rPr/>
        <w:t>.</w:t>
      </w:r>
    </w:p>
    <w:p>
      <w:pPr>
        <w:pStyle w:val="BodyText"/>
        <w:numPr>
          <w:ilvl w:val="1"/>
          <w:numId w:val="346"/>
        </w:numPr>
        <w:tabs>
          <w:tab w:val="clear" w:pos="709"/>
          <w:tab w:val="left" w:pos="1418" w:leader="none"/>
        </w:tabs>
        <w:bidi w:val="0"/>
        <w:ind w:hanging="283" w:start="1418"/>
        <w:jc w:val="start"/>
        <w:rPr/>
      </w:pPr>
      <w:r>
        <w:rPr>
          <w:b/>
        </w:rPr>
        <w:t>Three same lows</w:t>
      </w:r>
      <w:r>
        <w:rPr/>
        <w:t xml:space="preserve"> → confirms a </w:t>
      </w:r>
      <w:r>
        <w:rPr>
          <w:b/>
        </w:rPr>
        <w:t>support</w:t>
      </w:r>
      <w:r>
        <w:rPr/>
        <w:t>.</w:t>
      </w:r>
    </w:p>
    <w:p>
      <w:pPr>
        <w:pStyle w:val="BodyText"/>
        <w:numPr>
          <w:ilvl w:val="1"/>
          <w:numId w:val="346"/>
        </w:numPr>
        <w:tabs>
          <w:tab w:val="clear" w:pos="709"/>
          <w:tab w:val="left" w:pos="1418" w:leader="none"/>
        </w:tabs>
        <w:bidi w:val="0"/>
        <w:ind w:hanging="283" w:start="1418"/>
        <w:jc w:val="start"/>
        <w:rPr/>
      </w:pPr>
      <w:r>
        <w:rPr/>
        <w:t xml:space="preserve">Price sandwiched between the two = a </w:t>
      </w:r>
      <w:r>
        <w:rPr>
          <w:b/>
        </w:rPr>
        <w:t>CHANNEL</w:t>
      </w:r>
      <w:r>
        <w:rPr/>
        <w:t xml:space="preserve"> (a range).</w:t>
      </w:r>
    </w:p>
    <w:p>
      <w:pPr>
        <w:pStyle w:val="BodyText"/>
        <w:numPr>
          <w:ilvl w:val="0"/>
          <w:numId w:val="346"/>
        </w:numPr>
        <w:tabs>
          <w:tab w:val="clear" w:pos="709"/>
          <w:tab w:val="left" w:pos="709" w:leader="none"/>
        </w:tabs>
        <w:bidi w:val="0"/>
        <w:spacing w:before="0" w:after="0"/>
        <w:ind w:hanging="283" w:start="709"/>
        <w:jc w:val="start"/>
        <w:rPr/>
      </w:pPr>
      <w:r>
        <w:rPr>
          <w:b/>
        </w:rPr>
        <w:t>Moving averages in consolidation:</w:t>
      </w:r>
    </w:p>
    <w:p>
      <w:pPr>
        <w:pStyle w:val="BodyText"/>
        <w:numPr>
          <w:ilvl w:val="1"/>
          <w:numId w:val="346"/>
        </w:numPr>
        <w:tabs>
          <w:tab w:val="clear" w:pos="709"/>
          <w:tab w:val="left" w:pos="1418" w:leader="none"/>
        </w:tabs>
        <w:bidi w:val="0"/>
        <w:ind w:hanging="283" w:start="1418"/>
        <w:jc w:val="start"/>
        <w:rPr/>
      </w:pPr>
      <w:r>
        <w:rPr/>
        <w:t xml:space="preserve">They </w:t>
      </w:r>
      <w:r>
        <w:rPr>
          <w:b/>
        </w:rPr>
        <w:t>move sideways and crisscross each other</w:t>
      </w:r>
      <w:r>
        <w:rPr/>
        <w:t xml:space="preserve"> back and forth.</w:t>
      </w:r>
    </w:p>
    <w:p>
      <w:pPr>
        <w:pStyle w:val="BodyText"/>
        <w:numPr>
          <w:ilvl w:val="1"/>
          <w:numId w:val="346"/>
        </w:numPr>
        <w:tabs>
          <w:tab w:val="clear" w:pos="709"/>
          <w:tab w:val="left" w:pos="1418" w:leader="none"/>
        </w:tabs>
        <w:bidi w:val="0"/>
        <w:ind w:hanging="283" w:start="1418"/>
        <w:jc w:val="start"/>
        <w:rPr/>
      </w:pPr>
      <w:r>
        <w:rPr>
          <w:b/>
        </w:rPr>
        <w:t>They do NOT act as support levels in a consolidation.</w:t>
      </w:r>
    </w:p>
    <w:p>
      <w:pPr>
        <w:pStyle w:val="BodyText"/>
        <w:numPr>
          <w:ilvl w:val="1"/>
          <w:numId w:val="346"/>
        </w:numPr>
        <w:tabs>
          <w:tab w:val="clear" w:pos="709"/>
          <w:tab w:val="left" w:pos="1418" w:leader="none"/>
        </w:tabs>
        <w:bidi w:val="0"/>
        <w:ind w:hanging="283" w:start="1418"/>
        <w:jc w:val="start"/>
        <w:rPr/>
      </w:pPr>
      <w:r>
        <w:rPr>
          <w:b/>
        </w:rPr>
        <w:t>Therefore: in a consolidation, IGNORE the moving averages entirely.</w:t>
      </w:r>
      <w:r>
        <w:rPr/>
        <w:t xml:space="preserve"> "The moving averages are useless in a consolidation."</w:t>
      </w:r>
    </w:p>
    <w:p>
      <w:pPr>
        <w:pStyle w:val="BodyText"/>
        <w:numPr>
          <w:ilvl w:val="1"/>
          <w:numId w:val="346"/>
        </w:numPr>
        <w:tabs>
          <w:tab w:val="clear" w:pos="709"/>
          <w:tab w:val="left" w:pos="1418" w:leader="none"/>
        </w:tabs>
        <w:bidi w:val="0"/>
        <w:ind w:hanging="283" w:start="1418"/>
        <w:jc w:val="start"/>
        <w:rPr/>
      </w:pPr>
      <w:r>
        <w:rPr/>
        <w:t xml:space="preserve">Look </w:t>
      </w:r>
      <w:r>
        <w:rPr>
          <w:b/>
        </w:rPr>
        <w:t>only</w:t>
      </w:r>
      <w:r>
        <w:rPr/>
        <w:t xml:space="preserve"> at the drawn support level and the drawn resistance level. "That's it, that's all I look for."</w:t>
      </w:r>
    </w:p>
    <w:p>
      <w:pPr>
        <w:pStyle w:val="HorizontalLine"/>
        <w:bidi w:val="0"/>
        <w:jc w:val="start"/>
        <w:rPr/>
      </w:pPr>
      <w:r>
        <w:rPr/>
      </w:r>
    </w:p>
    <w:p>
      <w:pPr>
        <w:pStyle w:val="Heading3"/>
        <w:bidi w:val="0"/>
        <w:ind w:hanging="0" w:start="0"/>
        <w:jc w:val="start"/>
        <w:rPr/>
      </w:pPr>
      <w:r>
        <w:rPr/>
        <w:t>8. BUYING ON UPTRENDS</w:t>
      </w:r>
    </w:p>
    <w:p>
      <w:pPr>
        <w:pStyle w:val="Heading4"/>
        <w:bidi w:val="0"/>
        <w:ind w:hanging="0" w:start="0"/>
        <w:jc w:val="start"/>
        <w:rPr/>
      </w:pPr>
      <w:r>
        <w:rPr/>
        <w:t>8.1 The First Golden Rule</w:t>
      </w:r>
    </w:p>
    <w:p>
      <w:pPr>
        <w:pStyle w:val="BlockQuotation"/>
        <w:bidi w:val="0"/>
        <w:jc w:val="start"/>
        <w:rPr/>
      </w:pPr>
      <w:r>
        <w:rPr>
          <w:b/>
        </w:rPr>
        <w:t>If the price is on an uptrend, you always BUY THE DIP of the uptrend.</w:t>
      </w:r>
    </w:p>
    <w:p>
      <w:pPr>
        <w:pStyle w:val="BodyText"/>
        <w:numPr>
          <w:ilvl w:val="0"/>
          <w:numId w:val="347"/>
        </w:numPr>
        <w:tabs>
          <w:tab w:val="clear" w:pos="709"/>
          <w:tab w:val="left" w:pos="709" w:leader="none"/>
        </w:tabs>
        <w:bidi w:val="0"/>
        <w:ind w:hanging="283" w:start="709"/>
        <w:jc w:val="start"/>
        <w:rPr/>
      </w:pPr>
      <w:r>
        <w:rPr/>
        <w:t xml:space="preserve">Buy </w:t>
      </w:r>
      <w:r>
        <w:rPr>
          <w:b/>
        </w:rPr>
        <w:t>after a wave DOWN</w:t>
      </w:r>
      <w:r>
        <w:rPr/>
        <w:t>, never after a wave up.</w:t>
      </w:r>
    </w:p>
    <w:p>
      <w:pPr>
        <w:pStyle w:val="BodyText"/>
        <w:numPr>
          <w:ilvl w:val="0"/>
          <w:numId w:val="347"/>
        </w:numPr>
        <w:tabs>
          <w:tab w:val="clear" w:pos="709"/>
          <w:tab w:val="left" w:pos="709" w:leader="none"/>
        </w:tabs>
        <w:bidi w:val="0"/>
        <w:ind w:hanging="283" w:start="709"/>
        <w:jc w:val="start"/>
        <w:rPr/>
      </w:pPr>
      <w:r>
        <w:rPr/>
        <w:t xml:space="preserve">Logic: if you buy after a wave up, the tendency is that it </w:t>
      </w:r>
      <w:r>
        <w:rPr>
          <w:b/>
        </w:rPr>
        <w:t>waves down right after you buy</w:t>
      </w:r>
      <w:r>
        <w:rPr/>
        <w:t xml:space="preserve">. Buy after a wave down and price tends to </w:t>
      </w:r>
      <w:r>
        <w:rPr>
          <w:b/>
        </w:rPr>
        <w:t>wave up right after your entry</w:t>
      </w:r>
      <w:r>
        <w:rPr/>
        <w:t>, so you're immediately above your entry price.</w:t>
      </w:r>
    </w:p>
    <w:p>
      <w:pPr>
        <w:pStyle w:val="BodyText"/>
        <w:numPr>
          <w:ilvl w:val="0"/>
          <w:numId w:val="347"/>
        </w:numPr>
        <w:tabs>
          <w:tab w:val="clear" w:pos="709"/>
          <w:tab w:val="left" w:pos="709" w:leader="none"/>
        </w:tabs>
        <w:bidi w:val="0"/>
        <w:ind w:hanging="283" w:start="709"/>
        <w:jc w:val="start"/>
        <w:rPr/>
      </w:pPr>
      <w:r>
        <w:rPr/>
        <w:t xml:space="preserve">Not a guarantee — but </w:t>
      </w:r>
      <w:r>
        <w:rPr>
          <w:b/>
        </w:rPr>
        <w:t>increases returns over time</w:t>
      </w:r>
      <w:r>
        <w:rPr/>
        <w:t>.</w:t>
      </w:r>
    </w:p>
    <w:p>
      <w:pPr>
        <w:pStyle w:val="Heading4"/>
        <w:numPr>
          <w:ilvl w:val="0"/>
          <w:numId w:val="0"/>
        </w:numPr>
        <w:bidi w:val="0"/>
        <w:ind w:hanging="0" w:start="0"/>
        <w:jc w:val="start"/>
        <w:rPr/>
      </w:pPr>
      <w:r>
        <w:rPr/>
        <w:t>8.2 Dip Size Terminology (from earlier lessons)</w:t>
      </w:r>
    </w:p>
    <w:p>
      <w:pPr>
        <w:pStyle w:val="BodyText"/>
        <w:numPr>
          <w:ilvl w:val="0"/>
          <w:numId w:val="348"/>
        </w:numPr>
        <w:tabs>
          <w:tab w:val="clear" w:pos="709"/>
          <w:tab w:val="left" w:pos="709" w:leader="none"/>
        </w:tabs>
        <w:bidi w:val="0"/>
        <w:ind w:hanging="283" w:start="709"/>
        <w:jc w:val="start"/>
        <w:rPr/>
      </w:pPr>
      <w:r>
        <w:rPr>
          <w:b/>
        </w:rPr>
        <w:t>Pullback</w:t>
      </w:r>
      <w:r>
        <w:rPr/>
        <w:t xml:space="preserve"> = a wave down of </w:t>
      </w:r>
      <w:r>
        <w:rPr>
          <w:b/>
        </w:rPr>
        <w:t>less than 10%</w:t>
      </w:r>
    </w:p>
    <w:p>
      <w:pPr>
        <w:pStyle w:val="BodyText"/>
        <w:numPr>
          <w:ilvl w:val="0"/>
          <w:numId w:val="348"/>
        </w:numPr>
        <w:tabs>
          <w:tab w:val="clear" w:pos="709"/>
          <w:tab w:val="left" w:pos="709" w:leader="none"/>
        </w:tabs>
        <w:bidi w:val="0"/>
        <w:ind w:hanging="283" w:start="709"/>
        <w:jc w:val="start"/>
        <w:rPr/>
      </w:pPr>
      <w:r>
        <w:rPr>
          <w:b/>
        </w:rPr>
        <w:t>Correction</w:t>
      </w:r>
      <w:r>
        <w:rPr/>
        <w:t xml:space="preserve"> = a wave down of </w:t>
      </w:r>
      <w:r>
        <w:rPr>
          <w:b/>
        </w:rPr>
        <w:t>more than 10%</w:t>
      </w:r>
    </w:p>
    <w:p>
      <w:pPr>
        <w:pStyle w:val="BodyText"/>
        <w:numPr>
          <w:ilvl w:val="0"/>
          <w:numId w:val="348"/>
        </w:numPr>
        <w:tabs>
          <w:tab w:val="clear" w:pos="709"/>
          <w:tab w:val="left" w:pos="709" w:leader="none"/>
        </w:tabs>
        <w:bidi w:val="0"/>
        <w:ind w:hanging="283" w:start="709"/>
        <w:jc w:val="start"/>
        <w:rPr/>
      </w:pPr>
      <w:r>
        <w:rPr>
          <w:b/>
        </w:rPr>
        <w:t>Frequency:</w:t>
      </w:r>
      <w:r>
        <w:rPr/>
        <w:t xml:space="preserve"> every year you get </w:t>
      </w:r>
      <w:r>
        <w:rPr>
          <w:b/>
        </w:rPr>
        <w:t>at least three pullbacks</w:t>
      </w:r>
      <w:r>
        <w:rPr/>
        <w:t xml:space="preserve"> and </w:t>
      </w:r>
      <w:r>
        <w:rPr>
          <w:b/>
        </w:rPr>
        <w:t>at least one correction</w:t>
      </w:r>
      <w:r>
        <w:rPr/>
        <w:t xml:space="preserve"> → these are your buying windows.</w:t>
      </w:r>
    </w:p>
    <w:p>
      <w:pPr>
        <w:pStyle w:val="BodyText"/>
        <w:numPr>
          <w:ilvl w:val="0"/>
          <w:numId w:val="348"/>
        </w:numPr>
        <w:tabs>
          <w:tab w:val="clear" w:pos="709"/>
          <w:tab w:val="left" w:pos="709" w:leader="none"/>
        </w:tabs>
        <w:bidi w:val="0"/>
        <w:ind w:hanging="283" w:start="709"/>
        <w:jc w:val="start"/>
        <w:rPr/>
      </w:pPr>
      <w:r>
        <w:rPr/>
        <w:t xml:space="preserve">Precondition: </w:t>
      </w:r>
      <w:r>
        <w:rPr>
          <w:b/>
        </w:rPr>
        <w:t>provided it is a good company and it is currently undervalued.</w:t>
      </w:r>
    </w:p>
    <w:p>
      <w:pPr>
        <w:pStyle w:val="Heading4"/>
        <w:numPr>
          <w:ilvl w:val="0"/>
          <w:numId w:val="0"/>
        </w:numPr>
        <w:bidi w:val="0"/>
        <w:ind w:hanging="0" w:start="0"/>
        <w:jc w:val="start"/>
        <w:rPr/>
      </w:pPr>
      <w:r>
        <w:rPr/>
        <w:t>8.3 Locating the Potential Bottom of the Wave Down</w:t>
      </w:r>
    </w:p>
    <w:p>
      <w:pPr>
        <w:pStyle w:val="BodyText"/>
        <w:numPr>
          <w:ilvl w:val="0"/>
          <w:numId w:val="349"/>
        </w:numPr>
        <w:tabs>
          <w:tab w:val="clear" w:pos="709"/>
          <w:tab w:val="left" w:pos="709" w:leader="none"/>
        </w:tabs>
        <w:bidi w:val="0"/>
        <w:ind w:hanging="283" w:start="709"/>
        <w:jc w:val="start"/>
        <w:rPr/>
      </w:pPr>
      <w:r>
        <w:rPr/>
        <w:t xml:space="preserve">No one can predict the absolute bottom. But we can make </w:t>
      </w:r>
      <w:r>
        <w:rPr>
          <w:b/>
        </w:rPr>
        <w:t>intelligent probabilistic guesses</w:t>
      </w:r>
      <w:r>
        <w:rPr/>
        <w:t xml:space="preserve"> and buy at </w:t>
      </w:r>
      <w:r>
        <w:rPr>
          <w:b/>
        </w:rPr>
        <w:t>potential bottoms</w:t>
      </w:r>
      <w:r>
        <w:rPr/>
        <w:t>.</w:t>
      </w:r>
    </w:p>
    <w:p>
      <w:pPr>
        <w:pStyle w:val="BodyText"/>
        <w:numPr>
          <w:ilvl w:val="0"/>
          <w:numId w:val="349"/>
        </w:numPr>
        <w:tabs>
          <w:tab w:val="clear" w:pos="709"/>
          <w:tab w:val="left" w:pos="709" w:leader="none"/>
        </w:tabs>
        <w:bidi w:val="0"/>
        <w:ind w:hanging="283" w:start="709"/>
        <w:jc w:val="start"/>
        <w:rPr/>
      </w:pPr>
      <w:r>
        <w:rPr>
          <w:b/>
        </w:rPr>
        <w:t>Tool: MOVING AVERAGES.</w:t>
      </w:r>
      <w:r>
        <w:rPr/>
        <w:t xml:space="preserve"> When a stock is on a clear uptrend and it waves down, it </w:t>
      </w:r>
      <w:r>
        <w:rPr>
          <w:b/>
        </w:rPr>
        <w:t>tends to find support at one of the moving averages</w:t>
      </w:r>
      <w:r>
        <w:rPr/>
        <w:t>.</w:t>
      </w:r>
    </w:p>
    <w:p>
      <w:pPr>
        <w:pStyle w:val="Heading4"/>
        <w:numPr>
          <w:ilvl w:val="0"/>
          <w:numId w:val="0"/>
        </w:numPr>
        <w:bidi w:val="0"/>
        <w:ind w:hanging="0" w:start="0"/>
        <w:jc w:val="start"/>
        <w:rPr/>
      </w:pPr>
      <w:r>
        <w:rPr/>
        <w:t>8.4 UPTREND ENTRY RULES (numbered)</w:t>
      </w:r>
    </w:p>
    <w:p>
      <w:pPr>
        <w:pStyle w:val="BodyText"/>
        <w:numPr>
          <w:ilvl w:val="0"/>
          <w:numId w:val="350"/>
        </w:numPr>
        <w:tabs>
          <w:tab w:val="clear" w:pos="709"/>
          <w:tab w:val="left" w:pos="709" w:leader="none"/>
        </w:tabs>
        <w:bidi w:val="0"/>
        <w:ind w:hanging="283" w:start="709"/>
        <w:jc w:val="start"/>
        <w:rPr/>
      </w:pPr>
      <w:r>
        <w:rPr>
          <w:b/>
        </w:rPr>
        <w:t>Confirm long-term uptrend:</w:t>
      </w:r>
      <w:r>
        <w:rPr/>
        <w:t xml:space="preserve"> 10-year monthly chart is rising (long-term performer). Reject if not.</w:t>
      </w:r>
    </w:p>
    <w:p>
      <w:pPr>
        <w:pStyle w:val="BodyText"/>
        <w:numPr>
          <w:ilvl w:val="0"/>
          <w:numId w:val="350"/>
        </w:numPr>
        <w:tabs>
          <w:tab w:val="clear" w:pos="709"/>
          <w:tab w:val="left" w:pos="709" w:leader="none"/>
        </w:tabs>
        <w:bidi w:val="0"/>
        <w:ind w:hanging="283" w:start="709"/>
        <w:jc w:val="start"/>
        <w:rPr/>
      </w:pPr>
      <w:r>
        <w:rPr>
          <w:b/>
        </w:rPr>
        <w:t>Confirm the stock is on an uptrend</w:t>
      </w:r>
      <w:r>
        <w:rPr/>
        <w:t xml:space="preserve"> on the timeframe you're working: higher swing highs + higher swing lows; all MAs sloping up; 50 above 100 above 150 above 200.</w:t>
      </w:r>
    </w:p>
    <w:p>
      <w:pPr>
        <w:pStyle w:val="BodyText"/>
        <w:numPr>
          <w:ilvl w:val="0"/>
          <w:numId w:val="350"/>
        </w:numPr>
        <w:tabs>
          <w:tab w:val="clear" w:pos="709"/>
          <w:tab w:val="left" w:pos="709" w:leader="none"/>
        </w:tabs>
        <w:bidi w:val="0"/>
        <w:ind w:hanging="283" w:start="709"/>
        <w:jc w:val="start"/>
        <w:rPr/>
      </w:pPr>
      <w:r>
        <w:rPr>
          <w:b/>
        </w:rPr>
        <w:t>Confirm fundamentals:</w:t>
      </w:r>
      <w:r>
        <w:rPr/>
        <w:t xml:space="preserve"> it is a </w:t>
      </w:r>
      <w:r>
        <w:rPr>
          <w:b/>
        </w:rPr>
        <w:t>great company</w:t>
      </w:r>
      <w:r>
        <w:rPr/>
        <w:t>.</w:t>
      </w:r>
    </w:p>
    <w:p>
      <w:pPr>
        <w:pStyle w:val="BodyText"/>
        <w:numPr>
          <w:ilvl w:val="0"/>
          <w:numId w:val="350"/>
        </w:numPr>
        <w:tabs>
          <w:tab w:val="clear" w:pos="709"/>
          <w:tab w:val="left" w:pos="709" w:leader="none"/>
        </w:tabs>
        <w:bidi w:val="0"/>
        <w:ind w:hanging="283" w:start="709"/>
        <w:jc w:val="start"/>
        <w:rPr/>
      </w:pPr>
      <w:r>
        <w:rPr>
          <w:b/>
        </w:rPr>
        <w:t>Confirm valuation:</w:t>
      </w:r>
      <w:r>
        <w:rPr/>
        <w:t xml:space="preserve"> the price is </w:t>
      </w:r>
      <w:r>
        <w:rPr>
          <w:b/>
        </w:rPr>
        <w:t>BELOW your calculated intrinsic value</w:t>
      </w:r>
      <w:r>
        <w:rPr/>
        <w:t xml:space="preserve">. (Adam: "Ultimately remember that </w:t>
      </w:r>
      <w:r>
        <w:rPr>
          <w:b/>
        </w:rPr>
        <w:t>we only buy when the stock price is below the intrinsic value</w:t>
      </w:r>
      <w:r>
        <w:rPr/>
        <w:t>.")</w:t>
      </w:r>
    </w:p>
    <w:p>
      <w:pPr>
        <w:pStyle w:val="BodyText"/>
        <w:numPr>
          <w:ilvl w:val="0"/>
          <w:numId w:val="350"/>
        </w:numPr>
        <w:tabs>
          <w:tab w:val="clear" w:pos="709"/>
          <w:tab w:val="left" w:pos="709" w:leader="none"/>
        </w:tabs>
        <w:bidi w:val="0"/>
        <w:ind w:hanging="283" w:start="709"/>
        <w:jc w:val="start"/>
        <w:rPr/>
      </w:pPr>
      <w:r>
        <w:rPr>
          <w:b/>
        </w:rPr>
        <w:t>Wait for a wave DOWN</w:t>
      </w:r>
      <w:r>
        <w:rPr/>
        <w:t xml:space="preserve"> (a pullback or a correction). Do not chase a wave up.</w:t>
      </w:r>
    </w:p>
    <w:p>
      <w:pPr>
        <w:pStyle w:val="BodyText"/>
        <w:numPr>
          <w:ilvl w:val="0"/>
          <w:numId w:val="350"/>
        </w:numPr>
        <w:tabs>
          <w:tab w:val="clear" w:pos="709"/>
          <w:tab w:val="left" w:pos="709" w:leader="none"/>
        </w:tabs>
        <w:bidi w:val="0"/>
        <w:spacing w:before="0" w:after="0"/>
        <w:ind w:hanging="283" w:start="709"/>
        <w:jc w:val="start"/>
        <w:rPr/>
      </w:pPr>
      <w:r>
        <w:rPr>
          <w:b/>
        </w:rPr>
        <w:t>Identify the support the stock is falling into</w:t>
      </w:r>
      <w:r>
        <w:rPr/>
        <w:t xml:space="preserve"> — either</w:t>
      </w:r>
    </w:p>
    <w:p>
      <w:pPr>
        <w:pStyle w:val="BodyText"/>
        <w:numPr>
          <w:ilvl w:val="1"/>
          <w:numId w:val="350"/>
        </w:numPr>
        <w:tabs>
          <w:tab w:val="clear" w:pos="709"/>
          <w:tab w:val="left" w:pos="1418" w:leader="none"/>
        </w:tabs>
        <w:bidi w:val="0"/>
        <w:ind w:hanging="283" w:start="1418"/>
        <w:jc w:val="start"/>
        <w:rPr/>
      </w:pPr>
      <w:r>
        <w:rPr/>
        <w:t xml:space="preserve">a </w:t>
      </w:r>
      <w:r>
        <w:rPr>
          <w:b/>
        </w:rPr>
        <w:t>drawn horizontal support</w:t>
      </w:r>
      <w:r>
        <w:rPr/>
        <w:t xml:space="preserve"> (from swing lows or from a broken resistance), or</w:t>
      </w:r>
    </w:p>
    <w:p>
      <w:pPr>
        <w:pStyle w:val="BodyText"/>
        <w:numPr>
          <w:ilvl w:val="1"/>
          <w:numId w:val="350"/>
        </w:numPr>
        <w:tabs>
          <w:tab w:val="clear" w:pos="709"/>
          <w:tab w:val="left" w:pos="1418" w:leader="none"/>
        </w:tabs>
        <w:bidi w:val="0"/>
        <w:ind w:hanging="283" w:start="1418"/>
        <w:jc w:val="start"/>
        <w:rPr/>
      </w:pPr>
      <w:r>
        <w:rPr/>
        <w:t xml:space="preserve">the </w:t>
      </w:r>
      <w:r>
        <w:rPr>
          <w:b/>
        </w:rPr>
        <w:t>moving average this specific stock historically bounces off</w:t>
      </w:r>
      <w:r>
        <w:rPr/>
        <w:t xml:space="preserve"> (its "personality").</w:t>
      </w:r>
    </w:p>
    <w:p>
      <w:pPr>
        <w:pStyle w:val="BodyText"/>
        <w:numPr>
          <w:ilvl w:val="1"/>
          <w:numId w:val="350"/>
        </w:numPr>
        <w:tabs>
          <w:tab w:val="clear" w:pos="709"/>
          <w:tab w:val="left" w:pos="1418" w:leader="none"/>
        </w:tabs>
        <w:bidi w:val="0"/>
        <w:ind w:hanging="283" w:start="1418"/>
        <w:jc w:val="start"/>
        <w:rPr/>
      </w:pPr>
      <w:r>
        <w:rPr/>
        <w:t xml:space="preserve">Use the correct MA set for the timeframe: </w:t>
      </w:r>
      <w:r>
        <w:rPr>
          <w:b/>
        </w:rPr>
        <w:t>daily → 50/100/150/200 SMA; weekly &amp; monthly → 20/40 EMA also apply.</w:t>
      </w:r>
    </w:p>
    <w:p>
      <w:pPr>
        <w:pStyle w:val="BodyText"/>
        <w:numPr>
          <w:ilvl w:val="0"/>
          <w:numId w:val="350"/>
        </w:numPr>
        <w:tabs>
          <w:tab w:val="clear" w:pos="709"/>
          <w:tab w:val="left" w:pos="709" w:leader="none"/>
        </w:tabs>
        <w:bidi w:val="0"/>
        <w:ind w:hanging="283" w:start="709"/>
        <w:jc w:val="start"/>
        <w:rPr/>
      </w:pPr>
      <w:r>
        <w:rPr>
          <w:b/>
        </w:rPr>
        <w:t>When price hits the FIRST support level, buy only a portion</w:t>
      </w:r>
      <w:r>
        <w:rPr/>
        <w:t xml:space="preserve"> — "I buy a bit first. I don't buy all the shares."</w:t>
      </w:r>
    </w:p>
    <w:p>
      <w:pPr>
        <w:pStyle w:val="BodyText"/>
        <w:numPr>
          <w:ilvl w:val="0"/>
          <w:numId w:val="350"/>
        </w:numPr>
        <w:tabs>
          <w:tab w:val="clear" w:pos="709"/>
          <w:tab w:val="left" w:pos="709" w:leader="none"/>
        </w:tabs>
        <w:bidi w:val="0"/>
        <w:ind w:hanging="283" w:start="709"/>
        <w:jc w:val="start"/>
        <w:rPr/>
      </w:pPr>
      <w:r>
        <w:rPr>
          <w:b/>
        </w:rPr>
        <w:t>(Optional, more conservative confirmation)</w:t>
      </w:r>
      <w:r>
        <w:rPr/>
        <w:t xml:space="preserve"> — Wait for price to touch the support/moving average </w:t>
      </w:r>
      <w:r>
        <w:rPr>
          <w:b/>
        </w:rPr>
        <w:t>and then wait for a GREEN (bullish) candle to print</w:t>
      </w:r>
      <w:r>
        <w:rPr/>
        <w:t xml:space="preserve"> — i.e. wait until it looks like it's bouncing — before entering.</w:t>
      </w:r>
    </w:p>
    <w:p>
      <w:pPr>
        <w:pStyle w:val="BodyText"/>
        <w:numPr>
          <w:ilvl w:val="0"/>
          <w:numId w:val="350"/>
        </w:numPr>
        <w:tabs>
          <w:tab w:val="clear" w:pos="709"/>
          <w:tab w:val="left" w:pos="709" w:leader="none"/>
        </w:tabs>
        <w:bidi w:val="0"/>
        <w:ind w:hanging="283" w:start="709"/>
        <w:jc w:val="start"/>
        <w:rPr/>
      </w:pPr>
      <w:r>
        <w:rPr>
          <w:b/>
        </w:rPr>
        <w:t>If price breaks below that support</w:t>
      </w:r>
      <w:r>
        <w:rPr/>
        <w:t xml:space="preserve">, do not panic — </w:t>
      </w:r>
      <w:r>
        <w:rPr>
          <w:b/>
        </w:rPr>
        <w:t>watch the NEXT moving average / next support level down</w:t>
      </w:r>
      <w:r>
        <w:rPr/>
        <w:t xml:space="preserve">. When it hits that level and bounces, </w:t>
      </w:r>
      <w:r>
        <w:rPr>
          <w:b/>
        </w:rPr>
        <w:t>add more shares</w:t>
      </w:r>
      <w:r>
        <w:rPr/>
        <w:t>.</w:t>
      </w:r>
    </w:p>
    <w:p>
      <w:pPr>
        <w:pStyle w:val="BodyText"/>
        <w:numPr>
          <w:ilvl w:val="0"/>
          <w:numId w:val="350"/>
        </w:numPr>
        <w:tabs>
          <w:tab w:val="clear" w:pos="709"/>
          <w:tab w:val="left" w:pos="709" w:leader="none"/>
        </w:tabs>
        <w:bidi w:val="0"/>
        <w:ind w:hanging="283" w:start="709"/>
        <w:jc w:val="start"/>
        <w:rPr/>
      </w:pPr>
      <w:r>
        <w:rPr>
          <w:b/>
        </w:rPr>
        <w:t>Repeat at each successively lower support</w:t>
      </w:r>
      <w:r>
        <w:rPr/>
        <w:t xml:space="preserve">, scaling in. </w:t>
      </w:r>
      <w:r>
        <w:rPr>
          <w:b/>
        </w:rPr>
        <w:t>Adam buys over about FOUR TRANCHES.</w:t>
      </w:r>
    </w:p>
    <w:p>
      <w:pPr>
        <w:pStyle w:val="BodyText"/>
        <w:numPr>
          <w:ilvl w:val="0"/>
          <w:numId w:val="350"/>
        </w:numPr>
        <w:tabs>
          <w:tab w:val="clear" w:pos="709"/>
          <w:tab w:val="left" w:pos="709" w:leader="none"/>
        </w:tabs>
        <w:bidi w:val="0"/>
        <w:ind w:hanging="283" w:start="709"/>
        <w:jc w:val="start"/>
        <w:rPr/>
      </w:pPr>
      <w:r>
        <w:rPr>
          <w:b/>
        </w:rPr>
        <w:t>Size the tranche by the degree of undervaluation</w:t>
      </w:r>
      <w:r>
        <w:rPr/>
        <w:t xml:space="preserve"> — if only </w:t>
      </w:r>
      <w:r>
        <w:rPr>
          <w:i/>
        </w:rPr>
        <w:t>slightly</w:t>
      </w:r>
      <w:r>
        <w:rPr/>
        <w:t xml:space="preserve"> below intrinsic value, "</w:t>
      </w:r>
      <w:r>
        <w:rPr>
          <w:b/>
        </w:rPr>
        <w:t>nibble a small portion</w:t>
      </w:r>
      <w:r>
        <w:rPr/>
        <w:t xml:space="preserve">"; buy more heavily only when </w:t>
      </w:r>
      <w:r>
        <w:rPr>
          <w:b/>
        </w:rPr>
        <w:t>significantly undervalued</w:t>
      </w:r>
      <w:r>
        <w:rPr/>
        <w:t>.</w:t>
      </w:r>
    </w:p>
    <w:p>
      <w:pPr>
        <w:pStyle w:val="BodyText"/>
        <w:numPr>
          <w:ilvl w:val="0"/>
          <w:numId w:val="350"/>
        </w:numPr>
        <w:tabs>
          <w:tab w:val="clear" w:pos="709"/>
          <w:tab w:val="left" w:pos="709" w:leader="none"/>
        </w:tabs>
        <w:bidi w:val="0"/>
        <w:ind w:hanging="283" w:start="709"/>
        <w:jc w:val="start"/>
        <w:rPr/>
      </w:pPr>
      <w:r>
        <w:rPr>
          <w:b/>
        </w:rPr>
        <w:t>Exit logic:</w:t>
      </w:r>
      <w:r>
        <w:rPr/>
        <w:t xml:space="preserve"> none required from the chart while it remains a great company — see §9.5 (Adam no longer sells on trend change).</w:t>
      </w:r>
    </w:p>
    <w:p>
      <w:pPr>
        <w:pStyle w:val="Heading4"/>
        <w:numPr>
          <w:ilvl w:val="0"/>
          <w:numId w:val="0"/>
        </w:numPr>
        <w:bidi w:val="0"/>
        <w:ind w:hanging="0" w:start="0"/>
        <w:jc w:val="start"/>
        <w:rPr/>
      </w:pPr>
      <w:r>
        <w:rPr/>
        <w:t>8.5 Worked Uptrend Examples</w:t>
      </w:r>
    </w:p>
    <w:p>
      <w:pPr>
        <w:pStyle w:val="BodyText"/>
        <w:bidi w:val="0"/>
        <w:jc w:val="start"/>
        <w:rPr/>
      </w:pPr>
      <w:r>
        <w:rPr>
          <w:b/>
        </w:rPr>
        <w:t>Microsoft (MSFT) — daily, period A</w:t>
      </w:r>
    </w:p>
    <w:p>
      <w:pPr>
        <w:pStyle w:val="BodyText"/>
        <w:numPr>
          <w:ilvl w:val="0"/>
          <w:numId w:val="351"/>
        </w:numPr>
        <w:tabs>
          <w:tab w:val="clear" w:pos="709"/>
          <w:tab w:val="left" w:pos="709" w:leader="none"/>
        </w:tabs>
        <w:bidi w:val="0"/>
        <w:ind w:hanging="283" w:start="709"/>
        <w:jc w:val="start"/>
        <w:rPr/>
      </w:pPr>
      <w:r>
        <w:rPr/>
        <w:t>Clear uptrend: higher swing highs, higher swing lows, wave up / wave down pattern.</w:t>
      </w:r>
    </w:p>
    <w:p>
      <w:pPr>
        <w:pStyle w:val="BodyText"/>
        <w:numPr>
          <w:ilvl w:val="0"/>
          <w:numId w:val="351"/>
        </w:numPr>
        <w:tabs>
          <w:tab w:val="clear" w:pos="709"/>
          <w:tab w:val="left" w:pos="709" w:leader="none"/>
        </w:tabs>
        <w:bidi w:val="0"/>
        <w:ind w:hanging="283" w:start="709"/>
        <w:jc w:val="start"/>
        <w:rPr/>
      </w:pPr>
      <w:r>
        <w:rPr>
          <w:b/>
        </w:rPr>
        <w:t>Every wave down found support near the 50 SMA (blue)</w:t>
      </w:r>
      <w:r>
        <w:rPr/>
        <w:t xml:space="preserve"> — hit blue, bounced; five-plus times.</w:t>
      </w:r>
    </w:p>
    <w:p>
      <w:pPr>
        <w:pStyle w:val="BodyText"/>
        <w:numPr>
          <w:ilvl w:val="0"/>
          <w:numId w:val="351"/>
        </w:numPr>
        <w:tabs>
          <w:tab w:val="clear" w:pos="709"/>
          <w:tab w:val="left" w:pos="709" w:leader="none"/>
        </w:tabs>
        <w:bidi w:val="0"/>
        <w:ind w:hanging="283" w:start="709"/>
        <w:jc w:val="start"/>
        <w:rPr/>
      </w:pPr>
      <w:r>
        <w:rPr/>
        <w:t xml:space="preserve">Once you notice this pattern, </w:t>
      </w:r>
      <w:r>
        <w:rPr>
          <w:b/>
        </w:rPr>
        <w:t>any subsequent drop back near the 50 MA is a potential entry</w:t>
      </w:r>
      <w:r>
        <w:rPr/>
        <w:t>.</w:t>
      </w:r>
    </w:p>
    <w:p>
      <w:pPr>
        <w:pStyle w:val="BodyText"/>
        <w:bidi w:val="0"/>
        <w:jc w:val="start"/>
        <w:rPr/>
      </w:pPr>
      <w:r>
        <w:rPr>
          <w:b/>
        </w:rPr>
        <w:t>Microsoft (MSFT) — daily, period B (different period)</w:t>
      </w:r>
    </w:p>
    <w:p>
      <w:pPr>
        <w:pStyle w:val="BodyText"/>
        <w:numPr>
          <w:ilvl w:val="0"/>
          <w:numId w:val="352"/>
        </w:numPr>
        <w:tabs>
          <w:tab w:val="clear" w:pos="709"/>
          <w:tab w:val="left" w:pos="709" w:leader="none"/>
        </w:tabs>
        <w:bidi w:val="0"/>
        <w:ind w:hanging="283" w:start="709"/>
        <w:jc w:val="start"/>
        <w:rPr/>
      </w:pPr>
      <w:r>
        <w:rPr/>
        <w:t xml:space="preserve">The </w:t>
      </w:r>
      <w:r>
        <w:rPr>
          <w:b/>
        </w:rPr>
        <w:t>50 SMA support broke</w:t>
      </w:r>
      <w:r>
        <w:rPr/>
        <w:t xml:space="preserve">; price then found support at the </w:t>
      </w:r>
      <w:r>
        <w:rPr>
          <w:b/>
        </w:rPr>
        <w:t>100 SMA (orange)</w:t>
      </w:r>
      <w:r>
        <w:rPr/>
        <w:t xml:space="preserve"> — hit orange, bounced, four-plus times.</w:t>
      </w:r>
    </w:p>
    <w:p>
      <w:pPr>
        <w:pStyle w:val="BodyText"/>
        <w:numPr>
          <w:ilvl w:val="0"/>
          <w:numId w:val="352"/>
        </w:numPr>
        <w:tabs>
          <w:tab w:val="clear" w:pos="709"/>
          <w:tab w:val="left" w:pos="709" w:leader="none"/>
        </w:tabs>
        <w:bidi w:val="0"/>
        <w:ind w:hanging="283" w:start="709"/>
        <w:jc w:val="start"/>
        <w:rPr/>
      </w:pPr>
      <w:r>
        <w:rPr/>
        <w:t xml:space="preserve">Later in the same chart, a wave down again found support at the </w:t>
      </w:r>
      <w:r>
        <w:rPr>
          <w:b/>
        </w:rPr>
        <w:t>50</w:t>
      </w:r>
      <w:r>
        <w:rPr/>
        <w:t xml:space="preserve"> and bounced → another buy point.</w:t>
      </w:r>
    </w:p>
    <w:p>
      <w:pPr>
        <w:pStyle w:val="BodyText"/>
        <w:numPr>
          <w:ilvl w:val="0"/>
          <w:numId w:val="352"/>
        </w:numPr>
        <w:tabs>
          <w:tab w:val="clear" w:pos="709"/>
          <w:tab w:val="left" w:pos="709" w:leader="none"/>
        </w:tabs>
        <w:bidi w:val="0"/>
        <w:ind w:hanging="283" w:start="709"/>
        <w:jc w:val="start"/>
        <w:rPr/>
      </w:pPr>
      <w:r>
        <w:rPr>
          <w:b/>
        </w:rPr>
        <w:t>Illustrates the scale-in rule:</w:t>
      </w:r>
      <w:r>
        <w:rPr/>
        <w:t xml:space="preserve"> buy a bit at the 50; if it breaks, add more at the 100.</w:t>
      </w:r>
    </w:p>
    <w:p>
      <w:pPr>
        <w:pStyle w:val="BodyText"/>
        <w:bidi w:val="0"/>
        <w:jc w:val="start"/>
        <w:rPr/>
      </w:pPr>
      <w:r>
        <w:rPr>
          <w:b/>
        </w:rPr>
        <w:t>Microsoft (MSFT) — weekly</w:t>
      </w:r>
    </w:p>
    <w:p>
      <w:pPr>
        <w:pStyle w:val="BodyText"/>
        <w:numPr>
          <w:ilvl w:val="0"/>
          <w:numId w:val="353"/>
        </w:numPr>
        <w:tabs>
          <w:tab w:val="clear" w:pos="709"/>
          <w:tab w:val="left" w:pos="709" w:leader="none"/>
        </w:tabs>
        <w:bidi w:val="0"/>
        <w:ind w:hanging="283" w:start="709"/>
        <w:jc w:val="start"/>
        <w:rPr/>
      </w:pPr>
      <w:r>
        <w:rPr/>
        <w:t xml:space="preserve">On the weekly, </w:t>
      </w:r>
      <w:r>
        <w:rPr>
          <w:b/>
        </w:rPr>
        <w:t>the 20 EMA (thin red line) acted as the strong support</w:t>
      </w:r>
      <w:r>
        <w:rPr/>
        <w:t xml:space="preserve"> — wave up, wave down, hit the 20 EMA, bounce; repeated many times. "That would be a great place to add shares."</w:t>
      </w:r>
    </w:p>
    <w:p>
      <w:pPr>
        <w:pStyle w:val="BodyText"/>
        <w:bidi w:val="0"/>
        <w:jc w:val="start"/>
        <w:rPr/>
      </w:pPr>
      <w:r>
        <w:rPr>
          <w:b/>
        </w:rPr>
        <w:t>Google (GOOGL) — monthly</w:t>
      </w:r>
    </w:p>
    <w:p>
      <w:pPr>
        <w:pStyle w:val="BodyText"/>
        <w:numPr>
          <w:ilvl w:val="0"/>
          <w:numId w:val="354"/>
        </w:numPr>
        <w:tabs>
          <w:tab w:val="clear" w:pos="709"/>
          <w:tab w:val="left" w:pos="709" w:leader="none"/>
        </w:tabs>
        <w:bidi w:val="0"/>
        <w:ind w:hanging="283" w:start="709"/>
        <w:jc w:val="start"/>
        <w:rPr/>
      </w:pPr>
      <w:r>
        <w:rPr/>
        <w:t xml:space="preserve">Over a long period, </w:t>
      </w:r>
      <w:r>
        <w:rPr>
          <w:b/>
        </w:rPr>
        <w:t>every wave down found support at the 20 EMA (red) on monthly candles</w:t>
      </w:r>
      <w:r>
        <w:rPr/>
        <w:t>.</w:t>
      </w:r>
    </w:p>
    <w:p>
      <w:pPr>
        <w:pStyle w:val="BodyText"/>
        <w:numPr>
          <w:ilvl w:val="0"/>
          <w:numId w:val="354"/>
        </w:numPr>
        <w:tabs>
          <w:tab w:val="clear" w:pos="709"/>
          <w:tab w:val="left" w:pos="709" w:leader="none"/>
        </w:tabs>
        <w:bidi w:val="0"/>
        <w:ind w:hanging="283" w:start="709"/>
        <w:jc w:val="start"/>
        <w:rPr/>
      </w:pPr>
      <w:r>
        <w:rPr/>
        <w:t xml:space="preserve">Every touch of that red line = an area to buy — </w:t>
      </w:r>
      <w:r>
        <w:rPr>
          <w:b/>
        </w:rPr>
        <w:t>provided it is undervalued</w:t>
      </w:r>
      <w:r>
        <w:rPr/>
        <w:t>.</w:t>
      </w:r>
    </w:p>
    <w:p>
      <w:pPr>
        <w:pStyle w:val="BodyText"/>
        <w:numPr>
          <w:ilvl w:val="0"/>
          <w:numId w:val="354"/>
        </w:numPr>
        <w:tabs>
          <w:tab w:val="clear" w:pos="709"/>
          <w:tab w:val="left" w:pos="709" w:leader="none"/>
        </w:tabs>
        <w:bidi w:val="0"/>
        <w:ind w:hanging="283" w:start="709"/>
        <w:jc w:val="start"/>
        <w:rPr/>
      </w:pPr>
      <w:r>
        <w:rPr/>
        <w:t xml:space="preserve">Precondition restated: "You've got to calculate the intrinsic value first… always ensure the price is below the intrinsic value </w:t>
      </w:r>
      <w:r>
        <w:rPr>
          <w:b/>
        </w:rPr>
        <w:t>and</w:t>
      </w:r>
      <w:r>
        <w:rPr/>
        <w:t xml:space="preserve"> it hits a support level where it has tended to bounce in the past."</w:t>
      </w:r>
    </w:p>
    <w:p>
      <w:pPr>
        <w:pStyle w:val="Heading4"/>
        <w:numPr>
          <w:ilvl w:val="0"/>
          <w:numId w:val="0"/>
        </w:numPr>
        <w:bidi w:val="0"/>
        <w:ind w:hanging="0" w:start="0"/>
        <w:jc w:val="start"/>
        <w:rPr/>
      </w:pPr>
      <w:r>
        <w:rPr/>
        <w:t>8.6 FULL WORKED EXAMPLE — Microsoft, Three-Timeframe Build (the model workflow)</w:t>
      </w:r>
    </w:p>
    <w:p>
      <w:pPr>
        <w:pStyle w:val="BodyText"/>
        <w:bidi w:val="0"/>
        <w:jc w:val="start"/>
        <w:rPr/>
      </w:pPr>
      <w:r>
        <w:rPr>
          <w:b/>
        </w:rPr>
        <w:t>Step 1 — 10-year monthly</w:t>
      </w:r>
    </w:p>
    <w:p>
      <w:pPr>
        <w:pStyle w:val="BodyText"/>
        <w:numPr>
          <w:ilvl w:val="0"/>
          <w:numId w:val="355"/>
        </w:numPr>
        <w:tabs>
          <w:tab w:val="clear" w:pos="709"/>
          <w:tab w:val="left" w:pos="709" w:leader="none"/>
        </w:tabs>
        <w:bidi w:val="0"/>
        <w:ind w:hanging="283" w:start="709"/>
        <w:jc w:val="start"/>
        <w:rPr/>
      </w:pPr>
      <w:r>
        <w:rPr/>
        <w:t xml:space="preserve">Click "All" → monthly by default → drag back ~10 years → enable </w:t>
      </w:r>
      <w:r>
        <w:rPr>
          <w:b/>
        </w:rPr>
        <w:t>log scale</w:t>
      </w:r>
      <w:r>
        <w:rPr/>
        <w:t>.</w:t>
      </w:r>
    </w:p>
    <w:p>
      <w:pPr>
        <w:pStyle w:val="BodyText"/>
        <w:numPr>
          <w:ilvl w:val="0"/>
          <w:numId w:val="355"/>
        </w:numPr>
        <w:tabs>
          <w:tab w:val="clear" w:pos="709"/>
          <w:tab w:val="left" w:pos="709" w:leader="none"/>
        </w:tabs>
        <w:bidi w:val="0"/>
        <w:ind w:hanging="283" w:start="709"/>
        <w:jc w:val="start"/>
        <w:rPr/>
      </w:pPr>
      <w:r>
        <w:rPr>
          <w:b/>
        </w:rPr>
        <w:t>Q: Is it on a clear uptrend? Yes.</w:t>
      </w:r>
      <w:r>
        <w:rPr/>
        <w:t xml:space="preserve"> ✔</w:t>
      </w:r>
    </w:p>
    <w:p>
      <w:pPr>
        <w:pStyle w:val="BodyText"/>
        <w:numPr>
          <w:ilvl w:val="0"/>
          <w:numId w:val="355"/>
        </w:numPr>
        <w:tabs>
          <w:tab w:val="clear" w:pos="709"/>
          <w:tab w:val="left" w:pos="709" w:leader="none"/>
        </w:tabs>
        <w:bidi w:val="0"/>
        <w:ind w:hanging="283" w:start="709"/>
        <w:jc w:val="start"/>
        <w:rPr/>
      </w:pPr>
      <w:r>
        <w:rPr>
          <w:b/>
        </w:rPr>
        <w:t>Which MA did it bounce off historically during corrections? The 20 EMA (red line).</w:t>
      </w:r>
      <w:r>
        <w:rPr/>
        <w:t xml:space="preserve"> → </w:t>
      </w:r>
      <w:r>
        <w:rPr>
          <w:b/>
        </w:rPr>
        <w:t>Draw a horizontal support line at the 20 EMA.</w:t>
      </w:r>
    </w:p>
    <w:p>
      <w:pPr>
        <w:pStyle w:val="BodyText"/>
        <w:numPr>
          <w:ilvl w:val="0"/>
          <w:numId w:val="355"/>
        </w:numPr>
        <w:tabs>
          <w:tab w:val="clear" w:pos="709"/>
          <w:tab w:val="left" w:pos="709" w:leader="none"/>
        </w:tabs>
        <w:bidi w:val="0"/>
        <w:spacing w:before="0" w:after="0"/>
        <w:ind w:hanging="283" w:start="709"/>
        <w:jc w:val="start"/>
        <w:rPr/>
      </w:pPr>
      <w:r>
        <w:rPr>
          <w:b/>
        </w:rPr>
        <w:t>2022 bear market</w:t>
      </w:r>
      <w:r>
        <w:rPr/>
        <w:t xml:space="preserve"> (whole market crashed): Microsoft </w:t>
      </w:r>
      <w:r>
        <w:rPr>
          <w:b/>
        </w:rPr>
        <w:t>broke below the red 20 EMA</w:t>
      </w:r>
      <w:r>
        <w:rPr/>
        <w:t xml:space="preserve"> — but ultimately </w:t>
      </w:r>
      <w:r>
        <w:rPr>
          <w:b/>
        </w:rPr>
        <w:t>bounced off the blue 50 SMA on monthly candles</w:t>
      </w:r>
      <w:r>
        <w:rPr/>
        <w:t>.</w:t>
      </w:r>
    </w:p>
    <w:p>
      <w:pPr>
        <w:pStyle w:val="BodyText"/>
        <w:numPr>
          <w:ilvl w:val="1"/>
          <w:numId w:val="355"/>
        </w:numPr>
        <w:tabs>
          <w:tab w:val="clear" w:pos="709"/>
          <w:tab w:val="left" w:pos="1418" w:leader="none"/>
        </w:tabs>
        <w:bidi w:val="0"/>
        <w:ind w:hanging="283" w:start="1418"/>
        <w:jc w:val="start"/>
        <w:rPr/>
      </w:pPr>
      <w:r>
        <w:rPr/>
        <w:t xml:space="preserve">→ </w:t>
      </w:r>
      <w:r>
        <w:rPr>
          <w:b/>
        </w:rPr>
        <w:t>Draw a second support line at the monthly 50 SMA = $324.</w:t>
      </w:r>
    </w:p>
    <w:p>
      <w:pPr>
        <w:pStyle w:val="BodyText"/>
        <w:numPr>
          <w:ilvl w:val="1"/>
          <w:numId w:val="355"/>
        </w:numPr>
        <w:tabs>
          <w:tab w:val="clear" w:pos="709"/>
          <w:tab w:val="left" w:pos="1418" w:leader="none"/>
        </w:tabs>
        <w:bidi w:val="0"/>
        <w:ind w:hanging="283" w:start="1418"/>
        <w:jc w:val="start"/>
        <w:rPr/>
      </w:pPr>
      <w:r>
        <w:rPr/>
        <w:t xml:space="preserve">Interpretation: "In the event of another big crash, </w:t>
      </w:r>
      <w:r>
        <w:rPr>
          <w:b/>
        </w:rPr>
        <w:t>324 should be the bottom</w:t>
      </w:r>
      <w:r>
        <w:rPr/>
        <w:t>."</w:t>
      </w:r>
    </w:p>
    <w:p>
      <w:pPr>
        <w:pStyle w:val="BodyText"/>
        <w:numPr>
          <w:ilvl w:val="0"/>
          <w:numId w:val="355"/>
        </w:numPr>
        <w:tabs>
          <w:tab w:val="clear" w:pos="709"/>
          <w:tab w:val="left" w:pos="709" w:leader="none"/>
        </w:tabs>
        <w:bidi w:val="0"/>
        <w:ind w:hanging="283" w:start="709"/>
        <w:jc w:val="start"/>
        <w:rPr/>
      </w:pPr>
      <w:r>
        <w:rPr>
          <w:b/>
        </w:rPr>
        <w:t>Confluence check at 324:</w:t>
      </w:r>
      <w:r>
        <w:rPr/>
        <w:t xml:space="preserve"> that level was also a </w:t>
      </w:r>
      <w:r>
        <w:rPr>
          <w:b/>
        </w:rPr>
        <w:t>previous swing-high resistance</w:t>
      </w:r>
      <w:r>
        <w:rPr/>
        <w:t xml:space="preserve"> (two swing highs). Resistance broken → becomes support. So </w:t>
      </w:r>
      <w:r>
        <w:rPr>
          <w:b/>
        </w:rPr>
        <w:t>324 = previous resistance + monthly 50 SMA</w:t>
      </w:r>
      <w:r>
        <w:rPr/>
        <w:t xml:space="preserve"> → "a very powerful, significant level that you have to watch in the event of a crash."</w:t>
      </w:r>
    </w:p>
    <w:p>
      <w:pPr>
        <w:pStyle w:val="BodyText"/>
        <w:bidi w:val="0"/>
        <w:jc w:val="start"/>
        <w:rPr/>
      </w:pPr>
      <w:r>
        <w:rPr>
          <w:b/>
        </w:rPr>
        <w:t>Step 2 — 5-year weekly</w:t>
      </w:r>
    </w:p>
    <w:p>
      <w:pPr>
        <w:pStyle w:val="BodyText"/>
        <w:numPr>
          <w:ilvl w:val="0"/>
          <w:numId w:val="356"/>
        </w:numPr>
        <w:tabs>
          <w:tab w:val="clear" w:pos="709"/>
          <w:tab w:val="left" w:pos="709" w:leader="none"/>
        </w:tabs>
        <w:bidi w:val="0"/>
        <w:ind w:hanging="283" w:start="709"/>
        <w:jc w:val="start"/>
        <w:rPr/>
      </w:pPr>
      <w:r>
        <w:rPr/>
        <w:t xml:space="preserve">A </w:t>
      </w:r>
      <w:r>
        <w:rPr>
          <w:b/>
        </w:rPr>
        <w:t>swing low at ~$390</w:t>
      </w:r>
      <w:r>
        <w:rPr/>
        <w:t xml:space="preserve"> coincides with a line already drawn → </w:t>
      </w:r>
      <w:r>
        <w:rPr>
          <w:b/>
        </w:rPr>
        <w:t>reaffirms 390 as a significant support</w:t>
      </w:r>
      <w:r>
        <w:rPr/>
        <w:t>.</w:t>
      </w:r>
    </w:p>
    <w:p>
      <w:pPr>
        <w:pStyle w:val="BodyText"/>
        <w:numPr>
          <w:ilvl w:val="0"/>
          <w:numId w:val="356"/>
        </w:numPr>
        <w:tabs>
          <w:tab w:val="clear" w:pos="709"/>
          <w:tab w:val="left" w:pos="709" w:leader="none"/>
        </w:tabs>
        <w:bidi w:val="0"/>
        <w:ind w:hanging="283" w:start="709"/>
        <w:jc w:val="start"/>
        <w:rPr/>
      </w:pPr>
      <w:r>
        <w:rPr/>
        <w:t xml:space="preserve">The </w:t>
      </w:r>
      <w:r>
        <w:rPr>
          <w:b/>
        </w:rPr>
        <w:t>200 SMA (red) on weekly</w:t>
      </w:r>
      <w:r>
        <w:rPr/>
        <w:t xml:space="preserve"> was hit and bounced off twice → </w:t>
      </w:r>
      <w:r>
        <w:rPr>
          <w:b/>
        </w:rPr>
        <w:t>and it coincides with the 324 level</w:t>
      </w:r>
      <w:r>
        <w:rPr/>
        <w:t>.</w:t>
      </w:r>
    </w:p>
    <w:p>
      <w:pPr>
        <w:pStyle w:val="BodyText"/>
        <w:numPr>
          <w:ilvl w:val="0"/>
          <w:numId w:val="356"/>
        </w:numPr>
        <w:tabs>
          <w:tab w:val="clear" w:pos="709"/>
          <w:tab w:val="left" w:pos="709" w:leader="none"/>
        </w:tabs>
        <w:bidi w:val="0"/>
        <w:ind w:hanging="283" w:start="709"/>
        <w:jc w:val="start"/>
        <w:rPr/>
      </w:pPr>
      <w:r>
        <w:rPr/>
        <w:t>Point: "</w:t>
      </w:r>
      <w:r>
        <w:rPr>
          <w:b/>
        </w:rPr>
        <w:t>Everything coincides — all the lines are intersecting to reinforce that these are very strong levels of support.</w:t>
      </w:r>
      <w:r>
        <w:rPr/>
        <w:t xml:space="preserve"> That's where I want to be a buyer."</w:t>
      </w:r>
    </w:p>
    <w:p>
      <w:pPr>
        <w:pStyle w:val="BodyText"/>
        <w:bidi w:val="0"/>
        <w:jc w:val="start"/>
        <w:rPr/>
      </w:pPr>
      <w:r>
        <w:rPr>
          <w:b/>
        </w:rPr>
        <w:t>Step 3 — 1-year daily</w:t>
      </w:r>
    </w:p>
    <w:p>
      <w:pPr>
        <w:pStyle w:val="BodyText"/>
        <w:numPr>
          <w:ilvl w:val="0"/>
          <w:numId w:val="357"/>
        </w:numPr>
        <w:tabs>
          <w:tab w:val="clear" w:pos="709"/>
          <w:tab w:val="left" w:pos="709" w:leader="none"/>
        </w:tabs>
        <w:bidi w:val="0"/>
        <w:ind w:hanging="283" w:start="709"/>
        <w:jc w:val="start"/>
        <w:rPr/>
      </w:pPr>
      <w:r>
        <w:rPr/>
        <w:t xml:space="preserve">Short-term picture: </w:t>
      </w:r>
      <w:r>
        <w:rPr>
          <w:b/>
        </w:rPr>
        <w:t>not an uptrend — a choppy sideways CONSOLIDATION pattern.</w:t>
      </w:r>
    </w:p>
    <w:p>
      <w:pPr>
        <w:pStyle w:val="BodyText"/>
        <w:numPr>
          <w:ilvl w:val="0"/>
          <w:numId w:val="357"/>
        </w:numPr>
        <w:tabs>
          <w:tab w:val="clear" w:pos="709"/>
          <w:tab w:val="left" w:pos="709" w:leader="none"/>
        </w:tabs>
        <w:bidi w:val="0"/>
        <w:ind w:hanging="283" w:start="709"/>
        <w:jc w:val="start"/>
        <w:rPr/>
      </w:pPr>
      <w:r>
        <w:rPr/>
        <w:t xml:space="preserve">Visually identifiable support at </w:t>
      </w:r>
      <w:r>
        <w:rPr>
          <w:b/>
        </w:rPr>
        <w:t>$407 / $407.80</w:t>
      </w:r>
      <w:r>
        <w:rPr/>
        <w:t xml:space="preserve"> — price reached it and reversed up repeatedly.</w:t>
      </w:r>
    </w:p>
    <w:p>
      <w:pPr>
        <w:pStyle w:val="BodyText"/>
        <w:numPr>
          <w:ilvl w:val="0"/>
          <w:numId w:val="357"/>
        </w:numPr>
        <w:tabs>
          <w:tab w:val="clear" w:pos="709"/>
          <w:tab w:val="left" w:pos="709" w:leader="none"/>
        </w:tabs>
        <w:bidi w:val="0"/>
        <w:ind w:hanging="283" w:start="709"/>
        <w:jc w:val="start"/>
        <w:rPr/>
      </w:pPr>
      <w:r>
        <w:rPr/>
        <w:t xml:space="preserve">Two </w:t>
      </w:r>
      <w:r>
        <w:rPr>
          <w:b/>
        </w:rPr>
        <w:t>swing highs</w:t>
      </w:r>
      <w:r>
        <w:rPr/>
        <w:t xml:space="preserve"> identified and connected with a line — because </w:t>
      </w:r>
      <w:r>
        <w:rPr>
          <w:b/>
        </w:rPr>
        <w:t>swing highs are significant levels that can act as strong future support</w:t>
      </w:r>
      <w:r>
        <w:rPr/>
        <w:t xml:space="preserve"> if price falls to them.</w:t>
      </w:r>
    </w:p>
    <w:p>
      <w:pPr>
        <w:pStyle w:val="BodyText"/>
        <w:bidi w:val="0"/>
        <w:jc w:val="start"/>
        <w:rPr/>
      </w:pPr>
      <w:r>
        <w:rPr>
          <w:b/>
        </w:rPr>
        <w:t>Step 4 — Draw the intrinsic value line</w:t>
      </w:r>
    </w:p>
    <w:p>
      <w:pPr>
        <w:pStyle w:val="BodyText"/>
        <w:numPr>
          <w:ilvl w:val="0"/>
          <w:numId w:val="358"/>
        </w:numPr>
        <w:tabs>
          <w:tab w:val="clear" w:pos="709"/>
          <w:tab w:val="left" w:pos="709" w:leader="none"/>
        </w:tabs>
        <w:bidi w:val="0"/>
        <w:ind w:hanging="283" w:start="709"/>
        <w:jc w:val="start"/>
        <w:rPr/>
      </w:pPr>
      <w:r>
        <w:rPr/>
        <w:t xml:space="preserve">Adam has already calculated </w:t>
      </w:r>
      <w:r>
        <w:rPr>
          <w:b/>
        </w:rPr>
        <w:t>Microsoft intrinsic value = $415</w:t>
      </w:r>
      <w:r>
        <w:rPr/>
        <w:t>.</w:t>
      </w:r>
    </w:p>
    <w:p>
      <w:pPr>
        <w:pStyle w:val="BodyText"/>
        <w:numPr>
          <w:ilvl w:val="0"/>
          <w:numId w:val="358"/>
        </w:numPr>
        <w:tabs>
          <w:tab w:val="clear" w:pos="709"/>
          <w:tab w:val="left" w:pos="709" w:leader="none"/>
        </w:tabs>
        <w:bidi w:val="0"/>
        <w:ind w:hanging="283" w:start="709"/>
        <w:jc w:val="start"/>
        <w:rPr/>
      </w:pPr>
      <w:r>
        <w:rPr/>
        <w:t xml:space="preserve">Method: </w:t>
      </w:r>
      <w:r>
        <w:rPr>
          <w:b/>
        </w:rPr>
        <w:t>Drawing tools → Horizontal Ray</w:t>
      </w:r>
      <w:r>
        <w:rPr/>
        <w:t xml:space="preserve">, drawn at </w:t>
      </w:r>
      <w:r>
        <w:rPr>
          <w:b/>
        </w:rPr>
        <w:t>415</w:t>
      </w:r>
      <w:r>
        <w:rPr/>
        <w:t>.</w:t>
      </w:r>
    </w:p>
    <w:p>
      <w:pPr>
        <w:pStyle w:val="BodyText"/>
        <w:numPr>
          <w:ilvl w:val="0"/>
          <w:numId w:val="358"/>
        </w:numPr>
        <w:tabs>
          <w:tab w:val="clear" w:pos="709"/>
          <w:tab w:val="left" w:pos="709" w:leader="none"/>
        </w:tabs>
        <w:bidi w:val="0"/>
        <w:ind w:hanging="283" w:start="709"/>
        <w:jc w:val="start"/>
        <w:rPr/>
      </w:pPr>
      <w:r>
        <w:rPr/>
        <w:t xml:space="preserve">Then right-click (or two-finger click on Mac) → </w:t>
      </w:r>
      <w:r>
        <w:rPr>
          <w:b/>
        </w:rPr>
        <w:t>Settings</w:t>
      </w:r>
      <w:r>
        <w:rPr/>
        <w:t xml:space="preserve"> → colour </w:t>
      </w:r>
      <w:r>
        <w:rPr>
          <w:b/>
        </w:rPr>
        <w:t>GREEN</w:t>
      </w:r>
      <w:r>
        <w:rPr/>
        <w:t xml:space="preserve"> ("For intrinsic value, I always use green"), label text </w:t>
      </w:r>
      <w:r>
        <w:rPr>
          <w:b/>
        </w:rPr>
        <w:t>"intrinsic value"</w:t>
      </w:r>
      <w:r>
        <w:rPr/>
        <w:t xml:space="preserve">, </w:t>
      </w:r>
      <w:r>
        <w:rPr>
          <w:b/>
        </w:rPr>
        <w:t>line style = dotted</w:t>
      </w:r>
      <w:r>
        <w:rPr/>
        <w:t>.</w:t>
      </w:r>
    </w:p>
    <w:p>
      <w:pPr>
        <w:pStyle w:val="BodyText"/>
        <w:bidi w:val="0"/>
        <w:jc w:val="start"/>
        <w:rPr/>
      </w:pPr>
      <w:r>
        <w:rPr>
          <w:b/>
        </w:rPr>
        <w:t>Step 5 — The buy decision at the time of recording</w:t>
      </w:r>
    </w:p>
    <w:p>
      <w:pPr>
        <w:pStyle w:val="BodyText"/>
        <w:numPr>
          <w:ilvl w:val="0"/>
          <w:numId w:val="359"/>
        </w:numPr>
        <w:tabs>
          <w:tab w:val="clear" w:pos="709"/>
          <w:tab w:val="left" w:pos="709" w:leader="none"/>
        </w:tabs>
        <w:bidi w:val="0"/>
        <w:ind w:hanging="283" w:start="709"/>
        <w:jc w:val="start"/>
        <w:rPr/>
      </w:pPr>
      <w:r>
        <w:rPr/>
        <w:t xml:space="preserve">Current price: </w:t>
      </w:r>
      <w:r>
        <w:rPr>
          <w:b/>
        </w:rPr>
        <w:t>$412</w:t>
      </w:r>
      <w:r>
        <w:rPr/>
        <w:t>.</w:t>
      </w:r>
    </w:p>
    <w:p>
      <w:pPr>
        <w:pStyle w:val="BodyText"/>
        <w:numPr>
          <w:ilvl w:val="0"/>
          <w:numId w:val="359"/>
        </w:numPr>
        <w:tabs>
          <w:tab w:val="clear" w:pos="709"/>
          <w:tab w:val="left" w:pos="709" w:leader="none"/>
        </w:tabs>
        <w:bidi w:val="0"/>
        <w:ind w:hanging="283" w:start="709"/>
        <w:jc w:val="start"/>
        <w:rPr/>
      </w:pPr>
      <w:r>
        <w:rPr/>
        <w:t xml:space="preserve">Check 1 — </w:t>
      </w:r>
      <w:r>
        <w:rPr>
          <w:b/>
        </w:rPr>
        <w:t>Is it below intrinsic value of $415? Yes, slightly.</w:t>
      </w:r>
      <w:r>
        <w:rPr/>
        <w:t xml:space="preserve"> ✔</w:t>
      </w:r>
    </w:p>
    <w:p>
      <w:pPr>
        <w:pStyle w:val="BodyText"/>
        <w:numPr>
          <w:ilvl w:val="0"/>
          <w:numId w:val="359"/>
        </w:numPr>
        <w:tabs>
          <w:tab w:val="clear" w:pos="709"/>
          <w:tab w:val="left" w:pos="709" w:leader="none"/>
        </w:tabs>
        <w:bidi w:val="0"/>
        <w:ind w:hanging="283" w:start="709"/>
        <w:jc w:val="start"/>
        <w:rPr/>
      </w:pPr>
      <w:r>
        <w:rPr/>
        <w:t xml:space="preserve">Check 2 — </w:t>
      </w:r>
      <w:r>
        <w:rPr>
          <w:b/>
        </w:rPr>
        <w:t>Is it at a support level? Yes, at the $407 support.</w:t>
      </w:r>
      <w:r>
        <w:rPr/>
        <w:t xml:space="preserve"> ✔</w:t>
      </w:r>
    </w:p>
    <w:p>
      <w:pPr>
        <w:pStyle w:val="BodyText"/>
        <w:numPr>
          <w:ilvl w:val="0"/>
          <w:numId w:val="359"/>
        </w:numPr>
        <w:tabs>
          <w:tab w:val="clear" w:pos="709"/>
          <w:tab w:val="left" w:pos="709" w:leader="none"/>
        </w:tabs>
        <w:bidi w:val="0"/>
        <w:ind w:hanging="283" w:start="709"/>
        <w:jc w:val="start"/>
        <w:rPr/>
      </w:pPr>
      <w:r>
        <w:rPr>
          <w:b/>
        </w:rPr>
        <w:t>Decision: Yes, you could add shares here — but only nibble a small portion</w:t>
      </w:r>
      <w:r>
        <w:rPr/>
        <w:t xml:space="preserve">, because it's </w:t>
      </w:r>
      <w:r>
        <w:rPr>
          <w:b/>
        </w:rPr>
        <w:t>only slightly undervalued</w:t>
      </w:r>
      <w:r>
        <w:rPr/>
        <w:t xml:space="preserve">. Adam buys more only when </w:t>
      </w:r>
      <w:r>
        <w:rPr>
          <w:b/>
        </w:rPr>
        <w:t>more significantly undervalued</w:t>
      </w:r>
      <w:r>
        <w:rPr/>
        <w:t>.</w:t>
      </w:r>
    </w:p>
    <w:p>
      <w:pPr>
        <w:pStyle w:val="BodyText"/>
        <w:numPr>
          <w:ilvl w:val="0"/>
          <w:numId w:val="359"/>
        </w:numPr>
        <w:tabs>
          <w:tab w:val="clear" w:pos="709"/>
          <w:tab w:val="left" w:pos="709" w:leader="none"/>
        </w:tabs>
        <w:bidi w:val="0"/>
        <w:spacing w:before="0" w:after="0"/>
        <w:ind w:hanging="283" w:start="709"/>
        <w:jc w:val="start"/>
        <w:rPr/>
      </w:pPr>
      <w:r>
        <w:rPr>
          <w:b/>
        </w:rPr>
        <w:t>Scale-in ladder for Microsoft:</w:t>
      </w:r>
    </w:p>
    <w:p>
      <w:pPr>
        <w:pStyle w:val="BodyText"/>
        <w:numPr>
          <w:ilvl w:val="1"/>
          <w:numId w:val="359"/>
        </w:numPr>
        <w:tabs>
          <w:tab w:val="clear" w:pos="709"/>
          <w:tab w:val="left" w:pos="1418" w:leader="none"/>
        </w:tabs>
        <w:bidi w:val="0"/>
        <w:ind w:hanging="283" w:start="1418"/>
        <w:jc w:val="start"/>
        <w:rPr/>
      </w:pPr>
      <w:r>
        <w:rPr/>
        <w:t xml:space="preserve">Nibble at </w:t>
      </w:r>
      <w:r>
        <w:rPr>
          <w:b/>
        </w:rPr>
        <w:t>~$412</w:t>
      </w:r>
      <w:r>
        <w:rPr/>
        <w:t xml:space="preserve"> (at the $407 support, just under IV $415)</w:t>
      </w:r>
    </w:p>
    <w:p>
      <w:pPr>
        <w:pStyle w:val="BodyText"/>
        <w:numPr>
          <w:ilvl w:val="1"/>
          <w:numId w:val="359"/>
        </w:numPr>
        <w:tabs>
          <w:tab w:val="clear" w:pos="709"/>
          <w:tab w:val="left" w:pos="1418" w:leader="none"/>
        </w:tabs>
        <w:bidi w:val="0"/>
        <w:ind w:hanging="283" w:start="1418"/>
        <w:jc w:val="start"/>
        <w:rPr/>
      </w:pPr>
      <w:r>
        <w:rPr/>
        <w:t xml:space="preserve">If it breaks that support and drops to </w:t>
      </w:r>
      <w:r>
        <w:rPr>
          <w:b/>
        </w:rPr>
        <w:t>$390</w:t>
      </w:r>
      <w:r>
        <w:rPr/>
        <w:t xml:space="preserve"> → </w:t>
      </w:r>
      <w:r>
        <w:rPr>
          <w:b/>
        </w:rPr>
        <w:t>add more</w:t>
      </w:r>
    </w:p>
    <w:p>
      <w:pPr>
        <w:pStyle w:val="BodyText"/>
        <w:numPr>
          <w:ilvl w:val="1"/>
          <w:numId w:val="359"/>
        </w:numPr>
        <w:tabs>
          <w:tab w:val="clear" w:pos="709"/>
          <w:tab w:val="left" w:pos="1418" w:leader="none"/>
        </w:tabs>
        <w:bidi w:val="0"/>
        <w:ind w:hanging="283" w:start="1418"/>
        <w:jc w:val="start"/>
        <w:rPr/>
      </w:pPr>
      <w:r>
        <w:rPr/>
        <w:t xml:space="preserve">If it breaks down to the third, more significant long-term support at </w:t>
      </w:r>
      <w:r>
        <w:rPr>
          <w:b/>
        </w:rPr>
        <w:t>~$349.50</w:t>
      </w:r>
      <w:r>
        <w:rPr/>
        <w:t xml:space="preserve"> → </w:t>
      </w:r>
      <w:r>
        <w:rPr>
          <w:b/>
        </w:rPr>
        <w:t>add more</w:t>
      </w:r>
    </w:p>
    <w:p>
      <w:pPr>
        <w:pStyle w:val="BodyText"/>
        <w:numPr>
          <w:ilvl w:val="0"/>
          <w:numId w:val="359"/>
        </w:numPr>
        <w:tabs>
          <w:tab w:val="clear" w:pos="709"/>
          <w:tab w:val="left" w:pos="709" w:leader="none"/>
        </w:tabs>
        <w:bidi w:val="0"/>
        <w:ind w:hanging="283" w:start="709"/>
        <w:jc w:val="start"/>
        <w:rPr/>
      </w:pPr>
      <w:r>
        <w:rPr/>
        <w:t xml:space="preserve">Rationale: "That is how I build and average into a position — because ultimately a great stock will go up over time. Once it waves down to a support, eventually it will go higher, as the company makes more and more money and its </w:t>
      </w:r>
      <w:r>
        <w:rPr>
          <w:b/>
        </w:rPr>
        <w:t>intrinsic value goes up over time</w:t>
      </w:r>
      <w:r>
        <w:rPr/>
        <w:t>."</w:t>
      </w:r>
    </w:p>
    <w:p>
      <w:pPr>
        <w:pStyle w:val="BodyText"/>
        <w:bidi w:val="0"/>
        <w:jc w:val="start"/>
        <w:rPr/>
      </w:pPr>
      <w:r>
        <w:rPr>
          <w:b/>
        </w:rPr>
        <w:t>Number of levels to draw</w:t>
      </w:r>
    </w:p>
    <w:p>
      <w:pPr>
        <w:pStyle w:val="BlockQuotation"/>
        <w:bidi w:val="0"/>
        <w:jc w:val="start"/>
        <w:rPr/>
      </w:pPr>
      <w:r>
        <w:rPr>
          <w:b/>
        </w:rPr>
        <w:t>"Usually for each stock, I'll draw about FOUR TO FIVE support levels, because this will tell me where to add shares when the price comes down."</w:t>
      </w:r>
    </w:p>
    <w:p>
      <w:pPr>
        <w:pStyle w:val="BodyText"/>
        <w:numPr>
          <w:ilvl w:val="0"/>
          <w:numId w:val="360"/>
        </w:numPr>
        <w:tabs>
          <w:tab w:val="clear" w:pos="709"/>
          <w:tab w:val="left" w:pos="709" w:leader="none"/>
        </w:tabs>
        <w:bidi w:val="0"/>
        <w:ind w:hanging="283" w:start="709"/>
        <w:jc w:val="start"/>
        <w:rPr/>
      </w:pPr>
      <w:r>
        <w:rPr/>
        <w:t xml:space="preserve">Support lines may be drawn from </w:t>
      </w:r>
      <w:r>
        <w:rPr>
          <w:b/>
        </w:rPr>
        <w:t>either</w:t>
      </w:r>
      <w:r>
        <w:rPr/>
        <w:t xml:space="preserve"> (a) swing-low patterns / broken resistance, </w:t>
      </w:r>
      <w:r>
        <w:rPr>
          <w:b/>
        </w:rPr>
        <w:t>or</w:t>
      </w:r>
      <w:r>
        <w:rPr/>
        <w:t xml:space="preserve"> (b) moving averages. "It could be either or. As long as it's a support level, I would draw a line."</w:t>
      </w:r>
    </w:p>
    <w:p>
      <w:pPr>
        <w:pStyle w:val="HorizontalLine"/>
        <w:bidi w:val="0"/>
        <w:jc w:val="start"/>
        <w:rPr/>
      </w:pPr>
      <w:r>
        <w:rPr/>
      </w:r>
    </w:p>
    <w:p>
      <w:pPr>
        <w:pStyle w:val="Heading3"/>
        <w:bidi w:val="0"/>
        <w:ind w:hanging="0" w:start="0"/>
        <w:jc w:val="start"/>
        <w:rPr/>
      </w:pPr>
      <w:r>
        <w:rPr/>
        <w:t>9. SELLING / THE PARABOLIC MOVE, AND WHAT TO DO IN DOWNTRENDS</w:t>
      </w:r>
    </w:p>
    <w:p>
      <w:pPr>
        <w:pStyle w:val="Heading4"/>
        <w:bidi w:val="0"/>
        <w:ind w:hanging="0" w:start="0"/>
        <w:jc w:val="start"/>
        <w:rPr/>
      </w:pPr>
      <w:r>
        <w:rPr/>
        <w:t>9.1 The Worst Time to Buy = The Parabolic Move</w:t>
      </w:r>
    </w:p>
    <w:p>
      <w:pPr>
        <w:pStyle w:val="BodyText"/>
        <w:numPr>
          <w:ilvl w:val="0"/>
          <w:numId w:val="361"/>
        </w:numPr>
        <w:tabs>
          <w:tab w:val="clear" w:pos="709"/>
          <w:tab w:val="left" w:pos="709" w:leader="none"/>
        </w:tabs>
        <w:bidi w:val="0"/>
        <w:ind w:hanging="283" w:start="709"/>
        <w:jc w:val="start"/>
        <w:rPr/>
      </w:pPr>
      <w:r>
        <w:rPr>
          <w:b/>
        </w:rPr>
        <w:t>Normal uptrend advance = ~45-degree angle</w:t>
      </w:r>
      <w:r>
        <w:rPr/>
        <w:t xml:space="preserve"> (wave up, wave down, wave up, wave down).</w:t>
      </w:r>
    </w:p>
    <w:p>
      <w:pPr>
        <w:pStyle w:val="BodyText"/>
        <w:numPr>
          <w:ilvl w:val="0"/>
          <w:numId w:val="361"/>
        </w:numPr>
        <w:tabs>
          <w:tab w:val="clear" w:pos="709"/>
          <w:tab w:val="left" w:pos="709" w:leader="none"/>
        </w:tabs>
        <w:bidi w:val="0"/>
        <w:ind w:hanging="283" w:start="709"/>
        <w:jc w:val="start"/>
        <w:rPr/>
      </w:pPr>
      <w:r>
        <w:rPr>
          <w:b/>
        </w:rPr>
        <w:t>Parabolic move = price goes up at ~90 degrees</w:t>
      </w:r>
      <w:r>
        <w:rPr/>
        <w:t xml:space="preserve"> — a very sharp vertical move.</w:t>
      </w:r>
    </w:p>
    <w:p>
      <w:pPr>
        <w:pStyle w:val="BodyText"/>
        <w:numPr>
          <w:ilvl w:val="0"/>
          <w:numId w:val="361"/>
        </w:numPr>
        <w:tabs>
          <w:tab w:val="clear" w:pos="709"/>
          <w:tab w:val="left" w:pos="709" w:leader="none"/>
        </w:tabs>
        <w:bidi w:val="0"/>
        <w:ind w:hanging="283" w:start="709"/>
        <w:jc w:val="start"/>
        <w:rPr/>
      </w:pPr>
      <w:r>
        <w:rPr>
          <w:b/>
        </w:rPr>
        <w:t>Cause:</w:t>
      </w:r>
      <w:r>
        <w:rPr/>
        <w:t xml:space="preserve"> </w:t>
      </w:r>
      <w:r>
        <w:rPr>
          <w:b/>
        </w:rPr>
        <w:t>panic buying</w:t>
      </w:r>
      <w:r>
        <w:rPr/>
        <w:t xml:space="preserve"> — enthusiasm, lots of good news, crazy excitement.</w:t>
      </w:r>
    </w:p>
    <w:p>
      <w:pPr>
        <w:pStyle w:val="BodyText"/>
        <w:numPr>
          <w:ilvl w:val="0"/>
          <w:numId w:val="361"/>
        </w:numPr>
        <w:tabs>
          <w:tab w:val="clear" w:pos="709"/>
          <w:tab w:val="left" w:pos="709" w:leader="none"/>
        </w:tabs>
        <w:bidi w:val="0"/>
        <w:spacing w:before="0" w:after="0"/>
        <w:ind w:hanging="283" w:start="709"/>
        <w:jc w:val="start"/>
        <w:rPr/>
      </w:pPr>
      <w:r>
        <w:rPr>
          <w:b/>
        </w:rPr>
        <w:t>Signatures of a parabolic top:</w:t>
      </w:r>
    </w:p>
    <w:p>
      <w:pPr>
        <w:pStyle w:val="BodyText"/>
        <w:numPr>
          <w:ilvl w:val="1"/>
          <w:numId w:val="361"/>
        </w:numPr>
        <w:tabs>
          <w:tab w:val="clear" w:pos="709"/>
          <w:tab w:val="left" w:pos="1418" w:leader="none"/>
        </w:tabs>
        <w:bidi w:val="0"/>
        <w:ind w:hanging="283" w:start="1418"/>
        <w:jc w:val="start"/>
        <w:rPr/>
      </w:pPr>
      <w:r>
        <w:rPr>
          <w:b/>
        </w:rPr>
        <w:t>90-degree (near-vertical) advance</w:t>
      </w:r>
    </w:p>
    <w:p>
      <w:pPr>
        <w:pStyle w:val="BodyText"/>
        <w:numPr>
          <w:ilvl w:val="1"/>
          <w:numId w:val="361"/>
        </w:numPr>
        <w:tabs>
          <w:tab w:val="clear" w:pos="709"/>
          <w:tab w:val="left" w:pos="1418" w:leader="none"/>
        </w:tabs>
        <w:bidi w:val="0"/>
        <w:ind w:hanging="283" w:start="1418"/>
        <w:jc w:val="start"/>
        <w:rPr/>
      </w:pPr>
      <w:r>
        <w:rPr>
          <w:b/>
        </w:rPr>
        <w:t>Very long bullish candles</w:t>
      </w:r>
      <w:r>
        <w:rPr/>
        <w:t xml:space="preserve"> — Adam calls them </w:t>
      </w:r>
      <w:r>
        <w:rPr>
          <w:b/>
        </w:rPr>
        <w:t>"extended range candles"</w:t>
      </w:r>
      <w:r>
        <w:rPr/>
        <w:t xml:space="preserve"> (exceptionally big green candles)</w:t>
      </w:r>
    </w:p>
    <w:p>
      <w:pPr>
        <w:pStyle w:val="BodyText"/>
        <w:numPr>
          <w:ilvl w:val="1"/>
          <w:numId w:val="361"/>
        </w:numPr>
        <w:tabs>
          <w:tab w:val="clear" w:pos="709"/>
          <w:tab w:val="left" w:pos="1418" w:leader="none"/>
        </w:tabs>
        <w:bidi w:val="0"/>
        <w:ind w:hanging="283" w:start="1418"/>
        <w:jc w:val="start"/>
        <w:rPr/>
      </w:pPr>
      <w:r>
        <w:rPr>
          <w:b/>
        </w:rPr>
        <w:t>Price becomes stretched far away from the moving averages</w:t>
      </w:r>
    </w:p>
    <w:p>
      <w:pPr>
        <w:pStyle w:val="BodyText"/>
        <w:numPr>
          <w:ilvl w:val="0"/>
          <w:numId w:val="361"/>
        </w:numPr>
        <w:tabs>
          <w:tab w:val="clear" w:pos="709"/>
          <w:tab w:val="left" w:pos="709" w:leader="none"/>
        </w:tabs>
        <w:bidi w:val="0"/>
        <w:ind w:hanging="283" w:start="709"/>
        <w:jc w:val="start"/>
        <w:rPr/>
      </w:pPr>
      <w:r>
        <w:rPr>
          <w:b/>
        </w:rPr>
        <w:t>Rubber-band / pendulum analogy:</w:t>
      </w:r>
      <w:r>
        <w:rPr/>
        <w:t xml:space="preserve"> the moving average is "home base". Pull price too far above the MA and </w:t>
      </w:r>
      <w:r>
        <w:rPr>
          <w:b/>
        </w:rPr>
        <w:t>it snaps back</w:t>
      </w:r>
      <w:r>
        <w:rPr/>
        <w:t xml:space="preserve">. After a parabolic move price </w:t>
      </w:r>
      <w:r>
        <w:rPr>
          <w:b/>
        </w:rPr>
        <w:t>tends to retrace back down to the moving averages</w:t>
      </w:r>
      <w:r>
        <w:rPr/>
        <w:t>.</w:t>
      </w:r>
    </w:p>
    <w:p>
      <w:pPr>
        <w:pStyle w:val="BodyText"/>
        <w:numPr>
          <w:ilvl w:val="0"/>
          <w:numId w:val="361"/>
        </w:numPr>
        <w:tabs>
          <w:tab w:val="clear" w:pos="709"/>
          <w:tab w:val="left" w:pos="709" w:leader="none"/>
        </w:tabs>
        <w:bidi w:val="0"/>
        <w:ind w:hanging="283" w:start="709"/>
        <w:jc w:val="start"/>
        <w:rPr/>
      </w:pPr>
      <w:r>
        <w:rPr>
          <w:b/>
        </w:rPr>
        <w:t>Rule: a parabolic move is the ABSOLUTE WORST time to buy — and the BEST time to sell (if you are going to sell).</w:t>
      </w:r>
    </w:p>
    <w:p>
      <w:pPr>
        <w:pStyle w:val="Heading4"/>
        <w:numPr>
          <w:ilvl w:val="0"/>
          <w:numId w:val="0"/>
        </w:numPr>
        <w:bidi w:val="0"/>
        <w:ind w:hanging="0" w:start="0"/>
        <w:jc w:val="start"/>
        <w:rPr/>
      </w:pPr>
      <w:r>
        <w:rPr/>
        <w:t>9.2 IMPORTANT QUALIFIER — Parabolic ≠ Automatic Sell</w:t>
      </w:r>
    </w:p>
    <w:p>
      <w:pPr>
        <w:pStyle w:val="BodyText"/>
        <w:numPr>
          <w:ilvl w:val="0"/>
          <w:numId w:val="362"/>
        </w:numPr>
        <w:tabs>
          <w:tab w:val="clear" w:pos="709"/>
          <w:tab w:val="left" w:pos="709" w:leader="none"/>
        </w:tabs>
        <w:bidi w:val="0"/>
        <w:ind w:hanging="283" w:start="709"/>
        <w:jc w:val="start"/>
        <w:rPr/>
      </w:pPr>
      <w:r>
        <w:rPr/>
        <w:t xml:space="preserve">A 90-degree move </w:t>
      </w:r>
      <w:r>
        <w:rPr>
          <w:b/>
        </w:rPr>
        <w:t>does NOT mean you must sell</w:t>
      </w:r>
      <w:r>
        <w:rPr/>
        <w:t>.</w:t>
      </w:r>
    </w:p>
    <w:p>
      <w:pPr>
        <w:pStyle w:val="BodyText"/>
        <w:numPr>
          <w:ilvl w:val="0"/>
          <w:numId w:val="362"/>
        </w:numPr>
        <w:tabs>
          <w:tab w:val="clear" w:pos="709"/>
          <w:tab w:val="left" w:pos="709" w:leader="none"/>
        </w:tabs>
        <w:bidi w:val="0"/>
        <w:ind w:hanging="283" w:start="709"/>
        <w:jc w:val="start"/>
        <w:rPr/>
      </w:pPr>
      <w:r>
        <w:rPr>
          <w:b/>
        </w:rPr>
        <w:t>If it is still a great company, still growing, and not that overvalued → Adam holds. He would not sell.</w:t>
      </w:r>
    </w:p>
    <w:p>
      <w:pPr>
        <w:pStyle w:val="BodyText"/>
        <w:numPr>
          <w:ilvl w:val="0"/>
          <w:numId w:val="362"/>
        </w:numPr>
        <w:tabs>
          <w:tab w:val="clear" w:pos="709"/>
          <w:tab w:val="left" w:pos="709" w:leader="none"/>
        </w:tabs>
        <w:bidi w:val="0"/>
        <w:spacing w:before="0" w:after="0"/>
        <w:ind w:hanging="283" w:start="709"/>
        <w:jc w:val="start"/>
        <w:rPr/>
      </w:pPr>
      <w:r>
        <w:rPr/>
        <w:t xml:space="preserve">Adam only uses the parabolic move as the </w:t>
      </w:r>
      <w:r>
        <w:rPr>
          <w:b/>
        </w:rPr>
        <w:t>selling trigger</w:t>
      </w:r>
      <w:r>
        <w:rPr/>
        <w:t xml:space="preserve"> when he has already decided to sell for another reason:</w:t>
      </w:r>
    </w:p>
    <w:p>
      <w:pPr>
        <w:pStyle w:val="BodyText"/>
        <w:numPr>
          <w:ilvl w:val="1"/>
          <w:numId w:val="362"/>
        </w:numPr>
        <w:tabs>
          <w:tab w:val="clear" w:pos="709"/>
          <w:tab w:val="left" w:pos="1418" w:leader="none"/>
        </w:tabs>
        <w:bidi w:val="0"/>
        <w:ind w:hanging="283" w:start="1418"/>
        <w:jc w:val="start"/>
        <w:rPr/>
      </w:pPr>
      <w:r>
        <w:rPr/>
        <w:t xml:space="preserve">He thinks it's </w:t>
      </w:r>
      <w:r>
        <w:rPr>
          <w:b/>
        </w:rPr>
        <w:t>really overvalued</w:t>
      </w:r>
      <w:r>
        <w:rPr/>
        <w:t>, or</w:t>
      </w:r>
    </w:p>
    <w:p>
      <w:pPr>
        <w:pStyle w:val="BodyText"/>
        <w:numPr>
          <w:ilvl w:val="1"/>
          <w:numId w:val="362"/>
        </w:numPr>
        <w:tabs>
          <w:tab w:val="clear" w:pos="709"/>
          <w:tab w:val="left" w:pos="1418" w:leader="none"/>
        </w:tabs>
        <w:bidi w:val="0"/>
        <w:ind w:hanging="283" w:start="1418"/>
        <w:jc w:val="start"/>
        <w:rPr/>
      </w:pPr>
      <w:r>
        <w:rPr/>
        <w:t xml:space="preserve">He </w:t>
      </w:r>
      <w:r>
        <w:rPr>
          <w:b/>
        </w:rPr>
        <w:t>needs the money</w:t>
      </w:r>
      <w:r>
        <w:rPr/>
        <w:t xml:space="preserve"> for something else, or</w:t>
      </w:r>
    </w:p>
    <w:p>
      <w:pPr>
        <w:pStyle w:val="BodyText"/>
        <w:numPr>
          <w:ilvl w:val="1"/>
          <w:numId w:val="362"/>
        </w:numPr>
        <w:tabs>
          <w:tab w:val="clear" w:pos="709"/>
          <w:tab w:val="left" w:pos="1418" w:leader="none"/>
        </w:tabs>
        <w:bidi w:val="0"/>
        <w:ind w:hanging="283" w:start="1418"/>
        <w:jc w:val="start"/>
        <w:rPr/>
      </w:pPr>
      <w:r>
        <w:rPr/>
        <w:t xml:space="preserve">He wants cash to </w:t>
      </w:r>
      <w:r>
        <w:rPr>
          <w:b/>
        </w:rPr>
        <w:t>buy another stock</w:t>
      </w:r>
      <w:r>
        <w:rPr/>
        <w:t>.</w:t>
      </w:r>
    </w:p>
    <w:p>
      <w:pPr>
        <w:pStyle w:val="BodyText"/>
        <w:numPr>
          <w:ilvl w:val="0"/>
          <w:numId w:val="362"/>
        </w:numPr>
        <w:tabs>
          <w:tab w:val="clear" w:pos="709"/>
          <w:tab w:val="left" w:pos="709" w:leader="none"/>
        </w:tabs>
        <w:bidi w:val="0"/>
        <w:ind w:hanging="283" w:start="709"/>
        <w:jc w:val="start"/>
        <w:rPr/>
      </w:pPr>
      <w:r>
        <w:rPr/>
        <w:t>"Even if it drops, I don't really care — I'll just add more shares, because it's going to continue going up eventually anyway."</w:t>
      </w:r>
    </w:p>
    <w:p>
      <w:pPr>
        <w:pStyle w:val="BodyText"/>
        <w:numPr>
          <w:ilvl w:val="0"/>
          <w:numId w:val="362"/>
        </w:numPr>
        <w:tabs>
          <w:tab w:val="clear" w:pos="709"/>
          <w:tab w:val="left" w:pos="709" w:leader="none"/>
        </w:tabs>
        <w:bidi w:val="0"/>
        <w:ind w:hanging="283" w:start="709"/>
        <w:jc w:val="start"/>
        <w:rPr/>
      </w:pPr>
      <w:r>
        <w:rPr>
          <w:b/>
        </w:rPr>
        <w:t>Timing caveat:</w:t>
      </w:r>
      <w:r>
        <w:rPr/>
        <w:t xml:space="preserve"> "We can't always sell right at the top. Sometimes after you sell, it can still go up a bit more — but it's better to sell nearer the top than near the bottom."</w:t>
      </w:r>
    </w:p>
    <w:p>
      <w:pPr>
        <w:pStyle w:val="Heading4"/>
        <w:numPr>
          <w:ilvl w:val="0"/>
          <w:numId w:val="0"/>
        </w:numPr>
        <w:bidi w:val="0"/>
        <w:ind w:hanging="0" w:start="0"/>
        <w:jc w:val="start"/>
        <w:rPr/>
      </w:pPr>
      <w:r>
        <w:rPr/>
        <w:t>9.3 Covered Calls Note</w:t>
      </w:r>
    </w:p>
    <w:p>
      <w:pPr>
        <w:pStyle w:val="BodyText"/>
        <w:numPr>
          <w:ilvl w:val="0"/>
          <w:numId w:val="363"/>
        </w:numPr>
        <w:tabs>
          <w:tab w:val="clear" w:pos="709"/>
          <w:tab w:val="left" w:pos="709" w:leader="none"/>
        </w:tabs>
        <w:bidi w:val="0"/>
        <w:ind w:hanging="283" w:start="709"/>
        <w:jc w:val="start"/>
        <w:rPr/>
      </w:pPr>
      <w:r>
        <w:rPr>
          <w:b/>
        </w:rPr>
        <w:t>The best time to sell covered call options is when a stock makes a parabolic 90-degree move.</w:t>
      </w:r>
    </w:p>
    <w:p>
      <w:pPr>
        <w:pStyle w:val="BodyText"/>
        <w:numPr>
          <w:ilvl w:val="0"/>
          <w:numId w:val="363"/>
        </w:numPr>
        <w:tabs>
          <w:tab w:val="clear" w:pos="709"/>
          <w:tab w:val="left" w:pos="709" w:leader="none"/>
        </w:tabs>
        <w:bidi w:val="0"/>
        <w:ind w:hanging="283" w:start="709"/>
        <w:jc w:val="start"/>
        <w:rPr/>
      </w:pPr>
      <w:r>
        <w:rPr/>
        <w:t xml:space="preserve">Adam sells covered calls </w:t>
      </w:r>
      <w:r>
        <w:rPr>
          <w:b/>
        </w:rPr>
        <w:t>not on growth stocks</w:t>
      </w:r>
      <w:r>
        <w:rPr/>
        <w:t xml:space="preserve">, but on </w:t>
      </w:r>
      <w:r>
        <w:rPr>
          <w:b/>
        </w:rPr>
        <w:t>more defensive and moderately cyclical stocks</w:t>
      </w:r>
      <w:r>
        <w:rPr/>
        <w:t>.</w:t>
      </w:r>
    </w:p>
    <w:p>
      <w:pPr>
        <w:pStyle w:val="BodyText"/>
        <w:numPr>
          <w:ilvl w:val="0"/>
          <w:numId w:val="363"/>
        </w:numPr>
        <w:tabs>
          <w:tab w:val="clear" w:pos="709"/>
          <w:tab w:val="left" w:pos="709" w:leader="none"/>
        </w:tabs>
        <w:bidi w:val="0"/>
        <w:ind w:hanging="283" w:start="709"/>
        <w:jc w:val="start"/>
        <w:rPr/>
      </w:pPr>
      <w:r>
        <w:rPr/>
        <w:t>(Options strategies are covered at the end of the course.)</w:t>
      </w:r>
    </w:p>
    <w:p>
      <w:pPr>
        <w:pStyle w:val="Heading4"/>
        <w:numPr>
          <w:ilvl w:val="0"/>
          <w:numId w:val="0"/>
        </w:numPr>
        <w:bidi w:val="0"/>
        <w:ind w:hanging="0" w:start="0"/>
        <w:jc w:val="start"/>
        <w:rPr/>
      </w:pPr>
      <w:r>
        <w:rPr/>
        <w:t>9.4 Retail Investor Behaviour (the mistake to avoid)</w:t>
      </w:r>
    </w:p>
    <w:p>
      <w:pPr>
        <w:pStyle w:val="BodyText"/>
        <w:numPr>
          <w:ilvl w:val="0"/>
          <w:numId w:val="364"/>
        </w:numPr>
        <w:tabs>
          <w:tab w:val="clear" w:pos="709"/>
          <w:tab w:val="left" w:pos="709" w:leader="none"/>
        </w:tabs>
        <w:bidi w:val="0"/>
        <w:spacing w:before="0" w:after="0"/>
        <w:ind w:hanging="283" w:start="709"/>
        <w:jc w:val="start"/>
        <w:rPr/>
      </w:pPr>
      <w:r>
        <w:rPr/>
        <w:t xml:space="preserve">The </w:t>
      </w:r>
      <w:r>
        <w:rPr>
          <w:b/>
        </w:rPr>
        <w:t>average retail investor does the complete opposite</w:t>
      </w:r>
      <w:r>
        <w:rPr/>
        <w:t xml:space="preserve"> of what is taught here:</w:t>
      </w:r>
    </w:p>
    <w:p>
      <w:pPr>
        <w:pStyle w:val="BodyText"/>
        <w:numPr>
          <w:ilvl w:val="1"/>
          <w:numId w:val="364"/>
        </w:numPr>
        <w:tabs>
          <w:tab w:val="clear" w:pos="709"/>
          <w:tab w:val="left" w:pos="1418" w:leader="none"/>
        </w:tabs>
        <w:bidi w:val="0"/>
        <w:ind w:hanging="283" w:start="1418"/>
        <w:jc w:val="start"/>
        <w:rPr/>
      </w:pPr>
      <w:r>
        <w:rPr/>
        <w:t xml:space="preserve">They </w:t>
      </w:r>
      <w:r>
        <w:rPr>
          <w:b/>
        </w:rPr>
        <w:t>buy when there's good news</w:t>
      </w:r>
      <w:r>
        <w:rPr/>
        <w:t xml:space="preserve"> — which happens at the top of a parabolic wave up → they always </w:t>
      </w:r>
      <w:r>
        <w:rPr>
          <w:b/>
        </w:rPr>
        <w:t>buy high</w:t>
      </w:r>
      <w:r>
        <w:rPr/>
        <w:t>.</w:t>
      </w:r>
    </w:p>
    <w:p>
      <w:pPr>
        <w:pStyle w:val="BodyText"/>
        <w:numPr>
          <w:ilvl w:val="1"/>
          <w:numId w:val="364"/>
        </w:numPr>
        <w:tabs>
          <w:tab w:val="clear" w:pos="709"/>
          <w:tab w:val="left" w:pos="1418" w:leader="none"/>
        </w:tabs>
        <w:bidi w:val="0"/>
        <w:ind w:hanging="283" w:start="1418"/>
        <w:jc w:val="start"/>
        <w:rPr/>
      </w:pPr>
      <w:r>
        <w:rPr/>
        <w:t xml:space="preserve">They </w:t>
      </w:r>
      <w:r>
        <w:rPr>
          <w:b/>
        </w:rPr>
        <w:t>sell when there's bad news</w:t>
      </w:r>
      <w:r>
        <w:rPr/>
        <w:t xml:space="preserve"> — which happens after the wave down (rate rises, tariffs, "not as good as before") → they </w:t>
      </w:r>
      <w:r>
        <w:rPr>
          <w:b/>
        </w:rPr>
        <w:t>sell low</w:t>
      </w:r>
      <w:r>
        <w:rPr/>
        <w:t>.</w:t>
      </w:r>
    </w:p>
    <w:p>
      <w:pPr>
        <w:pStyle w:val="BodyText"/>
        <w:numPr>
          <w:ilvl w:val="1"/>
          <w:numId w:val="364"/>
        </w:numPr>
        <w:tabs>
          <w:tab w:val="clear" w:pos="709"/>
          <w:tab w:val="left" w:pos="1418" w:leader="none"/>
        </w:tabs>
        <w:bidi w:val="0"/>
        <w:ind w:hanging="283" w:start="1418"/>
        <w:jc w:val="start"/>
        <w:rPr/>
      </w:pPr>
      <w:r>
        <w:rPr/>
        <w:t xml:space="preserve">Result: buy high / sell low repeatedly → </w:t>
      </w:r>
      <w:r>
        <w:rPr>
          <w:b/>
        </w:rPr>
        <w:t>they lose money even when they are in the right stock</w:t>
      </w:r>
      <w:r>
        <w:rPr/>
        <w:t>.</w:t>
      </w:r>
    </w:p>
    <w:p>
      <w:pPr>
        <w:pStyle w:val="BodyText"/>
        <w:numPr>
          <w:ilvl w:val="0"/>
          <w:numId w:val="364"/>
        </w:numPr>
        <w:tabs>
          <w:tab w:val="clear" w:pos="709"/>
          <w:tab w:val="left" w:pos="709" w:leader="none"/>
        </w:tabs>
        <w:bidi w:val="0"/>
        <w:ind w:hanging="283" w:start="709"/>
        <w:jc w:val="start"/>
        <w:rPr/>
      </w:pPr>
      <w:r>
        <w:rPr>
          <w:b/>
        </w:rPr>
        <w:t>Therefore: we do NOT buy and sell based on news. We ignore the news. "The news is there to confuse you and to distract you."</w:t>
      </w:r>
    </w:p>
    <w:p>
      <w:pPr>
        <w:pStyle w:val="BodyText"/>
        <w:numPr>
          <w:ilvl w:val="0"/>
          <w:numId w:val="364"/>
        </w:numPr>
        <w:tabs>
          <w:tab w:val="clear" w:pos="709"/>
          <w:tab w:val="left" w:pos="709" w:leader="none"/>
        </w:tabs>
        <w:bidi w:val="0"/>
        <w:ind w:hanging="283" w:start="709"/>
        <w:jc w:val="start"/>
        <w:rPr/>
      </w:pPr>
      <w:r>
        <w:rPr>
          <w:b/>
        </w:rPr>
        <w:t>We buy and sell purely based on price action</w:t>
      </w:r>
      <w:r>
        <w:rPr/>
        <w:t xml:space="preserve"> — after we have established it is a great business with great fundamentals and we know the intrinsic value.</w:t>
      </w:r>
    </w:p>
    <w:p>
      <w:pPr>
        <w:pStyle w:val="BodyText"/>
        <w:bidi w:val="0"/>
        <w:jc w:val="start"/>
        <w:rPr/>
      </w:pPr>
      <w:r>
        <w:rPr>
          <w:b/>
        </w:rPr>
        <w:t>Parabolic-top worked examples</w:t>
      </w:r>
    </w:p>
    <w:p>
      <w:pPr>
        <w:pStyle w:val="BodyText"/>
        <w:numPr>
          <w:ilvl w:val="0"/>
          <w:numId w:val="365"/>
        </w:numPr>
        <w:tabs>
          <w:tab w:val="clear" w:pos="709"/>
          <w:tab w:val="left" w:pos="709" w:leader="none"/>
        </w:tabs>
        <w:bidi w:val="0"/>
        <w:ind w:hanging="283" w:start="709"/>
        <w:jc w:val="start"/>
        <w:rPr/>
      </w:pPr>
      <w:r>
        <w:rPr>
          <w:b/>
        </w:rPr>
        <w:t>Broadcom (AVGO):</w:t>
      </w:r>
      <w:r>
        <w:rPr/>
        <w:t xml:space="preserve"> nice uptrend, wave up/wave down bouncing off the 50 SMA at 45 degrees → then euphoria/great news → </w:t>
      </w:r>
      <w:r>
        <w:rPr>
          <w:b/>
        </w:rPr>
        <w:t>90-degree parabolic move with big green extended-range candles, price far from the MAs</w:t>
      </w:r>
      <w:r>
        <w:rPr/>
        <w:t xml:space="preserve"> → snapback expected.</w:t>
      </w:r>
    </w:p>
    <w:p>
      <w:pPr>
        <w:pStyle w:val="BodyText"/>
        <w:numPr>
          <w:ilvl w:val="0"/>
          <w:numId w:val="365"/>
        </w:numPr>
        <w:tabs>
          <w:tab w:val="clear" w:pos="709"/>
          <w:tab w:val="left" w:pos="709" w:leader="none"/>
        </w:tabs>
        <w:bidi w:val="0"/>
        <w:ind w:hanging="283" w:start="709"/>
        <w:jc w:val="start"/>
        <w:rPr/>
      </w:pPr>
      <w:r>
        <w:rPr>
          <w:b/>
        </w:rPr>
        <w:t>Lockheed Martin (LMT):</w:t>
      </w:r>
      <w:r>
        <w:rPr/>
        <w:t xml:space="preserve"> same structure — 45-degree uptrend with wave up/wave down → good news → 90-degree move with big green candles, price stretched far from the moving average → "eventually it will snap back down."</w:t>
      </w:r>
    </w:p>
    <w:p>
      <w:pPr>
        <w:pStyle w:val="BodyText"/>
        <w:numPr>
          <w:ilvl w:val="0"/>
          <w:numId w:val="365"/>
        </w:numPr>
        <w:tabs>
          <w:tab w:val="clear" w:pos="709"/>
          <w:tab w:val="left" w:pos="709" w:leader="none"/>
        </w:tabs>
        <w:bidi w:val="0"/>
        <w:ind w:hanging="283" w:start="709"/>
        <w:jc w:val="start"/>
        <w:rPr/>
      </w:pPr>
      <w:r>
        <w:rPr>
          <w:b/>
        </w:rPr>
        <w:t>Monster Beverage (MNST):</w:t>
      </w:r>
      <w:r>
        <w:rPr/>
        <w:t xml:space="preserve"> uptrend, nicely bouncing off the </w:t>
      </w:r>
      <w:r>
        <w:rPr>
          <w:b/>
        </w:rPr>
        <w:t>50 SMA</w:t>
      </w:r>
      <w:r>
        <w:rPr/>
        <w:t xml:space="preserve"> (three identified buy points at the 50, provided undervalued vs intrinsic value) → then good news → </w:t>
      </w:r>
      <w:r>
        <w:rPr>
          <w:b/>
        </w:rPr>
        <w:t>parabolic 90-degree move with green candles</w:t>
      </w:r>
      <w:r>
        <w:rPr/>
        <w:t xml:space="preserve"> → the point at which to sell covered calls or scale out if raising cash.</w:t>
      </w:r>
    </w:p>
    <w:p>
      <w:pPr>
        <w:pStyle w:val="Heading4"/>
        <w:numPr>
          <w:ilvl w:val="0"/>
          <w:numId w:val="0"/>
        </w:numPr>
        <w:bidi w:val="0"/>
        <w:ind w:hanging="0" w:start="0"/>
        <w:jc w:val="start"/>
        <w:rPr/>
      </w:pPr>
      <w:r>
        <w:rPr/>
        <w:t>9.5 If You ALREADY OWN a Great Company and It Enters a Downtrend — DO NOT SELL</w:t>
      </w:r>
    </w:p>
    <w:p>
      <w:pPr>
        <w:pStyle w:val="BodyText"/>
        <w:numPr>
          <w:ilvl w:val="0"/>
          <w:numId w:val="366"/>
        </w:numPr>
        <w:tabs>
          <w:tab w:val="clear" w:pos="709"/>
          <w:tab w:val="left" w:pos="709" w:leader="none"/>
        </w:tabs>
        <w:bidi w:val="0"/>
        <w:ind w:hanging="283" w:start="709"/>
        <w:jc w:val="start"/>
        <w:rPr/>
      </w:pPr>
      <w:r>
        <w:rPr>
          <w:b/>
        </w:rPr>
        <w:t>What Adam used to do (many years ago):</w:t>
      </w:r>
      <w:r>
        <w:rPr/>
        <w:t xml:space="preserve"> the moment the downtrend signalled (50 crossing below 150, both sloping down), sell everything, then wait for the new uptrend and buy back.</w:t>
      </w:r>
    </w:p>
    <w:p>
      <w:pPr>
        <w:pStyle w:val="BodyText"/>
        <w:numPr>
          <w:ilvl w:val="0"/>
          <w:numId w:val="366"/>
        </w:numPr>
        <w:tabs>
          <w:tab w:val="clear" w:pos="709"/>
          <w:tab w:val="left" w:pos="709" w:leader="none"/>
        </w:tabs>
        <w:bidi w:val="0"/>
        <w:ind w:hanging="283" w:start="709"/>
        <w:jc w:val="start"/>
        <w:rPr/>
      </w:pPr>
      <w:r>
        <w:rPr>
          <w:b/>
        </w:rPr>
        <w:t>What Adam does now: he does NOT do that anymore.</w:t>
      </w:r>
    </w:p>
    <w:p>
      <w:pPr>
        <w:pStyle w:val="BodyText"/>
        <w:numPr>
          <w:ilvl w:val="0"/>
          <w:numId w:val="366"/>
        </w:numPr>
        <w:tabs>
          <w:tab w:val="clear" w:pos="709"/>
          <w:tab w:val="left" w:pos="709" w:leader="none"/>
        </w:tabs>
        <w:bidi w:val="0"/>
        <w:ind w:hanging="283" w:start="709"/>
        <w:jc w:val="start"/>
        <w:rPr/>
      </w:pPr>
      <w:r>
        <w:rPr>
          <w:b/>
        </w:rPr>
        <w:t>Reason: WHIPSAW.</w:t>
      </w:r>
      <w:r>
        <w:rPr/>
        <w:t xml:space="preserve"> Downtrends often don't last long; they reverse fast, so by the time the new uptrend confirms you buy back </w:t>
      </w:r>
      <w:r>
        <w:rPr>
          <w:b/>
        </w:rPr>
        <w:t>at a much higher price</w:t>
      </w:r>
      <w:r>
        <w:rPr/>
        <w:t xml:space="preserve"> than you sold.</w:t>
      </w:r>
    </w:p>
    <w:p>
      <w:pPr>
        <w:pStyle w:val="BodyText"/>
        <w:numPr>
          <w:ilvl w:val="0"/>
          <w:numId w:val="366"/>
        </w:numPr>
        <w:tabs>
          <w:tab w:val="clear" w:pos="709"/>
          <w:tab w:val="left" w:pos="709" w:leader="none"/>
        </w:tabs>
        <w:bidi w:val="0"/>
        <w:ind w:hanging="283" w:start="709"/>
        <w:jc w:val="start"/>
        <w:rPr/>
      </w:pPr>
      <w:r>
        <w:rPr/>
        <w:t>"Eight or nine out of 10 times you get whipsawed — you end up buying it back 20–30% higher, and all this reduces your returns."</w:t>
      </w:r>
    </w:p>
    <w:p>
      <w:pPr>
        <w:pStyle w:val="BodyText"/>
        <w:numPr>
          <w:ilvl w:val="0"/>
          <w:numId w:val="366"/>
        </w:numPr>
        <w:tabs>
          <w:tab w:val="clear" w:pos="709"/>
          <w:tab w:val="left" w:pos="709" w:leader="none"/>
        </w:tabs>
        <w:bidi w:val="0"/>
        <w:ind w:hanging="283" w:start="709"/>
        <w:jc w:val="start"/>
        <w:rPr/>
      </w:pPr>
      <w:r>
        <w:rPr/>
        <w:t>Conclusion: "</w:t>
      </w:r>
      <w:r>
        <w:rPr>
          <w:b/>
        </w:rPr>
        <w:t>If I had just held on to great companies through these up and down trends, I would have ended up making a lot more</w:t>
      </w:r>
      <w:r>
        <w:rPr/>
        <w:t xml:space="preserve"> than what I did in the past jumping out and jumping back in."</w:t>
      </w:r>
    </w:p>
    <w:p>
      <w:pPr>
        <w:pStyle w:val="BodyText"/>
        <w:bidi w:val="0"/>
        <w:jc w:val="start"/>
        <w:rPr/>
      </w:pPr>
      <w:r>
        <w:rPr>
          <w:b/>
        </w:rPr>
        <w:t>Amazon (AMZN) whipsaw worked examples</w:t>
      </w:r>
    </w:p>
    <w:tbl>
      <w:tblPr>
        <w:tblW w:w="5000" w:type="pct"/>
        <w:jc w:val="start"/>
        <w:tblInd w:w="-5" w:type="dxa"/>
        <w:tblLayout w:type="fixed"/>
        <w:tblCellMar>
          <w:top w:w="55" w:type="dxa"/>
          <w:start w:w="55" w:type="dxa"/>
          <w:bottom w:w="55" w:type="dxa"/>
          <w:end w:w="55" w:type="dxa"/>
        </w:tblCellMar>
      </w:tblPr>
      <w:tblGrid>
        <w:gridCol w:w="2409"/>
        <w:gridCol w:w="2410"/>
        <w:gridCol w:w="2409"/>
        <w:gridCol w:w="2410"/>
      </w:tblGrid>
      <w:tr>
        <w:trPr>
          <w:tblHeader w:val="true"/>
        </w:trPr>
        <w:tc>
          <w:tcPr>
            <w:tcW w:w="2409" w:type="dxa"/>
            <w:tcBorders>
              <w:top w:val="single" w:sz="4" w:space="0" w:color="000000"/>
              <w:start w:val="single" w:sz="4" w:space="0" w:color="000000"/>
              <w:bottom w:val="single" w:sz="4" w:space="0" w:color="000000"/>
            </w:tcBorders>
          </w:tcPr>
          <w:p>
            <w:pPr>
              <w:pStyle w:val="TableHeading"/>
              <w:bidi w:val="0"/>
              <w:jc w:val="start"/>
              <w:rPr/>
            </w:pPr>
            <w:r>
              <w:rPr/>
              <w:t>Case</w:t>
            </w:r>
          </w:p>
        </w:tc>
        <w:tc>
          <w:tcPr>
            <w:tcW w:w="2410" w:type="dxa"/>
            <w:tcBorders>
              <w:top w:val="single" w:sz="4" w:space="0" w:color="000000"/>
              <w:start w:val="single" w:sz="4" w:space="0" w:color="000000"/>
              <w:bottom w:val="single" w:sz="4" w:space="0" w:color="000000"/>
            </w:tcBorders>
          </w:tcPr>
          <w:p>
            <w:pPr>
              <w:pStyle w:val="TableHeading"/>
              <w:bidi w:val="0"/>
              <w:jc w:val="start"/>
              <w:rPr/>
            </w:pPr>
            <w:r>
              <w:rPr/>
              <w:t>Sell (downtrend signal)</w:t>
            </w:r>
          </w:p>
        </w:tc>
        <w:tc>
          <w:tcPr>
            <w:tcW w:w="2409" w:type="dxa"/>
            <w:tcBorders>
              <w:top w:val="single" w:sz="4" w:space="0" w:color="000000"/>
              <w:start w:val="single" w:sz="4" w:space="0" w:color="000000"/>
              <w:bottom w:val="single" w:sz="4" w:space="0" w:color="000000"/>
            </w:tcBorders>
          </w:tcPr>
          <w:p>
            <w:pPr>
              <w:pStyle w:val="TableHeading"/>
              <w:bidi w:val="0"/>
              <w:jc w:val="start"/>
              <w:rPr/>
            </w:pPr>
            <w:r>
              <w:rPr/>
              <w:t>Buy back (uptrend signal)</w:t>
            </w:r>
          </w:p>
        </w:tc>
        <w:tc>
          <w:tcPr>
            <w:tcW w:w="2410"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Result</w:t>
            </w:r>
          </w:p>
        </w:tc>
      </w:tr>
      <w:tr>
        <w:trPr/>
        <w:tc>
          <w:tcPr>
            <w:tcW w:w="2409" w:type="dxa"/>
            <w:tcBorders>
              <w:start w:val="single" w:sz="4" w:space="0" w:color="000000"/>
              <w:bottom w:val="single" w:sz="4" w:space="0" w:color="000000"/>
            </w:tcBorders>
          </w:tcPr>
          <w:p>
            <w:pPr>
              <w:pStyle w:val="TableContents"/>
              <w:bidi w:val="0"/>
              <w:jc w:val="start"/>
              <w:rPr/>
            </w:pPr>
            <w:r>
              <w:rPr>
                <w:b/>
              </w:rPr>
              <w:t>2022 bear market</w:t>
            </w:r>
            <w:r>
              <w:rPr/>
              <w:t xml:space="preserve"> (Fed raised rates rapidly; 2021 uptrend reversed)</w:t>
            </w:r>
          </w:p>
        </w:tc>
        <w:tc>
          <w:tcPr>
            <w:tcW w:w="2410" w:type="dxa"/>
            <w:tcBorders>
              <w:start w:val="single" w:sz="4" w:space="0" w:color="000000"/>
              <w:bottom w:val="single" w:sz="4" w:space="0" w:color="000000"/>
            </w:tcBorders>
          </w:tcPr>
          <w:p>
            <w:pPr>
              <w:pStyle w:val="TableContents"/>
              <w:bidi w:val="0"/>
              <w:jc w:val="start"/>
              <w:rPr/>
            </w:pPr>
            <w:r>
              <w:rPr>
                <w:b/>
              </w:rPr>
              <w:t>$165</w:t>
            </w:r>
          </w:p>
        </w:tc>
        <w:tc>
          <w:tcPr>
            <w:tcW w:w="2409" w:type="dxa"/>
            <w:tcBorders>
              <w:start w:val="single" w:sz="4" w:space="0" w:color="000000"/>
              <w:bottom w:val="single" w:sz="4" w:space="0" w:color="000000"/>
            </w:tcBorders>
          </w:tcPr>
          <w:p>
            <w:pPr>
              <w:pStyle w:val="TableContents"/>
              <w:bidi w:val="0"/>
              <w:jc w:val="start"/>
              <w:rPr/>
            </w:pPr>
            <w:r>
              <w:rPr>
                <w:b/>
              </w:rPr>
              <w:t>$106</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b/>
              </w:rPr>
              <w:t>Worked</w:t>
            </w:r>
            <w:r>
              <w:rPr/>
              <w:t xml:space="preserve"> — but this only happens in a bear market</w:t>
            </w:r>
          </w:p>
        </w:tc>
      </w:tr>
      <w:tr>
        <w:trPr/>
        <w:tc>
          <w:tcPr>
            <w:tcW w:w="2409" w:type="dxa"/>
            <w:tcBorders>
              <w:start w:val="single" w:sz="4" w:space="0" w:color="000000"/>
              <w:bottom w:val="single" w:sz="4" w:space="0" w:color="000000"/>
            </w:tcBorders>
          </w:tcPr>
          <w:p>
            <w:pPr>
              <w:pStyle w:val="TableContents"/>
              <w:bidi w:val="0"/>
              <w:jc w:val="start"/>
              <w:rPr/>
            </w:pPr>
            <w:r>
              <w:rPr>
                <w:b/>
              </w:rPr>
              <w:t>Case 2</w:t>
            </w:r>
          </w:p>
        </w:tc>
        <w:tc>
          <w:tcPr>
            <w:tcW w:w="2410" w:type="dxa"/>
            <w:tcBorders>
              <w:start w:val="single" w:sz="4" w:space="0" w:color="000000"/>
              <w:bottom w:val="single" w:sz="4" w:space="0" w:color="000000"/>
            </w:tcBorders>
          </w:tcPr>
          <w:p>
            <w:pPr>
              <w:pStyle w:val="TableContents"/>
              <w:bidi w:val="0"/>
              <w:jc w:val="start"/>
              <w:rPr/>
            </w:pPr>
            <w:r>
              <w:rPr>
                <w:b/>
              </w:rPr>
              <w:t>$74</w:t>
            </w:r>
          </w:p>
        </w:tc>
        <w:tc>
          <w:tcPr>
            <w:tcW w:w="2409" w:type="dxa"/>
            <w:tcBorders>
              <w:start w:val="single" w:sz="4" w:space="0" w:color="000000"/>
              <w:bottom w:val="single" w:sz="4" w:space="0" w:color="000000"/>
            </w:tcBorders>
          </w:tcPr>
          <w:p>
            <w:pPr>
              <w:pStyle w:val="TableContents"/>
              <w:bidi w:val="0"/>
              <w:jc w:val="start"/>
              <w:rPr/>
            </w:pPr>
            <w:r>
              <w:rPr>
                <w:b/>
              </w:rPr>
              <w:t>$92</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b/>
              </w:rPr>
              <w:t>Lost $8</w:t>
            </w:r>
            <w:r>
              <w:rPr/>
              <w:t xml:space="preserve"> — whipsawed</w:t>
            </w:r>
          </w:p>
        </w:tc>
      </w:tr>
      <w:tr>
        <w:trPr/>
        <w:tc>
          <w:tcPr>
            <w:tcW w:w="2409" w:type="dxa"/>
            <w:tcBorders>
              <w:start w:val="single" w:sz="4" w:space="0" w:color="000000"/>
              <w:bottom w:val="single" w:sz="4" w:space="0" w:color="000000"/>
            </w:tcBorders>
          </w:tcPr>
          <w:p>
            <w:pPr>
              <w:pStyle w:val="TableContents"/>
              <w:bidi w:val="0"/>
              <w:jc w:val="start"/>
              <w:rPr/>
            </w:pPr>
            <w:r>
              <w:rPr>
                <w:b/>
              </w:rPr>
              <w:t>Case 3</w:t>
            </w:r>
          </w:p>
        </w:tc>
        <w:tc>
          <w:tcPr>
            <w:tcW w:w="2410" w:type="dxa"/>
            <w:tcBorders>
              <w:start w:val="single" w:sz="4" w:space="0" w:color="000000"/>
              <w:bottom w:val="single" w:sz="4" w:space="0" w:color="000000"/>
            </w:tcBorders>
          </w:tcPr>
          <w:p>
            <w:pPr>
              <w:pStyle w:val="TableContents"/>
              <w:bidi w:val="0"/>
              <w:jc w:val="start"/>
              <w:rPr/>
            </w:pPr>
            <w:r>
              <w:rPr>
                <w:b/>
              </w:rPr>
              <w:t>$15</w:t>
            </w:r>
          </w:p>
        </w:tc>
        <w:tc>
          <w:tcPr>
            <w:tcW w:w="2409" w:type="dxa"/>
            <w:tcBorders>
              <w:start w:val="single" w:sz="4" w:space="0" w:color="000000"/>
              <w:bottom w:val="single" w:sz="4" w:space="0" w:color="000000"/>
            </w:tcBorders>
          </w:tcPr>
          <w:p>
            <w:pPr>
              <w:pStyle w:val="TableContents"/>
              <w:bidi w:val="0"/>
              <w:jc w:val="start"/>
              <w:rPr/>
            </w:pPr>
            <w:r>
              <w:rPr>
                <w:b/>
              </w:rPr>
              <w:t>$19</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b/>
              </w:rPr>
              <w:t>Lost $4 on $15 = 27%</w:t>
            </w:r>
            <w:r>
              <w:rPr/>
              <w:t xml:space="preserve"> — whipsawed</w:t>
            </w:r>
          </w:p>
        </w:tc>
      </w:tr>
    </w:tbl>
    <w:p>
      <w:pPr>
        <w:pStyle w:val="BodyText"/>
        <w:bidi w:val="0"/>
        <w:jc w:val="start"/>
        <w:rPr/>
      </w:pPr>
      <w:r>
        <w:rPr/>
      </w:r>
    </w:p>
    <w:p>
      <w:pPr>
        <w:pStyle w:val="BodyText"/>
        <w:numPr>
          <w:ilvl w:val="0"/>
          <w:numId w:val="367"/>
        </w:numPr>
        <w:tabs>
          <w:tab w:val="clear" w:pos="709"/>
          <w:tab w:val="left" w:pos="709" w:leader="none"/>
        </w:tabs>
        <w:bidi w:val="0"/>
        <w:ind w:hanging="283" w:start="709"/>
        <w:jc w:val="start"/>
        <w:rPr/>
      </w:pPr>
      <w:r>
        <w:rPr>
          <w:b/>
        </w:rPr>
        <w:t>Bear markets happen on average ONCE EVERY SIX YEARS</w:t>
      </w:r>
      <w:r>
        <w:rPr/>
        <w:t xml:space="preserve"> — so the "sell the downtrend" trade only pays off rarely; </w:t>
      </w:r>
      <w:r>
        <w:rPr>
          <w:b/>
        </w:rPr>
        <w:t>more often than not you get whipsawed.</w:t>
      </w:r>
    </w:p>
    <w:p>
      <w:pPr>
        <w:pStyle w:val="Heading4"/>
        <w:numPr>
          <w:ilvl w:val="0"/>
          <w:numId w:val="0"/>
        </w:numPr>
        <w:bidi w:val="0"/>
        <w:ind w:hanging="0" w:start="0"/>
        <w:jc w:val="start"/>
        <w:rPr/>
      </w:pPr>
      <w:r>
        <w:rPr/>
        <w:t>9.6 If You DO NOT Yet Own the Stock and It Is in a Downtrend — Two Options</w:t>
      </w:r>
    </w:p>
    <w:p>
      <w:pPr>
        <w:pStyle w:val="BodyText"/>
        <w:numPr>
          <w:ilvl w:val="0"/>
          <w:numId w:val="368"/>
        </w:numPr>
        <w:tabs>
          <w:tab w:val="clear" w:pos="709"/>
          <w:tab w:val="left" w:pos="709" w:leader="none"/>
        </w:tabs>
        <w:bidi w:val="0"/>
        <w:ind w:hanging="283" w:start="709"/>
        <w:jc w:val="start"/>
        <w:rPr/>
      </w:pPr>
      <w:r>
        <w:rPr/>
        <w:t>Buffett-style investors would just buy — they don't care about the downtrend, because downtrends last a couple of months and eventually reverse and go much higher. If you have a 5–10 year horizon, short-term trends don't bother you.</w:t>
      </w:r>
    </w:p>
    <w:p>
      <w:pPr>
        <w:pStyle w:val="BodyText"/>
        <w:numPr>
          <w:ilvl w:val="0"/>
          <w:numId w:val="368"/>
        </w:numPr>
        <w:tabs>
          <w:tab w:val="clear" w:pos="709"/>
          <w:tab w:val="left" w:pos="709" w:leader="none"/>
        </w:tabs>
        <w:bidi w:val="0"/>
        <w:ind w:hanging="283" w:start="709"/>
        <w:jc w:val="start"/>
        <w:rPr/>
      </w:pPr>
      <w:r>
        <w:rPr>
          <w:b/>
        </w:rPr>
        <w:t>Adam personally: "I wouldn't just jump in blindly. I won't do that."</w:t>
      </w:r>
    </w:p>
    <w:p>
      <w:pPr>
        <w:pStyle w:val="BodyText"/>
        <w:bidi w:val="0"/>
        <w:jc w:val="start"/>
        <w:rPr/>
      </w:pPr>
      <w:r>
        <w:rPr>
          <w:b/>
        </w:rPr>
        <w:t>Universal prohibition on downtrends:</w:t>
      </w:r>
    </w:p>
    <w:p>
      <w:pPr>
        <w:pStyle w:val="BlockQuotation"/>
        <w:bidi w:val="0"/>
        <w:jc w:val="start"/>
        <w:rPr/>
      </w:pPr>
      <w:r>
        <w:rPr>
          <w:b/>
        </w:rPr>
        <w:t>NEVER buy after a wave UP in a downtrend.</w:t>
      </w:r>
      <w:r>
        <w:rPr/>
        <w:t xml:space="preserve"> "If you want to buy on a downtrend, for goodness sake don't buy after a wave up — that's the dumbest time to buy, because after you buy it's going to crash back down again."</w:t>
      </w:r>
    </w:p>
    <w:p>
      <w:pPr>
        <w:pStyle w:val="BodyText"/>
        <w:bidi w:val="0"/>
        <w:jc w:val="start"/>
        <w:rPr/>
      </w:pPr>
      <w:r>
        <w:rPr>
          <w:b/>
        </w:rPr>
        <w:t>The two legitimate options:</w:t>
      </w:r>
    </w:p>
    <w:p>
      <w:pPr>
        <w:pStyle w:val="BodyText"/>
        <w:numPr>
          <w:ilvl w:val="0"/>
          <w:numId w:val="369"/>
        </w:numPr>
        <w:tabs>
          <w:tab w:val="clear" w:pos="709"/>
          <w:tab w:val="left" w:pos="709" w:leader="none"/>
        </w:tabs>
        <w:bidi w:val="0"/>
        <w:spacing w:before="0" w:after="0"/>
        <w:ind w:hanging="283" w:start="709"/>
        <w:jc w:val="start"/>
        <w:rPr/>
      </w:pPr>
      <w:r>
        <w:rPr>
          <w:b/>
        </w:rPr>
        <w:t>Option A — Wait for the downtrend to end and the NEW UPTREND to be confirmed, then buy.</w:t>
      </w:r>
    </w:p>
    <w:p>
      <w:pPr>
        <w:pStyle w:val="BodyText"/>
        <w:numPr>
          <w:ilvl w:val="1"/>
          <w:numId w:val="369"/>
        </w:numPr>
        <w:tabs>
          <w:tab w:val="clear" w:pos="709"/>
          <w:tab w:val="left" w:pos="1418" w:leader="none"/>
        </w:tabs>
        <w:bidi w:val="0"/>
        <w:ind w:hanging="283" w:start="1418"/>
        <w:jc w:val="start"/>
        <w:rPr/>
      </w:pPr>
      <w:r>
        <w:rPr/>
        <w:t xml:space="preserve">Trigger: the </w:t>
      </w:r>
      <w:r>
        <w:rPr>
          <w:b/>
        </w:rPr>
        <w:t>50 crosses back above the 150</w:t>
      </w:r>
      <w:r>
        <w:rPr/>
        <w:t xml:space="preserve"> AND </w:t>
      </w:r>
      <w:r>
        <w:rPr>
          <w:b/>
        </w:rPr>
        <w:t>both the 50 and the 150 have flattened and are sloping up</w:t>
      </w:r>
      <w:r>
        <w:rPr/>
        <w:t>.</w:t>
      </w:r>
    </w:p>
    <w:p>
      <w:pPr>
        <w:pStyle w:val="BodyText"/>
        <w:numPr>
          <w:ilvl w:val="0"/>
          <w:numId w:val="369"/>
        </w:numPr>
        <w:tabs>
          <w:tab w:val="clear" w:pos="709"/>
          <w:tab w:val="left" w:pos="709" w:leader="none"/>
        </w:tabs>
        <w:bidi w:val="0"/>
        <w:ind w:hanging="283" w:start="709"/>
        <w:jc w:val="start"/>
        <w:rPr/>
      </w:pPr>
      <w:r>
        <w:rPr>
          <w:b/>
        </w:rPr>
        <w:t>Option B — Buy DURING the downtrend, but only at signs of a POTENTIAL BOTTOM</w:t>
      </w:r>
      <w:r>
        <w:rPr/>
        <w:t xml:space="preserve"> (see §10). "You buy at the bottom of a downtrend anticipating the reversal to an uptrend </w:t>
      </w:r>
      <w:r>
        <w:rPr>
          <w:b/>
        </w:rPr>
        <w:t>before</w:t>
      </w:r>
      <w:r>
        <w:rPr/>
        <w:t xml:space="preserve"> the uptrend starts."</w:t>
      </w:r>
    </w:p>
    <w:p>
      <w:pPr>
        <w:pStyle w:val="BodyText"/>
        <w:bidi w:val="0"/>
        <w:jc w:val="start"/>
        <w:rPr/>
      </w:pPr>
      <w:r>
        <w:rPr>
          <w:b/>
        </w:rPr>
        <w:t>The cost of Option A (why Option B exists)</w:t>
      </w:r>
    </w:p>
    <w:p>
      <w:pPr>
        <w:pStyle w:val="BodyText"/>
        <w:numPr>
          <w:ilvl w:val="0"/>
          <w:numId w:val="370"/>
        </w:numPr>
        <w:tabs>
          <w:tab w:val="clear" w:pos="709"/>
          <w:tab w:val="left" w:pos="709" w:leader="none"/>
        </w:tabs>
        <w:bidi w:val="0"/>
        <w:ind w:hanging="283" w:start="709"/>
        <w:jc w:val="start"/>
        <w:rPr/>
      </w:pPr>
      <w:r>
        <w:rPr>
          <w:b/>
        </w:rPr>
        <w:t>Main disadvantage of waiting for the new uptrend: you cannot get in near the bottom. You get in after price has already moved typically 30%, 40%, or 50% off the low.</w:t>
      </w:r>
    </w:p>
    <w:p>
      <w:pPr>
        <w:pStyle w:val="BodyText"/>
        <w:numPr>
          <w:ilvl w:val="0"/>
          <w:numId w:val="370"/>
        </w:numPr>
        <w:tabs>
          <w:tab w:val="clear" w:pos="709"/>
          <w:tab w:val="left" w:pos="709" w:leader="none"/>
        </w:tabs>
        <w:bidi w:val="0"/>
        <w:ind w:hanging="283" w:start="709"/>
        <w:jc w:val="start"/>
        <w:rPr/>
      </w:pPr>
      <w:r>
        <w:rPr>
          <w:b/>
        </w:rPr>
        <w:t>Worked cost examples:</w:t>
      </w:r>
    </w:p>
    <w:tbl>
      <w:tblPr>
        <w:tblW w:w="5000" w:type="pct"/>
        <w:jc w:val="start"/>
        <w:tblInd w:w="-5" w:type="dxa"/>
        <w:tblLayout w:type="fixed"/>
        <w:tblCellMar>
          <w:top w:w="55" w:type="dxa"/>
          <w:start w:w="55" w:type="dxa"/>
          <w:bottom w:w="55" w:type="dxa"/>
          <w:end w:w="55" w:type="dxa"/>
        </w:tblCellMar>
      </w:tblPr>
      <w:tblGrid>
        <w:gridCol w:w="2409"/>
        <w:gridCol w:w="2410"/>
        <w:gridCol w:w="2409"/>
        <w:gridCol w:w="2410"/>
      </w:tblGrid>
      <w:tr>
        <w:trPr>
          <w:tblHeader w:val="true"/>
        </w:trPr>
        <w:tc>
          <w:tcPr>
            <w:tcW w:w="2409" w:type="dxa"/>
            <w:tcBorders>
              <w:top w:val="single" w:sz="4" w:space="0" w:color="000000"/>
              <w:start w:val="single" w:sz="4" w:space="0" w:color="000000"/>
              <w:bottom w:val="single" w:sz="4" w:space="0" w:color="000000"/>
            </w:tcBorders>
          </w:tcPr>
          <w:p>
            <w:pPr>
              <w:pStyle w:val="TableHeading"/>
              <w:bidi w:val="0"/>
              <w:jc w:val="start"/>
              <w:rPr/>
            </w:pPr>
            <w:r>
              <w:rPr/>
              <w:t>Stock</w:t>
            </w:r>
          </w:p>
        </w:tc>
        <w:tc>
          <w:tcPr>
            <w:tcW w:w="2410" w:type="dxa"/>
            <w:tcBorders>
              <w:top w:val="single" w:sz="4" w:space="0" w:color="000000"/>
              <w:start w:val="single" w:sz="4" w:space="0" w:color="000000"/>
              <w:bottom w:val="single" w:sz="4" w:space="0" w:color="000000"/>
            </w:tcBorders>
          </w:tcPr>
          <w:p>
            <w:pPr>
              <w:pStyle w:val="TableHeading"/>
              <w:bidi w:val="0"/>
              <w:jc w:val="start"/>
              <w:rPr/>
            </w:pPr>
            <w:r>
              <w:rPr/>
              <w:t>Bottom</w:t>
            </w:r>
          </w:p>
        </w:tc>
        <w:tc>
          <w:tcPr>
            <w:tcW w:w="2409" w:type="dxa"/>
            <w:tcBorders>
              <w:top w:val="single" w:sz="4" w:space="0" w:color="000000"/>
              <w:start w:val="single" w:sz="4" w:space="0" w:color="000000"/>
              <w:bottom w:val="single" w:sz="4" w:space="0" w:color="000000"/>
            </w:tcBorders>
          </w:tcPr>
          <w:p>
            <w:pPr>
              <w:pStyle w:val="TableHeading"/>
              <w:bidi w:val="0"/>
              <w:jc w:val="start"/>
              <w:rPr/>
            </w:pPr>
            <w:r>
              <w:rPr/>
              <w:t>Uptrend-confirmation entry</w:t>
            </w:r>
          </w:p>
        </w:tc>
        <w:tc>
          <w:tcPr>
            <w:tcW w:w="2410"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Late by</w:t>
            </w:r>
          </w:p>
        </w:tc>
      </w:tr>
      <w:tr>
        <w:trPr/>
        <w:tc>
          <w:tcPr>
            <w:tcW w:w="2409" w:type="dxa"/>
            <w:tcBorders>
              <w:start w:val="single" w:sz="4" w:space="0" w:color="000000"/>
              <w:bottom w:val="single" w:sz="4" w:space="0" w:color="000000"/>
            </w:tcBorders>
          </w:tcPr>
          <w:p>
            <w:pPr>
              <w:pStyle w:val="TableContents"/>
              <w:bidi w:val="0"/>
              <w:jc w:val="start"/>
              <w:rPr/>
            </w:pPr>
            <w:r>
              <w:rPr>
                <w:b/>
              </w:rPr>
              <w:t>Mercado Libre (MELI)</w:t>
            </w:r>
            <w:r>
              <w:rPr/>
              <w:t>, 2022 bear market</w:t>
            </w:r>
          </w:p>
        </w:tc>
        <w:tc>
          <w:tcPr>
            <w:tcW w:w="2410" w:type="dxa"/>
            <w:tcBorders>
              <w:start w:val="single" w:sz="4" w:space="0" w:color="000000"/>
              <w:bottom w:val="single" w:sz="4" w:space="0" w:color="000000"/>
            </w:tcBorders>
          </w:tcPr>
          <w:p>
            <w:pPr>
              <w:pStyle w:val="TableContents"/>
              <w:bidi w:val="0"/>
              <w:jc w:val="start"/>
              <w:rPr/>
            </w:pPr>
            <w:r>
              <w:rPr>
                <w:b/>
              </w:rPr>
              <w:t>$600</w:t>
            </w:r>
          </w:p>
        </w:tc>
        <w:tc>
          <w:tcPr>
            <w:tcW w:w="2409" w:type="dxa"/>
            <w:tcBorders>
              <w:start w:val="single" w:sz="4" w:space="0" w:color="000000"/>
              <w:bottom w:val="single" w:sz="4" w:space="0" w:color="000000"/>
            </w:tcBorders>
          </w:tcPr>
          <w:p>
            <w:pPr>
              <w:pStyle w:val="TableContents"/>
              <w:bidi w:val="0"/>
              <w:jc w:val="start"/>
              <w:rPr/>
            </w:pPr>
            <w:r>
              <w:rPr>
                <w:b/>
              </w:rPr>
              <w:t>~$920</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b/>
              </w:rPr>
              <w:t>~50%</w:t>
            </w:r>
          </w:p>
        </w:tc>
      </w:tr>
      <w:tr>
        <w:trPr/>
        <w:tc>
          <w:tcPr>
            <w:tcW w:w="2409" w:type="dxa"/>
            <w:tcBorders>
              <w:start w:val="single" w:sz="4" w:space="0" w:color="000000"/>
              <w:bottom w:val="single" w:sz="4" w:space="0" w:color="000000"/>
            </w:tcBorders>
          </w:tcPr>
          <w:p>
            <w:pPr>
              <w:pStyle w:val="TableContents"/>
              <w:bidi w:val="0"/>
              <w:jc w:val="start"/>
              <w:rPr/>
            </w:pPr>
            <w:r>
              <w:rPr>
                <w:b/>
              </w:rPr>
              <w:t>Apple (AAPL)</w:t>
            </w:r>
          </w:p>
        </w:tc>
        <w:tc>
          <w:tcPr>
            <w:tcW w:w="2410" w:type="dxa"/>
            <w:tcBorders>
              <w:start w:val="single" w:sz="4" w:space="0" w:color="000000"/>
              <w:bottom w:val="single" w:sz="4" w:space="0" w:color="000000"/>
            </w:tcBorders>
          </w:tcPr>
          <w:p>
            <w:pPr>
              <w:pStyle w:val="TableContents"/>
              <w:bidi w:val="0"/>
              <w:jc w:val="start"/>
              <w:rPr/>
            </w:pPr>
            <w:r>
              <w:rPr>
                <w:b/>
              </w:rPr>
              <w:t>$164</w:t>
            </w:r>
          </w:p>
        </w:tc>
        <w:tc>
          <w:tcPr>
            <w:tcW w:w="2409" w:type="dxa"/>
            <w:tcBorders>
              <w:start w:val="single" w:sz="4" w:space="0" w:color="000000"/>
              <w:bottom w:val="single" w:sz="4" w:space="0" w:color="000000"/>
            </w:tcBorders>
          </w:tcPr>
          <w:p>
            <w:pPr>
              <w:pStyle w:val="TableContents"/>
              <w:bidi w:val="0"/>
              <w:jc w:val="start"/>
              <w:rPr/>
            </w:pPr>
            <w:r>
              <w:rPr>
                <w:b/>
              </w:rPr>
              <w:t>$209</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b/>
              </w:rPr>
              <w:t>27%</w:t>
            </w:r>
          </w:p>
        </w:tc>
      </w:tr>
      <w:tr>
        <w:trPr/>
        <w:tc>
          <w:tcPr>
            <w:tcW w:w="2409" w:type="dxa"/>
            <w:tcBorders>
              <w:start w:val="single" w:sz="4" w:space="0" w:color="000000"/>
              <w:bottom w:val="single" w:sz="4" w:space="0" w:color="000000"/>
            </w:tcBorders>
          </w:tcPr>
          <w:p>
            <w:pPr>
              <w:pStyle w:val="TableContents"/>
              <w:bidi w:val="0"/>
              <w:jc w:val="start"/>
              <w:rPr/>
            </w:pPr>
            <w:r>
              <w:rPr>
                <w:b/>
              </w:rPr>
              <w:t>Monster Beverage (MNST)</w:t>
            </w:r>
          </w:p>
        </w:tc>
        <w:tc>
          <w:tcPr>
            <w:tcW w:w="2410" w:type="dxa"/>
            <w:tcBorders>
              <w:start w:val="single" w:sz="4" w:space="0" w:color="000000"/>
              <w:bottom w:val="single" w:sz="4" w:space="0" w:color="000000"/>
            </w:tcBorders>
          </w:tcPr>
          <w:p>
            <w:pPr>
              <w:pStyle w:val="TableContents"/>
              <w:bidi w:val="0"/>
              <w:jc w:val="start"/>
              <w:rPr/>
            </w:pPr>
            <w:r>
              <w:rPr/>
              <w:t>—</w:t>
            </w:r>
          </w:p>
        </w:tc>
        <w:tc>
          <w:tcPr>
            <w:tcW w:w="2409" w:type="dxa"/>
            <w:tcBorders>
              <w:start w:val="single" w:sz="4" w:space="0" w:color="000000"/>
              <w:bottom w:val="single" w:sz="4" w:space="0" w:color="000000"/>
            </w:tcBorders>
          </w:tcPr>
          <w:p>
            <w:pPr>
              <w:pStyle w:val="TableContents"/>
              <w:bidi w:val="0"/>
              <w:jc w:val="start"/>
              <w:rPr/>
            </w:pPr>
            <w:r>
              <w:rPr/>
              <w:t>uptrend confirmed when 50 crossed above 150</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b/>
              </w:rPr>
              <w:t>37%</w:t>
            </w:r>
          </w:p>
        </w:tc>
      </w:tr>
    </w:tbl>
    <w:p>
      <w:pPr>
        <w:pStyle w:val="BodyText"/>
        <w:bidi w:val="0"/>
        <w:jc w:val="start"/>
        <w:rPr/>
      </w:pPr>
      <w:r>
        <w:rPr/>
      </w:r>
    </w:p>
    <w:p>
      <w:pPr>
        <w:pStyle w:val="HorizontalLine"/>
        <w:bidi w:val="0"/>
        <w:jc w:val="start"/>
        <w:rPr/>
      </w:pPr>
      <w:r>
        <w:rPr/>
      </w:r>
    </w:p>
    <w:p>
      <w:pPr>
        <w:pStyle w:val="Heading3"/>
        <w:bidi w:val="0"/>
        <w:ind w:hanging="0" w:start="0"/>
        <w:jc w:val="start"/>
        <w:rPr/>
      </w:pPr>
      <w:r>
        <w:rPr/>
        <w:t>10. CATCHING BOTTOMS — Buying During a Downtrend</w:t>
      </w:r>
    </w:p>
    <w:p>
      <w:pPr>
        <w:pStyle w:val="Heading4"/>
        <w:bidi w:val="0"/>
        <w:ind w:hanging="0" w:start="0"/>
        <w:jc w:val="start"/>
        <w:rPr/>
      </w:pPr>
      <w:r>
        <w:rPr/>
        <w:t>10.1 The Two Signs of a Bottom</w:t>
      </w:r>
    </w:p>
    <w:p>
      <w:pPr>
        <w:pStyle w:val="BlockQuotation"/>
        <w:bidi w:val="0"/>
        <w:jc w:val="start"/>
        <w:rPr/>
      </w:pPr>
      <w:r>
        <w:rPr>
          <w:b/>
        </w:rPr>
        <w:t>There are exactly two signs of a bottom that we use:</w:t>
      </w:r>
      <w:r>
        <w:rPr/>
        <w:t> </w:t>
      </w:r>
      <w:r>
        <w:rPr>
          <w:b/>
        </w:rPr>
        <w:t>1. A PARABOLIC DROP to a strong support level</w:t>
      </w:r>
      <w:r>
        <w:rPr/>
        <w:t> </w:t>
      </w:r>
      <w:r>
        <w:rPr>
          <w:b/>
        </w:rPr>
        <w:t>2. A DOUBLE BOTTOM pattern</w:t>
      </w:r>
    </w:p>
    <w:p>
      <w:pPr>
        <w:pStyle w:val="Heading4"/>
        <w:bidi w:val="0"/>
        <w:ind w:hanging="0" w:start="0"/>
        <w:jc w:val="start"/>
        <w:rPr/>
      </w:pPr>
      <w:r>
        <w:rPr/>
        <w:t>10.2 Why Bottoms Form (the mechanism)</w:t>
      </w:r>
    </w:p>
    <w:p>
      <w:pPr>
        <w:pStyle w:val="BodyText"/>
        <w:numPr>
          <w:ilvl w:val="0"/>
          <w:numId w:val="371"/>
        </w:numPr>
        <w:tabs>
          <w:tab w:val="clear" w:pos="709"/>
          <w:tab w:val="left" w:pos="709" w:leader="none"/>
        </w:tabs>
        <w:bidi w:val="0"/>
        <w:ind w:hanging="283" w:start="709"/>
        <w:jc w:val="start"/>
        <w:rPr/>
      </w:pPr>
      <w:r>
        <w:rPr>
          <w:b/>
        </w:rPr>
        <w:t>A stock can only bottom when there are NO MORE SELLERS LEFT.</w:t>
      </w:r>
    </w:p>
    <w:p>
      <w:pPr>
        <w:pStyle w:val="BodyText"/>
        <w:numPr>
          <w:ilvl w:val="0"/>
          <w:numId w:val="371"/>
        </w:numPr>
        <w:tabs>
          <w:tab w:val="clear" w:pos="709"/>
          <w:tab w:val="left" w:pos="709" w:leader="none"/>
        </w:tabs>
        <w:bidi w:val="0"/>
        <w:ind w:hanging="283" w:start="709"/>
        <w:jc w:val="start"/>
        <w:rPr/>
      </w:pPr>
      <w:r>
        <w:rPr/>
        <w:t xml:space="preserve">There are no sellers left </w:t>
      </w:r>
      <w:r>
        <w:rPr>
          <w:b/>
        </w:rPr>
        <w:t>when everyone who wants to sell has already sold.</w:t>
      </w:r>
    </w:p>
    <w:p>
      <w:pPr>
        <w:pStyle w:val="BodyText"/>
        <w:numPr>
          <w:ilvl w:val="0"/>
          <w:numId w:val="371"/>
        </w:numPr>
        <w:tabs>
          <w:tab w:val="clear" w:pos="709"/>
          <w:tab w:val="left" w:pos="709" w:leader="none"/>
        </w:tabs>
        <w:bidi w:val="0"/>
        <w:ind w:hanging="283" w:start="709"/>
        <w:jc w:val="start"/>
        <w:rPr/>
      </w:pPr>
      <w:r>
        <w:rPr/>
        <w:t xml:space="preserve">That is induced by </w:t>
      </w:r>
      <w:r>
        <w:rPr>
          <w:b/>
        </w:rPr>
        <w:t>CAPITULATION / PANIC SELLING</w:t>
      </w:r>
      <w:r>
        <w:rPr/>
        <w:t>.</w:t>
      </w:r>
    </w:p>
    <w:p>
      <w:pPr>
        <w:pStyle w:val="BodyText"/>
        <w:numPr>
          <w:ilvl w:val="0"/>
          <w:numId w:val="371"/>
        </w:numPr>
        <w:tabs>
          <w:tab w:val="clear" w:pos="709"/>
          <w:tab w:val="left" w:pos="709" w:leader="none"/>
        </w:tabs>
        <w:bidi w:val="0"/>
        <w:ind w:hanging="283" w:start="709"/>
        <w:jc w:val="start"/>
        <w:rPr/>
      </w:pPr>
      <w:r>
        <w:rPr/>
        <w:t xml:space="preserve">Panic selling is induced by a </w:t>
      </w:r>
      <w:r>
        <w:rPr>
          <w:b/>
        </w:rPr>
        <w:t>90-degree drop</w:t>
      </w:r>
      <w:r>
        <w:rPr/>
        <w:t xml:space="preserve"> — the sharp final plunge makes retail traders "throw in the towel" and get out.</w:t>
      </w:r>
    </w:p>
    <w:p>
      <w:pPr>
        <w:pStyle w:val="BodyText"/>
        <w:numPr>
          <w:ilvl w:val="0"/>
          <w:numId w:val="371"/>
        </w:numPr>
        <w:tabs>
          <w:tab w:val="clear" w:pos="709"/>
          <w:tab w:val="left" w:pos="709" w:leader="none"/>
        </w:tabs>
        <w:bidi w:val="0"/>
        <w:ind w:hanging="283" w:start="709"/>
        <w:jc w:val="start"/>
        <w:rPr/>
      </w:pPr>
      <w:r>
        <w:rPr/>
        <w:t>Roller-coaster analogy: before the ride ends there's usually a big drop at the end.</w:t>
      </w:r>
    </w:p>
    <w:p>
      <w:pPr>
        <w:pStyle w:val="Heading4"/>
        <w:numPr>
          <w:ilvl w:val="0"/>
          <w:numId w:val="0"/>
        </w:numPr>
        <w:bidi w:val="0"/>
        <w:ind w:hanging="0" w:start="0"/>
        <w:jc w:val="start"/>
        <w:rPr/>
      </w:pPr>
      <w:r>
        <w:rPr/>
        <w:t>10.3 SIGN #1 — PARABOLIC DROP TO A STRONG SUPPORT LEVEL</w:t>
      </w:r>
    </w:p>
    <w:p>
      <w:pPr>
        <w:pStyle w:val="BodyText"/>
        <w:bidi w:val="0"/>
        <w:jc w:val="start"/>
        <w:rPr/>
      </w:pPr>
      <w:r>
        <w:rPr>
          <w:b/>
        </w:rPr>
        <w:t>Setup context:</w:t>
      </w:r>
      <w:r>
        <w:rPr/>
        <w:t xml:space="preserve"> in a normal downtrend price falls at a </w:t>
      </w:r>
      <w:r>
        <w:rPr>
          <w:b/>
        </w:rPr>
        <w:t>45-degree angle</w:t>
      </w:r>
      <w:r>
        <w:rPr/>
        <w:t xml:space="preserve"> (wave down, wave up, wave down, wave up). Before a stock bottoms it typically </w:t>
      </w:r>
      <w:r>
        <w:rPr>
          <w:b/>
        </w:rPr>
        <w:t>drops at 90 degrees</w:t>
      </w:r>
      <w:r>
        <w:rPr/>
        <w:t xml:space="preserve"> — the parabolic drop.</w:t>
      </w:r>
    </w:p>
    <w:p>
      <w:pPr>
        <w:pStyle w:val="BodyText"/>
        <w:bidi w:val="0"/>
        <w:jc w:val="start"/>
        <w:rPr/>
      </w:pPr>
      <w:r>
        <w:rPr>
          <w:b/>
        </w:rPr>
        <w:t>RULES:</w:t>
      </w:r>
    </w:p>
    <w:p>
      <w:pPr>
        <w:pStyle w:val="BodyText"/>
        <w:numPr>
          <w:ilvl w:val="0"/>
          <w:numId w:val="372"/>
        </w:numPr>
        <w:tabs>
          <w:tab w:val="clear" w:pos="709"/>
          <w:tab w:val="left" w:pos="709" w:leader="none"/>
        </w:tabs>
        <w:bidi w:val="0"/>
        <w:ind w:hanging="283" w:start="709"/>
        <w:jc w:val="start"/>
        <w:rPr/>
      </w:pPr>
      <w:r>
        <w:rPr/>
        <w:t xml:space="preserve">Stock is in a confirmed </w:t>
      </w:r>
      <w:r>
        <w:rPr>
          <w:b/>
        </w:rPr>
        <w:t>downtrend</w:t>
      </w:r>
      <w:r>
        <w:rPr/>
        <w:t xml:space="preserve"> (lower highs, lower lows; MAs sloping down; 200 above 150 above 50).</w:t>
      </w:r>
    </w:p>
    <w:p>
      <w:pPr>
        <w:pStyle w:val="BodyText"/>
        <w:numPr>
          <w:ilvl w:val="0"/>
          <w:numId w:val="372"/>
        </w:numPr>
        <w:tabs>
          <w:tab w:val="clear" w:pos="709"/>
          <w:tab w:val="left" w:pos="709" w:leader="none"/>
        </w:tabs>
        <w:bidi w:val="0"/>
        <w:ind w:hanging="283" w:start="709"/>
        <w:jc w:val="start"/>
        <w:rPr/>
      </w:pPr>
      <w:r>
        <w:rPr/>
        <w:t xml:space="preserve">Price makes a </w:t>
      </w:r>
      <w:r>
        <w:rPr>
          <w:b/>
        </w:rPr>
        <w:t>PARABOLIC 90-DEGREE DROP</w:t>
      </w:r>
      <w:r>
        <w:rPr/>
        <w:t xml:space="preserve"> — a sharp near-vertical plunge.</w:t>
      </w:r>
    </w:p>
    <w:p>
      <w:pPr>
        <w:pStyle w:val="BodyText"/>
        <w:numPr>
          <w:ilvl w:val="0"/>
          <w:numId w:val="372"/>
        </w:numPr>
        <w:tabs>
          <w:tab w:val="clear" w:pos="709"/>
          <w:tab w:val="left" w:pos="709" w:leader="none"/>
        </w:tabs>
        <w:bidi w:val="0"/>
        <w:ind w:hanging="283" w:start="709"/>
        <w:jc w:val="start"/>
        <w:rPr/>
      </w:pPr>
      <w:r>
        <w:rPr/>
        <w:t xml:space="preserve">You must see </w:t>
      </w:r>
      <w:r>
        <w:rPr>
          <w:b/>
        </w:rPr>
        <w:t>LONGER-THAN-USUAL RED CANDLES</w:t>
      </w:r>
      <w:r>
        <w:rPr/>
        <w:t xml:space="preserve"> ("bigger than usual red candles") — the signature of capitulation/panic selling.</w:t>
      </w:r>
    </w:p>
    <w:p>
      <w:pPr>
        <w:pStyle w:val="BodyText"/>
        <w:numPr>
          <w:ilvl w:val="0"/>
          <w:numId w:val="372"/>
        </w:numPr>
        <w:tabs>
          <w:tab w:val="clear" w:pos="709"/>
          <w:tab w:val="left" w:pos="709" w:leader="none"/>
        </w:tabs>
        <w:bidi w:val="0"/>
        <w:ind w:hanging="283" w:start="709"/>
        <w:jc w:val="start"/>
        <w:rPr/>
      </w:pPr>
      <w:r>
        <w:rPr>
          <w:b/>
        </w:rPr>
        <w:t>The drop must terminate AT a PREVIOUSLY IDENTIFIED support level</w:t>
      </w:r>
      <w:r>
        <w:rPr/>
        <w:t xml:space="preserve"> — a level you drew earlier, taken from the </w:t>
      </w:r>
      <w:r>
        <w:rPr>
          <w:b/>
        </w:rPr>
        <w:t>monthly, weekly or daily</w:t>
      </w:r>
      <w:r>
        <w:rPr/>
        <w:t xml:space="preserve"> charts. (This is precisely why you draw 4–5 support levels on the higher timeframes first.)</w:t>
      </w:r>
    </w:p>
    <w:p>
      <w:pPr>
        <w:pStyle w:val="BodyText"/>
        <w:numPr>
          <w:ilvl w:val="0"/>
          <w:numId w:val="372"/>
        </w:numPr>
        <w:tabs>
          <w:tab w:val="clear" w:pos="709"/>
          <w:tab w:val="left" w:pos="709" w:leader="none"/>
        </w:tabs>
        <w:bidi w:val="0"/>
        <w:ind w:hanging="283" w:start="709"/>
        <w:jc w:val="start"/>
        <w:rPr/>
      </w:pPr>
      <w:r>
        <w:rPr/>
        <w:t xml:space="preserve">At that point there is a </w:t>
      </w:r>
      <w:r>
        <w:rPr>
          <w:b/>
        </w:rPr>
        <w:t>very high probability</w:t>
      </w:r>
      <w:r>
        <w:rPr/>
        <w:t xml:space="preserve"> price reverses back up and starts an uptrend.</w:t>
      </w:r>
    </w:p>
    <w:p>
      <w:pPr>
        <w:pStyle w:val="BodyText"/>
        <w:numPr>
          <w:ilvl w:val="0"/>
          <w:numId w:val="372"/>
        </w:numPr>
        <w:tabs>
          <w:tab w:val="clear" w:pos="709"/>
          <w:tab w:val="left" w:pos="709" w:leader="none"/>
        </w:tabs>
        <w:bidi w:val="0"/>
        <w:ind w:hanging="283" w:start="709"/>
        <w:jc w:val="start"/>
        <w:rPr/>
      </w:pPr>
      <w:r>
        <w:rPr>
          <w:b/>
        </w:rPr>
        <w:t>CONSERVATIVE CONFIRMATION (optional but recommended):</w:t>
      </w:r>
      <w:r>
        <w:rPr/>
        <w:t xml:space="preserve"> after the big red candles, </w:t>
      </w:r>
      <w:r>
        <w:rPr>
          <w:b/>
        </w:rPr>
        <w:t>wait for a big GREEN bullish candle OR a BULLISH PIN BAR</w:t>
      </w:r>
      <w:r>
        <w:rPr/>
        <w:t xml:space="preserve"> to appear before entering.</w:t>
      </w:r>
    </w:p>
    <w:p>
      <w:pPr>
        <w:pStyle w:val="BodyText"/>
        <w:numPr>
          <w:ilvl w:val="0"/>
          <w:numId w:val="372"/>
        </w:numPr>
        <w:tabs>
          <w:tab w:val="clear" w:pos="709"/>
          <w:tab w:val="left" w:pos="709" w:leader="none"/>
        </w:tabs>
        <w:bidi w:val="0"/>
        <w:ind w:hanging="283" w:start="709"/>
        <w:jc w:val="start"/>
        <w:rPr/>
      </w:pPr>
      <w:r>
        <w:rPr>
          <w:b/>
        </w:rPr>
        <w:t>Position sizing:</w:t>
      </w:r>
      <w:r>
        <w:rPr/>
        <w:t xml:space="preserve"> this is a </w:t>
      </w:r>
      <w:r>
        <w:rPr>
          <w:b/>
        </w:rPr>
        <w:t>potential</w:t>
      </w:r>
      <w:r>
        <w:rPr/>
        <w:t xml:space="preserve"> bottom, not the bottom — it may still go a bit lower. </w:t>
      </w:r>
      <w:r>
        <w:rPr>
          <w:b/>
        </w:rPr>
        <w:t>Buy in tranches. Never all in at one go.</w:t>
      </w:r>
    </w:p>
    <w:p>
      <w:pPr>
        <w:pStyle w:val="BodyText"/>
        <w:numPr>
          <w:ilvl w:val="0"/>
          <w:numId w:val="372"/>
        </w:numPr>
        <w:tabs>
          <w:tab w:val="clear" w:pos="709"/>
          <w:tab w:val="left" w:pos="709" w:leader="none"/>
        </w:tabs>
        <w:bidi w:val="0"/>
        <w:ind w:hanging="283" w:start="709"/>
        <w:jc w:val="start"/>
        <w:rPr/>
      </w:pPr>
      <w:r>
        <w:rPr>
          <w:b/>
        </w:rPr>
        <w:t>What it is worth:</w:t>
      </w:r>
      <w:r>
        <w:rPr/>
        <w:t xml:space="preserve"> getting in here is "a lot better than buying when the price has already moved up 50%."</w:t>
      </w:r>
    </w:p>
    <w:p>
      <w:pPr>
        <w:pStyle w:val="Heading4"/>
        <w:numPr>
          <w:ilvl w:val="0"/>
          <w:numId w:val="0"/>
        </w:numPr>
        <w:bidi w:val="0"/>
        <w:ind w:hanging="0" w:start="0"/>
        <w:jc w:val="start"/>
        <w:rPr/>
      </w:pPr>
      <w:r>
        <w:rPr/>
        <w:t>10.4 SIGN #2 — THE DOUBLE BOTTOM PATTERN</w:t>
      </w:r>
    </w:p>
    <w:p>
      <w:pPr>
        <w:pStyle w:val="BodyText"/>
        <w:bidi w:val="0"/>
        <w:jc w:val="start"/>
        <w:rPr/>
      </w:pPr>
      <w:r>
        <w:rPr>
          <w:i/>
        </w:rPr>
        <w:t xml:space="preserve">(Adam notes: Alson Chu, who teaches the Price Action Manipulation course, calls this a </w:t>
      </w:r>
      <w:r>
        <w:rPr>
          <w:b/>
          <w:i/>
        </w:rPr>
        <w:t>BEAR TRAP</w:t>
      </w:r>
      <w:r>
        <w:rPr>
          <w:i/>
        </w:rPr>
        <w:t xml:space="preserve"> pattern. "It's a very, very powerful pattern.")</w:t>
      </w:r>
    </w:p>
    <w:p>
      <w:pPr>
        <w:pStyle w:val="BodyText"/>
        <w:bidi w:val="0"/>
        <w:jc w:val="start"/>
        <w:rPr/>
      </w:pPr>
      <w:r>
        <w:rPr>
          <w:b/>
        </w:rPr>
        <w:t>RULES (exact sequence):</w:t>
      </w:r>
    </w:p>
    <w:p>
      <w:pPr>
        <w:pStyle w:val="BodyText"/>
        <w:numPr>
          <w:ilvl w:val="0"/>
          <w:numId w:val="373"/>
        </w:numPr>
        <w:tabs>
          <w:tab w:val="clear" w:pos="709"/>
          <w:tab w:val="left" w:pos="709" w:leader="none"/>
        </w:tabs>
        <w:bidi w:val="0"/>
        <w:ind w:hanging="283" w:start="709"/>
        <w:jc w:val="start"/>
        <w:rPr/>
      </w:pPr>
      <w:r>
        <w:rPr/>
        <w:t xml:space="preserve">Stock is in a </w:t>
      </w:r>
      <w:r>
        <w:rPr>
          <w:b/>
        </w:rPr>
        <w:t>downtrend</w:t>
      </w:r>
      <w:r>
        <w:rPr/>
        <w:t>, falling at ~45 degrees.</w:t>
      </w:r>
    </w:p>
    <w:p>
      <w:pPr>
        <w:pStyle w:val="BodyText"/>
        <w:numPr>
          <w:ilvl w:val="0"/>
          <w:numId w:val="373"/>
        </w:numPr>
        <w:tabs>
          <w:tab w:val="clear" w:pos="709"/>
          <w:tab w:val="left" w:pos="709" w:leader="none"/>
        </w:tabs>
        <w:bidi w:val="0"/>
        <w:ind w:hanging="283" w:start="709"/>
        <w:jc w:val="start"/>
        <w:rPr/>
      </w:pPr>
      <w:r>
        <w:rPr/>
        <w:t xml:space="preserve">Price makes a drop to a low → this is the </w:t>
      </w:r>
      <w:r>
        <w:rPr>
          <w:b/>
        </w:rPr>
        <w:t>FIRST SWING LOW</w:t>
      </w:r>
      <w:r>
        <w:rPr/>
        <w:t xml:space="preserve">. Mark it with a dotted line. </w:t>
      </w:r>
      <w:r>
        <w:rPr>
          <w:i/>
        </w:rPr>
        <w:t>(Teaching example: $50.)</w:t>
      </w:r>
    </w:p>
    <w:p>
      <w:pPr>
        <w:pStyle w:val="BodyText"/>
        <w:numPr>
          <w:ilvl w:val="0"/>
          <w:numId w:val="373"/>
        </w:numPr>
        <w:tabs>
          <w:tab w:val="clear" w:pos="709"/>
          <w:tab w:val="left" w:pos="709" w:leader="none"/>
        </w:tabs>
        <w:bidi w:val="0"/>
        <w:ind w:hanging="283" w:start="709"/>
        <w:jc w:val="start"/>
        <w:rPr/>
      </w:pPr>
      <w:r>
        <w:rPr/>
        <w:t xml:space="preserve">Price </w:t>
      </w:r>
      <w:r>
        <w:rPr>
          <w:b/>
        </w:rPr>
        <w:t>rallies up</w:t>
      </w:r>
      <w:r>
        <w:rPr/>
        <w:t xml:space="preserve"> off that first swing low.</w:t>
      </w:r>
    </w:p>
    <w:p>
      <w:pPr>
        <w:pStyle w:val="BodyText"/>
        <w:numPr>
          <w:ilvl w:val="0"/>
          <w:numId w:val="373"/>
        </w:numPr>
        <w:tabs>
          <w:tab w:val="clear" w:pos="709"/>
          <w:tab w:val="left" w:pos="709" w:leader="none"/>
        </w:tabs>
        <w:bidi w:val="0"/>
        <w:spacing w:before="0" w:after="0"/>
        <w:ind w:hanging="283" w:start="709"/>
        <w:jc w:val="start"/>
        <w:rPr/>
      </w:pPr>
      <w:r>
        <w:rPr/>
        <w:t xml:space="preserve">Price makes a </w:t>
      </w:r>
      <w:r>
        <w:rPr>
          <w:b/>
        </w:rPr>
        <w:t>SECOND sharp drop</w:t>
      </w:r>
      <w:r>
        <w:rPr/>
        <w:t xml:space="preserve">. </w:t>
      </w:r>
      <w:r>
        <w:rPr>
          <w:b/>
        </w:rPr>
        <w:t>This second drop must be a 90-DEGREE (parabolic) drop.</w:t>
      </w:r>
    </w:p>
    <w:p>
      <w:pPr>
        <w:pStyle w:val="BodyText"/>
        <w:numPr>
          <w:ilvl w:val="1"/>
          <w:numId w:val="373"/>
        </w:numPr>
        <w:tabs>
          <w:tab w:val="clear" w:pos="709"/>
          <w:tab w:val="left" w:pos="1418" w:leader="none"/>
        </w:tabs>
        <w:bidi w:val="0"/>
        <w:ind w:hanging="283" w:start="1418"/>
        <w:jc w:val="start"/>
        <w:rPr/>
      </w:pPr>
      <w:r>
        <w:rPr/>
        <w:t xml:space="preserve">Both drops can be 90 degrees, but </w:t>
      </w:r>
      <w:r>
        <w:rPr>
          <w:b/>
        </w:rPr>
        <w:t>at minimum the SECOND one must be 90 degrees.</w:t>
      </w:r>
    </w:p>
    <w:p>
      <w:pPr>
        <w:pStyle w:val="BodyText"/>
        <w:numPr>
          <w:ilvl w:val="0"/>
          <w:numId w:val="373"/>
        </w:numPr>
        <w:tabs>
          <w:tab w:val="clear" w:pos="709"/>
          <w:tab w:val="left" w:pos="709" w:leader="none"/>
        </w:tabs>
        <w:bidi w:val="0"/>
        <w:ind w:hanging="283" w:start="709"/>
        <w:jc w:val="start"/>
        <w:rPr/>
      </w:pPr>
      <w:r>
        <w:rPr>
          <w:b/>
        </w:rPr>
        <w:t>The second low MUST go BELOW the first swing low.</w:t>
      </w:r>
      <w:r>
        <w:rPr/>
        <w:t xml:space="preserve"> (If first low was $50, the second must break under it — $49.90, $49.50, $49, whatever.)</w:t>
      </w:r>
    </w:p>
    <w:p>
      <w:pPr>
        <w:pStyle w:val="BodyText"/>
        <w:numPr>
          <w:ilvl w:val="0"/>
          <w:numId w:val="373"/>
        </w:numPr>
        <w:tabs>
          <w:tab w:val="clear" w:pos="709"/>
          <w:tab w:val="left" w:pos="709" w:leader="none"/>
        </w:tabs>
        <w:bidi w:val="0"/>
        <w:ind w:hanging="283" w:start="709"/>
        <w:jc w:val="start"/>
        <w:rPr/>
      </w:pPr>
      <w:r>
        <w:rPr>
          <w:b/>
        </w:rPr>
        <w:t>WITHIN ABOUT THREE CANDLES of breaking below, price must CLOSE BACK ABOVE the first swing low</w:t>
      </w:r>
      <w:r>
        <w:rPr/>
        <w:t xml:space="preserve"> (back above $50) </w:t>
      </w:r>
      <w:r>
        <w:rPr>
          <w:b/>
        </w:rPr>
        <w:t>with a BULLISH candle.</w:t>
      </w:r>
    </w:p>
    <w:p>
      <w:pPr>
        <w:pStyle w:val="BodyText"/>
        <w:numPr>
          <w:ilvl w:val="0"/>
          <w:numId w:val="373"/>
        </w:numPr>
        <w:tabs>
          <w:tab w:val="clear" w:pos="709"/>
          <w:tab w:val="left" w:pos="709" w:leader="none"/>
        </w:tabs>
        <w:bidi w:val="0"/>
        <w:ind w:hanging="283" w:start="709"/>
        <w:jc w:val="start"/>
        <w:rPr/>
      </w:pPr>
      <w:r>
        <w:rPr/>
        <w:t xml:space="preserve">That completes the double bottom. </w:t>
      </w:r>
      <w:r>
        <w:rPr>
          <w:b/>
        </w:rPr>
        <w:t>That bullish close back above the first swing low is the BUY trigger</w:t>
      </w:r>
      <w:r>
        <w:rPr/>
        <w:t xml:space="preserve"> — "that is exactly when I'll get in. I'll buy it right there, and I'll get in right near the bottom before the uptrend."</w:t>
      </w:r>
    </w:p>
    <w:p>
      <w:pPr>
        <w:pStyle w:val="BodyText"/>
        <w:numPr>
          <w:ilvl w:val="0"/>
          <w:numId w:val="373"/>
        </w:numPr>
        <w:tabs>
          <w:tab w:val="clear" w:pos="709"/>
          <w:tab w:val="left" w:pos="709" w:leader="none"/>
        </w:tabs>
        <w:bidi w:val="0"/>
        <w:ind w:hanging="283" w:start="709"/>
        <w:jc w:val="start"/>
        <w:rPr/>
      </w:pPr>
      <w:r>
        <w:rPr>
          <w:b/>
        </w:rPr>
        <w:t>Caveats:</w:t>
      </w:r>
      <w:r>
        <w:rPr/>
        <w:t xml:space="preserve"> the pattern does </w:t>
      </w:r>
      <w:r>
        <w:rPr>
          <w:b/>
        </w:rPr>
        <w:t>not always occur</w:t>
      </w:r>
      <w:r>
        <w:rPr/>
        <w:t xml:space="preserve"> ("sometimes a double bottom doesn't happen"). No guarantee — it could still go lower. </w:t>
      </w:r>
      <w:r>
        <w:rPr>
          <w:b/>
        </w:rPr>
        <w:t>Always buy in tranches.</w:t>
      </w:r>
    </w:p>
    <w:p>
      <w:pPr>
        <w:pStyle w:val="Heading4"/>
        <w:numPr>
          <w:ilvl w:val="0"/>
          <w:numId w:val="0"/>
        </w:numPr>
        <w:bidi w:val="0"/>
        <w:ind w:hanging="0" w:start="0"/>
        <w:jc w:val="start"/>
        <w:rPr/>
      </w:pPr>
      <w:r>
        <w:rPr/>
        <w:t>10.5 Choosing Between the Two Signs</w:t>
      </w:r>
    </w:p>
    <w:p>
      <w:pPr>
        <w:pStyle w:val="BodyText"/>
        <w:numPr>
          <w:ilvl w:val="0"/>
          <w:numId w:val="374"/>
        </w:numPr>
        <w:tabs>
          <w:tab w:val="clear" w:pos="709"/>
          <w:tab w:val="left" w:pos="709" w:leader="none"/>
        </w:tabs>
        <w:bidi w:val="0"/>
        <w:ind w:hanging="283" w:start="709"/>
        <w:jc w:val="start"/>
        <w:rPr/>
      </w:pPr>
      <w:r>
        <w:rPr/>
        <w:t xml:space="preserve">If you don't want to buy at the </w:t>
      </w:r>
      <w:r>
        <w:rPr>
          <w:b/>
        </w:rPr>
        <w:t>first</w:t>
      </w:r>
      <w:r>
        <w:rPr/>
        <w:t xml:space="preserve"> parabolic drop, </w:t>
      </w:r>
      <w:r>
        <w:rPr>
          <w:b/>
        </w:rPr>
        <w:t>wait for the double bottom</w:t>
      </w:r>
      <w:r>
        <w:rPr/>
        <w:t xml:space="preserve"> — but be aware it </w:t>
      </w:r>
      <w:r>
        <w:rPr>
          <w:b/>
        </w:rPr>
        <w:t>may or may not form</w:t>
      </w:r>
      <w:r>
        <w:rPr/>
        <w:t>.</w:t>
      </w:r>
    </w:p>
    <w:p>
      <w:pPr>
        <w:pStyle w:val="BodyText"/>
        <w:numPr>
          <w:ilvl w:val="0"/>
          <w:numId w:val="374"/>
        </w:numPr>
        <w:tabs>
          <w:tab w:val="clear" w:pos="709"/>
          <w:tab w:val="left" w:pos="709" w:leader="none"/>
        </w:tabs>
        <w:bidi w:val="0"/>
        <w:ind w:hanging="283" w:start="709"/>
        <w:jc w:val="start"/>
        <w:rPr/>
      </w:pPr>
      <w:r>
        <w:rPr/>
        <w:t xml:space="preserve">The two signs can also </w:t>
      </w:r>
      <w:r>
        <w:rPr>
          <w:b/>
        </w:rPr>
        <w:t>appear together</w:t>
      </w:r>
      <w:r>
        <w:rPr/>
        <w:t xml:space="preserve"> on the same chart (see MELI below).</w:t>
      </w:r>
    </w:p>
    <w:p>
      <w:pPr>
        <w:pStyle w:val="Heading4"/>
        <w:numPr>
          <w:ilvl w:val="0"/>
          <w:numId w:val="0"/>
        </w:numPr>
        <w:bidi w:val="0"/>
        <w:ind w:hanging="0" w:start="0"/>
        <w:jc w:val="start"/>
        <w:rPr/>
      </w:pPr>
      <w:r>
        <w:rPr/>
        <w:t>10.6 Worked "Catching Bottoms" Examples</w:t>
      </w:r>
    </w:p>
    <w:p>
      <w:pPr>
        <w:pStyle w:val="BodyText"/>
        <w:bidi w:val="0"/>
        <w:jc w:val="start"/>
        <w:rPr/>
      </w:pPr>
      <w:r>
        <w:rPr>
          <w:b/>
        </w:rPr>
        <w:t>Mercado Libre (MELI), 2022 bear market — BOTH signs present</w:t>
      </w:r>
    </w:p>
    <w:p>
      <w:pPr>
        <w:pStyle w:val="BodyText"/>
        <w:numPr>
          <w:ilvl w:val="0"/>
          <w:numId w:val="375"/>
        </w:numPr>
        <w:tabs>
          <w:tab w:val="clear" w:pos="709"/>
          <w:tab w:val="left" w:pos="709" w:leader="none"/>
        </w:tabs>
        <w:bidi w:val="0"/>
        <w:ind w:hanging="283" w:start="709"/>
        <w:jc w:val="start"/>
        <w:rPr/>
      </w:pPr>
      <w:r>
        <w:rPr/>
        <w:t xml:space="preserve">Context: nothing wrong with the company — the </w:t>
      </w:r>
      <w:r>
        <w:rPr>
          <w:b/>
        </w:rPr>
        <w:t>whole market was bearish</w:t>
      </w:r>
      <w:r>
        <w:rPr/>
        <w:t xml:space="preserve"> in the 2022 bear market. Downtrend confirmed: 50 below 150, 150 below 200, all sloping down.</w:t>
      </w:r>
    </w:p>
    <w:p>
      <w:pPr>
        <w:pStyle w:val="BodyText"/>
        <w:numPr>
          <w:ilvl w:val="0"/>
          <w:numId w:val="375"/>
        </w:numPr>
        <w:tabs>
          <w:tab w:val="clear" w:pos="709"/>
          <w:tab w:val="left" w:pos="709" w:leader="none"/>
        </w:tabs>
        <w:bidi w:val="0"/>
        <w:ind w:hanging="283" w:start="709"/>
        <w:jc w:val="start"/>
        <w:rPr/>
      </w:pPr>
      <w:r>
        <w:rPr>
          <w:b/>
        </w:rPr>
        <w:t>Sign #1 (parabolic drop to support):</w:t>
      </w:r>
      <w:r>
        <w:rPr/>
        <w:t xml:space="preserve"> price falling at 45 degrees → then a </w:t>
      </w:r>
      <w:r>
        <w:rPr>
          <w:b/>
        </w:rPr>
        <w:t>90-degree drop with big red candles</w:t>
      </w:r>
      <w:r>
        <w:rPr/>
        <w:t xml:space="preserve"> → </w:t>
      </w:r>
      <w:r>
        <w:rPr>
          <w:b/>
        </w:rPr>
        <w:t>hit a strong support level previously identified on the charts.</w:t>
      </w:r>
      <w:r>
        <w:rPr/>
        <w:t xml:space="preserve"> Conservative entry: wait for the first green candle → buy.</w:t>
      </w:r>
    </w:p>
    <w:p>
      <w:pPr>
        <w:pStyle w:val="BodyText"/>
        <w:numPr>
          <w:ilvl w:val="0"/>
          <w:numId w:val="375"/>
        </w:numPr>
        <w:tabs>
          <w:tab w:val="clear" w:pos="709"/>
          <w:tab w:val="left" w:pos="709" w:leader="none"/>
        </w:tabs>
        <w:bidi w:val="0"/>
        <w:ind w:hanging="283" w:start="709"/>
        <w:jc w:val="start"/>
        <w:rPr/>
      </w:pPr>
      <w:r>
        <w:rPr>
          <w:b/>
        </w:rPr>
        <w:t>Sign #2 (double bottom):</w:t>
      </w:r>
      <w:r>
        <w:rPr/>
        <w:t xml:space="preserve"> first swing low at </w:t>
      </w:r>
      <w:r>
        <w:rPr>
          <w:b/>
        </w:rPr>
        <w:t>~$640</w:t>
      </w:r>
      <w:r>
        <w:rPr/>
        <w:t xml:space="preserve"> (estimated) → rally → second drop </w:t>
      </w:r>
      <w:r>
        <w:rPr>
          <w:b/>
        </w:rPr>
        <w:t>below $640</w:t>
      </w:r>
      <w:r>
        <w:rPr/>
        <w:t xml:space="preserve"> → then back </w:t>
      </w:r>
      <w:r>
        <w:rPr>
          <w:b/>
        </w:rPr>
        <w:t>above $640</w:t>
      </w:r>
      <w:r>
        <w:rPr/>
        <w:t xml:space="preserve"> within about three candles with a </w:t>
      </w:r>
      <w:r>
        <w:rPr>
          <w:b/>
        </w:rPr>
        <w:t>bullish candle</w:t>
      </w:r>
      <w:r>
        <w:rPr/>
        <w:t xml:space="preserve"> → </w:t>
      </w:r>
      <w:r>
        <w:rPr>
          <w:b/>
        </w:rPr>
        <w:t>buy right there, near the bottom, before the uptrend.</w:t>
      </w:r>
    </w:p>
    <w:p>
      <w:pPr>
        <w:pStyle w:val="BodyText"/>
        <w:numPr>
          <w:ilvl w:val="0"/>
          <w:numId w:val="375"/>
        </w:numPr>
        <w:tabs>
          <w:tab w:val="clear" w:pos="709"/>
          <w:tab w:val="left" w:pos="709" w:leader="none"/>
        </w:tabs>
        <w:bidi w:val="0"/>
        <w:ind w:hanging="283" w:start="709"/>
        <w:jc w:val="start"/>
        <w:rPr/>
      </w:pPr>
      <w:r>
        <w:rPr>
          <w:b/>
        </w:rPr>
        <w:t>Cost of the alternative:</w:t>
      </w:r>
      <w:r>
        <w:rPr/>
        <w:t xml:space="preserve"> waiting for uptrend confirmation would have meant entering at </w:t>
      </w:r>
      <w:r>
        <w:rPr>
          <w:b/>
        </w:rPr>
        <w:t>~$920</w:t>
      </w:r>
      <w:r>
        <w:rPr/>
        <w:t xml:space="preserve"> when the bottom was </w:t>
      </w:r>
      <w:r>
        <w:rPr>
          <w:b/>
        </w:rPr>
        <w:t>$600</w:t>
      </w:r>
      <w:r>
        <w:rPr/>
        <w:t xml:space="preserve"> — i.e. </w:t>
      </w:r>
      <w:r>
        <w:rPr>
          <w:b/>
        </w:rPr>
        <w:t>~50% off the low</w:t>
      </w:r>
      <w:r>
        <w:rPr/>
        <w:t>.</w:t>
      </w:r>
    </w:p>
    <w:p>
      <w:pPr>
        <w:pStyle w:val="BodyText"/>
        <w:numPr>
          <w:ilvl w:val="0"/>
          <w:numId w:val="375"/>
        </w:numPr>
        <w:tabs>
          <w:tab w:val="clear" w:pos="709"/>
          <w:tab w:val="left" w:pos="709" w:leader="none"/>
        </w:tabs>
        <w:bidi w:val="0"/>
        <w:ind w:hanging="283" w:start="709"/>
        <w:jc w:val="start"/>
        <w:rPr/>
      </w:pPr>
      <w:r>
        <w:rPr>
          <w:b/>
        </w:rPr>
        <w:t>Uptrend-confirmation invalidation note on this same chart:</w:t>
      </w:r>
      <w:r>
        <w:rPr/>
        <w:t xml:space="preserve"> blue 50 crossing above green 150 was </w:t>
      </w:r>
      <w:r>
        <w:rPr>
          <w:b/>
        </w:rPr>
        <w:t>NOT valid</w:t>
      </w:r>
      <w:r>
        <w:rPr/>
        <w:t xml:space="preserve"> while the green 150 was still sloping down — both lines must flatten and slope up.</w:t>
      </w:r>
    </w:p>
    <w:p>
      <w:pPr>
        <w:pStyle w:val="BodyText"/>
        <w:bidi w:val="0"/>
        <w:jc w:val="start"/>
        <w:rPr/>
      </w:pPr>
      <w:r>
        <w:rPr>
          <w:b/>
        </w:rPr>
        <w:t>Apple (AAPL)</w:t>
      </w:r>
    </w:p>
    <w:p>
      <w:pPr>
        <w:pStyle w:val="BodyText"/>
        <w:numPr>
          <w:ilvl w:val="0"/>
          <w:numId w:val="376"/>
        </w:numPr>
        <w:tabs>
          <w:tab w:val="clear" w:pos="709"/>
          <w:tab w:val="left" w:pos="709" w:leader="none"/>
        </w:tabs>
        <w:bidi w:val="0"/>
        <w:ind w:hanging="283" w:start="709"/>
        <w:jc w:val="start"/>
        <w:rPr/>
      </w:pPr>
      <w:r>
        <w:rPr/>
        <w:t xml:space="preserve">Uptrend → a </w:t>
      </w:r>
      <w:r>
        <w:rPr>
          <w:b/>
        </w:rPr>
        <w:t>short-lived downtrend</w:t>
      </w:r>
      <w:r>
        <w:rPr/>
        <w:t xml:space="preserve"> → back into uptrend.</w:t>
      </w:r>
    </w:p>
    <w:p>
      <w:pPr>
        <w:pStyle w:val="BodyText"/>
        <w:numPr>
          <w:ilvl w:val="0"/>
          <w:numId w:val="376"/>
        </w:numPr>
        <w:tabs>
          <w:tab w:val="clear" w:pos="709"/>
          <w:tab w:val="left" w:pos="709" w:leader="none"/>
        </w:tabs>
        <w:bidi w:val="0"/>
        <w:ind w:hanging="283" w:start="709"/>
        <w:jc w:val="start"/>
        <w:rPr/>
      </w:pPr>
      <w:r>
        <w:rPr>
          <w:b/>
        </w:rPr>
        <w:t>Waiting for the uptrend:</w:t>
      </w:r>
      <w:r>
        <w:rPr/>
        <w:t xml:space="preserve"> you'd buy at </w:t>
      </w:r>
      <w:r>
        <w:rPr>
          <w:b/>
        </w:rPr>
        <w:t>$209</w:t>
      </w:r>
      <w:r>
        <w:rPr/>
        <w:t xml:space="preserve"> when the bottom was </w:t>
      </w:r>
      <w:r>
        <w:rPr>
          <w:b/>
        </w:rPr>
        <w:t>$164</w:t>
      </w:r>
      <w:r>
        <w:rPr/>
        <w:t xml:space="preserve"> → </w:t>
      </w:r>
      <w:r>
        <w:rPr>
          <w:b/>
        </w:rPr>
        <w:t>27% late</w:t>
      </w:r>
      <w:r>
        <w:rPr/>
        <w:t xml:space="preserve"> ("209 minus 164… you would have gotten in only after the price had reversed 27% up").</w:t>
      </w:r>
    </w:p>
    <w:p>
      <w:pPr>
        <w:pStyle w:val="BodyText"/>
        <w:numPr>
          <w:ilvl w:val="0"/>
          <w:numId w:val="376"/>
        </w:numPr>
        <w:tabs>
          <w:tab w:val="clear" w:pos="709"/>
          <w:tab w:val="left" w:pos="709" w:leader="none"/>
        </w:tabs>
        <w:bidi w:val="0"/>
        <w:spacing w:before="0" w:after="0"/>
        <w:ind w:hanging="283" w:start="709"/>
        <w:jc w:val="start"/>
        <w:rPr/>
      </w:pPr>
      <w:r>
        <w:rPr>
          <w:b/>
        </w:rPr>
        <w:t>The better path — Apple made a DOUBLE BOTTOM:</w:t>
      </w:r>
    </w:p>
    <w:p>
      <w:pPr>
        <w:pStyle w:val="BodyText"/>
        <w:numPr>
          <w:ilvl w:val="1"/>
          <w:numId w:val="376"/>
        </w:numPr>
        <w:tabs>
          <w:tab w:val="clear" w:pos="709"/>
          <w:tab w:val="left" w:pos="1418" w:leader="none"/>
        </w:tabs>
        <w:bidi w:val="0"/>
        <w:ind w:hanging="283" w:start="1418"/>
        <w:jc w:val="start"/>
        <w:rPr/>
      </w:pPr>
      <w:r>
        <w:rPr/>
        <w:t xml:space="preserve">First bottom = the </w:t>
      </w:r>
      <w:r>
        <w:rPr>
          <w:b/>
        </w:rPr>
        <w:t>first swing low</w:t>
      </w:r>
    </w:p>
    <w:p>
      <w:pPr>
        <w:pStyle w:val="BodyText"/>
        <w:numPr>
          <w:ilvl w:val="1"/>
          <w:numId w:val="376"/>
        </w:numPr>
        <w:tabs>
          <w:tab w:val="clear" w:pos="709"/>
          <w:tab w:val="left" w:pos="1418" w:leader="none"/>
        </w:tabs>
        <w:bidi w:val="0"/>
        <w:ind w:hanging="283" w:start="1418"/>
        <w:jc w:val="start"/>
        <w:rPr/>
      </w:pPr>
      <w:r>
        <w:rPr/>
        <w:t>Price rallied</w:t>
      </w:r>
    </w:p>
    <w:p>
      <w:pPr>
        <w:pStyle w:val="BodyText"/>
        <w:numPr>
          <w:ilvl w:val="1"/>
          <w:numId w:val="376"/>
        </w:numPr>
        <w:tabs>
          <w:tab w:val="clear" w:pos="709"/>
          <w:tab w:val="left" w:pos="1418" w:leader="none"/>
        </w:tabs>
        <w:bidi w:val="0"/>
        <w:ind w:hanging="283" w:start="1418"/>
        <w:jc w:val="start"/>
        <w:rPr/>
      </w:pPr>
      <w:r>
        <w:rPr>
          <w:b/>
        </w:rPr>
        <w:t>Parabolic 90-degree drop with big red candles</w:t>
      </w:r>
      <w:r>
        <w:rPr/>
        <w:t xml:space="preserve"> that went </w:t>
      </w:r>
      <w:r>
        <w:rPr>
          <w:b/>
        </w:rPr>
        <w:t>below the first swing low</w:t>
      </w:r>
    </w:p>
    <w:p>
      <w:pPr>
        <w:pStyle w:val="BodyText"/>
        <w:numPr>
          <w:ilvl w:val="1"/>
          <w:numId w:val="376"/>
        </w:numPr>
        <w:tabs>
          <w:tab w:val="clear" w:pos="709"/>
          <w:tab w:val="left" w:pos="1418" w:leader="none"/>
        </w:tabs>
        <w:bidi w:val="0"/>
        <w:ind w:hanging="283" w:start="1418"/>
        <w:jc w:val="start"/>
        <w:rPr/>
      </w:pPr>
      <w:r>
        <w:rPr>
          <w:b/>
        </w:rPr>
        <w:t>Within 1–2–3 candles it formed the first bullish candle</w:t>
      </w:r>
    </w:p>
    <w:p>
      <w:pPr>
        <w:pStyle w:val="BodyText"/>
        <w:numPr>
          <w:ilvl w:val="1"/>
          <w:numId w:val="376"/>
        </w:numPr>
        <w:tabs>
          <w:tab w:val="clear" w:pos="709"/>
          <w:tab w:val="left" w:pos="1418" w:leader="none"/>
        </w:tabs>
        <w:bidi w:val="0"/>
        <w:ind w:hanging="283" w:start="1418"/>
        <w:jc w:val="start"/>
        <w:rPr/>
      </w:pPr>
      <w:r>
        <w:rPr>
          <w:b/>
        </w:rPr>
        <w:t>Wait for that first bullish candle, then buy</w:t>
      </w:r>
      <w:r>
        <w:rPr/>
        <w:t xml:space="preserve"> — catching the stock near the bottom.</w:t>
      </w:r>
    </w:p>
    <w:p>
      <w:pPr>
        <w:pStyle w:val="BodyText"/>
        <w:bidi w:val="0"/>
        <w:jc w:val="start"/>
        <w:rPr/>
      </w:pPr>
      <w:r>
        <w:rPr>
          <w:b/>
        </w:rPr>
        <w:t>Monster Beverage (MNST)</w:t>
      </w:r>
    </w:p>
    <w:p>
      <w:pPr>
        <w:pStyle w:val="BodyText"/>
        <w:numPr>
          <w:ilvl w:val="0"/>
          <w:numId w:val="377"/>
        </w:numPr>
        <w:tabs>
          <w:tab w:val="clear" w:pos="709"/>
          <w:tab w:val="left" w:pos="709" w:leader="none"/>
        </w:tabs>
        <w:bidi w:val="0"/>
        <w:ind w:hanging="283" w:start="709"/>
        <w:jc w:val="start"/>
        <w:rPr/>
      </w:pPr>
      <w:r>
        <w:rPr/>
        <w:t>Downtrend → uptrend.</w:t>
      </w:r>
    </w:p>
    <w:p>
      <w:pPr>
        <w:pStyle w:val="BodyText"/>
        <w:numPr>
          <w:ilvl w:val="0"/>
          <w:numId w:val="377"/>
        </w:numPr>
        <w:tabs>
          <w:tab w:val="clear" w:pos="709"/>
          <w:tab w:val="left" w:pos="709" w:leader="none"/>
        </w:tabs>
        <w:bidi w:val="0"/>
        <w:ind w:hanging="283" w:start="709"/>
        <w:jc w:val="start"/>
        <w:rPr/>
      </w:pPr>
      <w:r>
        <w:rPr>
          <w:b/>
        </w:rPr>
        <w:t>Waiting for uptrend confirmation</w:t>
      </w:r>
      <w:r>
        <w:rPr/>
        <w:t xml:space="preserve"> (50 crossing above 150) meant buying </w:t>
      </w:r>
      <w:r>
        <w:rPr>
          <w:b/>
        </w:rPr>
        <w:t>only after price had already moved 37% up from the bottom.</w:t>
      </w:r>
    </w:p>
    <w:p>
      <w:pPr>
        <w:pStyle w:val="BodyText"/>
        <w:numPr>
          <w:ilvl w:val="0"/>
          <w:numId w:val="377"/>
        </w:numPr>
        <w:tabs>
          <w:tab w:val="clear" w:pos="709"/>
          <w:tab w:val="left" w:pos="709" w:leader="none"/>
        </w:tabs>
        <w:bidi w:val="0"/>
        <w:ind w:hanging="283" w:start="709"/>
        <w:jc w:val="start"/>
        <w:rPr/>
      </w:pPr>
      <w:r>
        <w:rPr>
          <w:b/>
        </w:rPr>
        <w:t>The chart printed a textbook double bottom:</w:t>
      </w:r>
      <w:r>
        <w:rPr/>
        <w:t xml:space="preserve"> 90-degree drop, a </w:t>
      </w:r>
      <w:r>
        <w:rPr>
          <w:b/>
        </w:rPr>
        <w:t>double dip</w:t>
      </w:r>
      <w:r>
        <w:rPr/>
        <w:t>, entry right at the second-bottom reversal → "you caught it very early."</w:t>
      </w:r>
    </w:p>
    <w:p>
      <w:pPr>
        <w:pStyle w:val="BodyText"/>
        <w:bidi w:val="0"/>
        <w:jc w:val="start"/>
        <w:rPr/>
      </w:pPr>
      <w:r>
        <w:rPr>
          <w:b/>
        </w:rPr>
        <w:t>Google (GOOGL), 2022 bear market — PURE PARABOLIC DROP TO SUPPORT</w:t>
      </w:r>
    </w:p>
    <w:p>
      <w:pPr>
        <w:pStyle w:val="BodyText"/>
        <w:numPr>
          <w:ilvl w:val="0"/>
          <w:numId w:val="378"/>
        </w:numPr>
        <w:tabs>
          <w:tab w:val="clear" w:pos="709"/>
          <w:tab w:val="left" w:pos="709" w:leader="none"/>
        </w:tabs>
        <w:bidi w:val="0"/>
        <w:ind w:hanging="283" w:start="709"/>
        <w:jc w:val="start"/>
        <w:rPr/>
      </w:pPr>
      <w:r>
        <w:rPr/>
        <w:t xml:space="preserve">Daily chart: downtrend → </w:t>
      </w:r>
      <w:r>
        <w:rPr>
          <w:b/>
        </w:rPr>
        <w:t>90-degree parabolic drop with long red candles</w:t>
      </w:r>
      <w:r>
        <w:rPr/>
        <w:t>.</w:t>
      </w:r>
    </w:p>
    <w:p>
      <w:pPr>
        <w:pStyle w:val="BodyText"/>
        <w:numPr>
          <w:ilvl w:val="0"/>
          <w:numId w:val="378"/>
        </w:numPr>
        <w:tabs>
          <w:tab w:val="clear" w:pos="709"/>
          <w:tab w:val="left" w:pos="709" w:leader="none"/>
        </w:tabs>
        <w:bidi w:val="0"/>
        <w:ind w:hanging="283" w:start="709"/>
        <w:jc w:val="start"/>
        <w:rPr/>
      </w:pPr>
      <w:r>
        <w:rPr/>
        <w:t xml:space="preserve">The drop terminated exactly at a support level of </w:t>
      </w:r>
      <w:r>
        <w:rPr>
          <w:b/>
        </w:rPr>
        <w:t>$83</w:t>
      </w:r>
      <w:r>
        <w:rPr/>
        <w:t>.</w:t>
      </w:r>
    </w:p>
    <w:p>
      <w:pPr>
        <w:pStyle w:val="BodyText"/>
        <w:numPr>
          <w:ilvl w:val="0"/>
          <w:numId w:val="378"/>
        </w:numPr>
        <w:tabs>
          <w:tab w:val="clear" w:pos="709"/>
          <w:tab w:val="left" w:pos="709" w:leader="none"/>
        </w:tabs>
        <w:bidi w:val="0"/>
        <w:ind w:hanging="283" w:start="709"/>
        <w:jc w:val="start"/>
        <w:rPr/>
      </w:pPr>
      <w:r>
        <w:rPr>
          <w:b/>
        </w:rPr>
        <w:t>The low: $83.34, hit on 3 NOVEMBER.</w:t>
      </w:r>
    </w:p>
    <w:p>
      <w:pPr>
        <w:pStyle w:val="BodyText"/>
        <w:numPr>
          <w:ilvl w:val="0"/>
          <w:numId w:val="378"/>
        </w:numPr>
        <w:tabs>
          <w:tab w:val="clear" w:pos="709"/>
          <w:tab w:val="left" w:pos="709" w:leader="none"/>
        </w:tabs>
        <w:bidi w:val="0"/>
        <w:ind w:hanging="283" w:start="709"/>
        <w:jc w:val="start"/>
        <w:rPr/>
      </w:pPr>
      <w:r>
        <w:rPr>
          <w:b/>
        </w:rPr>
        <w:t>Where the $83 support came from:</w:t>
      </w:r>
      <w:r>
        <w:rPr/>
        <w:t xml:space="preserve"> it was </w:t>
      </w:r>
      <w:r>
        <w:rPr>
          <w:b/>
        </w:rPr>
        <w:t>identified on a HIGHER timeframe — the MONTHLY chart</w:t>
      </w:r>
      <w:r>
        <w:rPr/>
        <w:t xml:space="preserve">, where it sat on </w:t>
      </w:r>
      <w:r>
        <w:rPr>
          <w:b/>
        </w:rPr>
        <w:t>the 50 SMA (blue line) of the monthly candles</w:t>
      </w:r>
      <w:r>
        <w:rPr/>
        <w:t>. Historically Google hit that blue line and bounced.</w:t>
      </w:r>
    </w:p>
    <w:p>
      <w:pPr>
        <w:pStyle w:val="BodyText"/>
        <w:numPr>
          <w:ilvl w:val="0"/>
          <w:numId w:val="378"/>
        </w:numPr>
        <w:tabs>
          <w:tab w:val="clear" w:pos="709"/>
          <w:tab w:val="left" w:pos="709" w:leader="none"/>
        </w:tabs>
        <w:bidi w:val="0"/>
        <w:ind w:hanging="283" w:start="709"/>
        <w:jc w:val="start"/>
        <w:rPr/>
      </w:pPr>
      <w:r>
        <w:rPr/>
        <w:t>Adam: "I bought in there and caught near the bottom."</w:t>
      </w:r>
    </w:p>
    <w:p>
      <w:pPr>
        <w:pStyle w:val="BodyText"/>
        <w:numPr>
          <w:ilvl w:val="0"/>
          <w:numId w:val="378"/>
        </w:numPr>
        <w:tabs>
          <w:tab w:val="clear" w:pos="709"/>
          <w:tab w:val="left" w:pos="709" w:leader="none"/>
        </w:tabs>
        <w:bidi w:val="0"/>
        <w:ind w:hanging="283" w:start="709"/>
        <w:jc w:val="start"/>
        <w:rPr/>
      </w:pPr>
      <w:r>
        <w:rPr>
          <w:b/>
        </w:rPr>
        <w:t>Lesson stated explicitly:</w:t>
      </w:r>
      <w:r>
        <w:rPr/>
        <w:t xml:space="preserve"> "That's why it's important on the monthly and weekly to draw your support levels that you've identified." Start with the </w:t>
      </w:r>
      <w:r>
        <w:rPr>
          <w:b/>
        </w:rPr>
        <w:t>monthly</w:t>
      </w:r>
      <w:r>
        <w:rPr/>
        <w:t xml:space="preserve"> timeframe, draw all support levels; go down to the </w:t>
      </w:r>
      <w:r>
        <w:rPr>
          <w:b/>
        </w:rPr>
        <w:t>weekly</w:t>
      </w:r>
      <w:r>
        <w:rPr/>
        <w:t xml:space="preserve">, draw the support levels; then finally go to the </w:t>
      </w:r>
      <w:r>
        <w:rPr>
          <w:b/>
        </w:rPr>
        <w:t>daily</w:t>
      </w:r>
      <w:r>
        <w:rPr/>
        <w:t>.</w:t>
      </w:r>
    </w:p>
    <w:p>
      <w:pPr>
        <w:pStyle w:val="BodyText"/>
        <w:bidi w:val="0"/>
        <w:jc w:val="start"/>
        <w:rPr/>
      </w:pPr>
      <w:r>
        <w:rPr>
          <w:b/>
        </w:rPr>
        <w:t>Mercado Libre (MELI) — second example, pure parabolic drop to support</w:t>
      </w:r>
    </w:p>
    <w:p>
      <w:pPr>
        <w:pStyle w:val="BodyText"/>
        <w:numPr>
          <w:ilvl w:val="0"/>
          <w:numId w:val="379"/>
        </w:numPr>
        <w:tabs>
          <w:tab w:val="clear" w:pos="709"/>
          <w:tab w:val="left" w:pos="709" w:leader="none"/>
        </w:tabs>
        <w:bidi w:val="0"/>
        <w:ind w:hanging="283" w:start="709"/>
        <w:jc w:val="start"/>
        <w:rPr/>
      </w:pPr>
      <w:r>
        <w:rPr/>
        <w:t xml:space="preserve">Daily: downtrend, moving averages all sloping down → </w:t>
      </w:r>
      <w:r>
        <w:rPr>
          <w:b/>
        </w:rPr>
        <w:t>parabolic 90-degree drop with big red candles</w:t>
      </w:r>
      <w:r>
        <w:rPr/>
        <w:t>.</w:t>
      </w:r>
    </w:p>
    <w:p>
      <w:pPr>
        <w:pStyle w:val="BodyText"/>
        <w:numPr>
          <w:ilvl w:val="0"/>
          <w:numId w:val="379"/>
        </w:numPr>
        <w:tabs>
          <w:tab w:val="clear" w:pos="709"/>
          <w:tab w:val="left" w:pos="709" w:leader="none"/>
        </w:tabs>
        <w:bidi w:val="0"/>
        <w:ind w:hanging="283" w:start="709"/>
        <w:jc w:val="start"/>
        <w:rPr/>
      </w:pPr>
      <w:r>
        <w:rPr/>
        <w:t xml:space="preserve">Drop terminated at a strong support at </w:t>
      </w:r>
      <w:r>
        <w:rPr>
          <w:b/>
        </w:rPr>
        <w:t>$666 on 12 MAY</w:t>
      </w:r>
      <w:r>
        <w:rPr/>
        <w:t>.</w:t>
      </w:r>
    </w:p>
    <w:p>
      <w:pPr>
        <w:pStyle w:val="BodyText"/>
        <w:numPr>
          <w:ilvl w:val="0"/>
          <w:numId w:val="379"/>
        </w:numPr>
        <w:tabs>
          <w:tab w:val="clear" w:pos="709"/>
          <w:tab w:val="left" w:pos="709" w:leader="none"/>
        </w:tabs>
        <w:bidi w:val="0"/>
        <w:ind w:hanging="283" w:start="709"/>
        <w:jc w:val="start"/>
        <w:rPr/>
      </w:pPr>
      <w:r>
        <w:rPr>
          <w:b/>
        </w:rPr>
        <w:t>Where the $666 support came from:</w:t>
      </w:r>
      <w:r>
        <w:rPr/>
        <w:t xml:space="preserve"> identified on the </w:t>
      </w:r>
      <w:r>
        <w:rPr>
          <w:b/>
        </w:rPr>
        <w:t>MONTHLY</w:t>
      </w:r>
      <w:r>
        <w:rPr/>
        <w:t xml:space="preserve"> chart, where </w:t>
      </w:r>
      <w:r>
        <w:rPr>
          <w:b/>
        </w:rPr>
        <w:t>$666 had been a swing-high RESISTANCE</w:t>
      </w:r>
      <w:r>
        <w:rPr/>
        <w:t xml:space="preserve">. Per the polarity rule — </w:t>
      </w:r>
      <w:r>
        <w:rPr>
          <w:b/>
        </w:rPr>
        <w:t>resistance once broken becomes support</w:t>
      </w:r>
      <w:r>
        <w:rPr/>
        <w:t xml:space="preserve">. The line was drawn </w:t>
      </w:r>
      <w:r>
        <w:rPr>
          <w:b/>
        </w:rPr>
        <w:t>in advance</w:t>
      </w:r>
      <w:r>
        <w:rPr/>
        <w:t>.</w:t>
      </w:r>
    </w:p>
    <w:p>
      <w:pPr>
        <w:pStyle w:val="BodyText"/>
        <w:numPr>
          <w:ilvl w:val="0"/>
          <w:numId w:val="379"/>
        </w:numPr>
        <w:tabs>
          <w:tab w:val="clear" w:pos="709"/>
          <w:tab w:val="left" w:pos="709" w:leader="none"/>
        </w:tabs>
        <w:bidi w:val="0"/>
        <w:ind w:hanging="283" w:start="709"/>
        <w:jc w:val="start"/>
        <w:rPr/>
      </w:pPr>
      <w:r>
        <w:rPr/>
        <w:t>"When it hit my 666 with a 90-degree [drop], I thought: okay, that's the bottom, baby. Got it. And it was beautiful."</w:t>
      </w:r>
    </w:p>
    <w:p>
      <w:pPr>
        <w:pStyle w:val="BodyText"/>
        <w:numPr>
          <w:ilvl w:val="0"/>
          <w:numId w:val="379"/>
        </w:numPr>
        <w:tabs>
          <w:tab w:val="clear" w:pos="709"/>
          <w:tab w:val="left" w:pos="709" w:leader="none"/>
        </w:tabs>
        <w:bidi w:val="0"/>
        <w:ind w:hanging="283" w:start="709"/>
        <w:jc w:val="start"/>
        <w:rPr/>
      </w:pPr>
      <w:r>
        <w:rPr/>
        <w:t xml:space="preserve">Caveat repeated: "It doesn't always turn out 100%, but </w:t>
      </w:r>
      <w:r>
        <w:rPr>
          <w:b/>
        </w:rPr>
        <w:t>the probabilities are pretty high</w:t>
      </w:r>
      <w:r>
        <w:rPr/>
        <w:t>."</w:t>
      </w:r>
    </w:p>
    <w:p>
      <w:pPr>
        <w:pStyle w:val="HorizontalLine"/>
        <w:bidi w:val="0"/>
        <w:jc w:val="start"/>
        <w:rPr/>
      </w:pPr>
      <w:r>
        <w:rPr/>
      </w:r>
    </w:p>
    <w:p>
      <w:pPr>
        <w:pStyle w:val="Heading3"/>
        <w:bidi w:val="0"/>
        <w:ind w:hanging="0" w:start="0"/>
        <w:jc w:val="start"/>
        <w:rPr/>
      </w:pPr>
      <w:r>
        <w:rPr/>
        <w:t>11. BUYING IN A CONSOLIDATION / CHANNEL</w:t>
      </w:r>
    </w:p>
    <w:p>
      <w:pPr>
        <w:pStyle w:val="Heading4"/>
        <w:bidi w:val="0"/>
        <w:ind w:hanging="0" w:start="0"/>
        <w:jc w:val="start"/>
        <w:rPr/>
      </w:pPr>
      <w:r>
        <w:rPr/>
        <w:t>11.1 Rules</w:t>
      </w:r>
    </w:p>
    <w:p>
      <w:pPr>
        <w:pStyle w:val="BodyText"/>
        <w:numPr>
          <w:ilvl w:val="0"/>
          <w:numId w:val="380"/>
        </w:numPr>
        <w:tabs>
          <w:tab w:val="clear" w:pos="709"/>
          <w:tab w:val="left" w:pos="709" w:leader="none"/>
        </w:tabs>
        <w:bidi w:val="0"/>
        <w:ind w:hanging="283" w:start="709"/>
        <w:jc w:val="start"/>
        <w:rPr/>
      </w:pPr>
      <w:r>
        <w:rPr/>
        <w:t xml:space="preserve">Identify the consolidation: </w:t>
      </w:r>
      <w:r>
        <w:rPr>
          <w:b/>
        </w:rPr>
        <w:t>same highs, same lows</w:t>
      </w:r>
      <w:r>
        <w:rPr/>
        <w:t xml:space="preserve"> (sideways).</w:t>
      </w:r>
    </w:p>
    <w:p>
      <w:pPr>
        <w:pStyle w:val="BodyText"/>
        <w:numPr>
          <w:ilvl w:val="0"/>
          <w:numId w:val="380"/>
        </w:numPr>
        <w:tabs>
          <w:tab w:val="clear" w:pos="709"/>
          <w:tab w:val="left" w:pos="709" w:leader="none"/>
        </w:tabs>
        <w:bidi w:val="0"/>
        <w:ind w:hanging="283" w:start="709"/>
        <w:jc w:val="start"/>
        <w:rPr/>
      </w:pPr>
      <w:r>
        <w:rPr>
          <w:b/>
        </w:rPr>
        <w:t>Three same highs → confirms the RESISTANCE.</w:t>
      </w:r>
      <w:r>
        <w:rPr/>
        <w:t xml:space="preserve"> Draw the line.</w:t>
      </w:r>
    </w:p>
    <w:p>
      <w:pPr>
        <w:pStyle w:val="BodyText"/>
        <w:numPr>
          <w:ilvl w:val="0"/>
          <w:numId w:val="380"/>
        </w:numPr>
        <w:tabs>
          <w:tab w:val="clear" w:pos="709"/>
          <w:tab w:val="left" w:pos="709" w:leader="none"/>
        </w:tabs>
        <w:bidi w:val="0"/>
        <w:ind w:hanging="283" w:start="709"/>
        <w:jc w:val="start"/>
        <w:rPr/>
      </w:pPr>
      <w:r>
        <w:rPr>
          <w:b/>
        </w:rPr>
        <w:t>Three same lows → confirms the SUPPORT.</w:t>
      </w:r>
      <w:r>
        <w:rPr/>
        <w:t xml:space="preserve"> Draw the line.</w:t>
      </w:r>
    </w:p>
    <w:p>
      <w:pPr>
        <w:pStyle w:val="BodyText"/>
        <w:numPr>
          <w:ilvl w:val="0"/>
          <w:numId w:val="380"/>
        </w:numPr>
        <w:tabs>
          <w:tab w:val="clear" w:pos="709"/>
          <w:tab w:val="left" w:pos="709" w:leader="none"/>
        </w:tabs>
        <w:bidi w:val="0"/>
        <w:ind w:hanging="283" w:start="709"/>
        <w:jc w:val="start"/>
        <w:rPr/>
      </w:pPr>
      <w:r>
        <w:rPr/>
        <w:t xml:space="preserve">Price is now </w:t>
      </w:r>
      <w:r>
        <w:rPr>
          <w:b/>
        </w:rPr>
        <w:t>sandwiched between resistance and support = a CHANNEL / range.</w:t>
      </w:r>
    </w:p>
    <w:p>
      <w:pPr>
        <w:pStyle w:val="BodyText"/>
        <w:numPr>
          <w:ilvl w:val="0"/>
          <w:numId w:val="380"/>
        </w:numPr>
        <w:tabs>
          <w:tab w:val="clear" w:pos="709"/>
          <w:tab w:val="left" w:pos="709" w:leader="none"/>
        </w:tabs>
        <w:bidi w:val="0"/>
        <w:ind w:hanging="283" w:start="709"/>
        <w:jc w:val="start"/>
        <w:rPr/>
      </w:pPr>
      <w:r>
        <w:rPr>
          <w:b/>
        </w:rPr>
        <w:t>IGNORE the moving averages entirely</w:t>
      </w:r>
      <w:r>
        <w:rPr/>
        <w:t xml:space="preserve"> — in a consolidation they go sideways, crisscross each other, and </w:t>
      </w:r>
      <w:r>
        <w:rPr>
          <w:b/>
        </w:rPr>
        <w:t>do not act as support.</w:t>
      </w:r>
    </w:p>
    <w:p>
      <w:pPr>
        <w:pStyle w:val="BodyText"/>
        <w:numPr>
          <w:ilvl w:val="0"/>
          <w:numId w:val="380"/>
        </w:numPr>
        <w:tabs>
          <w:tab w:val="clear" w:pos="709"/>
          <w:tab w:val="left" w:pos="709" w:leader="none"/>
        </w:tabs>
        <w:bidi w:val="0"/>
        <w:ind w:hanging="283" w:start="709"/>
        <w:jc w:val="start"/>
        <w:rPr/>
      </w:pPr>
      <w:r>
        <w:rPr/>
        <w:t xml:space="preserve">Look </w:t>
      </w:r>
      <w:r>
        <w:rPr>
          <w:b/>
        </w:rPr>
        <w:t>only</w:t>
      </w:r>
      <w:r>
        <w:rPr/>
        <w:t xml:space="preserve"> at your drawn support and resistance lines.</w:t>
      </w:r>
    </w:p>
    <w:p>
      <w:pPr>
        <w:pStyle w:val="BodyText"/>
        <w:numPr>
          <w:ilvl w:val="0"/>
          <w:numId w:val="380"/>
        </w:numPr>
        <w:tabs>
          <w:tab w:val="clear" w:pos="709"/>
          <w:tab w:val="left" w:pos="709" w:leader="none"/>
        </w:tabs>
        <w:bidi w:val="0"/>
        <w:ind w:hanging="283" w:start="709"/>
        <w:jc w:val="start"/>
        <w:rPr/>
      </w:pPr>
      <w:r>
        <w:rPr>
          <w:b/>
        </w:rPr>
        <w:t>BUY WHEN PRICE DROPS NEAR THE SUPPORT LEVEL</w:t>
      </w:r>
      <w:r>
        <w:rPr/>
        <w:t xml:space="preserve"> — provided it's a good company and it's undervalued.</w:t>
      </w:r>
    </w:p>
    <w:p>
      <w:pPr>
        <w:pStyle w:val="BodyText"/>
        <w:numPr>
          <w:ilvl w:val="0"/>
          <w:numId w:val="380"/>
        </w:numPr>
        <w:tabs>
          <w:tab w:val="clear" w:pos="709"/>
          <w:tab w:val="left" w:pos="709" w:leader="none"/>
        </w:tabs>
        <w:bidi w:val="0"/>
        <w:ind w:hanging="283" w:start="709"/>
        <w:jc w:val="start"/>
        <w:rPr/>
      </w:pPr>
      <w:r>
        <w:rPr>
          <w:b/>
        </w:rPr>
        <w:t>Keep adding at support</w:t>
      </w:r>
      <w:r>
        <w:rPr/>
        <w:t xml:space="preserve"> to </w:t>
      </w:r>
      <w:r>
        <w:rPr>
          <w:b/>
        </w:rPr>
        <w:t>build the position until you have a full position.</w:t>
      </w:r>
    </w:p>
    <w:p>
      <w:pPr>
        <w:pStyle w:val="BodyText"/>
        <w:numPr>
          <w:ilvl w:val="0"/>
          <w:numId w:val="380"/>
        </w:numPr>
        <w:tabs>
          <w:tab w:val="clear" w:pos="709"/>
          <w:tab w:val="left" w:pos="709" w:leader="none"/>
        </w:tabs>
        <w:bidi w:val="0"/>
        <w:ind w:hanging="283" w:start="709"/>
        <w:jc w:val="start"/>
        <w:rPr/>
      </w:pPr>
      <w:r>
        <w:rPr>
          <w:b/>
        </w:rPr>
        <w:t>Then let it run</w:t>
      </w:r>
      <w:r>
        <w:rPr/>
        <w:t xml:space="preserve"> — eventually a good company </w:t>
      </w:r>
      <w:r>
        <w:rPr>
          <w:b/>
        </w:rPr>
        <w:t>breaks out of the range and begins a new uptrend.</w:t>
      </w:r>
    </w:p>
    <w:p>
      <w:pPr>
        <w:pStyle w:val="Heading4"/>
        <w:numPr>
          <w:ilvl w:val="0"/>
          <w:numId w:val="0"/>
        </w:numPr>
        <w:bidi w:val="0"/>
        <w:ind w:hanging="0" w:start="0"/>
        <w:jc w:val="start"/>
        <w:rPr/>
      </w:pPr>
      <w:r>
        <w:rPr/>
        <w:t>11.2 Worked Consolidation Examples</w:t>
      </w:r>
    </w:p>
    <w:p>
      <w:pPr>
        <w:pStyle w:val="BodyText"/>
        <w:numPr>
          <w:ilvl w:val="0"/>
          <w:numId w:val="381"/>
        </w:numPr>
        <w:tabs>
          <w:tab w:val="clear" w:pos="709"/>
          <w:tab w:val="left" w:pos="709" w:leader="none"/>
        </w:tabs>
        <w:bidi w:val="0"/>
        <w:ind w:hanging="283" w:start="709"/>
        <w:jc w:val="start"/>
        <w:rPr/>
      </w:pPr>
      <w:r>
        <w:rPr>
          <w:b/>
        </w:rPr>
        <w:t>Generic channel example:</w:t>
      </w:r>
      <w:r>
        <w:rPr/>
        <w:t xml:space="preserve"> highs repeatedly at </w:t>
      </w:r>
      <w:r>
        <w:rPr>
          <w:b/>
        </w:rPr>
        <w:t>292</w:t>
      </w:r>
      <w:r>
        <w:rPr/>
        <w:t xml:space="preserve"> (three same highs → resistance), lows repeatedly at </w:t>
      </w:r>
      <w:r>
        <w:rPr>
          <w:b/>
        </w:rPr>
        <w:t>272</w:t>
      </w:r>
      <w:r>
        <w:rPr/>
        <w:t xml:space="preserve"> (three same lows → support). </w:t>
      </w:r>
      <w:r>
        <w:rPr>
          <w:b/>
        </w:rPr>
        <w:t>Rule: when price waves down near 272, add.</w:t>
      </w:r>
    </w:p>
    <w:p>
      <w:pPr>
        <w:pStyle w:val="BodyText"/>
        <w:numPr>
          <w:ilvl w:val="0"/>
          <w:numId w:val="381"/>
        </w:numPr>
        <w:tabs>
          <w:tab w:val="clear" w:pos="709"/>
          <w:tab w:val="left" w:pos="709" w:leader="none"/>
        </w:tabs>
        <w:bidi w:val="0"/>
        <w:ind w:hanging="283" w:start="709"/>
        <w:jc w:val="start"/>
        <w:rPr/>
      </w:pPr>
      <w:r>
        <w:rPr>
          <w:b/>
        </w:rPr>
        <w:t>Bank of America (BAC):</w:t>
      </w:r>
      <w:r>
        <w:rPr/>
        <w:t xml:space="preserve"> stuck between </w:t>
      </w:r>
      <w:r>
        <w:rPr>
          <w:b/>
        </w:rPr>
        <w:t>resistance $30.84</w:t>
      </w:r>
      <w:r>
        <w:rPr/>
        <w:t xml:space="preserve"> and </w:t>
      </w:r>
      <w:r>
        <w:rPr>
          <w:b/>
        </w:rPr>
        <w:t>support $26.61</w:t>
      </w:r>
      <w:r>
        <w:rPr/>
        <w:t>, bouncing within the channel. Moving averages visibly sideways and crisscrossing → ignored.</w:t>
      </w:r>
    </w:p>
    <w:p>
      <w:pPr>
        <w:pStyle w:val="BodyText"/>
        <w:numPr>
          <w:ilvl w:val="0"/>
          <w:numId w:val="381"/>
        </w:numPr>
        <w:tabs>
          <w:tab w:val="clear" w:pos="709"/>
          <w:tab w:val="left" w:pos="709" w:leader="none"/>
        </w:tabs>
        <w:bidi w:val="0"/>
        <w:ind w:hanging="283" w:start="709"/>
        <w:jc w:val="start"/>
        <w:rPr/>
      </w:pPr>
      <w:r>
        <w:rPr>
          <w:b/>
        </w:rPr>
        <w:t>Microsoft daily (from §8.6):</w:t>
      </w:r>
      <w:r>
        <w:rPr/>
        <w:t xml:space="preserve"> short-term choppy sideways consolidation with support at </w:t>
      </w:r>
      <w:r>
        <w:rPr>
          <w:b/>
        </w:rPr>
        <w:t>$407.80</w:t>
      </w:r>
      <w:r>
        <w:rPr/>
        <w:t>.</w:t>
      </w:r>
    </w:p>
    <w:p>
      <w:pPr>
        <w:pStyle w:val="HorizontalLine"/>
        <w:bidi w:val="0"/>
        <w:jc w:val="start"/>
        <w:rPr/>
      </w:pPr>
      <w:r>
        <w:rPr/>
      </w:r>
    </w:p>
    <w:p>
      <w:pPr>
        <w:pStyle w:val="Heading3"/>
        <w:bidi w:val="0"/>
        <w:ind w:hanging="0" w:start="0"/>
        <w:jc w:val="start"/>
        <w:rPr/>
      </w:pPr>
      <w:r>
        <w:rPr/>
        <w:t>12. Summary of Trend → Action Mapping</w:t>
      </w:r>
    </w:p>
    <w:tbl>
      <w:tblPr>
        <w:tblW w:w="5000" w:type="pct"/>
        <w:jc w:val="start"/>
        <w:tblInd w:w="-5" w:type="dxa"/>
        <w:tblLayout w:type="fixed"/>
        <w:tblCellMar>
          <w:top w:w="55" w:type="dxa"/>
          <w:start w:w="55" w:type="dxa"/>
          <w:bottom w:w="55" w:type="dxa"/>
          <w:end w:w="55" w:type="dxa"/>
        </w:tblCellMar>
      </w:tblPr>
      <w:tblGrid>
        <w:gridCol w:w="2409"/>
        <w:gridCol w:w="2410"/>
        <w:gridCol w:w="2409"/>
        <w:gridCol w:w="2410"/>
      </w:tblGrid>
      <w:tr>
        <w:trPr>
          <w:tblHeader w:val="true"/>
        </w:trPr>
        <w:tc>
          <w:tcPr>
            <w:tcW w:w="2409" w:type="dxa"/>
            <w:tcBorders>
              <w:top w:val="single" w:sz="4" w:space="0" w:color="000000"/>
              <w:start w:val="single" w:sz="4" w:space="0" w:color="000000"/>
              <w:bottom w:val="single" w:sz="4" w:space="0" w:color="000000"/>
            </w:tcBorders>
          </w:tcPr>
          <w:p>
            <w:pPr>
              <w:pStyle w:val="TableHeading"/>
              <w:bidi w:val="0"/>
              <w:jc w:val="start"/>
              <w:rPr/>
            </w:pPr>
            <w:r>
              <w:rPr/>
              <w:t>Trend state</w:t>
            </w:r>
          </w:p>
        </w:tc>
        <w:tc>
          <w:tcPr>
            <w:tcW w:w="2410" w:type="dxa"/>
            <w:tcBorders>
              <w:top w:val="single" w:sz="4" w:space="0" w:color="000000"/>
              <w:start w:val="single" w:sz="4" w:space="0" w:color="000000"/>
              <w:bottom w:val="single" w:sz="4" w:space="0" w:color="000000"/>
            </w:tcBorders>
          </w:tcPr>
          <w:p>
            <w:pPr>
              <w:pStyle w:val="TableHeading"/>
              <w:bidi w:val="0"/>
              <w:jc w:val="start"/>
              <w:rPr/>
            </w:pPr>
            <w:r>
              <w:rPr/>
              <w:t>Structure</w:t>
            </w:r>
          </w:p>
        </w:tc>
        <w:tc>
          <w:tcPr>
            <w:tcW w:w="2409" w:type="dxa"/>
            <w:tcBorders>
              <w:top w:val="single" w:sz="4" w:space="0" w:color="000000"/>
              <w:start w:val="single" w:sz="4" w:space="0" w:color="000000"/>
              <w:bottom w:val="single" w:sz="4" w:space="0" w:color="000000"/>
            </w:tcBorders>
          </w:tcPr>
          <w:p>
            <w:pPr>
              <w:pStyle w:val="TableHeading"/>
              <w:bidi w:val="0"/>
              <w:jc w:val="start"/>
              <w:rPr/>
            </w:pPr>
            <w:r>
              <w:rPr/>
              <w:t>Moving averages</w:t>
            </w:r>
          </w:p>
        </w:tc>
        <w:tc>
          <w:tcPr>
            <w:tcW w:w="2410"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ACTION</w:t>
            </w:r>
          </w:p>
        </w:tc>
      </w:tr>
      <w:tr>
        <w:trPr/>
        <w:tc>
          <w:tcPr>
            <w:tcW w:w="2409" w:type="dxa"/>
            <w:tcBorders>
              <w:start w:val="single" w:sz="4" w:space="0" w:color="000000"/>
              <w:bottom w:val="single" w:sz="4" w:space="0" w:color="000000"/>
            </w:tcBorders>
          </w:tcPr>
          <w:p>
            <w:pPr>
              <w:pStyle w:val="TableContents"/>
              <w:bidi w:val="0"/>
              <w:jc w:val="start"/>
              <w:rPr/>
            </w:pPr>
            <w:r>
              <w:rPr>
                <w:b/>
              </w:rPr>
              <w:t>Uptrend</w:t>
            </w:r>
          </w:p>
        </w:tc>
        <w:tc>
          <w:tcPr>
            <w:tcW w:w="2410" w:type="dxa"/>
            <w:tcBorders>
              <w:start w:val="single" w:sz="4" w:space="0" w:color="000000"/>
              <w:bottom w:val="single" w:sz="4" w:space="0" w:color="000000"/>
            </w:tcBorders>
          </w:tcPr>
          <w:p>
            <w:pPr>
              <w:pStyle w:val="TableContents"/>
              <w:bidi w:val="0"/>
              <w:jc w:val="start"/>
              <w:rPr/>
            </w:pPr>
            <w:r>
              <w:rPr/>
              <w:t>Higher highs + higher lows</w:t>
            </w:r>
          </w:p>
        </w:tc>
        <w:tc>
          <w:tcPr>
            <w:tcW w:w="2409" w:type="dxa"/>
            <w:tcBorders>
              <w:start w:val="single" w:sz="4" w:space="0" w:color="000000"/>
              <w:bottom w:val="single" w:sz="4" w:space="0" w:color="000000"/>
            </w:tcBorders>
          </w:tcPr>
          <w:p>
            <w:pPr>
              <w:pStyle w:val="TableContents"/>
              <w:bidi w:val="0"/>
              <w:jc w:val="start"/>
              <w:rPr/>
            </w:pPr>
            <w:r>
              <w:rPr/>
              <w:t xml:space="preserve">All sloping </w:t>
            </w:r>
            <w:r>
              <w:rPr>
                <w:b/>
              </w:rPr>
              <w:t>up</w:t>
            </w:r>
            <w:r>
              <w:rPr/>
              <w:t xml:space="preserve">; </w:t>
            </w:r>
            <w:r>
              <w:rPr>
                <w:b/>
              </w:rPr>
              <w:t>50 &gt; 100 &gt; 150 &gt; 200</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b/>
              </w:rPr>
              <w:t>BUY THE DIP</w:t>
            </w:r>
            <w:r>
              <w:rPr/>
              <w:t xml:space="preserve"> — buy after a wave down, at drawn support or at the stock's preferred MA</w:t>
            </w:r>
          </w:p>
        </w:tc>
      </w:tr>
      <w:tr>
        <w:trPr/>
        <w:tc>
          <w:tcPr>
            <w:tcW w:w="2409" w:type="dxa"/>
            <w:tcBorders>
              <w:start w:val="single" w:sz="4" w:space="0" w:color="000000"/>
              <w:bottom w:val="single" w:sz="4" w:space="0" w:color="000000"/>
            </w:tcBorders>
          </w:tcPr>
          <w:p>
            <w:pPr>
              <w:pStyle w:val="TableContents"/>
              <w:bidi w:val="0"/>
              <w:jc w:val="start"/>
              <w:rPr/>
            </w:pPr>
            <w:r>
              <w:rPr>
                <w:b/>
              </w:rPr>
              <w:t>Downtrend</w:t>
            </w:r>
          </w:p>
        </w:tc>
        <w:tc>
          <w:tcPr>
            <w:tcW w:w="2410" w:type="dxa"/>
            <w:tcBorders>
              <w:start w:val="single" w:sz="4" w:space="0" w:color="000000"/>
              <w:bottom w:val="single" w:sz="4" w:space="0" w:color="000000"/>
            </w:tcBorders>
          </w:tcPr>
          <w:p>
            <w:pPr>
              <w:pStyle w:val="TableContents"/>
              <w:bidi w:val="0"/>
              <w:jc w:val="start"/>
              <w:rPr/>
            </w:pPr>
            <w:r>
              <w:rPr/>
              <w:t>Lower highs + lower lows</w:t>
            </w:r>
          </w:p>
        </w:tc>
        <w:tc>
          <w:tcPr>
            <w:tcW w:w="2409" w:type="dxa"/>
            <w:tcBorders>
              <w:start w:val="single" w:sz="4" w:space="0" w:color="000000"/>
              <w:bottom w:val="single" w:sz="4" w:space="0" w:color="000000"/>
            </w:tcBorders>
          </w:tcPr>
          <w:p>
            <w:pPr>
              <w:pStyle w:val="TableContents"/>
              <w:bidi w:val="0"/>
              <w:jc w:val="start"/>
              <w:rPr/>
            </w:pPr>
            <w:r>
              <w:rPr/>
              <w:t xml:space="preserve">All sloping </w:t>
            </w:r>
            <w:r>
              <w:rPr>
                <w:b/>
              </w:rPr>
              <w:t>down</w:t>
            </w:r>
            <w:r>
              <w:rPr/>
              <w:t xml:space="preserve">; </w:t>
            </w:r>
            <w:r>
              <w:rPr>
                <w:b/>
              </w:rPr>
              <w:t>200 &gt; 150 &gt; 50</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b/>
              </w:rPr>
              <w:t>Either</w:t>
            </w:r>
            <w:r>
              <w:rPr/>
              <w:t xml:space="preserve"> wait for uptrend confirmation, </w:t>
            </w:r>
            <w:r>
              <w:rPr>
                <w:b/>
              </w:rPr>
              <w:t>OR</w:t>
            </w:r>
            <w:r>
              <w:rPr/>
              <w:t xml:space="preserve"> buy at signs of a bottom (parabolic drop to support / double bottom). </w:t>
            </w:r>
            <w:r>
              <w:rPr>
                <w:b/>
              </w:rPr>
              <w:t>NEVER buy after a wave up.</w:t>
            </w:r>
            <w:r>
              <w:rPr/>
              <w:t xml:space="preserve"> If already holding a great company — </w:t>
            </w:r>
            <w:r>
              <w:rPr>
                <w:b/>
              </w:rPr>
              <w:t>do not sell.</w:t>
            </w:r>
          </w:p>
        </w:tc>
      </w:tr>
      <w:tr>
        <w:trPr/>
        <w:tc>
          <w:tcPr>
            <w:tcW w:w="2409" w:type="dxa"/>
            <w:tcBorders>
              <w:start w:val="single" w:sz="4" w:space="0" w:color="000000"/>
              <w:bottom w:val="single" w:sz="4" w:space="0" w:color="000000"/>
            </w:tcBorders>
          </w:tcPr>
          <w:p>
            <w:pPr>
              <w:pStyle w:val="TableContents"/>
              <w:bidi w:val="0"/>
              <w:jc w:val="start"/>
              <w:rPr/>
            </w:pPr>
            <w:r>
              <w:rPr>
                <w:b/>
              </w:rPr>
              <w:t>Consolidation</w:t>
            </w:r>
          </w:p>
        </w:tc>
        <w:tc>
          <w:tcPr>
            <w:tcW w:w="2410" w:type="dxa"/>
            <w:tcBorders>
              <w:start w:val="single" w:sz="4" w:space="0" w:color="000000"/>
              <w:bottom w:val="single" w:sz="4" w:space="0" w:color="000000"/>
            </w:tcBorders>
          </w:tcPr>
          <w:p>
            <w:pPr>
              <w:pStyle w:val="TableContents"/>
              <w:bidi w:val="0"/>
              <w:jc w:val="start"/>
              <w:rPr/>
            </w:pPr>
            <w:r>
              <w:rPr/>
              <w:t>Same highs + same lows</w:t>
            </w:r>
          </w:p>
        </w:tc>
        <w:tc>
          <w:tcPr>
            <w:tcW w:w="2409" w:type="dxa"/>
            <w:tcBorders>
              <w:start w:val="single" w:sz="4" w:space="0" w:color="000000"/>
              <w:bottom w:val="single" w:sz="4" w:space="0" w:color="000000"/>
            </w:tcBorders>
          </w:tcPr>
          <w:p>
            <w:pPr>
              <w:pStyle w:val="TableContents"/>
              <w:bidi w:val="0"/>
              <w:jc w:val="start"/>
              <w:rPr/>
            </w:pPr>
            <w:r>
              <w:rPr/>
              <w:t xml:space="preserve">Sideways, crisscrossing → </w:t>
            </w:r>
            <w:r>
              <w:rPr>
                <w:b/>
              </w:rPr>
              <w:t>useless, ignore</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b/>
              </w:rPr>
              <w:t>BUY NEAR THE SUPPORT</w:t>
            </w:r>
            <w:r>
              <w:rPr/>
              <w:t xml:space="preserve"> of the channel; build full position; let it break out</w:t>
            </w:r>
          </w:p>
        </w:tc>
      </w:tr>
      <w:tr>
        <w:trPr/>
        <w:tc>
          <w:tcPr>
            <w:tcW w:w="2409" w:type="dxa"/>
            <w:tcBorders>
              <w:start w:val="single" w:sz="4" w:space="0" w:color="000000"/>
              <w:bottom w:val="single" w:sz="4" w:space="0" w:color="000000"/>
            </w:tcBorders>
          </w:tcPr>
          <w:p>
            <w:pPr>
              <w:pStyle w:val="TableContents"/>
              <w:bidi w:val="0"/>
              <w:jc w:val="start"/>
              <w:rPr/>
            </w:pPr>
            <w:r>
              <w:rPr>
                <w:b/>
              </w:rPr>
              <w:t>Parabolic (90°) move up</w:t>
            </w:r>
          </w:p>
        </w:tc>
        <w:tc>
          <w:tcPr>
            <w:tcW w:w="2410" w:type="dxa"/>
            <w:tcBorders>
              <w:start w:val="single" w:sz="4" w:space="0" w:color="000000"/>
              <w:bottom w:val="single" w:sz="4" w:space="0" w:color="000000"/>
            </w:tcBorders>
          </w:tcPr>
          <w:p>
            <w:pPr>
              <w:pStyle w:val="TableContents"/>
              <w:bidi w:val="0"/>
              <w:jc w:val="start"/>
              <w:rPr/>
            </w:pPr>
            <w:r>
              <w:rPr/>
              <w:t>Vertical, extended-range green candles, price stretched far from MAs</w:t>
            </w:r>
          </w:p>
        </w:tc>
        <w:tc>
          <w:tcPr>
            <w:tcW w:w="2409" w:type="dxa"/>
            <w:tcBorders>
              <w:start w:val="single" w:sz="4" w:space="0" w:color="000000"/>
              <w:bottom w:val="single" w:sz="4" w:space="0" w:color="000000"/>
            </w:tcBorders>
          </w:tcPr>
          <w:p>
            <w:pPr>
              <w:pStyle w:val="TableContents"/>
              <w:bidi w:val="0"/>
              <w:jc w:val="start"/>
              <w:rPr/>
            </w:pPr>
            <w:r>
              <w:rPr/>
              <w:t>Price far above MAs — rubber band</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b/>
              </w:rPr>
              <w:t>WORST time to buy.</w:t>
            </w:r>
            <w:r>
              <w:rPr/>
              <w:t xml:space="preserve"> Best time to sell </w:t>
            </w:r>
            <w:r>
              <w:rPr>
                <w:b/>
              </w:rPr>
              <w:t>if</w:t>
            </w:r>
            <w:r>
              <w:rPr/>
              <w:t xml:space="preserve"> you have already decided to sell (overvalued / need cash / covered calls)</w:t>
            </w:r>
          </w:p>
        </w:tc>
      </w:tr>
    </w:tbl>
    <w:p>
      <w:pPr>
        <w:pStyle w:val="BodyText"/>
        <w:bidi w:val="0"/>
        <w:jc w:val="start"/>
        <w:rPr/>
      </w:pPr>
      <w:r>
        <w:rPr/>
      </w:r>
    </w:p>
    <w:p>
      <w:pPr>
        <w:pStyle w:val="HorizontalLine"/>
        <w:bidi w:val="0"/>
        <w:jc w:val="start"/>
        <w:rPr/>
      </w:pPr>
      <w:r>
        <w:rPr/>
      </w:r>
    </w:p>
    <w:p>
      <w:pPr>
        <w:pStyle w:val="Heading3"/>
        <w:bidi w:val="0"/>
        <w:ind w:hanging="0" w:start="0"/>
        <w:jc w:val="start"/>
        <w:rPr/>
      </w:pPr>
      <w:r>
        <w:rPr/>
        <w:t>Key Takeaways</w:t>
      </w:r>
    </w:p>
    <w:p>
      <w:pPr>
        <w:pStyle w:val="BodyText"/>
        <w:numPr>
          <w:ilvl w:val="0"/>
          <w:numId w:val="382"/>
        </w:numPr>
        <w:tabs>
          <w:tab w:val="clear" w:pos="709"/>
          <w:tab w:val="left" w:pos="709" w:leader="none"/>
        </w:tabs>
        <w:bidi w:val="0"/>
        <w:ind w:hanging="283" w:start="709"/>
        <w:jc w:val="start"/>
        <w:rPr/>
      </w:pPr>
      <w:r>
        <w:rPr>
          <w:b/>
        </w:rPr>
        <w:t>Short-term prices are driven by emotion, not logic.</w:t>
      </w:r>
      <w:r>
        <w:rPr/>
        <w:t xml:space="preserve"> Charts are the record of that emotion — Adam calls TA "the study of emotional patterns captured on price charts."</w:t>
      </w:r>
    </w:p>
    <w:p>
      <w:pPr>
        <w:pStyle w:val="BodyText"/>
        <w:numPr>
          <w:ilvl w:val="0"/>
          <w:numId w:val="382"/>
        </w:numPr>
        <w:tabs>
          <w:tab w:val="clear" w:pos="709"/>
          <w:tab w:val="left" w:pos="709" w:leader="none"/>
        </w:tabs>
        <w:bidi w:val="0"/>
        <w:ind w:hanging="283" w:start="709"/>
        <w:jc w:val="start"/>
        <w:rPr/>
      </w:pPr>
      <w:r>
        <w:rPr>
          <w:b/>
        </w:rPr>
        <w:t>TA gives probabilities, never certainties.</w:t>
      </w:r>
      <w:r>
        <w:rPr/>
        <w:t xml:space="preserve"> You look for </w:t>
      </w:r>
      <w:r>
        <w:rPr>
          <w:b/>
        </w:rPr>
        <w:t>high-probability reversal points</w:t>
      </w:r>
      <w:r>
        <w:rPr/>
        <w:t xml:space="preserve"> and </w:t>
      </w:r>
      <w:r>
        <w:rPr>
          <w:b/>
        </w:rPr>
        <w:t>potential bottoms</w:t>
      </w:r>
      <w:r>
        <w:rPr/>
        <w:t xml:space="preserve">, never </w:t>
      </w:r>
      <w:r>
        <w:rPr>
          <w:i/>
        </w:rPr>
        <w:t>the</w:t>
      </w:r>
      <w:r>
        <w:rPr/>
        <w:t xml:space="preserve"> bottom.</w:t>
      </w:r>
    </w:p>
    <w:p>
      <w:pPr>
        <w:pStyle w:val="BodyText"/>
        <w:numPr>
          <w:ilvl w:val="0"/>
          <w:numId w:val="382"/>
        </w:numPr>
        <w:tabs>
          <w:tab w:val="clear" w:pos="709"/>
          <w:tab w:val="left" w:pos="709" w:leader="none"/>
        </w:tabs>
        <w:bidi w:val="0"/>
        <w:ind w:hanging="283" w:start="709"/>
        <w:jc w:val="start"/>
        <w:rPr/>
      </w:pPr>
      <w:r>
        <w:rPr>
          <w:b/>
        </w:rPr>
        <w:t>Because you can't pick the exact bottom, you ALWAYS buy in tranches — three to four — never all in at once.</w:t>
      </w:r>
    </w:p>
    <w:p>
      <w:pPr>
        <w:pStyle w:val="BodyText"/>
        <w:numPr>
          <w:ilvl w:val="0"/>
          <w:numId w:val="382"/>
        </w:numPr>
        <w:tabs>
          <w:tab w:val="clear" w:pos="709"/>
          <w:tab w:val="left" w:pos="709" w:leader="none"/>
        </w:tabs>
        <w:bidi w:val="0"/>
        <w:ind w:hanging="283" w:start="709"/>
        <w:jc w:val="start"/>
        <w:rPr/>
      </w:pPr>
      <w:r>
        <w:rPr>
          <w:b/>
        </w:rPr>
        <w:t>TA is layered on top of fundamentals and valuation, not instead of them.</w:t>
      </w:r>
      <w:r>
        <w:rPr/>
        <w:t xml:space="preserve"> The mandatory precondition for every buy: it is a </w:t>
      </w:r>
      <w:r>
        <w:rPr>
          <w:b/>
        </w:rPr>
        <w:t>great company</w:t>
      </w:r>
      <w:r>
        <w:rPr/>
        <w:t xml:space="preserve"> AND the </w:t>
      </w:r>
      <w:r>
        <w:rPr>
          <w:b/>
        </w:rPr>
        <w:t>price is below your calculated intrinsic value</w:t>
      </w:r>
      <w:r>
        <w:rPr/>
        <w:t>.</w:t>
      </w:r>
    </w:p>
    <w:p>
      <w:pPr>
        <w:pStyle w:val="BodyText"/>
        <w:numPr>
          <w:ilvl w:val="0"/>
          <w:numId w:val="382"/>
        </w:numPr>
        <w:tabs>
          <w:tab w:val="clear" w:pos="709"/>
          <w:tab w:val="left" w:pos="709" w:leader="none"/>
        </w:tabs>
        <w:bidi w:val="0"/>
        <w:ind w:hanging="283" w:start="709"/>
        <w:jc w:val="start"/>
        <w:rPr/>
      </w:pPr>
      <w:r>
        <w:rPr>
          <w:b/>
        </w:rPr>
        <w:t>The 10-year monthly chart is a hard screening filter.</w:t>
      </w:r>
      <w:r>
        <w:rPr/>
        <w:t xml:space="preserve"> If it isn't rising over 10 years, Adam won't even look at the business (RIG, SIA rejected on that basis alone).</w:t>
      </w:r>
    </w:p>
    <w:p>
      <w:pPr>
        <w:pStyle w:val="BodyText"/>
        <w:numPr>
          <w:ilvl w:val="0"/>
          <w:numId w:val="382"/>
        </w:numPr>
        <w:tabs>
          <w:tab w:val="clear" w:pos="709"/>
          <w:tab w:val="left" w:pos="709" w:leader="none"/>
        </w:tabs>
        <w:bidi w:val="0"/>
        <w:ind w:hanging="283" w:start="709"/>
        <w:jc w:val="start"/>
        <w:rPr/>
      </w:pPr>
      <w:r>
        <w:rPr>
          <w:b/>
        </w:rPr>
        <w:t>Always work top-down: 10-year monthly → 5-year weekly → 1-year daily.</w:t>
      </w:r>
      <w:r>
        <w:rPr/>
        <w:t xml:space="preserve"> Draw support levels on the higher timeframes first — those are the levels that catch parabolic drops on the daily.</w:t>
      </w:r>
    </w:p>
    <w:p>
      <w:pPr>
        <w:pStyle w:val="BodyText"/>
        <w:numPr>
          <w:ilvl w:val="0"/>
          <w:numId w:val="382"/>
        </w:numPr>
        <w:tabs>
          <w:tab w:val="clear" w:pos="709"/>
          <w:tab w:val="left" w:pos="709" w:leader="none"/>
        </w:tabs>
        <w:bidi w:val="0"/>
        <w:ind w:hanging="283" w:start="709"/>
        <w:jc w:val="start"/>
        <w:rPr/>
      </w:pPr>
      <w:r>
        <w:rPr>
          <w:b/>
        </w:rPr>
        <w:t>Never analyse an unclosed candle.</w:t>
      </w:r>
    </w:p>
    <w:p>
      <w:pPr>
        <w:pStyle w:val="BodyText"/>
        <w:numPr>
          <w:ilvl w:val="0"/>
          <w:numId w:val="382"/>
        </w:numPr>
        <w:tabs>
          <w:tab w:val="clear" w:pos="709"/>
          <w:tab w:val="left" w:pos="709" w:leader="none"/>
        </w:tabs>
        <w:bidi w:val="0"/>
        <w:ind w:hanging="283" w:start="709"/>
        <w:jc w:val="start"/>
        <w:rPr/>
      </w:pPr>
      <w:r>
        <w:rPr>
          <w:b/>
        </w:rPr>
        <w:t>Two swing lows at a similar level = potential support; a third touch confirms it.</w:t>
      </w:r>
      <w:r>
        <w:rPr/>
        <w:t xml:space="preserve"> Same logic with swing highs for resistance.</w:t>
      </w:r>
    </w:p>
    <w:p>
      <w:pPr>
        <w:pStyle w:val="BodyText"/>
        <w:numPr>
          <w:ilvl w:val="0"/>
          <w:numId w:val="382"/>
        </w:numPr>
        <w:tabs>
          <w:tab w:val="clear" w:pos="709"/>
          <w:tab w:val="left" w:pos="709" w:leader="none"/>
        </w:tabs>
        <w:bidi w:val="0"/>
        <w:ind w:hanging="283" w:start="709"/>
        <w:jc w:val="start"/>
        <w:rPr/>
      </w:pPr>
      <w:r>
        <w:rPr>
          <w:b/>
        </w:rPr>
        <w:t>The polarity rule is central: broken resistance becomes support; broken support becomes resistance.</w:t>
      </w:r>
      <w:r>
        <w:rPr/>
        <w:t xml:space="preserve"> Previous swing highs are your future add-on levels.</w:t>
      </w:r>
    </w:p>
    <w:p>
      <w:pPr>
        <w:pStyle w:val="BodyText"/>
        <w:numPr>
          <w:ilvl w:val="0"/>
          <w:numId w:val="382"/>
        </w:numPr>
        <w:tabs>
          <w:tab w:val="clear" w:pos="709"/>
          <w:tab w:val="left" w:pos="709" w:leader="none"/>
        </w:tabs>
        <w:bidi w:val="0"/>
        <w:ind w:hanging="283" w:start="709"/>
        <w:jc w:val="start"/>
        <w:rPr/>
      </w:pPr>
      <w:r>
        <w:rPr>
          <w:b/>
        </w:rPr>
        <w:t>Support/resistance is a ZONE, not a line</w:t>
      </w:r>
      <w:r>
        <w:rPr/>
        <w:t xml:space="preserve"> — allow a buffer above and below. Draw the line at the </w:t>
      </w:r>
      <w:r>
        <w:rPr>
          <w:b/>
        </w:rPr>
        <w:t>point of best fit</w:t>
      </w:r>
      <w:r>
        <w:rPr/>
        <w:t xml:space="preserve"> (touching the most swing points).</w:t>
      </w:r>
    </w:p>
    <w:p>
      <w:pPr>
        <w:pStyle w:val="BodyText"/>
        <w:numPr>
          <w:ilvl w:val="0"/>
          <w:numId w:val="382"/>
        </w:numPr>
        <w:tabs>
          <w:tab w:val="clear" w:pos="709"/>
          <w:tab w:val="left" w:pos="709" w:leader="none"/>
        </w:tabs>
        <w:bidi w:val="0"/>
        <w:ind w:hanging="283" w:start="709"/>
        <w:jc w:val="start"/>
        <w:rPr/>
      </w:pPr>
      <w:r>
        <w:rPr>
          <w:b/>
        </w:rPr>
        <w:t>Adam's six moving averages: SMA 50 (blue), 100 (orange), 150 (green), 200 (red) — all thick; EMA 20 (red) and 40 (blue) — both thin.</w:t>
      </w:r>
    </w:p>
    <w:p>
      <w:pPr>
        <w:pStyle w:val="BodyText"/>
        <w:numPr>
          <w:ilvl w:val="0"/>
          <w:numId w:val="382"/>
        </w:numPr>
        <w:tabs>
          <w:tab w:val="clear" w:pos="709"/>
          <w:tab w:val="left" w:pos="709" w:leader="none"/>
        </w:tabs>
        <w:bidi w:val="0"/>
        <w:ind w:hanging="283" w:start="709"/>
        <w:jc w:val="start"/>
        <w:rPr/>
      </w:pPr>
      <w:r>
        <w:rPr>
          <w:b/>
        </w:rPr>
        <w:t>Timeframe rule for MAs: on the DAILY use only 50/100/150/200 SMA and ignore the 20/40 EMA. The 20 and 40 EMA only work on the WEEKLY and MONTHLY.</w:t>
      </w:r>
    </w:p>
    <w:p>
      <w:pPr>
        <w:pStyle w:val="BodyText"/>
        <w:numPr>
          <w:ilvl w:val="0"/>
          <w:numId w:val="382"/>
        </w:numPr>
        <w:tabs>
          <w:tab w:val="clear" w:pos="709"/>
          <w:tab w:val="left" w:pos="709" w:leader="none"/>
        </w:tabs>
        <w:bidi w:val="0"/>
        <w:ind w:hanging="283" w:start="709"/>
        <w:jc w:val="start"/>
        <w:rPr/>
      </w:pPr>
      <w:r>
        <w:rPr>
          <w:b/>
        </w:rPr>
        <w:t>Moving averages are dynamic support.</w:t>
      </w:r>
      <w:r>
        <w:rPr/>
        <w:t xml:space="preserve"> Every stock has a "personality" — study which MA it historically bounced off, and buy there.</w:t>
      </w:r>
    </w:p>
    <w:p>
      <w:pPr>
        <w:pStyle w:val="BodyText"/>
        <w:numPr>
          <w:ilvl w:val="0"/>
          <w:numId w:val="382"/>
        </w:numPr>
        <w:tabs>
          <w:tab w:val="clear" w:pos="709"/>
          <w:tab w:val="left" w:pos="709" w:leader="none"/>
        </w:tabs>
        <w:bidi w:val="0"/>
        <w:ind w:hanging="283" w:start="709"/>
        <w:jc w:val="start"/>
        <w:rPr/>
      </w:pPr>
      <w:r>
        <w:rPr>
          <w:b/>
        </w:rPr>
        <w:t>Uptrend = higher highs + higher lows, MAs sloping up, 50&gt;100&gt;150&gt;200.</w:t>
      </w:r>
      <w:r>
        <w:rPr/>
        <w:t xml:space="preserve"> Downtrend is the exact mirror (200&gt;150&gt;50, all sloping down). Consolidation = same highs, same lows, MAs sideways and crisscrossing.</w:t>
      </w:r>
    </w:p>
    <w:p>
      <w:pPr>
        <w:pStyle w:val="BodyText"/>
        <w:numPr>
          <w:ilvl w:val="0"/>
          <w:numId w:val="382"/>
        </w:numPr>
        <w:tabs>
          <w:tab w:val="clear" w:pos="709"/>
          <w:tab w:val="left" w:pos="709" w:leader="none"/>
        </w:tabs>
        <w:bidi w:val="0"/>
        <w:ind w:hanging="283" w:start="709"/>
        <w:jc w:val="start"/>
        <w:rPr/>
      </w:pPr>
      <w:r>
        <w:rPr>
          <w:b/>
        </w:rPr>
        <w:t>Trend change (daily) needs BOTH conditions: the 50 and 150 must both stop sloping the old way (flatten or reverse) AND the 50 must cross the 150.</w:t>
      </w:r>
      <w:r>
        <w:rPr/>
        <w:t xml:space="preserve"> One line still sloping the old way = signal invalid.</w:t>
      </w:r>
    </w:p>
    <w:p>
      <w:pPr>
        <w:pStyle w:val="BodyText"/>
        <w:numPr>
          <w:ilvl w:val="0"/>
          <w:numId w:val="382"/>
        </w:numPr>
        <w:tabs>
          <w:tab w:val="clear" w:pos="709"/>
          <w:tab w:val="left" w:pos="709" w:leader="none"/>
        </w:tabs>
        <w:bidi w:val="0"/>
        <w:ind w:hanging="283" w:start="709"/>
        <w:jc w:val="start"/>
        <w:rPr/>
      </w:pPr>
      <w:r>
        <w:rPr>
          <w:b/>
        </w:rPr>
        <w:t>On an uptrend, buy the dip — never chase a wave up.</w:t>
      </w:r>
      <w:r>
        <w:rPr/>
        <w:t xml:space="preserve"> Pullback = &lt;10%, correction = &gt;10%; expect at least 3 pullbacks and 1 correction per year.</w:t>
      </w:r>
    </w:p>
    <w:p>
      <w:pPr>
        <w:pStyle w:val="BodyText"/>
        <w:numPr>
          <w:ilvl w:val="0"/>
          <w:numId w:val="382"/>
        </w:numPr>
        <w:tabs>
          <w:tab w:val="clear" w:pos="709"/>
          <w:tab w:val="left" w:pos="709" w:leader="none"/>
        </w:tabs>
        <w:bidi w:val="0"/>
        <w:ind w:hanging="283" w:start="709"/>
        <w:jc w:val="start"/>
        <w:rPr/>
      </w:pPr>
      <w:r>
        <w:rPr>
          <w:b/>
        </w:rPr>
        <w:t>A parabolic 90-degree move is the worst possible time to buy</w:t>
      </w:r>
      <w:r>
        <w:rPr/>
        <w:t xml:space="preserve"> — extended-range candles, price stretched far above the MAs, rubber-band snapback due. It is the </w:t>
      </w:r>
      <w:r>
        <w:rPr>
          <w:i/>
        </w:rPr>
        <w:t>best</w:t>
      </w:r>
      <w:r>
        <w:rPr/>
        <w:t xml:space="preserve"> time to sell </w:t>
      </w:r>
      <w:r>
        <w:rPr>
          <w:b/>
        </w:rPr>
        <w:t>only if</w:t>
      </w:r>
      <w:r>
        <w:rPr/>
        <w:t xml:space="preserve"> you had already decided to sell.</w:t>
      </w:r>
    </w:p>
    <w:p>
      <w:pPr>
        <w:pStyle w:val="BodyText"/>
        <w:numPr>
          <w:ilvl w:val="0"/>
          <w:numId w:val="382"/>
        </w:numPr>
        <w:tabs>
          <w:tab w:val="clear" w:pos="709"/>
          <w:tab w:val="left" w:pos="709" w:leader="none"/>
        </w:tabs>
        <w:bidi w:val="0"/>
        <w:ind w:hanging="283" w:start="709"/>
        <w:jc w:val="start"/>
        <w:rPr/>
      </w:pPr>
      <w:r>
        <w:rPr>
          <w:b/>
        </w:rPr>
        <w:t>Do NOT sell a great company just because it entered a downtrend.</w:t>
      </w:r>
      <w:r>
        <w:rPr/>
        <w:t xml:space="preserve"> Adam abandoned that approach — whipsaw costs more than it saves (Amazon: sold $74/bought back $92; sold $15/bought back $19 = −27%). Bear markets, where the trade actually works, come only about once every six years.</w:t>
      </w:r>
    </w:p>
    <w:p>
      <w:pPr>
        <w:pStyle w:val="BodyText"/>
        <w:numPr>
          <w:ilvl w:val="0"/>
          <w:numId w:val="382"/>
        </w:numPr>
        <w:tabs>
          <w:tab w:val="clear" w:pos="709"/>
          <w:tab w:val="left" w:pos="709" w:leader="none"/>
        </w:tabs>
        <w:bidi w:val="0"/>
        <w:ind w:hanging="283" w:start="709"/>
        <w:jc w:val="start"/>
        <w:rPr/>
      </w:pPr>
      <w:r>
        <w:rPr>
          <w:b/>
        </w:rPr>
        <w:t>Waiting for uptrend confirmation costs you 30–50% of the move</w:t>
      </w:r>
      <w:r>
        <w:rPr/>
        <w:t xml:space="preserve"> (MELI ~50%, AAPL 27%, MNST 37%). That's why bottom-catching exists.</w:t>
      </w:r>
    </w:p>
    <w:p>
      <w:pPr>
        <w:pStyle w:val="BodyText"/>
        <w:numPr>
          <w:ilvl w:val="0"/>
          <w:numId w:val="382"/>
        </w:numPr>
        <w:tabs>
          <w:tab w:val="clear" w:pos="709"/>
          <w:tab w:val="left" w:pos="709" w:leader="none"/>
        </w:tabs>
        <w:bidi w:val="0"/>
        <w:ind w:hanging="283" w:start="709"/>
        <w:jc w:val="start"/>
        <w:rPr/>
      </w:pPr>
      <w:r>
        <w:rPr>
          <w:b/>
        </w:rPr>
        <w:t>There are exactly two bottom signals: (a) parabolic 90-degree drop with oversized red candles into a pre-drawn support, and (b) a double bottom / bear trap where the second low breaks the first and closes back above it within ~3 candles on a bullish candle.</w:t>
      </w:r>
    </w:p>
    <w:p>
      <w:pPr>
        <w:pStyle w:val="BodyText"/>
        <w:numPr>
          <w:ilvl w:val="0"/>
          <w:numId w:val="382"/>
        </w:numPr>
        <w:tabs>
          <w:tab w:val="clear" w:pos="709"/>
          <w:tab w:val="left" w:pos="709" w:leader="none"/>
        </w:tabs>
        <w:bidi w:val="0"/>
        <w:ind w:hanging="283" w:start="709"/>
        <w:jc w:val="start"/>
        <w:rPr/>
      </w:pPr>
      <w:r>
        <w:rPr>
          <w:b/>
        </w:rPr>
        <w:t>Conservative confirmation on any bottom entry: wait for the first big green candle or a bullish pin bar.</w:t>
      </w:r>
    </w:p>
    <w:p>
      <w:pPr>
        <w:pStyle w:val="BodyText"/>
        <w:numPr>
          <w:ilvl w:val="0"/>
          <w:numId w:val="382"/>
        </w:numPr>
        <w:tabs>
          <w:tab w:val="clear" w:pos="709"/>
          <w:tab w:val="left" w:pos="709" w:leader="none"/>
        </w:tabs>
        <w:bidi w:val="0"/>
        <w:ind w:hanging="283" w:start="709"/>
        <w:jc w:val="start"/>
        <w:rPr/>
      </w:pPr>
      <w:r>
        <w:rPr>
          <w:b/>
        </w:rPr>
        <w:t>Ignore news for entries and exits.</w:t>
      </w:r>
      <w:r>
        <w:rPr/>
        <w:t xml:space="preserve"> Retail investors buy on good news at parabolic tops and sell on bad news at bottoms — buy high, sell low, lose money in the right stock. Trade the price action, after the fundamentals are settled.</w:t>
      </w:r>
    </w:p>
    <w:p>
      <w:pPr>
        <w:pStyle w:val="BodyText"/>
        <w:numPr>
          <w:ilvl w:val="0"/>
          <w:numId w:val="382"/>
        </w:numPr>
        <w:tabs>
          <w:tab w:val="clear" w:pos="709"/>
          <w:tab w:val="left" w:pos="709" w:leader="none"/>
        </w:tabs>
        <w:bidi w:val="0"/>
        <w:ind w:hanging="283" w:start="709"/>
        <w:jc w:val="start"/>
        <w:rPr/>
      </w:pPr>
      <w:r>
        <w:rPr>
          <w:b/>
        </w:rPr>
        <w:t>Draw about 4–5 support levels per stock</w:t>
      </w:r>
      <w:r>
        <w:rPr/>
        <w:t xml:space="preserve"> — they are your ladder of add-on prices.</w:t>
      </w:r>
    </w:p>
    <w:p>
      <w:pPr>
        <w:pStyle w:val="BodyText"/>
        <w:numPr>
          <w:ilvl w:val="0"/>
          <w:numId w:val="382"/>
        </w:numPr>
        <w:tabs>
          <w:tab w:val="clear" w:pos="709"/>
          <w:tab w:val="left" w:pos="709" w:leader="none"/>
        </w:tabs>
        <w:bidi w:val="0"/>
        <w:ind w:hanging="283" w:start="709"/>
        <w:jc w:val="start"/>
        <w:rPr/>
      </w:pPr>
      <w:r>
        <w:rPr>
          <w:b/>
        </w:rPr>
        <w:t>Confluence matters.</w:t>
      </w:r>
      <w:r>
        <w:rPr/>
        <w:t xml:space="preserve"> Adam's strongest levels are where several things intersect at once — e.g. Microsoft $324 = previous swing-high resistance + monthly 50 SMA + weekly 200 SMA.</w:t>
      </w:r>
    </w:p>
    <w:p>
      <w:pPr>
        <w:pStyle w:val="BodyText"/>
        <w:numPr>
          <w:ilvl w:val="0"/>
          <w:numId w:val="382"/>
        </w:numPr>
        <w:tabs>
          <w:tab w:val="clear" w:pos="709"/>
          <w:tab w:val="left" w:pos="709" w:leader="none"/>
        </w:tabs>
        <w:bidi w:val="0"/>
        <w:ind w:hanging="283" w:start="709"/>
        <w:jc w:val="start"/>
        <w:rPr/>
      </w:pPr>
      <w:r>
        <w:rPr>
          <w:b/>
        </w:rPr>
        <w:t>In a consolidation, the moving averages are useless — trade only the drawn channel support.</w:t>
      </w:r>
    </w:p>
    <w:p>
      <w:pPr>
        <w:pStyle w:val="HorizontalLine"/>
        <w:bidi w:val="0"/>
        <w:jc w:val="start"/>
        <w:rPr/>
      </w:pPr>
      <w:r>
        <w:rPr/>
      </w:r>
    </w:p>
    <w:p>
      <w:pPr>
        <w:pStyle w:val="Heading3"/>
        <w:bidi w:val="0"/>
        <w:ind w:hanging="0" w:start="0"/>
        <w:jc w:val="start"/>
        <w:rPr/>
      </w:pPr>
      <w:r>
        <w:rPr/>
        <w:t>Entry &amp; Exit Rules Cheat Sheet</w:t>
      </w:r>
    </w:p>
    <w:p>
      <w:pPr>
        <w:pStyle w:val="Heading4"/>
        <w:bidi w:val="0"/>
        <w:ind w:hanging="0" w:start="0"/>
        <w:jc w:val="start"/>
        <w:rPr/>
      </w:pPr>
      <w:r>
        <w:rPr/>
        <w:t>A. UNIVERSAL PRECONDITIONS (all setups)</w:t>
      </w:r>
    </w:p>
    <w:p>
      <w:pPr>
        <w:pStyle w:val="BodyText"/>
        <w:numPr>
          <w:ilvl w:val="0"/>
          <w:numId w:val="383"/>
        </w:numPr>
        <w:tabs>
          <w:tab w:val="clear" w:pos="709"/>
          <w:tab w:val="left" w:pos="709" w:leader="none"/>
        </w:tabs>
        <w:bidi w:val="0"/>
        <w:ind w:hanging="283" w:start="709"/>
        <w:jc w:val="start"/>
        <w:rPr/>
      </w:pPr>
      <w:r>
        <w:rPr>
          <w:b/>
        </w:rPr>
        <w:t>10-year monthly chart is in a clear long-term uptrend.</w:t>
      </w:r>
      <w:r>
        <w:rPr/>
        <w:t xml:space="preserve"> If not → reject the stock outright.</w:t>
      </w:r>
    </w:p>
    <w:p>
      <w:pPr>
        <w:pStyle w:val="BodyText"/>
        <w:numPr>
          <w:ilvl w:val="0"/>
          <w:numId w:val="383"/>
        </w:numPr>
        <w:tabs>
          <w:tab w:val="clear" w:pos="709"/>
          <w:tab w:val="left" w:pos="709" w:leader="none"/>
        </w:tabs>
        <w:bidi w:val="0"/>
        <w:ind w:hanging="283" w:start="709"/>
        <w:jc w:val="start"/>
        <w:rPr/>
      </w:pPr>
      <w:r>
        <w:rPr>
          <w:b/>
        </w:rPr>
        <w:t>It is a great company</w:t>
      </w:r>
      <w:r>
        <w:rPr/>
        <w:t xml:space="preserve"> (fundamentals verified in the fundamental-analysis lessons).</w:t>
      </w:r>
    </w:p>
    <w:p>
      <w:pPr>
        <w:pStyle w:val="BodyText"/>
        <w:numPr>
          <w:ilvl w:val="0"/>
          <w:numId w:val="383"/>
        </w:numPr>
        <w:tabs>
          <w:tab w:val="clear" w:pos="709"/>
          <w:tab w:val="left" w:pos="709" w:leader="none"/>
        </w:tabs>
        <w:bidi w:val="0"/>
        <w:ind w:hanging="283" w:start="709"/>
        <w:jc w:val="start"/>
        <w:rPr/>
      </w:pPr>
      <w:r>
        <w:rPr>
          <w:b/>
        </w:rPr>
        <w:t>Current price is BELOW your calculated intrinsic value</w:t>
      </w:r>
      <w:r>
        <w:rPr/>
        <w:t xml:space="preserve"> (drawn on the chart as a </w:t>
      </w:r>
      <w:r>
        <w:rPr>
          <w:b/>
        </w:rPr>
        <w:t>green dotted horizontal ray</w:t>
      </w:r>
      <w:r>
        <w:rPr/>
        <w:t xml:space="preserve"> labelled "intrinsic value").</w:t>
      </w:r>
    </w:p>
    <w:p>
      <w:pPr>
        <w:pStyle w:val="BodyText"/>
        <w:numPr>
          <w:ilvl w:val="0"/>
          <w:numId w:val="383"/>
        </w:numPr>
        <w:tabs>
          <w:tab w:val="clear" w:pos="709"/>
          <w:tab w:val="left" w:pos="709" w:leader="none"/>
        </w:tabs>
        <w:bidi w:val="0"/>
        <w:ind w:hanging="283" w:start="709"/>
        <w:jc w:val="start"/>
        <w:rPr/>
      </w:pPr>
      <w:r>
        <w:rPr>
          <w:b/>
        </w:rPr>
        <w:t>Support levels are already drawn</w:t>
      </w:r>
      <w:r>
        <w:rPr/>
        <w:t xml:space="preserve"> on </w:t>
      </w:r>
      <w:r>
        <w:rPr>
          <w:b/>
        </w:rPr>
        <w:t>monthly, then weekly, then daily</w:t>
      </w:r>
      <w:r>
        <w:rPr/>
        <w:t xml:space="preserve"> — about </w:t>
      </w:r>
      <w:r>
        <w:rPr>
          <w:b/>
        </w:rPr>
        <w:t>4–5 levels per stock</w:t>
      </w:r>
      <w:r>
        <w:rPr/>
        <w:t>, sourced from swing lows, broken resistances (polarity), and the stock's preferred moving averages.</w:t>
      </w:r>
    </w:p>
    <w:p>
      <w:pPr>
        <w:pStyle w:val="BodyText"/>
        <w:numPr>
          <w:ilvl w:val="0"/>
          <w:numId w:val="383"/>
        </w:numPr>
        <w:tabs>
          <w:tab w:val="clear" w:pos="709"/>
          <w:tab w:val="left" w:pos="709" w:leader="none"/>
        </w:tabs>
        <w:bidi w:val="0"/>
        <w:ind w:hanging="283" w:start="709"/>
        <w:jc w:val="start"/>
        <w:rPr/>
      </w:pPr>
      <w:r>
        <w:rPr>
          <w:b/>
        </w:rPr>
        <w:t>Never go all in.</w:t>
      </w:r>
      <w:r>
        <w:rPr/>
        <w:t xml:space="preserve"> Plan for </w:t>
      </w:r>
      <w:r>
        <w:rPr>
          <w:b/>
        </w:rPr>
        <w:t>3–4 tranches</w:t>
      </w:r>
      <w:r>
        <w:rPr/>
        <w:t>. Tranche size scales with the depth of undervaluation (slightly undervalued → nibble; significantly undervalued → buy more).</w:t>
      </w:r>
    </w:p>
    <w:p>
      <w:pPr>
        <w:pStyle w:val="HorizontalLine"/>
        <w:bidi w:val="0"/>
        <w:jc w:val="start"/>
        <w:rPr/>
      </w:pPr>
      <w:r>
        <w:rPr/>
      </w:r>
    </w:p>
    <w:p>
      <w:pPr>
        <w:pStyle w:val="Heading4"/>
        <w:bidi w:val="0"/>
        <w:ind w:hanging="0" w:start="0"/>
        <w:jc w:val="start"/>
        <w:rPr/>
      </w:pPr>
      <w:r>
        <w:rPr/>
        <w:t>B. SETUP 1 — BUY THE DIP ON AN UPTREND</w:t>
      </w:r>
    </w:p>
    <w:p>
      <w:pPr>
        <w:pStyle w:val="BodyText"/>
        <w:bidi w:val="0"/>
        <w:jc w:val="start"/>
        <w:rPr/>
      </w:pPr>
      <w:r>
        <w:rPr>
          <w:b/>
        </w:rPr>
        <w:t>Trigger conditions</w:t>
      </w:r>
    </w:p>
    <w:p>
      <w:pPr>
        <w:pStyle w:val="BodyText"/>
        <w:numPr>
          <w:ilvl w:val="0"/>
          <w:numId w:val="384"/>
        </w:numPr>
        <w:tabs>
          <w:tab w:val="clear" w:pos="709"/>
          <w:tab w:val="left" w:pos="709" w:leader="none"/>
        </w:tabs>
        <w:bidi w:val="0"/>
        <w:ind w:hanging="283" w:start="709"/>
        <w:jc w:val="start"/>
        <w:rPr/>
      </w:pPr>
      <w:r>
        <w:rPr/>
        <w:t xml:space="preserve">Higher swing highs </w:t>
      </w:r>
      <w:r>
        <w:rPr>
          <w:b/>
        </w:rPr>
        <w:t>and</w:t>
      </w:r>
      <w:r>
        <w:rPr/>
        <w:t xml:space="preserve"> higher swing lows.</w:t>
      </w:r>
    </w:p>
    <w:p>
      <w:pPr>
        <w:pStyle w:val="BodyText"/>
        <w:numPr>
          <w:ilvl w:val="0"/>
          <w:numId w:val="384"/>
        </w:numPr>
        <w:tabs>
          <w:tab w:val="clear" w:pos="709"/>
          <w:tab w:val="left" w:pos="709" w:leader="none"/>
        </w:tabs>
        <w:bidi w:val="0"/>
        <w:ind w:hanging="283" w:start="709"/>
        <w:jc w:val="start"/>
        <w:rPr/>
      </w:pPr>
      <w:r>
        <w:rPr/>
        <w:t xml:space="preserve">All MAs sloping </w:t>
      </w:r>
      <w:r>
        <w:rPr>
          <w:b/>
        </w:rPr>
        <w:t>up</w:t>
      </w:r>
      <w:r>
        <w:rPr/>
        <w:t xml:space="preserve">; </w:t>
      </w:r>
      <w:r>
        <w:rPr>
          <w:b/>
        </w:rPr>
        <w:t>50 &gt; 100 &gt; 150 &gt; 200</w:t>
      </w:r>
      <w:r>
        <w:rPr/>
        <w:t>.</w:t>
      </w:r>
    </w:p>
    <w:p>
      <w:pPr>
        <w:pStyle w:val="BodyText"/>
        <w:numPr>
          <w:ilvl w:val="0"/>
          <w:numId w:val="384"/>
        </w:numPr>
        <w:tabs>
          <w:tab w:val="clear" w:pos="709"/>
          <w:tab w:val="left" w:pos="709" w:leader="none"/>
        </w:tabs>
        <w:bidi w:val="0"/>
        <w:ind w:hanging="283" w:start="709"/>
        <w:jc w:val="start"/>
        <w:rPr/>
      </w:pPr>
      <w:r>
        <w:rPr/>
        <w:t xml:space="preserve">Price has just made a </w:t>
      </w:r>
      <w:r>
        <w:rPr>
          <w:b/>
        </w:rPr>
        <w:t>wave DOWN</w:t>
      </w:r>
      <w:r>
        <w:rPr/>
        <w:t xml:space="preserve"> (pullback &lt;10% or correction &gt;10%).</w:t>
      </w:r>
    </w:p>
    <w:p>
      <w:pPr>
        <w:pStyle w:val="BodyText"/>
        <w:bidi w:val="0"/>
        <w:jc w:val="start"/>
        <w:rPr/>
      </w:pPr>
      <w:r>
        <w:rPr>
          <w:b/>
        </w:rPr>
        <w:t>Where to buy</w:t>
      </w:r>
      <w:r>
        <w:rPr/>
        <w:t xml:space="preserve"> 4. At the </w:t>
      </w:r>
      <w:r>
        <w:rPr>
          <w:b/>
        </w:rPr>
        <w:t>drawn horizontal support</w:t>
      </w:r>
      <w:r>
        <w:rPr/>
        <w:t xml:space="preserve">, </w:t>
      </w:r>
      <w:r>
        <w:rPr>
          <w:b/>
        </w:rPr>
        <w:t>or</w:t>
      </w:r>
      <w:r>
        <w:rPr/>
        <w:t xml:space="preserve"> at the </w:t>
      </w:r>
      <w:r>
        <w:rPr>
          <w:b/>
        </w:rPr>
        <w:t>moving average this stock historically bounces off</w:t>
      </w:r>
      <w:r>
        <w:rPr/>
        <w:t xml:space="preserve"> (daily → 50/100/150/200 SMA; weekly/monthly → 20/40 EMA also valid).</w:t>
      </w:r>
    </w:p>
    <w:p>
      <w:pPr>
        <w:pStyle w:val="BodyText"/>
        <w:bidi w:val="0"/>
        <w:jc w:val="start"/>
        <w:rPr/>
      </w:pPr>
      <w:r>
        <w:rPr>
          <w:b/>
        </w:rPr>
        <w:t>Confirmation (optional, conservative)</w:t>
      </w:r>
      <w:r>
        <w:rPr/>
        <w:t xml:space="preserve"> 5. Wait for price to touch the level </w:t>
      </w:r>
      <w:r>
        <w:rPr>
          <w:b/>
        </w:rPr>
        <w:t>and print a GREEN bullish candle</w:t>
      </w:r>
      <w:r>
        <w:rPr/>
        <w:t xml:space="preserve"> (or a bullish pin bar at that support) before entering.</w:t>
      </w:r>
    </w:p>
    <w:p>
      <w:pPr>
        <w:pStyle w:val="BodyText"/>
        <w:bidi w:val="0"/>
        <w:jc w:val="start"/>
        <w:rPr/>
      </w:pPr>
      <w:r>
        <w:rPr>
          <w:b/>
        </w:rPr>
        <w:t>Scale-in ladder</w:t>
      </w:r>
      <w:r>
        <w:rPr/>
        <w:t xml:space="preserve"> 6. First touch (e.g. 50 SMA) → </w:t>
      </w:r>
      <w:r>
        <w:rPr>
          <w:b/>
        </w:rPr>
        <w:t>buy a small first tranche</w:t>
      </w:r>
      <w:r>
        <w:rPr/>
        <w:t xml:space="preserve">. 7. If that level </w:t>
      </w:r>
      <w:r>
        <w:rPr>
          <w:b/>
        </w:rPr>
        <w:t>breaks</w:t>
      </w:r>
      <w:r>
        <w:rPr/>
        <w:t xml:space="preserve"> → </w:t>
      </w:r>
      <w:r>
        <w:rPr>
          <w:b/>
        </w:rPr>
        <w:t>do not exit</w:t>
      </w:r>
      <w:r>
        <w:rPr/>
        <w:t xml:space="preserve">; watch the </w:t>
      </w:r>
      <w:r>
        <w:rPr>
          <w:b/>
        </w:rPr>
        <w:t>next MA / next drawn support below</w:t>
      </w:r>
      <w:r>
        <w:rPr/>
        <w:t xml:space="preserve"> (e.g. 100 SMA). 8. Bounce at the next level → </w:t>
      </w:r>
      <w:r>
        <w:rPr>
          <w:b/>
        </w:rPr>
        <w:t>add the next tranche</w:t>
      </w:r>
      <w:r>
        <w:rPr/>
        <w:t xml:space="preserve">. Repeat down the ladder to about </w:t>
      </w:r>
      <w:r>
        <w:rPr>
          <w:b/>
        </w:rPr>
        <w:t>four tranches</w:t>
      </w:r>
      <w:r>
        <w:rPr/>
        <w:t>.</w:t>
      </w:r>
    </w:p>
    <w:p>
      <w:pPr>
        <w:pStyle w:val="BodyText"/>
        <w:bidi w:val="0"/>
        <w:jc w:val="start"/>
        <w:rPr/>
      </w:pPr>
      <w:r>
        <w:rPr>
          <w:b/>
        </w:rPr>
        <w:t>What invalidates / what does NOT invalidate</w:t>
      </w:r>
      <w:r>
        <w:rPr/>
        <w:t xml:space="preserve"> 9. Breaking one support level does </w:t>
      </w:r>
      <w:r>
        <w:rPr>
          <w:b/>
        </w:rPr>
        <w:t>not</w:t>
      </w:r>
      <w:r>
        <w:rPr/>
        <w:t xml:space="preserve"> invalidate the thesis — it simply moves you to the next rung of the ladder. 10. The thesis is invalidated only by </w:t>
      </w:r>
      <w:r>
        <w:rPr>
          <w:b/>
        </w:rPr>
        <w:t>the company ceasing to be a great company</w:t>
      </w:r>
      <w:r>
        <w:rPr/>
        <w:t xml:space="preserve"> (fundamentals) — </w:t>
      </w:r>
      <w:r>
        <w:rPr>
          <w:b/>
        </w:rPr>
        <w:t>not</w:t>
      </w:r>
      <w:r>
        <w:rPr/>
        <w:t xml:space="preserve"> by a chart downtrend.</w:t>
      </w:r>
    </w:p>
    <w:p>
      <w:pPr>
        <w:pStyle w:val="BodyText"/>
        <w:bidi w:val="0"/>
        <w:jc w:val="start"/>
        <w:rPr/>
      </w:pPr>
      <w:r>
        <w:rPr>
          <w:b/>
        </w:rPr>
        <w:t>Do NOT buy</w:t>
      </w:r>
      <w:r>
        <w:rPr/>
        <w:t xml:space="preserve"> 11. </w:t>
      </w:r>
      <w:r>
        <w:rPr>
          <w:b/>
        </w:rPr>
        <w:t>Never buy after a wave up.</w:t>
      </w:r>
      <w:r>
        <w:rPr/>
        <w:t xml:space="preserve"> 12. </w:t>
      </w:r>
      <w:r>
        <w:rPr>
          <w:b/>
        </w:rPr>
        <w:t>Never buy into a parabolic 90-degree move.</w:t>
      </w:r>
      <w:r>
        <w:rPr/>
        <w:t> 13. Never buy mid-fall between support levels when a clear support sits below.</w:t>
      </w:r>
    </w:p>
    <w:p>
      <w:pPr>
        <w:pStyle w:val="HorizontalLine"/>
        <w:bidi w:val="0"/>
        <w:jc w:val="start"/>
        <w:rPr/>
      </w:pPr>
      <w:r>
        <w:rPr/>
      </w:r>
    </w:p>
    <w:p>
      <w:pPr>
        <w:pStyle w:val="Heading4"/>
        <w:bidi w:val="0"/>
        <w:ind w:hanging="0" w:start="0"/>
        <w:jc w:val="start"/>
        <w:rPr/>
      </w:pPr>
      <w:r>
        <w:rPr/>
        <w:t>C. SETUP 2 — BUY IN A CONSOLIDATION / CHANNEL</w:t>
      </w:r>
    </w:p>
    <w:p>
      <w:pPr>
        <w:pStyle w:val="BodyText"/>
        <w:numPr>
          <w:ilvl w:val="0"/>
          <w:numId w:val="385"/>
        </w:numPr>
        <w:tabs>
          <w:tab w:val="clear" w:pos="709"/>
          <w:tab w:val="left" w:pos="709" w:leader="none"/>
        </w:tabs>
        <w:bidi w:val="0"/>
        <w:ind w:hanging="283" w:start="709"/>
        <w:jc w:val="start"/>
        <w:rPr/>
      </w:pPr>
      <w:r>
        <w:rPr/>
        <w:t xml:space="preserve">Confirm sideways structure: </w:t>
      </w:r>
      <w:r>
        <w:rPr>
          <w:b/>
        </w:rPr>
        <w:t>same highs, same lows</w:t>
      </w:r>
      <w:r>
        <w:rPr/>
        <w:t>.</w:t>
      </w:r>
    </w:p>
    <w:p>
      <w:pPr>
        <w:pStyle w:val="BodyText"/>
        <w:numPr>
          <w:ilvl w:val="0"/>
          <w:numId w:val="385"/>
        </w:numPr>
        <w:tabs>
          <w:tab w:val="clear" w:pos="709"/>
          <w:tab w:val="left" w:pos="709" w:leader="none"/>
        </w:tabs>
        <w:bidi w:val="0"/>
        <w:ind w:hanging="283" w:start="709"/>
        <w:jc w:val="start"/>
        <w:rPr/>
      </w:pPr>
      <w:r>
        <w:rPr>
          <w:b/>
        </w:rPr>
        <w:t>Three same highs</w:t>
      </w:r>
      <w:r>
        <w:rPr/>
        <w:t xml:space="preserve"> → draw the </w:t>
      </w:r>
      <w:r>
        <w:rPr>
          <w:b/>
        </w:rPr>
        <w:t>resistance</w:t>
      </w:r>
      <w:r>
        <w:rPr/>
        <w:t xml:space="preserve">. </w:t>
      </w:r>
      <w:r>
        <w:rPr>
          <w:b/>
        </w:rPr>
        <w:t>Three same lows</w:t>
      </w:r>
      <w:r>
        <w:rPr/>
        <w:t xml:space="preserve"> → draw the </w:t>
      </w:r>
      <w:r>
        <w:rPr>
          <w:b/>
        </w:rPr>
        <w:t>support</w:t>
      </w:r>
      <w:r>
        <w:rPr/>
        <w:t>.</w:t>
      </w:r>
    </w:p>
    <w:p>
      <w:pPr>
        <w:pStyle w:val="BodyText"/>
        <w:numPr>
          <w:ilvl w:val="0"/>
          <w:numId w:val="385"/>
        </w:numPr>
        <w:tabs>
          <w:tab w:val="clear" w:pos="709"/>
          <w:tab w:val="left" w:pos="709" w:leader="none"/>
        </w:tabs>
        <w:bidi w:val="0"/>
        <w:ind w:hanging="283" w:start="709"/>
        <w:jc w:val="start"/>
        <w:rPr/>
      </w:pPr>
      <w:r>
        <w:rPr>
          <w:b/>
        </w:rPr>
        <w:t>Ignore all moving averages</w:t>
      </w:r>
      <w:r>
        <w:rPr/>
        <w:t xml:space="preserve"> (sideways + crisscrossing = no support value).</w:t>
      </w:r>
    </w:p>
    <w:p>
      <w:pPr>
        <w:pStyle w:val="BodyText"/>
        <w:numPr>
          <w:ilvl w:val="0"/>
          <w:numId w:val="385"/>
        </w:numPr>
        <w:tabs>
          <w:tab w:val="clear" w:pos="709"/>
          <w:tab w:val="left" w:pos="709" w:leader="none"/>
        </w:tabs>
        <w:bidi w:val="0"/>
        <w:ind w:hanging="283" w:start="709"/>
        <w:jc w:val="start"/>
        <w:rPr/>
      </w:pPr>
      <w:r>
        <w:rPr>
          <w:b/>
        </w:rPr>
        <w:t>Buy when price waves down NEAR the support line.</w:t>
      </w:r>
    </w:p>
    <w:p>
      <w:pPr>
        <w:pStyle w:val="BodyText"/>
        <w:numPr>
          <w:ilvl w:val="0"/>
          <w:numId w:val="385"/>
        </w:numPr>
        <w:tabs>
          <w:tab w:val="clear" w:pos="709"/>
          <w:tab w:val="left" w:pos="709" w:leader="none"/>
        </w:tabs>
        <w:bidi w:val="0"/>
        <w:ind w:hanging="283" w:start="709"/>
        <w:jc w:val="start"/>
        <w:rPr/>
      </w:pPr>
      <w:r>
        <w:rPr/>
        <w:t xml:space="preserve">Keep adding at support until you hold a </w:t>
      </w:r>
      <w:r>
        <w:rPr>
          <w:b/>
        </w:rPr>
        <w:t>full position</w:t>
      </w:r>
      <w:r>
        <w:rPr/>
        <w:t>.</w:t>
      </w:r>
    </w:p>
    <w:p>
      <w:pPr>
        <w:pStyle w:val="BodyText"/>
        <w:numPr>
          <w:ilvl w:val="0"/>
          <w:numId w:val="385"/>
        </w:numPr>
        <w:tabs>
          <w:tab w:val="clear" w:pos="709"/>
          <w:tab w:val="left" w:pos="709" w:leader="none"/>
        </w:tabs>
        <w:bidi w:val="0"/>
        <w:ind w:hanging="283" w:start="709"/>
        <w:jc w:val="start"/>
        <w:rPr/>
      </w:pPr>
      <w:r>
        <w:rPr>
          <w:b/>
        </w:rPr>
        <w:t>Hold</w:t>
      </w:r>
      <w:r>
        <w:rPr/>
        <w:t xml:space="preserve"> and let it eventually break out into a new uptrend.</w:t>
      </w:r>
    </w:p>
    <w:p>
      <w:pPr>
        <w:pStyle w:val="BodyText"/>
        <w:bidi w:val="0"/>
        <w:jc w:val="start"/>
        <w:rPr/>
      </w:pPr>
      <w:r>
        <w:rPr>
          <w:i/>
        </w:rPr>
        <w:t>(Example: support 272 / resistance 292. Bank of America: support $26.61 / resistance $30.84.)</w:t>
      </w:r>
    </w:p>
    <w:p>
      <w:pPr>
        <w:pStyle w:val="HorizontalLine"/>
        <w:bidi w:val="0"/>
        <w:jc w:val="start"/>
        <w:rPr/>
      </w:pPr>
      <w:r>
        <w:rPr/>
      </w:r>
    </w:p>
    <w:p>
      <w:pPr>
        <w:pStyle w:val="Heading4"/>
        <w:bidi w:val="0"/>
        <w:ind w:hanging="0" w:start="0"/>
        <w:jc w:val="start"/>
        <w:rPr/>
      </w:pPr>
      <w:r>
        <w:rPr/>
        <w:t>D. SETUP 3 — DOWNTREND, OPTION A: WAIT FOR UPTREND CONFIRMATION</w:t>
      </w:r>
    </w:p>
    <w:p>
      <w:pPr>
        <w:pStyle w:val="BodyText"/>
        <w:bidi w:val="0"/>
        <w:jc w:val="start"/>
        <w:rPr/>
      </w:pPr>
      <w:r>
        <w:rPr>
          <w:b/>
        </w:rPr>
        <w:t>Trigger (daily timeframe, BOTH required)</w:t>
      </w:r>
    </w:p>
    <w:p>
      <w:pPr>
        <w:pStyle w:val="BodyText"/>
        <w:numPr>
          <w:ilvl w:val="0"/>
          <w:numId w:val="386"/>
        </w:numPr>
        <w:tabs>
          <w:tab w:val="clear" w:pos="709"/>
          <w:tab w:val="left" w:pos="709" w:leader="none"/>
        </w:tabs>
        <w:bidi w:val="0"/>
        <w:spacing w:before="0" w:after="0"/>
        <w:ind w:hanging="283" w:start="709"/>
        <w:jc w:val="start"/>
        <w:rPr/>
      </w:pPr>
      <w:r>
        <w:rPr/>
        <w:t xml:space="preserve">The </w:t>
      </w:r>
      <w:r>
        <w:rPr>
          <w:b/>
        </w:rPr>
        <w:t>50 SMA flattens and slopes UP</w:t>
      </w:r>
      <w:r>
        <w:rPr/>
        <w:t xml:space="preserve"> </w:t>
      </w:r>
      <w:r>
        <w:rPr>
          <w:i/>
        </w:rPr>
        <w:t>and</w:t>
      </w:r>
      <w:r>
        <w:rPr/>
        <w:t xml:space="preserve"> the </w:t>
      </w:r>
      <w:r>
        <w:rPr>
          <w:b/>
        </w:rPr>
        <w:t>150 SMA flattens and slopes UP</w:t>
      </w:r>
      <w:r>
        <w:rPr/>
        <w:t>.</w:t>
      </w:r>
    </w:p>
    <w:p>
      <w:pPr>
        <w:pStyle w:val="BodyText"/>
        <w:numPr>
          <w:ilvl w:val="1"/>
          <w:numId w:val="386"/>
        </w:numPr>
        <w:tabs>
          <w:tab w:val="clear" w:pos="709"/>
          <w:tab w:val="left" w:pos="1418" w:leader="none"/>
        </w:tabs>
        <w:bidi w:val="0"/>
        <w:ind w:hanging="283" w:start="1418"/>
        <w:jc w:val="start"/>
        <w:rPr/>
      </w:pPr>
      <w:r>
        <w:rPr>
          <w:b/>
        </w:rPr>
        <w:t>Invalid if either line is still sloping down</w:t>
      </w:r>
      <w:r>
        <w:rPr/>
        <w:t>, even if the crossover has occurred.</w:t>
      </w:r>
    </w:p>
    <w:p>
      <w:pPr>
        <w:pStyle w:val="BodyText"/>
        <w:numPr>
          <w:ilvl w:val="0"/>
          <w:numId w:val="386"/>
        </w:numPr>
        <w:tabs>
          <w:tab w:val="clear" w:pos="709"/>
          <w:tab w:val="left" w:pos="709" w:leader="none"/>
        </w:tabs>
        <w:bidi w:val="0"/>
        <w:ind w:hanging="283" w:start="709"/>
        <w:jc w:val="start"/>
        <w:rPr/>
      </w:pPr>
      <w:r>
        <w:rPr/>
        <w:t xml:space="preserve">The </w:t>
      </w:r>
      <w:r>
        <w:rPr>
          <w:b/>
        </w:rPr>
        <w:t>50 SMA crosses back ABOVE the 150 SMA</w:t>
      </w:r>
      <w:r>
        <w:rPr/>
        <w:t>.</w:t>
      </w:r>
    </w:p>
    <w:p>
      <w:pPr>
        <w:pStyle w:val="BodyText"/>
        <w:bidi w:val="0"/>
        <w:jc w:val="start"/>
        <w:rPr/>
      </w:pPr>
      <w:r>
        <w:rPr>
          <w:b/>
        </w:rPr>
        <w:t>Where to buy</w:t>
      </w:r>
      <w:r>
        <w:rPr/>
        <w:t> 3. On confirmation of both conditions.</w:t>
      </w:r>
    </w:p>
    <w:p>
      <w:pPr>
        <w:pStyle w:val="BodyText"/>
        <w:bidi w:val="0"/>
        <w:jc w:val="start"/>
        <w:rPr/>
      </w:pPr>
      <w:r>
        <w:rPr>
          <w:b/>
        </w:rPr>
        <w:t>Known cost of this method</w:t>
      </w:r>
      <w:r>
        <w:rPr/>
        <w:t xml:space="preserve"> 4. You will typically enter </w:t>
      </w:r>
      <w:r>
        <w:rPr>
          <w:b/>
        </w:rPr>
        <w:t>30–50% above the actual low</w:t>
      </w:r>
      <w:r>
        <w:rPr/>
        <w:t xml:space="preserve"> (MELI ~50%, MNST 37%, AAPL 27%).</w:t>
      </w:r>
    </w:p>
    <w:p>
      <w:pPr>
        <w:pStyle w:val="HorizontalLine"/>
        <w:bidi w:val="0"/>
        <w:jc w:val="start"/>
        <w:rPr/>
      </w:pPr>
      <w:r>
        <w:rPr/>
      </w:r>
    </w:p>
    <w:p>
      <w:pPr>
        <w:pStyle w:val="Heading4"/>
        <w:bidi w:val="0"/>
        <w:ind w:hanging="0" w:start="0"/>
        <w:jc w:val="start"/>
        <w:rPr/>
      </w:pPr>
      <w:r>
        <w:rPr/>
        <w:t>E. SETUP 4 — DOWNTREND, OPTION B1: PARABOLIC DROP TO SUPPORT (catching a bottom)</w:t>
      </w:r>
    </w:p>
    <w:p>
      <w:pPr>
        <w:pStyle w:val="BodyText"/>
        <w:numPr>
          <w:ilvl w:val="0"/>
          <w:numId w:val="387"/>
        </w:numPr>
        <w:tabs>
          <w:tab w:val="clear" w:pos="709"/>
          <w:tab w:val="left" w:pos="709" w:leader="none"/>
        </w:tabs>
        <w:bidi w:val="0"/>
        <w:ind w:hanging="283" w:start="709"/>
        <w:jc w:val="start"/>
        <w:rPr/>
      </w:pPr>
      <w:r>
        <w:rPr/>
        <w:t xml:space="preserve">Stock is in a confirmed </w:t>
      </w:r>
      <w:r>
        <w:rPr>
          <w:b/>
        </w:rPr>
        <w:t>downtrend</w:t>
      </w:r>
      <w:r>
        <w:rPr/>
        <w:t xml:space="preserve"> (lower highs + lower lows; MAs sloping down; </w:t>
      </w:r>
      <w:r>
        <w:rPr>
          <w:b/>
        </w:rPr>
        <w:t>200 &gt; 150 &gt; 50</w:t>
      </w:r>
      <w:r>
        <w:rPr/>
        <w:t>).</w:t>
      </w:r>
    </w:p>
    <w:p>
      <w:pPr>
        <w:pStyle w:val="BodyText"/>
        <w:numPr>
          <w:ilvl w:val="0"/>
          <w:numId w:val="387"/>
        </w:numPr>
        <w:tabs>
          <w:tab w:val="clear" w:pos="709"/>
          <w:tab w:val="left" w:pos="709" w:leader="none"/>
        </w:tabs>
        <w:bidi w:val="0"/>
        <w:ind w:hanging="283" w:start="709"/>
        <w:jc w:val="start"/>
        <w:rPr/>
      </w:pPr>
      <w:r>
        <w:rPr/>
        <w:t xml:space="preserve">Price transitions from a ~45-degree decline to a </w:t>
      </w:r>
      <w:r>
        <w:rPr>
          <w:b/>
        </w:rPr>
        <w:t>90-DEGREE PARABOLIC DROP</w:t>
      </w:r>
      <w:r>
        <w:rPr/>
        <w:t>.</w:t>
      </w:r>
    </w:p>
    <w:p>
      <w:pPr>
        <w:pStyle w:val="BodyText"/>
        <w:numPr>
          <w:ilvl w:val="0"/>
          <w:numId w:val="387"/>
        </w:numPr>
        <w:tabs>
          <w:tab w:val="clear" w:pos="709"/>
          <w:tab w:val="left" w:pos="709" w:leader="none"/>
        </w:tabs>
        <w:bidi w:val="0"/>
        <w:ind w:hanging="283" w:start="709"/>
        <w:jc w:val="start"/>
        <w:rPr/>
      </w:pPr>
      <w:r>
        <w:rPr>
          <w:b/>
        </w:rPr>
        <w:t>Red candles are visibly LONGER than usual</w:t>
      </w:r>
      <w:r>
        <w:rPr/>
        <w:t xml:space="preserve"> (capitulation / panic selling / everyone who wants to sell has sold).</w:t>
      </w:r>
    </w:p>
    <w:p>
      <w:pPr>
        <w:pStyle w:val="BodyText"/>
        <w:numPr>
          <w:ilvl w:val="0"/>
          <w:numId w:val="387"/>
        </w:numPr>
        <w:tabs>
          <w:tab w:val="clear" w:pos="709"/>
          <w:tab w:val="left" w:pos="709" w:leader="none"/>
        </w:tabs>
        <w:bidi w:val="0"/>
        <w:ind w:hanging="283" w:start="709"/>
        <w:jc w:val="start"/>
        <w:rPr/>
      </w:pPr>
      <w:r>
        <w:rPr>
          <w:b/>
        </w:rPr>
        <w:t>The drop must land ON a support level you had ALREADY drawn</w:t>
      </w:r>
      <w:r>
        <w:rPr/>
        <w:t xml:space="preserve"> — sourced from the </w:t>
      </w:r>
      <w:r>
        <w:rPr>
          <w:b/>
        </w:rPr>
        <w:t>monthly or weekly</w:t>
      </w:r>
      <w:r>
        <w:rPr/>
        <w:t xml:space="preserve"> chart (broken resistance, monthly 50 SMA, etc.).</w:t>
      </w:r>
    </w:p>
    <w:p>
      <w:pPr>
        <w:pStyle w:val="BodyText"/>
        <w:numPr>
          <w:ilvl w:val="0"/>
          <w:numId w:val="387"/>
        </w:numPr>
        <w:tabs>
          <w:tab w:val="clear" w:pos="709"/>
          <w:tab w:val="left" w:pos="709" w:leader="none"/>
        </w:tabs>
        <w:bidi w:val="0"/>
        <w:ind w:hanging="283" w:start="709"/>
        <w:jc w:val="start"/>
        <w:rPr/>
      </w:pPr>
      <w:r>
        <w:rPr>
          <w:b/>
        </w:rPr>
        <w:t>Confirmation (conservative):</w:t>
      </w:r>
      <w:r>
        <w:rPr/>
        <w:t xml:space="preserve"> wait for the </w:t>
      </w:r>
      <w:r>
        <w:rPr>
          <w:b/>
        </w:rPr>
        <w:t>first big GREEN candle</w:t>
      </w:r>
      <w:r>
        <w:rPr/>
        <w:t xml:space="preserve"> or a </w:t>
      </w:r>
      <w:r>
        <w:rPr>
          <w:b/>
        </w:rPr>
        <w:t>bullish PIN BAR</w:t>
      </w:r>
      <w:r>
        <w:rPr/>
        <w:t xml:space="preserve"> at that support.</w:t>
      </w:r>
    </w:p>
    <w:p>
      <w:pPr>
        <w:pStyle w:val="BodyText"/>
        <w:numPr>
          <w:ilvl w:val="0"/>
          <w:numId w:val="387"/>
        </w:numPr>
        <w:tabs>
          <w:tab w:val="clear" w:pos="709"/>
          <w:tab w:val="left" w:pos="709" w:leader="none"/>
        </w:tabs>
        <w:bidi w:val="0"/>
        <w:ind w:hanging="283" w:start="709"/>
        <w:jc w:val="start"/>
        <w:rPr/>
      </w:pPr>
      <w:r>
        <w:rPr>
          <w:b/>
        </w:rPr>
        <w:t>BUY</w:t>
      </w:r>
      <w:r>
        <w:rPr/>
        <w:t xml:space="preserve"> — a first tranche.</w:t>
      </w:r>
    </w:p>
    <w:p>
      <w:pPr>
        <w:pStyle w:val="BodyText"/>
        <w:numPr>
          <w:ilvl w:val="0"/>
          <w:numId w:val="387"/>
        </w:numPr>
        <w:tabs>
          <w:tab w:val="clear" w:pos="709"/>
          <w:tab w:val="left" w:pos="709" w:leader="none"/>
        </w:tabs>
        <w:bidi w:val="0"/>
        <w:ind w:hanging="283" w:start="709"/>
        <w:jc w:val="start"/>
        <w:rPr/>
      </w:pPr>
      <w:r>
        <w:rPr>
          <w:b/>
        </w:rPr>
        <w:t>Accept:</w:t>
      </w:r>
      <w:r>
        <w:rPr/>
        <w:t xml:space="preserve"> it may still go lower. This is a </w:t>
      </w:r>
      <w:r>
        <w:rPr>
          <w:i/>
        </w:rPr>
        <w:t>potential</w:t>
      </w:r>
      <w:r>
        <w:rPr/>
        <w:t xml:space="preserve"> bottom. </w:t>
      </w:r>
      <w:r>
        <w:rPr>
          <w:b/>
        </w:rPr>
        <w:t>Keep tranches in reserve</w:t>
      </w:r>
      <w:r>
        <w:rPr/>
        <w:t xml:space="preserve"> for the next support level down.</w:t>
      </w:r>
    </w:p>
    <w:p>
      <w:pPr>
        <w:pStyle w:val="BodyText"/>
        <w:bidi w:val="0"/>
        <w:jc w:val="start"/>
        <w:rPr/>
      </w:pPr>
      <w:r>
        <w:rPr>
          <w:i/>
        </w:rPr>
        <w:t xml:space="preserve">(Worked: </w:t>
      </w:r>
      <w:r>
        <w:rPr>
          <w:b/>
          <w:i/>
        </w:rPr>
        <w:t>GOOGL</w:t>
      </w:r>
      <w:r>
        <w:rPr>
          <w:i/>
        </w:rPr>
        <w:t xml:space="preserve"> — 90-degree drop into </w:t>
      </w:r>
      <w:r>
        <w:rPr>
          <w:b/>
          <w:i/>
        </w:rPr>
        <w:t>$83</w:t>
      </w:r>
      <w:r>
        <w:rPr>
          <w:i/>
        </w:rPr>
        <w:t xml:space="preserve"> support taken from the </w:t>
      </w:r>
      <w:r>
        <w:rPr>
          <w:b/>
          <w:i/>
        </w:rPr>
        <w:t>monthly 50 SMA</w:t>
      </w:r>
      <w:r>
        <w:rPr>
          <w:i/>
        </w:rPr>
        <w:t xml:space="preserve">; low </w:t>
      </w:r>
      <w:r>
        <w:rPr>
          <w:b/>
          <w:i/>
        </w:rPr>
        <w:t>$83.34 on 3 November</w:t>
      </w:r>
      <w:r>
        <w:rPr>
          <w:i/>
        </w:rPr>
        <w:t xml:space="preserve">. </w:t>
      </w:r>
      <w:r>
        <w:rPr>
          <w:b/>
          <w:i/>
        </w:rPr>
        <w:t>MELI</w:t>
      </w:r>
      <w:r>
        <w:rPr>
          <w:i/>
        </w:rPr>
        <w:t xml:space="preserve"> — 90-degree drop into </w:t>
      </w:r>
      <w:r>
        <w:rPr>
          <w:b/>
          <w:i/>
        </w:rPr>
        <w:t>$666 on 12 May</w:t>
      </w:r>
      <w:r>
        <w:rPr>
          <w:i/>
        </w:rPr>
        <w:t xml:space="preserve">, a level drawn earlier as a </w:t>
      </w:r>
      <w:r>
        <w:rPr>
          <w:b/>
          <w:i/>
        </w:rPr>
        <w:t>monthly swing-high resistance that had been broken → became support</w:t>
      </w:r>
      <w:r>
        <w:rPr>
          <w:i/>
        </w:rPr>
        <w:t>.)</w:t>
      </w:r>
    </w:p>
    <w:p>
      <w:pPr>
        <w:pStyle w:val="HorizontalLine"/>
        <w:bidi w:val="0"/>
        <w:jc w:val="start"/>
        <w:rPr/>
      </w:pPr>
      <w:r>
        <w:rPr/>
      </w:r>
    </w:p>
    <w:p>
      <w:pPr>
        <w:pStyle w:val="Heading4"/>
        <w:bidi w:val="0"/>
        <w:ind w:hanging="0" w:start="0"/>
        <w:jc w:val="start"/>
        <w:rPr/>
      </w:pPr>
      <w:r>
        <w:rPr/>
        <w:t>F. SETUP 5 — DOWNTREND, OPTION B2: DOUBLE BOTTOM / "BEAR TRAP" (catching a bottom)</w:t>
      </w:r>
    </w:p>
    <w:p>
      <w:pPr>
        <w:pStyle w:val="BodyText"/>
        <w:numPr>
          <w:ilvl w:val="0"/>
          <w:numId w:val="388"/>
        </w:numPr>
        <w:tabs>
          <w:tab w:val="clear" w:pos="709"/>
          <w:tab w:val="left" w:pos="709" w:leader="none"/>
        </w:tabs>
        <w:bidi w:val="0"/>
        <w:ind w:hanging="283" w:start="709"/>
        <w:jc w:val="start"/>
        <w:rPr/>
      </w:pPr>
      <w:r>
        <w:rPr/>
        <w:t xml:space="preserve">Stock is in a confirmed </w:t>
      </w:r>
      <w:r>
        <w:rPr>
          <w:b/>
        </w:rPr>
        <w:t>downtrend</w:t>
      </w:r>
      <w:r>
        <w:rPr/>
        <w:t xml:space="preserve"> falling at ~45 degrees.</w:t>
      </w:r>
    </w:p>
    <w:p>
      <w:pPr>
        <w:pStyle w:val="BodyText"/>
        <w:numPr>
          <w:ilvl w:val="0"/>
          <w:numId w:val="388"/>
        </w:numPr>
        <w:tabs>
          <w:tab w:val="clear" w:pos="709"/>
          <w:tab w:val="left" w:pos="709" w:leader="none"/>
        </w:tabs>
        <w:bidi w:val="0"/>
        <w:ind w:hanging="283" w:start="709"/>
        <w:jc w:val="start"/>
        <w:rPr/>
      </w:pPr>
      <w:r>
        <w:rPr/>
        <w:t xml:space="preserve">Price makes a low = </w:t>
      </w:r>
      <w:r>
        <w:rPr>
          <w:b/>
        </w:rPr>
        <w:t>FIRST SWING LOW</w:t>
      </w:r>
      <w:r>
        <w:rPr/>
        <w:t xml:space="preserve">. </w:t>
      </w:r>
      <w:r>
        <w:rPr>
          <w:b/>
        </w:rPr>
        <w:t>Mark it with a dotted line</w:t>
      </w:r>
      <w:r>
        <w:rPr/>
        <w:t xml:space="preserve"> (e.g. $50).</w:t>
      </w:r>
    </w:p>
    <w:p>
      <w:pPr>
        <w:pStyle w:val="BodyText"/>
        <w:numPr>
          <w:ilvl w:val="0"/>
          <w:numId w:val="388"/>
        </w:numPr>
        <w:tabs>
          <w:tab w:val="clear" w:pos="709"/>
          <w:tab w:val="left" w:pos="709" w:leader="none"/>
        </w:tabs>
        <w:bidi w:val="0"/>
        <w:ind w:hanging="283" w:start="709"/>
        <w:jc w:val="start"/>
        <w:rPr/>
      </w:pPr>
      <w:r>
        <w:rPr/>
        <w:t xml:space="preserve">Price </w:t>
      </w:r>
      <w:r>
        <w:rPr>
          <w:b/>
        </w:rPr>
        <w:t>rallies</w:t>
      </w:r>
      <w:r>
        <w:rPr/>
        <w:t xml:space="preserve"> off that low.</w:t>
      </w:r>
    </w:p>
    <w:p>
      <w:pPr>
        <w:pStyle w:val="BodyText"/>
        <w:numPr>
          <w:ilvl w:val="0"/>
          <w:numId w:val="388"/>
        </w:numPr>
        <w:tabs>
          <w:tab w:val="clear" w:pos="709"/>
          <w:tab w:val="left" w:pos="709" w:leader="none"/>
        </w:tabs>
        <w:bidi w:val="0"/>
        <w:ind w:hanging="283" w:start="709"/>
        <w:jc w:val="start"/>
        <w:rPr/>
      </w:pPr>
      <w:r>
        <w:rPr/>
        <w:t xml:space="preserve">Price makes a </w:t>
      </w:r>
      <w:r>
        <w:rPr>
          <w:b/>
        </w:rPr>
        <w:t>SECOND drop — this one MUST be a 90-degree parabolic drop</w:t>
      </w:r>
      <w:r>
        <w:rPr/>
        <w:t xml:space="preserve"> with oversized red candles. (Both drops may be 90°, but the second must be.)</w:t>
      </w:r>
    </w:p>
    <w:p>
      <w:pPr>
        <w:pStyle w:val="BodyText"/>
        <w:numPr>
          <w:ilvl w:val="0"/>
          <w:numId w:val="388"/>
        </w:numPr>
        <w:tabs>
          <w:tab w:val="clear" w:pos="709"/>
          <w:tab w:val="left" w:pos="709" w:leader="none"/>
        </w:tabs>
        <w:bidi w:val="0"/>
        <w:ind w:hanging="283" w:start="709"/>
        <w:jc w:val="start"/>
        <w:rPr/>
      </w:pPr>
      <w:r>
        <w:rPr>
          <w:b/>
        </w:rPr>
        <w:t>The second low MUST break BELOW the first swing low</w:t>
      </w:r>
      <w:r>
        <w:rPr/>
        <w:t xml:space="preserve"> (e.g. below $50).</w:t>
      </w:r>
    </w:p>
    <w:p>
      <w:pPr>
        <w:pStyle w:val="BodyText"/>
        <w:numPr>
          <w:ilvl w:val="0"/>
          <w:numId w:val="388"/>
        </w:numPr>
        <w:tabs>
          <w:tab w:val="clear" w:pos="709"/>
          <w:tab w:val="left" w:pos="709" w:leader="none"/>
        </w:tabs>
        <w:bidi w:val="0"/>
        <w:ind w:hanging="283" w:start="709"/>
        <w:jc w:val="start"/>
        <w:rPr/>
      </w:pPr>
      <w:r>
        <w:rPr>
          <w:b/>
        </w:rPr>
        <w:t>Within about THREE candles, price must CLOSE BACK ABOVE the first swing low on a BULLISH candle.</w:t>
      </w:r>
    </w:p>
    <w:p>
      <w:pPr>
        <w:pStyle w:val="BodyText"/>
        <w:numPr>
          <w:ilvl w:val="0"/>
          <w:numId w:val="388"/>
        </w:numPr>
        <w:tabs>
          <w:tab w:val="clear" w:pos="709"/>
          <w:tab w:val="left" w:pos="709" w:leader="none"/>
        </w:tabs>
        <w:bidi w:val="0"/>
        <w:ind w:hanging="283" w:start="709"/>
        <w:jc w:val="start"/>
        <w:rPr/>
      </w:pPr>
      <w:r>
        <w:rPr>
          <w:b/>
        </w:rPr>
        <w:t>That bullish close back above the first swing low = the BUY TRIGGER.</w:t>
      </w:r>
      <w:r>
        <w:rPr/>
        <w:t xml:space="preserve"> Enter there.</w:t>
      </w:r>
    </w:p>
    <w:p>
      <w:pPr>
        <w:pStyle w:val="BodyText"/>
        <w:numPr>
          <w:ilvl w:val="0"/>
          <w:numId w:val="388"/>
        </w:numPr>
        <w:tabs>
          <w:tab w:val="clear" w:pos="709"/>
          <w:tab w:val="left" w:pos="709" w:leader="none"/>
        </w:tabs>
        <w:bidi w:val="0"/>
        <w:ind w:hanging="283" w:start="709"/>
        <w:jc w:val="start"/>
        <w:rPr/>
      </w:pPr>
      <w:r>
        <w:rPr>
          <w:b/>
        </w:rPr>
        <w:t>Invalidation:</w:t>
      </w:r>
      <w:r>
        <w:rPr/>
        <w:t xml:space="preserve"> if price breaks below the first swing low and </w:t>
      </w:r>
      <w:r>
        <w:rPr>
          <w:b/>
        </w:rPr>
        <w:t>fails to reclaim it within ~3 candles</w:t>
      </w:r>
      <w:r>
        <w:rPr/>
        <w:t>, the pattern has not formed — no entry.</w:t>
      </w:r>
    </w:p>
    <w:p>
      <w:pPr>
        <w:pStyle w:val="BodyText"/>
        <w:numPr>
          <w:ilvl w:val="0"/>
          <w:numId w:val="388"/>
        </w:numPr>
        <w:tabs>
          <w:tab w:val="clear" w:pos="709"/>
          <w:tab w:val="left" w:pos="709" w:leader="none"/>
        </w:tabs>
        <w:bidi w:val="0"/>
        <w:ind w:hanging="283" w:start="709"/>
        <w:jc w:val="start"/>
        <w:rPr/>
      </w:pPr>
      <w:r>
        <w:rPr>
          <w:b/>
        </w:rPr>
        <w:t>Note:</w:t>
      </w:r>
      <w:r>
        <w:rPr/>
        <w:t xml:space="preserve"> the double bottom </w:t>
      </w:r>
      <w:r>
        <w:rPr>
          <w:b/>
        </w:rPr>
        <w:t>may never form</w:t>
      </w:r>
      <w:r>
        <w:rPr/>
        <w:t xml:space="preserve"> on a given chart. It is optional confirmation for those unwilling to buy the first parabolic drop.</w:t>
      </w:r>
    </w:p>
    <w:p>
      <w:pPr>
        <w:pStyle w:val="BodyText"/>
        <w:bidi w:val="0"/>
        <w:jc w:val="start"/>
        <w:rPr/>
      </w:pPr>
      <w:r>
        <w:rPr>
          <w:i/>
        </w:rPr>
        <w:t xml:space="preserve">(Worked: </w:t>
      </w:r>
      <w:r>
        <w:rPr>
          <w:b/>
          <w:i/>
        </w:rPr>
        <w:t>AAPL</w:t>
      </w:r>
      <w:r>
        <w:rPr>
          <w:i/>
        </w:rPr>
        <w:t xml:space="preserve"> — first swing low, rally, 90-degree drop below it with big red candles, first bullish candle within 1–2–3 candles → buy, vs. $209 if you waited (bottom $164 = 27% late). </w:t>
      </w:r>
      <w:r>
        <w:rPr>
          <w:b/>
          <w:i/>
        </w:rPr>
        <w:t>MELI</w:t>
      </w:r>
      <w:r>
        <w:rPr>
          <w:i/>
        </w:rPr>
        <w:t xml:space="preserve"> — first swing low ~$640, break below, reclaim above $640 within ~3 candles on a bullish candle. </w:t>
      </w:r>
      <w:r>
        <w:rPr>
          <w:b/>
          <w:i/>
        </w:rPr>
        <w:t>MNST</w:t>
      </w:r>
      <w:r>
        <w:rPr>
          <w:i/>
        </w:rPr>
        <w:t xml:space="preserve"> — textbook double dip; waiting for the uptrend cost 37%.)</w:t>
      </w:r>
    </w:p>
    <w:p>
      <w:pPr>
        <w:pStyle w:val="HorizontalLine"/>
        <w:bidi w:val="0"/>
        <w:jc w:val="start"/>
        <w:rPr/>
      </w:pPr>
      <w:r>
        <w:rPr/>
      </w:r>
    </w:p>
    <w:p>
      <w:pPr>
        <w:pStyle w:val="Heading4"/>
        <w:bidi w:val="0"/>
        <w:ind w:hanging="0" w:start="0"/>
        <w:jc w:val="start"/>
        <w:rPr/>
      </w:pPr>
      <w:r>
        <w:rPr/>
        <w:t>G. EXIT RULES</w:t>
      </w:r>
    </w:p>
    <w:p>
      <w:pPr>
        <w:pStyle w:val="BodyText"/>
        <w:numPr>
          <w:ilvl w:val="0"/>
          <w:numId w:val="389"/>
        </w:numPr>
        <w:tabs>
          <w:tab w:val="clear" w:pos="709"/>
          <w:tab w:val="left" w:pos="709" w:leader="none"/>
        </w:tabs>
        <w:bidi w:val="0"/>
        <w:ind w:hanging="283" w:start="709"/>
        <w:jc w:val="start"/>
        <w:rPr/>
      </w:pPr>
      <w:r>
        <w:rPr>
          <w:b/>
        </w:rPr>
        <w:t>Default: do NOT sell a great company because the chart turned down.</w:t>
      </w:r>
      <w:r>
        <w:rPr/>
        <w:t xml:space="preserve"> A daily/weekly downtrend in a fundamentally sound company is not a sell signal. Adam abandoned trend-based exits because of </w:t>
      </w:r>
      <w:r>
        <w:rPr>
          <w:b/>
        </w:rPr>
        <w:t>whipsaw</w:t>
      </w:r>
      <w:r>
        <w:rPr/>
        <w:t xml:space="preserve"> (8–9 out of 10 attempts lose money; you buy back 20–30% higher).</w:t>
      </w:r>
    </w:p>
    <w:p>
      <w:pPr>
        <w:pStyle w:val="BodyText"/>
        <w:numPr>
          <w:ilvl w:val="0"/>
          <w:numId w:val="389"/>
        </w:numPr>
        <w:tabs>
          <w:tab w:val="clear" w:pos="709"/>
          <w:tab w:val="left" w:pos="709" w:leader="none"/>
        </w:tabs>
        <w:bidi w:val="0"/>
        <w:ind w:hanging="283" w:start="709"/>
        <w:jc w:val="start"/>
        <w:rPr/>
      </w:pPr>
      <w:r>
        <w:rPr>
          <w:b/>
        </w:rPr>
        <w:t>A parabolic 90-degree move is NOT by itself a sell signal.</w:t>
      </w:r>
      <w:r>
        <w:rPr/>
        <w:t xml:space="preserve"> If the company is still great, still growing, and not badly overvalued → </w:t>
      </w:r>
      <w:r>
        <w:rPr>
          <w:b/>
        </w:rPr>
        <w:t>hold</w:t>
      </w:r>
      <w:r>
        <w:rPr/>
        <w:t>.</w:t>
      </w:r>
    </w:p>
    <w:p>
      <w:pPr>
        <w:pStyle w:val="BodyText"/>
        <w:numPr>
          <w:ilvl w:val="0"/>
          <w:numId w:val="389"/>
        </w:numPr>
        <w:tabs>
          <w:tab w:val="clear" w:pos="709"/>
          <w:tab w:val="left" w:pos="709" w:leader="none"/>
        </w:tabs>
        <w:bidi w:val="0"/>
        <w:spacing w:before="0" w:after="0"/>
        <w:ind w:hanging="283" w:start="709"/>
        <w:jc w:val="start"/>
        <w:rPr/>
      </w:pPr>
      <w:r>
        <w:rPr>
          <w:b/>
        </w:rPr>
        <w:t>SELL ONLY IF</w:t>
      </w:r>
      <w:r>
        <w:rPr/>
        <w:t xml:space="preserve"> you have an independent reason:</w:t>
      </w:r>
    </w:p>
    <w:p>
      <w:pPr>
        <w:pStyle w:val="BodyText"/>
        <w:numPr>
          <w:ilvl w:val="1"/>
          <w:numId w:val="389"/>
        </w:numPr>
        <w:tabs>
          <w:tab w:val="clear" w:pos="709"/>
          <w:tab w:val="left" w:pos="1418" w:leader="none"/>
        </w:tabs>
        <w:bidi w:val="0"/>
        <w:ind w:hanging="283" w:start="1418"/>
        <w:jc w:val="start"/>
        <w:rPr/>
      </w:pPr>
      <w:r>
        <w:rPr/>
        <w:t xml:space="preserve">You judge it </w:t>
      </w:r>
      <w:r>
        <w:rPr>
          <w:b/>
        </w:rPr>
        <w:t>significantly overvalued</w:t>
      </w:r>
      <w:r>
        <w:rPr/>
        <w:t>, or</w:t>
      </w:r>
    </w:p>
    <w:p>
      <w:pPr>
        <w:pStyle w:val="BodyText"/>
        <w:numPr>
          <w:ilvl w:val="1"/>
          <w:numId w:val="389"/>
        </w:numPr>
        <w:tabs>
          <w:tab w:val="clear" w:pos="709"/>
          <w:tab w:val="left" w:pos="1418" w:leader="none"/>
        </w:tabs>
        <w:bidi w:val="0"/>
        <w:ind w:hanging="283" w:start="1418"/>
        <w:jc w:val="start"/>
        <w:rPr/>
      </w:pPr>
      <w:r>
        <w:rPr/>
        <w:t xml:space="preserve">You </w:t>
      </w:r>
      <w:r>
        <w:rPr>
          <w:b/>
        </w:rPr>
        <w:t>need the cash</w:t>
      </w:r>
      <w:r>
        <w:rPr/>
        <w:t xml:space="preserve"> (personal reasons), or</w:t>
      </w:r>
    </w:p>
    <w:p>
      <w:pPr>
        <w:pStyle w:val="BodyText"/>
        <w:numPr>
          <w:ilvl w:val="1"/>
          <w:numId w:val="389"/>
        </w:numPr>
        <w:tabs>
          <w:tab w:val="clear" w:pos="709"/>
          <w:tab w:val="left" w:pos="1418" w:leader="none"/>
        </w:tabs>
        <w:bidi w:val="0"/>
        <w:ind w:hanging="283" w:start="1418"/>
        <w:jc w:val="start"/>
        <w:rPr/>
      </w:pPr>
      <w:r>
        <w:rPr/>
        <w:t xml:space="preserve">You want the cash to </w:t>
      </w:r>
      <w:r>
        <w:rPr>
          <w:b/>
        </w:rPr>
        <w:t>buy another stock</w:t>
      </w:r>
      <w:r>
        <w:rPr/>
        <w:t>.</w:t>
      </w:r>
    </w:p>
    <w:p>
      <w:pPr>
        <w:pStyle w:val="BodyText"/>
        <w:numPr>
          <w:ilvl w:val="0"/>
          <w:numId w:val="389"/>
        </w:numPr>
        <w:tabs>
          <w:tab w:val="clear" w:pos="709"/>
          <w:tab w:val="left" w:pos="709" w:leader="none"/>
        </w:tabs>
        <w:bidi w:val="0"/>
        <w:spacing w:before="0" w:after="0"/>
        <w:ind w:hanging="283" w:start="709"/>
        <w:jc w:val="start"/>
        <w:rPr/>
      </w:pPr>
      <w:r>
        <w:rPr>
          <w:b/>
        </w:rPr>
        <w:t>IF you have decided to sell, the OPTIMAL EXIT TIMING is into a PARABOLIC 90-DEGREE MOVE UP</w:t>
      </w:r>
      <w:r>
        <w:rPr/>
        <w:t>, identified by:</w:t>
      </w:r>
    </w:p>
    <w:p>
      <w:pPr>
        <w:pStyle w:val="BodyText"/>
        <w:numPr>
          <w:ilvl w:val="1"/>
          <w:numId w:val="389"/>
        </w:numPr>
        <w:tabs>
          <w:tab w:val="clear" w:pos="709"/>
          <w:tab w:val="left" w:pos="1418" w:leader="none"/>
        </w:tabs>
        <w:bidi w:val="0"/>
        <w:ind w:hanging="283" w:start="1418"/>
        <w:jc w:val="start"/>
        <w:rPr/>
      </w:pPr>
      <w:r>
        <w:rPr/>
        <w:t>Near-vertical advance (vs. the normal 45-degree uptrend)</w:t>
      </w:r>
    </w:p>
    <w:p>
      <w:pPr>
        <w:pStyle w:val="BodyText"/>
        <w:numPr>
          <w:ilvl w:val="1"/>
          <w:numId w:val="389"/>
        </w:numPr>
        <w:tabs>
          <w:tab w:val="clear" w:pos="709"/>
          <w:tab w:val="left" w:pos="1418" w:leader="none"/>
        </w:tabs>
        <w:bidi w:val="0"/>
        <w:ind w:hanging="283" w:start="1418"/>
        <w:jc w:val="start"/>
        <w:rPr/>
      </w:pPr>
      <w:r>
        <w:rPr>
          <w:b/>
        </w:rPr>
        <w:t>Extended-range candles</w:t>
      </w:r>
      <w:r>
        <w:rPr/>
        <w:t xml:space="preserve"> — exceptionally big green candles</w:t>
      </w:r>
    </w:p>
    <w:p>
      <w:pPr>
        <w:pStyle w:val="BodyText"/>
        <w:numPr>
          <w:ilvl w:val="1"/>
          <w:numId w:val="389"/>
        </w:numPr>
        <w:tabs>
          <w:tab w:val="clear" w:pos="709"/>
          <w:tab w:val="left" w:pos="1418" w:leader="none"/>
        </w:tabs>
        <w:bidi w:val="0"/>
        <w:ind w:hanging="283" w:start="1418"/>
        <w:jc w:val="start"/>
        <w:rPr/>
      </w:pPr>
      <w:r>
        <w:rPr/>
        <w:t xml:space="preserve">Price stretched </w:t>
      </w:r>
      <w:r>
        <w:rPr>
          <w:b/>
        </w:rPr>
        <w:t>far above the moving averages</w:t>
      </w:r>
      <w:r>
        <w:rPr/>
        <w:t xml:space="preserve"> (rubber band / pendulum → snapback to the MA is due)</w:t>
      </w:r>
    </w:p>
    <w:p>
      <w:pPr>
        <w:pStyle w:val="BodyText"/>
        <w:numPr>
          <w:ilvl w:val="0"/>
          <w:numId w:val="389"/>
        </w:numPr>
        <w:tabs>
          <w:tab w:val="clear" w:pos="709"/>
          <w:tab w:val="left" w:pos="709" w:leader="none"/>
        </w:tabs>
        <w:bidi w:val="0"/>
        <w:ind w:hanging="283" w:start="709"/>
        <w:jc w:val="start"/>
        <w:rPr/>
      </w:pPr>
      <w:r>
        <w:rPr>
          <w:b/>
        </w:rPr>
        <w:t>Accept imperfect timing:</w:t>
      </w:r>
      <w:r>
        <w:rPr/>
        <w:t xml:space="preserve"> you cannot sell exactly at the top; it may run further after you sell. Better to sell near the top than near the bottom.</w:t>
      </w:r>
    </w:p>
    <w:p>
      <w:pPr>
        <w:pStyle w:val="BodyText"/>
        <w:numPr>
          <w:ilvl w:val="0"/>
          <w:numId w:val="389"/>
        </w:numPr>
        <w:tabs>
          <w:tab w:val="clear" w:pos="709"/>
          <w:tab w:val="left" w:pos="709" w:leader="none"/>
        </w:tabs>
        <w:bidi w:val="0"/>
        <w:ind w:hanging="283" w:start="709"/>
        <w:jc w:val="start"/>
        <w:rPr/>
      </w:pPr>
      <w:r>
        <w:rPr>
          <w:b/>
        </w:rPr>
        <w:t>Covered calls:</w:t>
      </w:r>
      <w:r>
        <w:rPr/>
        <w:t xml:space="preserve"> the </w:t>
      </w:r>
      <w:r>
        <w:rPr>
          <w:b/>
        </w:rPr>
        <w:t>best time to sell covered call options is at a parabolic 90-degree move</w:t>
      </w:r>
      <w:r>
        <w:rPr/>
        <w:t xml:space="preserve"> — and Adam writes them on </w:t>
      </w:r>
      <w:r>
        <w:rPr>
          <w:b/>
        </w:rPr>
        <w:t>defensive and moderately cyclical stocks</w:t>
      </w:r>
      <w:r>
        <w:rPr/>
        <w:t xml:space="preserve">, </w:t>
      </w:r>
      <w:r>
        <w:rPr>
          <w:i/>
        </w:rPr>
        <w:t>not</w:t>
      </w:r>
      <w:r>
        <w:rPr/>
        <w:t xml:space="preserve"> on growth stocks.</w:t>
      </w:r>
    </w:p>
    <w:p>
      <w:pPr>
        <w:pStyle w:val="BodyText"/>
        <w:numPr>
          <w:ilvl w:val="0"/>
          <w:numId w:val="389"/>
        </w:numPr>
        <w:tabs>
          <w:tab w:val="clear" w:pos="709"/>
          <w:tab w:val="left" w:pos="709" w:leader="none"/>
        </w:tabs>
        <w:bidi w:val="0"/>
        <w:ind w:hanging="283" w:start="709"/>
        <w:jc w:val="start"/>
        <w:rPr/>
      </w:pPr>
      <w:r>
        <w:rPr>
          <w:b/>
        </w:rPr>
        <w:t>Never sell because of bad news, and never buy because of good news.</w:t>
      </w:r>
      <w:r>
        <w:rPr/>
        <w:t xml:space="preserve"> That is exactly the retail buy-high/sell-low loop.</w:t>
      </w:r>
    </w:p>
    <w:p>
      <w:pPr>
        <w:pStyle w:val="HorizontalLine"/>
        <w:bidi w:val="0"/>
        <w:jc w:val="start"/>
        <w:rPr/>
      </w:pPr>
      <w:r>
        <w:rPr/>
      </w:r>
    </w:p>
    <w:p>
      <w:pPr>
        <w:pStyle w:val="Heading4"/>
        <w:bidi w:val="0"/>
        <w:ind w:hanging="0" w:start="0"/>
        <w:jc w:val="start"/>
        <w:rPr/>
      </w:pPr>
      <w:r>
        <w:rPr/>
        <w:t>H. QUICK REFERENCE — INDICATOR SETTINGS</w:t>
      </w:r>
    </w:p>
    <w:tbl>
      <w:tblPr>
        <w:tblW w:w="5000" w:type="pct"/>
        <w:jc w:val="start"/>
        <w:tblInd w:w="-5" w:type="dxa"/>
        <w:tblLayout w:type="fixed"/>
        <w:tblCellMar>
          <w:top w:w="55" w:type="dxa"/>
          <w:start w:w="55" w:type="dxa"/>
          <w:bottom w:w="55" w:type="dxa"/>
          <w:end w:w="55" w:type="dxa"/>
        </w:tblCellMar>
      </w:tblPr>
      <w:tblGrid>
        <w:gridCol w:w="4819"/>
        <w:gridCol w:w="4819"/>
      </w:tblGrid>
      <w:tr>
        <w:trPr>
          <w:tblHeader w:val="true"/>
        </w:trPr>
        <w:tc>
          <w:tcPr>
            <w:tcW w:w="4819" w:type="dxa"/>
            <w:tcBorders>
              <w:top w:val="single" w:sz="4" w:space="0" w:color="000000"/>
              <w:start w:val="single" w:sz="4" w:space="0" w:color="000000"/>
              <w:bottom w:val="single" w:sz="4" w:space="0" w:color="000000"/>
            </w:tcBorders>
          </w:tcPr>
          <w:p>
            <w:pPr>
              <w:pStyle w:val="TableHeading"/>
              <w:bidi w:val="0"/>
              <w:jc w:val="start"/>
              <w:rPr/>
            </w:pPr>
            <w:r>
              <w:rPr/>
              <w:t>Item</w:t>
            </w:r>
          </w:p>
        </w:tc>
        <w:tc>
          <w:tcPr>
            <w:tcW w:w="4819"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Exact setting</w:t>
            </w:r>
          </w:p>
        </w:tc>
      </w:tr>
      <w:tr>
        <w:trPr/>
        <w:tc>
          <w:tcPr>
            <w:tcW w:w="4819" w:type="dxa"/>
            <w:tcBorders>
              <w:start w:val="single" w:sz="4" w:space="0" w:color="000000"/>
              <w:bottom w:val="single" w:sz="4" w:space="0" w:color="000000"/>
            </w:tcBorders>
          </w:tcPr>
          <w:p>
            <w:pPr>
              <w:pStyle w:val="TableContents"/>
              <w:bidi w:val="0"/>
              <w:jc w:val="start"/>
              <w:rPr/>
            </w:pPr>
            <w:r>
              <w:rPr/>
              <w:t>Platform</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b/>
              </w:rPr>
              <w:t>TradingView</w:t>
            </w:r>
            <w:r>
              <w:rPr/>
              <w:t xml:space="preserve"> (tradingview.com → Products → </w:t>
            </w:r>
            <w:r>
              <w:rPr>
                <w:b/>
              </w:rPr>
              <w:t>Supercharts</w:t>
            </w:r>
            <w:r>
              <w:rPr/>
              <w:t>); web or desktop app; any charting software acceptable</w:t>
            </w:r>
          </w:p>
        </w:tc>
      </w:tr>
      <w:tr>
        <w:trPr/>
        <w:tc>
          <w:tcPr>
            <w:tcW w:w="4819" w:type="dxa"/>
            <w:tcBorders>
              <w:start w:val="single" w:sz="4" w:space="0" w:color="000000"/>
              <w:bottom w:val="single" w:sz="4" w:space="0" w:color="000000"/>
            </w:tcBorders>
          </w:tcPr>
          <w:p>
            <w:pPr>
              <w:pStyle w:val="TableContents"/>
              <w:bidi w:val="0"/>
              <w:jc w:val="start"/>
              <w:rPr/>
            </w:pPr>
            <w:r>
              <w:rPr/>
              <w:t>Timeframe 1</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b/>
              </w:rPr>
              <w:t>"All"</w:t>
            </w:r>
            <w:r>
              <w:rPr/>
              <w:t xml:space="preserve"> button → monthly candles → drag back to </w:t>
            </w:r>
            <w:r>
              <w:rPr>
                <w:b/>
              </w:rPr>
              <w:t>~10 years</w:t>
            </w:r>
            <w:r>
              <w:rPr/>
              <w:t xml:space="preserve">; enable </w:t>
            </w:r>
            <w:r>
              <w:rPr>
                <w:b/>
              </w:rPr>
              <w:t>log scale</w:t>
            </w:r>
          </w:p>
        </w:tc>
      </w:tr>
      <w:tr>
        <w:trPr/>
        <w:tc>
          <w:tcPr>
            <w:tcW w:w="4819" w:type="dxa"/>
            <w:tcBorders>
              <w:start w:val="single" w:sz="4" w:space="0" w:color="000000"/>
              <w:bottom w:val="single" w:sz="4" w:space="0" w:color="000000"/>
            </w:tcBorders>
          </w:tcPr>
          <w:p>
            <w:pPr>
              <w:pStyle w:val="TableContents"/>
              <w:bidi w:val="0"/>
              <w:jc w:val="start"/>
              <w:rPr/>
            </w:pPr>
            <w:r>
              <w:rPr/>
              <w:t>Timeframe 2</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b/>
              </w:rPr>
              <w:t>"5Y"</w:t>
            </w:r>
            <w:r>
              <w:rPr/>
              <w:t xml:space="preserve"> → weekly candles</w:t>
            </w:r>
          </w:p>
        </w:tc>
      </w:tr>
      <w:tr>
        <w:trPr/>
        <w:tc>
          <w:tcPr>
            <w:tcW w:w="4819" w:type="dxa"/>
            <w:tcBorders>
              <w:start w:val="single" w:sz="4" w:space="0" w:color="000000"/>
              <w:bottom w:val="single" w:sz="4" w:space="0" w:color="000000"/>
            </w:tcBorders>
          </w:tcPr>
          <w:p>
            <w:pPr>
              <w:pStyle w:val="TableContents"/>
              <w:bidi w:val="0"/>
              <w:jc w:val="start"/>
              <w:rPr/>
            </w:pPr>
            <w:r>
              <w:rPr/>
              <w:t>Timeframe 3</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b/>
              </w:rPr>
              <w:t>"1Y"</w:t>
            </w:r>
            <w:r>
              <w:rPr/>
              <w:t xml:space="preserve"> (sometimes 6 months) → daily candles</w:t>
            </w:r>
          </w:p>
        </w:tc>
      </w:tr>
      <w:tr>
        <w:trPr/>
        <w:tc>
          <w:tcPr>
            <w:tcW w:w="4819" w:type="dxa"/>
            <w:tcBorders>
              <w:start w:val="single" w:sz="4" w:space="0" w:color="000000"/>
              <w:bottom w:val="single" w:sz="4" w:space="0" w:color="000000"/>
            </w:tcBorders>
          </w:tcPr>
          <w:p>
            <w:pPr>
              <w:pStyle w:val="TableContents"/>
              <w:bidi w:val="0"/>
              <w:jc w:val="start"/>
              <w:rPr/>
            </w:pPr>
            <w:r>
              <w:rPr/>
              <w:t>Background</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 xml:space="preserve">Solid </w:t>
            </w:r>
            <w:r>
              <w:rPr>
                <w:b/>
              </w:rPr>
              <w:t>white</w:t>
            </w:r>
            <w:r>
              <w:rPr/>
              <w:t>; text black; lines black</w:t>
            </w:r>
          </w:p>
        </w:tc>
      </w:tr>
      <w:tr>
        <w:trPr/>
        <w:tc>
          <w:tcPr>
            <w:tcW w:w="4819" w:type="dxa"/>
            <w:tcBorders>
              <w:start w:val="single" w:sz="4" w:space="0" w:color="000000"/>
              <w:bottom w:val="single" w:sz="4" w:space="0" w:color="000000"/>
            </w:tcBorders>
          </w:tcPr>
          <w:p>
            <w:pPr>
              <w:pStyle w:val="TableContents"/>
              <w:bidi w:val="0"/>
              <w:jc w:val="start"/>
              <w:rPr/>
            </w:pPr>
            <w:r>
              <w:rPr/>
              <w:t>Candles</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 xml:space="preserve">Body / borders / wicks: </w:t>
            </w:r>
            <w:r>
              <w:rPr>
                <w:b/>
              </w:rPr>
              <w:t>green (bullish), red (bearish)</w:t>
            </w:r>
          </w:p>
        </w:tc>
      </w:tr>
      <w:tr>
        <w:trPr/>
        <w:tc>
          <w:tcPr>
            <w:tcW w:w="4819" w:type="dxa"/>
            <w:tcBorders>
              <w:start w:val="single" w:sz="4" w:space="0" w:color="000000"/>
              <w:bottom w:val="single" w:sz="4" w:space="0" w:color="000000"/>
            </w:tcBorders>
          </w:tcPr>
          <w:p>
            <w:pPr>
              <w:pStyle w:val="TableContents"/>
              <w:bidi w:val="0"/>
              <w:jc w:val="start"/>
              <w:rPr/>
            </w:pPr>
            <w:r>
              <w:rPr/>
              <w:t>Events shown</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b/>
              </w:rPr>
              <w:t>Dividends, splits, earnings, latest news</w:t>
            </w:r>
          </w:p>
        </w:tc>
      </w:tr>
      <w:tr>
        <w:trPr/>
        <w:tc>
          <w:tcPr>
            <w:tcW w:w="4819" w:type="dxa"/>
            <w:tcBorders>
              <w:start w:val="single" w:sz="4" w:space="0" w:color="000000"/>
              <w:bottom w:val="single" w:sz="4" w:space="0" w:color="000000"/>
            </w:tcBorders>
          </w:tcPr>
          <w:p>
            <w:pPr>
              <w:pStyle w:val="TableContents"/>
              <w:bidi w:val="0"/>
              <w:jc w:val="start"/>
              <w:rPr/>
            </w:pPr>
            <w:r>
              <w:rPr/>
              <w:t>Dividend adjust</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b/>
              </w:rPr>
              <w:t>OFF</w:t>
            </w:r>
            <w:r>
              <w:rPr/>
              <w:t xml:space="preserve"> for single-stock analysis; </w:t>
            </w:r>
            <w:r>
              <w:rPr>
                <w:b/>
              </w:rPr>
              <w:t>ON</w:t>
            </w:r>
            <w:r>
              <w:rPr/>
              <w:t xml:space="preserve"> when comparing stocks</w:t>
            </w:r>
          </w:p>
        </w:tc>
      </w:tr>
      <w:tr>
        <w:trPr/>
        <w:tc>
          <w:tcPr>
            <w:tcW w:w="4819" w:type="dxa"/>
            <w:tcBorders>
              <w:start w:val="single" w:sz="4" w:space="0" w:color="000000"/>
              <w:bottom w:val="single" w:sz="4" w:space="0" w:color="000000"/>
            </w:tcBorders>
          </w:tcPr>
          <w:p>
            <w:pPr>
              <w:pStyle w:val="TableContents"/>
              <w:bidi w:val="0"/>
              <w:jc w:val="start"/>
              <w:rPr/>
            </w:pPr>
            <w:r>
              <w:rPr/>
              <w:t>SMA 50</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b/>
              </w:rPr>
              <w:t>Blue</w:t>
            </w:r>
            <w:r>
              <w:rPr/>
              <w:t>, thick</w:t>
            </w:r>
          </w:p>
        </w:tc>
      </w:tr>
      <w:tr>
        <w:trPr/>
        <w:tc>
          <w:tcPr>
            <w:tcW w:w="4819" w:type="dxa"/>
            <w:tcBorders>
              <w:start w:val="single" w:sz="4" w:space="0" w:color="000000"/>
              <w:bottom w:val="single" w:sz="4" w:space="0" w:color="000000"/>
            </w:tcBorders>
          </w:tcPr>
          <w:p>
            <w:pPr>
              <w:pStyle w:val="TableContents"/>
              <w:bidi w:val="0"/>
              <w:jc w:val="start"/>
              <w:rPr/>
            </w:pPr>
            <w:r>
              <w:rPr/>
              <w:t>SMA 100</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b/>
              </w:rPr>
              <w:t>Orange</w:t>
            </w:r>
            <w:r>
              <w:rPr/>
              <w:t>, thick</w:t>
            </w:r>
          </w:p>
        </w:tc>
      </w:tr>
      <w:tr>
        <w:trPr/>
        <w:tc>
          <w:tcPr>
            <w:tcW w:w="4819" w:type="dxa"/>
            <w:tcBorders>
              <w:start w:val="single" w:sz="4" w:space="0" w:color="000000"/>
              <w:bottom w:val="single" w:sz="4" w:space="0" w:color="000000"/>
            </w:tcBorders>
          </w:tcPr>
          <w:p>
            <w:pPr>
              <w:pStyle w:val="TableContents"/>
              <w:bidi w:val="0"/>
              <w:jc w:val="start"/>
              <w:rPr/>
            </w:pPr>
            <w:r>
              <w:rPr/>
              <w:t>SMA 150</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b/>
              </w:rPr>
              <w:t>Green</w:t>
            </w:r>
            <w:r>
              <w:rPr/>
              <w:t>, thick</w:t>
            </w:r>
          </w:p>
        </w:tc>
      </w:tr>
      <w:tr>
        <w:trPr/>
        <w:tc>
          <w:tcPr>
            <w:tcW w:w="4819" w:type="dxa"/>
            <w:tcBorders>
              <w:start w:val="single" w:sz="4" w:space="0" w:color="000000"/>
              <w:bottom w:val="single" w:sz="4" w:space="0" w:color="000000"/>
            </w:tcBorders>
          </w:tcPr>
          <w:p>
            <w:pPr>
              <w:pStyle w:val="TableContents"/>
              <w:bidi w:val="0"/>
              <w:jc w:val="start"/>
              <w:rPr/>
            </w:pPr>
            <w:r>
              <w:rPr/>
              <w:t>SMA 200</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b/>
              </w:rPr>
              <w:t>Red</w:t>
            </w:r>
            <w:r>
              <w:rPr/>
              <w:t>, thick</w:t>
            </w:r>
          </w:p>
        </w:tc>
      </w:tr>
      <w:tr>
        <w:trPr/>
        <w:tc>
          <w:tcPr>
            <w:tcW w:w="4819" w:type="dxa"/>
            <w:tcBorders>
              <w:start w:val="single" w:sz="4" w:space="0" w:color="000000"/>
              <w:bottom w:val="single" w:sz="4" w:space="0" w:color="000000"/>
            </w:tcBorders>
          </w:tcPr>
          <w:p>
            <w:pPr>
              <w:pStyle w:val="TableContents"/>
              <w:bidi w:val="0"/>
              <w:jc w:val="start"/>
              <w:rPr/>
            </w:pPr>
            <w:r>
              <w:rPr/>
              <w:t>EMA 20</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b/>
              </w:rPr>
              <w:t>Red</w:t>
            </w:r>
            <w:r>
              <w:rPr/>
              <w:t xml:space="preserve">, </w:t>
            </w:r>
            <w:r>
              <w:rPr>
                <w:b/>
              </w:rPr>
              <w:t>thin</w:t>
            </w:r>
          </w:p>
        </w:tc>
      </w:tr>
      <w:tr>
        <w:trPr/>
        <w:tc>
          <w:tcPr>
            <w:tcW w:w="4819" w:type="dxa"/>
            <w:tcBorders>
              <w:start w:val="single" w:sz="4" w:space="0" w:color="000000"/>
              <w:bottom w:val="single" w:sz="4" w:space="0" w:color="000000"/>
            </w:tcBorders>
          </w:tcPr>
          <w:p>
            <w:pPr>
              <w:pStyle w:val="TableContents"/>
              <w:bidi w:val="0"/>
              <w:jc w:val="start"/>
              <w:rPr/>
            </w:pPr>
            <w:r>
              <w:rPr/>
              <w:t>EMA 40</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b/>
              </w:rPr>
              <w:t>Blue</w:t>
            </w:r>
            <w:r>
              <w:rPr/>
              <w:t xml:space="preserve">, </w:t>
            </w:r>
            <w:r>
              <w:rPr>
                <w:b/>
              </w:rPr>
              <w:t>thin</w:t>
            </w:r>
          </w:p>
        </w:tc>
      </w:tr>
      <w:tr>
        <w:trPr/>
        <w:tc>
          <w:tcPr>
            <w:tcW w:w="4819" w:type="dxa"/>
            <w:tcBorders>
              <w:start w:val="single" w:sz="4" w:space="0" w:color="000000"/>
              <w:bottom w:val="single" w:sz="4" w:space="0" w:color="000000"/>
            </w:tcBorders>
          </w:tcPr>
          <w:p>
            <w:pPr>
              <w:pStyle w:val="TableContents"/>
              <w:bidi w:val="0"/>
              <w:jc w:val="start"/>
              <w:rPr/>
            </w:pPr>
            <w:r>
              <w:rPr/>
              <w:t>Default trap</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 xml:space="preserve">TradingView defaults every MA to </w:t>
            </w:r>
            <w:r>
              <w:rPr>
                <w:b/>
              </w:rPr>
              <w:t>9 period</w:t>
            </w:r>
            <w:r>
              <w:rPr/>
              <w:t xml:space="preserve"> — always change it in </w:t>
            </w:r>
            <w:r>
              <w:rPr>
                <w:b/>
              </w:rPr>
              <w:t>gear icon → Inputs</w:t>
            </w:r>
          </w:p>
        </w:tc>
      </w:tr>
      <w:tr>
        <w:trPr/>
        <w:tc>
          <w:tcPr>
            <w:tcW w:w="4819" w:type="dxa"/>
            <w:tcBorders>
              <w:start w:val="single" w:sz="4" w:space="0" w:color="000000"/>
              <w:bottom w:val="single" w:sz="4" w:space="0" w:color="000000"/>
            </w:tcBorders>
          </w:tcPr>
          <w:p>
            <w:pPr>
              <w:pStyle w:val="TableContents"/>
              <w:bidi w:val="0"/>
              <w:jc w:val="start"/>
              <w:rPr/>
            </w:pPr>
            <w:r>
              <w:rPr/>
              <w:t>MAs on daily</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b/>
              </w:rPr>
              <w:t>50/100/150/200 SMA only</w:t>
            </w:r>
            <w:r>
              <w:rPr/>
              <w:t xml:space="preserve"> — ignore 20/40 EMA</w:t>
            </w:r>
          </w:p>
        </w:tc>
      </w:tr>
      <w:tr>
        <w:trPr/>
        <w:tc>
          <w:tcPr>
            <w:tcW w:w="4819" w:type="dxa"/>
            <w:tcBorders>
              <w:start w:val="single" w:sz="4" w:space="0" w:color="000000"/>
              <w:bottom w:val="single" w:sz="4" w:space="0" w:color="000000"/>
            </w:tcBorders>
          </w:tcPr>
          <w:p>
            <w:pPr>
              <w:pStyle w:val="TableContents"/>
              <w:bidi w:val="0"/>
              <w:jc w:val="start"/>
              <w:rPr/>
            </w:pPr>
            <w:r>
              <w:rPr/>
              <w:t>MAs on weekly/monthly</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b/>
              </w:rPr>
              <w:t>20 and 40 EMA also act as support</w:t>
            </w:r>
          </w:p>
        </w:tc>
      </w:tr>
      <w:tr>
        <w:trPr/>
        <w:tc>
          <w:tcPr>
            <w:tcW w:w="4819" w:type="dxa"/>
            <w:tcBorders>
              <w:start w:val="single" w:sz="4" w:space="0" w:color="000000"/>
              <w:bottom w:val="single" w:sz="4" w:space="0" w:color="000000"/>
            </w:tcBorders>
          </w:tcPr>
          <w:p>
            <w:pPr>
              <w:pStyle w:val="TableContents"/>
              <w:bidi w:val="0"/>
              <w:jc w:val="start"/>
              <w:rPr/>
            </w:pPr>
            <w:r>
              <w:rPr/>
              <w:t>Template</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 xml:space="preserve">Save via </w:t>
            </w:r>
            <w:r>
              <w:rPr>
                <w:b/>
              </w:rPr>
              <w:t>Indicator Templates (four boxes) → Save</w:t>
            </w:r>
            <w:r>
              <w:rPr/>
              <w:t xml:space="preserve"> as </w:t>
            </w:r>
            <w:r>
              <w:rPr>
                <w:b/>
              </w:rPr>
              <w:t>"all moving averages"</w:t>
            </w:r>
          </w:p>
        </w:tc>
      </w:tr>
      <w:tr>
        <w:trPr/>
        <w:tc>
          <w:tcPr>
            <w:tcW w:w="4819" w:type="dxa"/>
            <w:tcBorders>
              <w:start w:val="single" w:sz="4" w:space="0" w:color="000000"/>
              <w:bottom w:val="single" w:sz="4" w:space="0" w:color="000000"/>
            </w:tcBorders>
          </w:tcPr>
          <w:p>
            <w:pPr>
              <w:pStyle w:val="TableContents"/>
              <w:bidi w:val="0"/>
              <w:jc w:val="start"/>
              <w:rPr/>
            </w:pPr>
            <w:r>
              <w:rPr/>
              <w:t>Free-plan workaround</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b/>
              </w:rPr>
              <w:t>PP Multi MA</w:t>
            </w:r>
            <w:r>
              <w:rPr/>
              <w:t xml:space="preserve"> (Piranha Profits, Lesson 6 course notes &amp; resources) → </w:t>
            </w:r>
            <w:r>
              <w:rPr>
                <w:b/>
              </w:rPr>
              <w:t>Add to favorites</w:t>
            </w:r>
            <w:r>
              <w:rPr/>
              <w:t xml:space="preserve"> → Indicators → Favorites. Drawback: cannot hide individual MAs</w:t>
            </w:r>
          </w:p>
        </w:tc>
      </w:tr>
      <w:tr>
        <w:trPr/>
        <w:tc>
          <w:tcPr>
            <w:tcW w:w="4819" w:type="dxa"/>
            <w:tcBorders>
              <w:start w:val="single" w:sz="4" w:space="0" w:color="000000"/>
              <w:bottom w:val="single" w:sz="4" w:space="0" w:color="000000"/>
            </w:tcBorders>
          </w:tcPr>
          <w:p>
            <w:pPr>
              <w:pStyle w:val="TableContents"/>
              <w:bidi w:val="0"/>
              <w:jc w:val="start"/>
              <w:rPr/>
            </w:pPr>
            <w:r>
              <w:rPr/>
              <w:t>Support/resistance tool</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b/>
              </w:rPr>
              <w:t>Horizontal Line</w:t>
            </w:r>
            <w:r>
              <w:rPr/>
              <w:t xml:space="preserve"> (drawing tools, left panel)</w:t>
            </w:r>
          </w:p>
        </w:tc>
      </w:tr>
      <w:tr>
        <w:trPr/>
        <w:tc>
          <w:tcPr>
            <w:tcW w:w="4819" w:type="dxa"/>
            <w:tcBorders>
              <w:start w:val="single" w:sz="4" w:space="0" w:color="000000"/>
              <w:bottom w:val="single" w:sz="4" w:space="0" w:color="000000"/>
            </w:tcBorders>
          </w:tcPr>
          <w:p>
            <w:pPr>
              <w:pStyle w:val="TableContents"/>
              <w:bidi w:val="0"/>
              <w:jc w:val="start"/>
              <w:rPr/>
            </w:pPr>
            <w:r>
              <w:rPr/>
              <w:t>Intrinsic value tool</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b/>
              </w:rPr>
              <w:t>Horizontal Ray</w:t>
            </w:r>
            <w:r>
              <w:rPr/>
              <w:t xml:space="preserve">, styled </w:t>
            </w:r>
            <w:r>
              <w:rPr>
                <w:b/>
              </w:rPr>
              <w:t>green</w:t>
            </w:r>
            <w:r>
              <w:rPr/>
              <w:t xml:space="preserve">, </w:t>
            </w:r>
            <w:r>
              <w:rPr>
                <w:b/>
              </w:rPr>
              <w:t>dotted</w:t>
            </w:r>
            <w:r>
              <w:rPr/>
              <w:t>, labelled "intrinsic value"</w:t>
            </w:r>
          </w:p>
        </w:tc>
      </w:tr>
      <w:tr>
        <w:trPr/>
        <w:tc>
          <w:tcPr>
            <w:tcW w:w="4819" w:type="dxa"/>
            <w:tcBorders>
              <w:start w:val="single" w:sz="4" w:space="0" w:color="000000"/>
              <w:bottom w:val="single" w:sz="4" w:space="0" w:color="000000"/>
            </w:tcBorders>
          </w:tcPr>
          <w:p>
            <w:pPr>
              <w:pStyle w:val="TableContents"/>
              <w:bidi w:val="0"/>
              <w:jc w:val="start"/>
              <w:rPr/>
            </w:pPr>
            <w:r>
              <w:rPr/>
              <w:t>Levels per stock</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b/>
              </w:rPr>
              <w:t>4–5 support levels</w:t>
            </w:r>
          </w:p>
        </w:tc>
      </w:tr>
    </w:tbl>
    <w:p>
      <w:pPr>
        <w:pStyle w:val="BodyText"/>
        <w:bidi w:val="0"/>
        <w:jc w:val="start"/>
        <w:rPr/>
      </w:pPr>
      <w:r>
        <w:rPr/>
      </w:r>
    </w:p>
    <w:p>
      <w:pPr>
        <w:pStyle w:val="HorizontalLine"/>
        <w:bidi w:val="0"/>
        <w:jc w:val="start"/>
        <w:rPr/>
      </w:pPr>
      <w:r>
        <w:rPr/>
      </w:r>
    </w:p>
    <w:p>
      <w:pPr>
        <w:pStyle w:val="Heading1"/>
        <w:bidi w:val="0"/>
        <w:ind w:hanging="0" w:start="0"/>
        <w:jc w:val="start"/>
        <w:rPr/>
      </w:pPr>
      <w:r>
        <w:rPr/>
        <w:t>Part VI — The 7-Step VMI Formula (Core Methodology)</w:t>
      </w:r>
    </w:p>
    <w:p>
      <w:pPr>
        <w:pStyle w:val="Heading2"/>
        <w:bidi w:val="0"/>
        <w:ind w:hanging="0" w:start="0"/>
        <w:jc w:val="start"/>
        <w:rPr/>
      </w:pPr>
      <w:r>
        <w:rPr/>
        <w:t>Section 6 — The VMI 7-Step Formula (Lesson 7)</w:t>
      </w:r>
    </w:p>
    <w:p>
      <w:pPr>
        <w:pStyle w:val="BodyText"/>
        <w:bidi w:val="0"/>
        <w:jc w:val="start"/>
        <w:rPr/>
      </w:pPr>
      <w:r>
        <w:rPr>
          <w:b/>
        </w:rPr>
        <w:t>Source lessons:</w:t>
      </w:r>
      <w:r>
        <w:rPr/>
        <w:t xml:space="preserve"> 50 – VMI Formula Part 1 (30:01) · 51 – VMI Formula Part 2 (30:34) · 52 – VMI Formula Part 3 (21:00) · 53 – VMI Formula Part 4 (28:16)</w:t>
      </w:r>
    </w:p>
    <w:p>
      <w:pPr>
        <w:pStyle w:val="BlockQuotation"/>
        <w:bidi w:val="0"/>
        <w:jc w:val="start"/>
        <w:rPr/>
      </w:pPr>
      <w:r>
        <w:rPr/>
        <w:t>This is the core lesson of the course. Everything taught previously — fundamental analysis, financial ratios, technical analysis, stock valuation — is assembled here into a single, ordered checklist.</w:t>
      </w:r>
    </w:p>
    <w:p>
      <w:pPr>
        <w:pStyle w:val="HorizontalLine"/>
        <w:bidi w:val="0"/>
        <w:jc w:val="start"/>
        <w:rPr/>
      </w:pPr>
      <w:r>
        <w:rPr/>
      </w:r>
    </w:p>
    <w:p>
      <w:pPr>
        <w:pStyle w:val="Heading3"/>
        <w:bidi w:val="0"/>
        <w:ind w:hanging="0" w:start="0"/>
        <w:jc w:val="start"/>
        <w:rPr/>
      </w:pPr>
      <w:r>
        <w:rPr/>
        <w:t>0. The Master Framework</w:t>
      </w:r>
    </w:p>
    <w:p>
      <w:pPr>
        <w:pStyle w:val="Heading4"/>
        <w:bidi w:val="0"/>
        <w:ind w:hanging="0" w:start="0"/>
        <w:jc w:val="start"/>
        <w:rPr/>
      </w:pPr>
      <w:r>
        <w:rPr/>
        <w:t>The rule</w:t>
      </w:r>
    </w:p>
    <w:p>
      <w:pPr>
        <w:pStyle w:val="BlockQuotation"/>
        <w:bidi w:val="0"/>
        <w:jc w:val="start"/>
        <w:rPr/>
      </w:pPr>
      <w:r>
        <w:rPr/>
        <w:t>"Before you make any investment into a stock, you have to put it through the seven steps. If it passes the seven steps, you invest. If it doesn't pass the seven steps, you don't invest. It's as simple as that."</w:t>
      </w:r>
    </w:p>
    <w:p>
      <w:pPr>
        <w:pStyle w:val="BodyText"/>
        <w:bidi w:val="0"/>
        <w:jc w:val="start"/>
        <w:rPr/>
      </w:pPr>
      <w:r>
        <w:rPr/>
        <w:t xml:space="preserve">The 7 steps are grouped under </w:t>
      </w:r>
      <w:r>
        <w:rPr>
          <w:b/>
        </w:rPr>
        <w:t>three questions</w:t>
      </w:r>
      <w:r>
        <w:rPr/>
        <w:t>:</w:t>
      </w:r>
    </w:p>
    <w:tbl>
      <w:tblPr>
        <w:tblW w:w="5000" w:type="pct"/>
        <w:jc w:val="start"/>
        <w:tblInd w:w="-5" w:type="dxa"/>
        <w:tblLayout w:type="fixed"/>
        <w:tblCellMar>
          <w:top w:w="55" w:type="dxa"/>
          <w:start w:w="55" w:type="dxa"/>
          <w:bottom w:w="55" w:type="dxa"/>
          <w:end w:w="55" w:type="dxa"/>
        </w:tblCellMar>
      </w:tblPr>
      <w:tblGrid>
        <w:gridCol w:w="3212"/>
        <w:gridCol w:w="3213"/>
        <w:gridCol w:w="3213"/>
      </w:tblGrid>
      <w:tr>
        <w:trPr>
          <w:tblHeader w:val="true"/>
        </w:trPr>
        <w:tc>
          <w:tcPr>
            <w:tcW w:w="3212" w:type="dxa"/>
            <w:tcBorders>
              <w:top w:val="single" w:sz="4" w:space="0" w:color="000000"/>
              <w:start w:val="single" w:sz="4" w:space="0" w:color="000000"/>
              <w:bottom w:val="single" w:sz="4" w:space="0" w:color="000000"/>
            </w:tcBorders>
          </w:tcPr>
          <w:p>
            <w:pPr>
              <w:pStyle w:val="TableHeading"/>
              <w:bidi w:val="0"/>
              <w:jc w:val="start"/>
              <w:rPr/>
            </w:pPr>
            <w:r>
              <w:rPr/>
              <w:t>Question</w:t>
            </w:r>
          </w:p>
        </w:tc>
        <w:tc>
          <w:tcPr>
            <w:tcW w:w="3213" w:type="dxa"/>
            <w:tcBorders>
              <w:top w:val="single" w:sz="4" w:space="0" w:color="000000"/>
              <w:start w:val="single" w:sz="4" w:space="0" w:color="000000"/>
              <w:bottom w:val="single" w:sz="4" w:space="0" w:color="000000"/>
            </w:tcBorders>
          </w:tcPr>
          <w:p>
            <w:pPr>
              <w:pStyle w:val="TableHeading"/>
              <w:bidi w:val="0"/>
              <w:jc w:val="start"/>
              <w:rPr/>
            </w:pPr>
            <w:r>
              <w:rPr/>
              <w:t>Steps</w:t>
            </w:r>
          </w:p>
        </w:tc>
        <w:tc>
          <w:tcPr>
            <w:tcW w:w="3213"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What it establishes</w:t>
            </w:r>
          </w:p>
        </w:tc>
      </w:tr>
      <w:tr>
        <w:trPr/>
        <w:tc>
          <w:tcPr>
            <w:tcW w:w="3212" w:type="dxa"/>
            <w:tcBorders>
              <w:start w:val="single" w:sz="4" w:space="0" w:color="000000"/>
              <w:bottom w:val="single" w:sz="4" w:space="0" w:color="000000"/>
            </w:tcBorders>
          </w:tcPr>
          <w:p>
            <w:pPr>
              <w:pStyle w:val="TableContents"/>
              <w:bidi w:val="0"/>
              <w:jc w:val="start"/>
              <w:rPr/>
            </w:pPr>
            <w:r>
              <w:rPr>
                <w:b/>
              </w:rPr>
              <w:t>Q1. Is this a GREAT BUSINESS?</w:t>
            </w:r>
          </w:p>
        </w:tc>
        <w:tc>
          <w:tcPr>
            <w:tcW w:w="3213" w:type="dxa"/>
            <w:tcBorders>
              <w:start w:val="single" w:sz="4" w:space="0" w:color="000000"/>
              <w:bottom w:val="single" w:sz="4" w:space="0" w:color="000000"/>
            </w:tcBorders>
          </w:tcPr>
          <w:p>
            <w:pPr>
              <w:pStyle w:val="TableContents"/>
              <w:bidi w:val="0"/>
              <w:jc w:val="start"/>
              <w:rPr/>
            </w:pPr>
            <w:r>
              <w:rPr/>
              <w:t>Steps 1–5</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 xml:space="preserve">Quality filter. Pass → goes on the </w:t>
            </w:r>
            <w:r>
              <w:rPr>
                <w:b/>
              </w:rPr>
              <w:t>watch list</w:t>
            </w:r>
            <w:r>
              <w:rPr/>
              <w:t xml:space="preserve"> (NOT a buy yet).</w:t>
            </w:r>
          </w:p>
        </w:tc>
      </w:tr>
      <w:tr>
        <w:trPr/>
        <w:tc>
          <w:tcPr>
            <w:tcW w:w="3212" w:type="dxa"/>
            <w:tcBorders>
              <w:start w:val="single" w:sz="4" w:space="0" w:color="000000"/>
              <w:bottom w:val="single" w:sz="4" w:space="0" w:color="000000"/>
            </w:tcBorders>
          </w:tcPr>
          <w:p>
            <w:pPr>
              <w:pStyle w:val="TableContents"/>
              <w:bidi w:val="0"/>
              <w:jc w:val="start"/>
              <w:rPr/>
            </w:pPr>
            <w:r>
              <w:rPr>
                <w:b/>
              </w:rPr>
              <w:t>Q2. Is this a GREAT PRICE?</w:t>
            </w:r>
          </w:p>
        </w:tc>
        <w:tc>
          <w:tcPr>
            <w:tcW w:w="3213" w:type="dxa"/>
            <w:tcBorders>
              <w:start w:val="single" w:sz="4" w:space="0" w:color="000000"/>
              <w:bottom w:val="single" w:sz="4" w:space="0" w:color="000000"/>
            </w:tcBorders>
          </w:tcPr>
          <w:p>
            <w:pPr>
              <w:pStyle w:val="TableContents"/>
              <w:bidi w:val="0"/>
              <w:jc w:val="start"/>
              <w:rPr/>
            </w:pPr>
            <w:r>
              <w:rPr/>
              <w:t>Step 6</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 xml:space="preserve">Share price must be </w:t>
            </w:r>
            <w:r>
              <w:rPr>
                <w:b/>
              </w:rPr>
              <w:t>below intrinsic value</w:t>
            </w:r>
            <w:r>
              <w:rPr/>
              <w:t xml:space="preserve"> (margin of safety).</w:t>
            </w:r>
          </w:p>
        </w:tc>
      </w:tr>
      <w:tr>
        <w:trPr/>
        <w:tc>
          <w:tcPr>
            <w:tcW w:w="3212" w:type="dxa"/>
            <w:tcBorders>
              <w:start w:val="single" w:sz="4" w:space="0" w:color="000000"/>
              <w:bottom w:val="single" w:sz="4" w:space="0" w:color="000000"/>
            </w:tcBorders>
          </w:tcPr>
          <w:p>
            <w:pPr>
              <w:pStyle w:val="TableContents"/>
              <w:bidi w:val="0"/>
              <w:jc w:val="start"/>
              <w:rPr/>
            </w:pPr>
            <w:r>
              <w:rPr>
                <w:b/>
              </w:rPr>
              <w:t>Q3. Is this a GREAT POINT OF ENTRY?</w:t>
            </w:r>
          </w:p>
        </w:tc>
        <w:tc>
          <w:tcPr>
            <w:tcW w:w="3213" w:type="dxa"/>
            <w:tcBorders>
              <w:start w:val="single" w:sz="4" w:space="0" w:color="000000"/>
              <w:bottom w:val="single" w:sz="4" w:space="0" w:color="000000"/>
            </w:tcBorders>
          </w:tcPr>
          <w:p>
            <w:pPr>
              <w:pStyle w:val="TableContents"/>
              <w:bidi w:val="0"/>
              <w:jc w:val="start"/>
              <w:rPr/>
            </w:pPr>
            <w:r>
              <w:rPr/>
              <w:t>Step 7</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Chart timing — buy on a wave-down into support, in tranches.</w:t>
            </w:r>
          </w:p>
        </w:tc>
      </w:tr>
    </w:tbl>
    <w:p>
      <w:pPr>
        <w:pStyle w:val="BodyText"/>
        <w:bidi w:val="0"/>
        <w:jc w:val="start"/>
        <w:rPr/>
      </w:pPr>
      <w:r>
        <w:rPr/>
      </w:r>
    </w:p>
    <w:p>
      <w:pPr>
        <w:pStyle w:val="Heading4"/>
        <w:bidi w:val="0"/>
        <w:ind w:hanging="0" w:start="0"/>
        <w:jc w:val="start"/>
        <w:rPr/>
      </w:pPr>
      <w:r>
        <w:rPr/>
        <w:t>The funnel (Adam's stated pass rates)</w:t>
      </w:r>
    </w:p>
    <w:tbl>
      <w:tblPr>
        <w:tblW w:w="5000" w:type="pct"/>
        <w:jc w:val="start"/>
        <w:tblInd w:w="-5" w:type="dxa"/>
        <w:tblLayout w:type="fixed"/>
        <w:tblCellMar>
          <w:top w:w="55" w:type="dxa"/>
          <w:start w:w="55" w:type="dxa"/>
          <w:bottom w:w="55" w:type="dxa"/>
          <w:end w:w="55" w:type="dxa"/>
        </w:tblCellMar>
      </w:tblPr>
      <w:tblGrid>
        <w:gridCol w:w="4819"/>
        <w:gridCol w:w="4819"/>
      </w:tblGrid>
      <w:tr>
        <w:trPr>
          <w:tblHeader w:val="true"/>
        </w:trPr>
        <w:tc>
          <w:tcPr>
            <w:tcW w:w="4819" w:type="dxa"/>
            <w:tcBorders>
              <w:top w:val="single" w:sz="4" w:space="0" w:color="000000"/>
              <w:start w:val="single" w:sz="4" w:space="0" w:color="000000"/>
              <w:bottom w:val="single" w:sz="4" w:space="0" w:color="000000"/>
            </w:tcBorders>
          </w:tcPr>
          <w:p>
            <w:pPr>
              <w:pStyle w:val="TableHeading"/>
              <w:bidi w:val="0"/>
              <w:jc w:val="start"/>
              <w:rPr/>
            </w:pPr>
            <w:r>
              <w:rPr/>
              <w:t>Filter</w:t>
            </w:r>
          </w:p>
        </w:tc>
        <w:tc>
          <w:tcPr>
            <w:tcW w:w="4819"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 of all companies in the world that survive</w:t>
            </w:r>
          </w:p>
        </w:tc>
      </w:tr>
      <w:tr>
        <w:trPr/>
        <w:tc>
          <w:tcPr>
            <w:tcW w:w="4819" w:type="dxa"/>
            <w:tcBorders>
              <w:start w:val="single" w:sz="4" w:space="0" w:color="000000"/>
              <w:bottom w:val="single" w:sz="4" w:space="0" w:color="000000"/>
            </w:tcBorders>
          </w:tcPr>
          <w:p>
            <w:pPr>
              <w:pStyle w:val="TableContents"/>
              <w:bidi w:val="0"/>
              <w:jc w:val="start"/>
              <w:rPr/>
            </w:pPr>
            <w:r>
              <w:rPr/>
              <w:t xml:space="preserve">After </w:t>
            </w:r>
            <w:r>
              <w:rPr>
                <w:b/>
              </w:rPr>
              <w:t>Step 1 alone</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b/>
              </w:rPr>
              <w:t>less than 5%</w:t>
            </w:r>
            <w:r>
              <w:rPr/>
              <w:t xml:space="preserve"> ("just with the first step you eliminate 95% of the companies in the world")</w:t>
            </w:r>
          </w:p>
        </w:tc>
      </w:tr>
      <w:tr>
        <w:trPr/>
        <w:tc>
          <w:tcPr>
            <w:tcW w:w="4819" w:type="dxa"/>
            <w:tcBorders>
              <w:start w:val="single" w:sz="4" w:space="0" w:color="000000"/>
              <w:bottom w:val="single" w:sz="4" w:space="0" w:color="000000"/>
            </w:tcBorders>
          </w:tcPr>
          <w:p>
            <w:pPr>
              <w:pStyle w:val="TableContents"/>
              <w:bidi w:val="0"/>
              <w:jc w:val="start"/>
              <w:rPr/>
            </w:pPr>
            <w:r>
              <w:rPr/>
              <w:t xml:space="preserve">After </w:t>
            </w:r>
            <w:r>
              <w:rPr>
                <w:b/>
              </w:rPr>
              <w:t>Steps 1–5</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b/>
              </w:rPr>
              <w:t>less than 1%</w:t>
            </w:r>
            <w:r>
              <w:rPr/>
              <w:t xml:space="preserve"> ("it would eliminate 99% of the businesses in the world, and you only invest in the best of the best")</w:t>
            </w:r>
          </w:p>
        </w:tc>
      </w:tr>
    </w:tbl>
    <w:p>
      <w:pPr>
        <w:pStyle w:val="BodyText"/>
        <w:bidi w:val="0"/>
        <w:jc w:val="start"/>
        <w:rPr/>
      </w:pPr>
      <w:r>
        <w:rPr/>
      </w:r>
    </w:p>
    <w:p>
      <w:pPr>
        <w:pStyle w:val="Heading4"/>
        <w:bidi w:val="0"/>
        <w:ind w:hanging="0" w:start="0"/>
        <w:jc w:val="start"/>
        <w:rPr/>
      </w:pPr>
      <w:r>
        <w:rPr/>
        <w:t>The core logic of the sequence</w:t>
      </w:r>
    </w:p>
    <w:p>
      <w:pPr>
        <w:pStyle w:val="BodyText"/>
        <w:numPr>
          <w:ilvl w:val="0"/>
          <w:numId w:val="390"/>
        </w:numPr>
        <w:tabs>
          <w:tab w:val="clear" w:pos="709"/>
          <w:tab w:val="left" w:pos="709" w:leader="none"/>
        </w:tabs>
        <w:bidi w:val="0"/>
        <w:ind w:hanging="283" w:start="709"/>
        <w:jc w:val="start"/>
        <w:rPr/>
      </w:pPr>
      <w:r>
        <w:rPr>
          <w:b/>
        </w:rPr>
        <w:t>Step 1</w:t>
      </w:r>
      <w:r>
        <w:rPr/>
        <w:t xml:space="preserve"> proves the business </w:t>
      </w:r>
      <w:r>
        <w:rPr>
          <w:i/>
        </w:rPr>
        <w:t>has</w:t>
      </w:r>
      <w:r>
        <w:rPr/>
        <w:t xml:space="preserve"> grown consistently (historical record).</w:t>
      </w:r>
    </w:p>
    <w:p>
      <w:pPr>
        <w:pStyle w:val="BodyText"/>
        <w:numPr>
          <w:ilvl w:val="0"/>
          <w:numId w:val="390"/>
        </w:numPr>
        <w:tabs>
          <w:tab w:val="clear" w:pos="709"/>
          <w:tab w:val="left" w:pos="709" w:leader="none"/>
        </w:tabs>
        <w:bidi w:val="0"/>
        <w:ind w:hanging="283" w:start="709"/>
        <w:jc w:val="start"/>
        <w:rPr/>
      </w:pPr>
      <w:r>
        <w:rPr>
          <w:b/>
        </w:rPr>
        <w:t>Step 2</w:t>
      </w:r>
      <w:r>
        <w:rPr/>
        <w:t xml:space="preserve"> proves the industry/company </w:t>
      </w:r>
      <w:r>
        <w:rPr>
          <w:i/>
        </w:rPr>
        <w:t>is projected to</w:t>
      </w:r>
      <w:r>
        <w:rPr/>
        <w:t xml:space="preserve"> keep growing (forward catalysts).</w:t>
      </w:r>
    </w:p>
    <w:p>
      <w:pPr>
        <w:pStyle w:val="BodyText"/>
        <w:numPr>
          <w:ilvl w:val="0"/>
          <w:numId w:val="390"/>
        </w:numPr>
        <w:tabs>
          <w:tab w:val="clear" w:pos="709"/>
          <w:tab w:val="left" w:pos="709" w:leader="none"/>
        </w:tabs>
        <w:bidi w:val="0"/>
        <w:ind w:hanging="283" w:start="709"/>
        <w:jc w:val="start"/>
        <w:rPr/>
      </w:pPr>
      <w:r>
        <w:rPr>
          <w:b/>
        </w:rPr>
        <w:t>Step 3</w:t>
      </w:r>
      <w:r>
        <w:rPr/>
        <w:t xml:space="preserve"> proves nothing can </w:t>
      </w:r>
      <w:r>
        <w:rPr>
          <w:i/>
        </w:rPr>
        <w:t>stop</w:t>
      </w:r>
      <w:r>
        <w:rPr/>
        <w:t xml:space="preserve"> it growing — competition is the only thing that can, so it must have a moat. </w:t>
      </w:r>
      <w:r>
        <w:rPr>
          <w:b/>
        </w:rPr>
        <w:t>Adam calls Step 3 "the most important step of all."</w:t>
      </w:r>
    </w:p>
    <w:p>
      <w:pPr>
        <w:pStyle w:val="BodyText"/>
        <w:numPr>
          <w:ilvl w:val="0"/>
          <w:numId w:val="390"/>
        </w:numPr>
        <w:tabs>
          <w:tab w:val="clear" w:pos="709"/>
          <w:tab w:val="left" w:pos="709" w:leader="none"/>
        </w:tabs>
        <w:bidi w:val="0"/>
        <w:ind w:hanging="283" w:start="709"/>
        <w:jc w:val="start"/>
        <w:rPr/>
      </w:pPr>
      <w:r>
        <w:rPr>
          <w:b/>
        </w:rPr>
        <w:t>Steps 4–5</w:t>
      </w:r>
      <w:r>
        <w:rPr/>
        <w:t xml:space="preserve"> prove it is profitable/efficient and financially unbreakable.</w:t>
      </w:r>
    </w:p>
    <w:p>
      <w:pPr>
        <w:pStyle w:val="BodyText"/>
        <w:numPr>
          <w:ilvl w:val="0"/>
          <w:numId w:val="390"/>
        </w:numPr>
        <w:tabs>
          <w:tab w:val="clear" w:pos="709"/>
          <w:tab w:val="left" w:pos="709" w:leader="none"/>
        </w:tabs>
        <w:bidi w:val="0"/>
        <w:ind w:hanging="283" w:start="709"/>
        <w:jc w:val="start"/>
        <w:rPr/>
      </w:pPr>
      <w:r>
        <w:rPr>
          <w:b/>
        </w:rPr>
        <w:t>Step 6</w:t>
      </w:r>
      <w:r>
        <w:rPr/>
        <w:t xml:space="preserve"> ensures you don't overpay: </w:t>
      </w:r>
      <w:r>
        <w:rPr>
          <w:i/>
        </w:rPr>
        <w:t>"A great business can be a lousy investment if you pay too high a price for the shares. But a great business becomes a great investment if you're buying the shares at less than what it is worth."</w:t>
      </w:r>
    </w:p>
    <w:p>
      <w:pPr>
        <w:pStyle w:val="BodyText"/>
        <w:numPr>
          <w:ilvl w:val="0"/>
          <w:numId w:val="390"/>
        </w:numPr>
        <w:tabs>
          <w:tab w:val="clear" w:pos="709"/>
          <w:tab w:val="left" w:pos="709" w:leader="none"/>
        </w:tabs>
        <w:bidi w:val="0"/>
        <w:ind w:hanging="283" w:start="709"/>
        <w:jc w:val="start"/>
        <w:rPr/>
      </w:pPr>
      <w:r>
        <w:rPr>
          <w:b/>
        </w:rPr>
        <w:t>Step 7</w:t>
      </w:r>
      <w:r>
        <w:rPr/>
        <w:t xml:space="preserve"> optimises the entry price within the undervalued zone.</w:t>
      </w:r>
    </w:p>
    <w:p>
      <w:pPr>
        <w:pStyle w:val="HorizontalLine"/>
        <w:bidi w:val="0"/>
        <w:jc w:val="start"/>
        <w:rPr/>
      </w:pPr>
      <w:r>
        <w:rPr/>
      </w:r>
    </w:p>
    <w:p>
      <w:pPr>
        <w:pStyle w:val="Heading3"/>
        <w:bidi w:val="0"/>
        <w:ind w:hanging="0" w:start="0"/>
        <w:jc w:val="start"/>
        <w:rPr/>
      </w:pPr>
      <w:r>
        <w:rPr/>
        <w:t>STEP 1 — Consistent, Predictable Historical Track Record</w:t>
      </w:r>
    </w:p>
    <w:p>
      <w:pPr>
        <w:pStyle w:val="Heading4"/>
        <w:bidi w:val="0"/>
        <w:ind w:hanging="0" w:start="0"/>
        <w:jc w:val="start"/>
        <w:rPr/>
      </w:pPr>
      <w:r>
        <w:rPr/>
        <w:t>What it checks</w:t>
      </w:r>
    </w:p>
    <w:p>
      <w:pPr>
        <w:pStyle w:val="BodyText"/>
        <w:bidi w:val="0"/>
        <w:jc w:val="start"/>
        <w:rPr/>
      </w:pPr>
      <w:r>
        <w:rPr/>
        <w:t xml:space="preserve">That the company can grow </w:t>
      </w:r>
      <w:r>
        <w:rPr>
          <w:b/>
        </w:rPr>
        <w:t>sales, profits and cash flow in a predictable, consistent manner</w:t>
      </w:r>
      <w:r>
        <w:rPr/>
        <w:t xml:space="preserve">, and is </w:t>
      </w:r>
      <w:r>
        <w:rPr>
          <w:b/>
        </w:rPr>
        <w:t>resilient</w:t>
      </w:r>
      <w:r>
        <w:rPr/>
        <w:t xml:space="preserve"> — "rain or shine, pandemic or no pandemic, recession or economic growth."</w:t>
      </w:r>
    </w:p>
    <w:p>
      <w:pPr>
        <w:pStyle w:val="Heading4"/>
        <w:bidi w:val="0"/>
        <w:ind w:hanging="0" w:start="0"/>
        <w:jc w:val="start"/>
        <w:rPr/>
      </w:pPr>
      <w:r>
        <w:rPr/>
        <w:t>Exact criteria</w:t>
      </w:r>
    </w:p>
    <w:p>
      <w:pPr>
        <w:pStyle w:val="BodyText"/>
        <w:numPr>
          <w:ilvl w:val="0"/>
          <w:numId w:val="391"/>
        </w:numPr>
        <w:tabs>
          <w:tab w:val="clear" w:pos="709"/>
          <w:tab w:val="left" w:pos="709" w:leader="none"/>
        </w:tabs>
        <w:bidi w:val="0"/>
        <w:ind w:hanging="283" w:start="709"/>
        <w:jc w:val="start"/>
        <w:rPr/>
      </w:pPr>
      <w:sdt>
        <w:sdtPr>
          <w:id w:val="1480103706"/>
          <w14:checkbox>
            <w14:checked w14:val="0"/>
            <w14:checkedState w14:val="2612"/>
            <w14:uncheckedState w14:val="2610"/>
          </w14:checkbox>
        </w:sdtPr>
        <w:sdtContent>
          <w:r>
            <w:rPr/>
          </w:r>
          <w:r>
            <w:rPr/>
            <w:t>☐</w:t>
          </w:r>
        </w:sdtContent>
      </w:sdt>
      <w:r>
        <w:rPr/>
        <w:t xml:space="preserve"> </w:t>
      </w:r>
      <w:r>
        <w:rPr>
          <w:b/>
        </w:rPr>
        <w:t>Sales revenue</w:t>
      </w:r>
      <w:r>
        <w:rPr/>
        <w:t xml:space="preserve"> increasing consistently for </w:t>
      </w:r>
      <w:r>
        <w:rPr>
          <w:b/>
        </w:rPr>
        <w:t>at least the last 5 years, better 10 years</w:t>
      </w:r>
    </w:p>
    <w:p>
      <w:pPr>
        <w:pStyle w:val="BodyText"/>
        <w:numPr>
          <w:ilvl w:val="0"/>
          <w:numId w:val="391"/>
        </w:numPr>
        <w:tabs>
          <w:tab w:val="clear" w:pos="709"/>
          <w:tab w:val="left" w:pos="709" w:leader="none"/>
        </w:tabs>
        <w:bidi w:val="0"/>
        <w:ind w:hanging="283" w:start="709"/>
        <w:jc w:val="start"/>
        <w:rPr/>
      </w:pPr>
      <w:sdt>
        <w:sdtPr>
          <w:id w:val="1091854036"/>
          <w14:checkbox>
            <w14:checked w14:val="0"/>
            <w14:checkedState w14:val="2612"/>
            <w14:uncheckedState w14:val="2610"/>
          </w14:checkbox>
        </w:sdtPr>
        <w:sdtContent>
          <w:r>
            <w:rPr/>
          </w:r>
          <w:r>
            <w:rPr/>
            <w:t>☐</w:t>
          </w:r>
        </w:sdtContent>
      </w:sdt>
      <w:r>
        <w:rPr/>
        <w:t xml:space="preserve"> </w:t>
      </w:r>
      <w:r>
        <w:rPr>
          <w:b/>
        </w:rPr>
        <w:t>Net income</w:t>
      </w:r>
      <w:r>
        <w:rPr/>
        <w:t xml:space="preserve"> increasing consistently over the same 5–10 year window</w:t>
      </w:r>
    </w:p>
    <w:p>
      <w:pPr>
        <w:pStyle w:val="BodyText"/>
        <w:numPr>
          <w:ilvl w:val="0"/>
          <w:numId w:val="391"/>
        </w:numPr>
        <w:tabs>
          <w:tab w:val="clear" w:pos="709"/>
          <w:tab w:val="left" w:pos="709" w:leader="none"/>
        </w:tabs>
        <w:bidi w:val="0"/>
        <w:ind w:hanging="283" w:start="709"/>
        <w:jc w:val="start"/>
        <w:rPr/>
      </w:pPr>
      <w:sdt>
        <w:sdtPr>
          <w:id w:val="1206291104"/>
          <w14:checkbox>
            <w14:checked w14:val="0"/>
            <w14:checkedState w14:val="2612"/>
            <w14:uncheckedState w14:val="2610"/>
          </w14:checkbox>
        </w:sdtPr>
        <w:sdtContent>
          <w:r>
            <w:rPr/>
          </w:r>
          <w:r>
            <w:rPr/>
            <w:t>☐</w:t>
          </w:r>
        </w:sdtContent>
      </w:sdt>
      <w:r>
        <w:rPr/>
        <w:t xml:space="preserve"> </w:t>
      </w:r>
      <w:r>
        <w:rPr>
          <w:b/>
        </w:rPr>
        <w:t>Cash flow from operations (CFO)</w:t>
      </w:r>
      <w:r>
        <w:rPr/>
        <w:t xml:space="preserve"> increasing consistently over the same 5–10 year window</w:t>
      </w:r>
    </w:p>
    <w:p>
      <w:pPr>
        <w:pStyle w:val="BodyText"/>
        <w:numPr>
          <w:ilvl w:val="0"/>
          <w:numId w:val="391"/>
        </w:numPr>
        <w:tabs>
          <w:tab w:val="clear" w:pos="709"/>
          <w:tab w:val="left" w:pos="709" w:leader="none"/>
        </w:tabs>
        <w:bidi w:val="0"/>
        <w:ind w:hanging="283" w:start="709"/>
        <w:jc w:val="start"/>
        <w:rPr/>
      </w:pPr>
      <w:sdt>
        <w:sdtPr>
          <w:id w:val="86378735"/>
          <w14:checkbox>
            <w14:checked w14:val="0"/>
            <w14:checkedState w14:val="2612"/>
            <w14:uncheckedState w14:val="2610"/>
          </w14:checkbox>
        </w:sdtPr>
        <w:sdtContent>
          <w:r>
            <w:rPr/>
          </w:r>
          <w:r>
            <w:rPr/>
            <w:t>☐</w:t>
          </w:r>
        </w:sdtContent>
      </w:sdt>
      <w:r>
        <w:rPr/>
        <w:t xml:space="preserve"> </w:t>
      </w:r>
      <w:r>
        <w:rPr>
          <w:b/>
        </w:rPr>
        <w:t>Gross profit margin</w:t>
      </w:r>
      <w:r>
        <w:rPr/>
        <w:t xml:space="preserve"> consistent for the last 5 years, or increasing</w:t>
      </w:r>
    </w:p>
    <w:p>
      <w:pPr>
        <w:pStyle w:val="BodyText"/>
        <w:numPr>
          <w:ilvl w:val="0"/>
          <w:numId w:val="391"/>
        </w:numPr>
        <w:tabs>
          <w:tab w:val="clear" w:pos="709"/>
          <w:tab w:val="left" w:pos="709" w:leader="none"/>
        </w:tabs>
        <w:bidi w:val="0"/>
        <w:ind w:hanging="283" w:start="709"/>
        <w:jc w:val="start"/>
        <w:rPr/>
      </w:pPr>
      <w:sdt>
        <w:sdtPr>
          <w:id w:val="823844667"/>
          <w14:checkbox>
            <w14:checked w14:val="0"/>
            <w14:checkedState w14:val="2612"/>
            <w14:uncheckedState w14:val="2610"/>
          </w14:checkbox>
        </w:sdtPr>
        <w:sdtContent>
          <w:r>
            <w:rPr/>
          </w:r>
          <w:r>
            <w:rPr/>
            <w:t>☐</w:t>
          </w:r>
        </w:sdtContent>
      </w:sdt>
      <w:r>
        <w:rPr/>
        <w:t xml:space="preserve"> </w:t>
      </w:r>
      <w:r>
        <w:rPr>
          <w:b/>
        </w:rPr>
        <w:t>Net profit margin</w:t>
      </w:r>
      <w:r>
        <w:rPr/>
        <w:t xml:space="preserve"> consistent for the last 5 years, or increasing</w:t>
      </w:r>
    </w:p>
    <w:p>
      <w:pPr>
        <w:pStyle w:val="BodyText"/>
        <w:numPr>
          <w:ilvl w:val="0"/>
          <w:numId w:val="391"/>
        </w:numPr>
        <w:tabs>
          <w:tab w:val="clear" w:pos="709"/>
          <w:tab w:val="left" w:pos="709" w:leader="none"/>
        </w:tabs>
        <w:bidi w:val="0"/>
        <w:ind w:hanging="283" w:start="709"/>
        <w:jc w:val="start"/>
        <w:rPr/>
      </w:pPr>
      <w:sdt>
        <w:sdtPr>
          <w:id w:val="485628064"/>
          <w14:checkbox>
            <w14:checked w14:val="0"/>
            <w14:checkedState w14:val="2612"/>
            <w14:uncheckedState w14:val="2610"/>
          </w14:checkbox>
        </w:sdtPr>
        <w:sdtContent>
          <w:r>
            <w:rPr/>
          </w:r>
          <w:r>
            <w:rPr/>
            <w:t>☐</w:t>
          </w:r>
        </w:sdtContent>
      </w:sdt>
      <w:r>
        <w:rPr/>
        <w:t xml:space="preserve"> </w:t>
      </w:r>
      <w:r>
        <w:rPr/>
        <w:t xml:space="preserve">Current margins ≈ </w:t>
      </w:r>
      <w:r>
        <w:rPr>
          <w:b/>
        </w:rPr>
        <w:t>at or above the 5-year average</w:t>
      </w:r>
      <w:r>
        <w:rPr/>
        <w:t xml:space="preserve"> margin</w:t>
      </w:r>
    </w:p>
    <w:p>
      <w:pPr>
        <w:pStyle w:val="Heading4"/>
        <w:numPr>
          <w:ilvl w:val="0"/>
          <w:numId w:val="0"/>
        </w:numPr>
        <w:bidi w:val="0"/>
        <w:ind w:hanging="0" w:start="0"/>
        <w:jc w:val="start"/>
        <w:rPr/>
      </w:pPr>
      <w:r>
        <w:rPr/>
        <w:t>Priority ranking of the three metrics (Adam's own words)</w:t>
      </w:r>
    </w:p>
    <w:p>
      <w:pPr>
        <w:pStyle w:val="BodyText"/>
        <w:numPr>
          <w:ilvl w:val="0"/>
          <w:numId w:val="392"/>
        </w:numPr>
        <w:tabs>
          <w:tab w:val="clear" w:pos="709"/>
          <w:tab w:val="left" w:pos="709" w:leader="none"/>
        </w:tabs>
        <w:bidi w:val="0"/>
        <w:ind w:hanging="283" w:start="709"/>
        <w:jc w:val="start"/>
        <w:rPr/>
      </w:pPr>
      <w:r>
        <w:rPr>
          <w:b/>
        </w:rPr>
        <w:t>Sales revenue — most important.</w:t>
      </w:r>
      <w:r>
        <w:rPr/>
        <w:t xml:space="preserve"> Rising revenue = the company is getting more and more customers, selling more goods and services.</w:t>
      </w:r>
    </w:p>
    <w:p>
      <w:pPr>
        <w:pStyle w:val="BodyText"/>
        <w:numPr>
          <w:ilvl w:val="0"/>
          <w:numId w:val="392"/>
        </w:numPr>
        <w:tabs>
          <w:tab w:val="clear" w:pos="709"/>
          <w:tab w:val="left" w:pos="709" w:leader="none"/>
        </w:tabs>
        <w:bidi w:val="0"/>
        <w:ind w:hanging="283" w:start="709"/>
        <w:jc w:val="start"/>
        <w:rPr/>
      </w:pPr>
      <w:r>
        <w:rPr>
          <w:b/>
        </w:rPr>
        <w:t>Cash flow from operations — second most important.</w:t>
      </w:r>
      <w:r>
        <w:rPr/>
        <w:t xml:space="preserve"> The actual cash generated by the business operation.</w:t>
      </w:r>
    </w:p>
    <w:p>
      <w:pPr>
        <w:pStyle w:val="BodyText"/>
        <w:numPr>
          <w:ilvl w:val="0"/>
          <w:numId w:val="392"/>
        </w:numPr>
        <w:tabs>
          <w:tab w:val="clear" w:pos="709"/>
          <w:tab w:val="left" w:pos="709" w:leader="none"/>
        </w:tabs>
        <w:bidi w:val="0"/>
        <w:ind w:hanging="283" w:start="709"/>
        <w:jc w:val="start"/>
        <w:rPr/>
      </w:pPr>
      <w:r>
        <w:rPr>
          <w:b/>
        </w:rPr>
        <w:t>Net income — also important</w:t>
      </w:r>
      <w:r>
        <w:rPr/>
        <w:t>, but see the substitution rule below.</w:t>
      </w:r>
    </w:p>
    <w:p>
      <w:pPr>
        <w:pStyle w:val="Heading4"/>
        <w:numPr>
          <w:ilvl w:val="0"/>
          <w:numId w:val="0"/>
        </w:numPr>
        <w:bidi w:val="0"/>
        <w:ind w:hanging="0" w:start="0"/>
        <w:jc w:val="start"/>
        <w:rPr/>
      </w:pPr>
      <w:r>
        <w:rPr/>
        <w:t>Key interpretation rules</w:t>
      </w:r>
    </w:p>
    <w:p>
      <w:pPr>
        <w:pStyle w:val="BodyText"/>
        <w:numPr>
          <w:ilvl w:val="0"/>
          <w:numId w:val="393"/>
        </w:numPr>
        <w:tabs>
          <w:tab w:val="clear" w:pos="709"/>
          <w:tab w:val="left" w:pos="709" w:leader="none"/>
        </w:tabs>
        <w:bidi w:val="0"/>
        <w:ind w:hanging="283" w:start="709"/>
        <w:jc w:val="start"/>
        <w:rPr/>
      </w:pPr>
      <w:r>
        <w:rPr>
          <w:b/>
        </w:rPr>
        <w:t>"Consistent" ≠ up every single year.</w:t>
      </w:r>
      <w:r>
        <w:rPr/>
        <w:t xml:space="preserve"> </w:t>
      </w:r>
      <w:r>
        <w:rPr>
          <w:i/>
        </w:rPr>
        <w:t>"There could be years that it drops temporarily, but overall if you take a look at the last five years or 10 years, there must be an uptrend."</w:t>
      </w:r>
      <w:r>
        <w:rPr/>
        <w:t xml:space="preserve"> </w:t>
      </w:r>
      <w:r>
        <w:rPr>
          <w:b/>
        </w:rPr>
        <w:t>One or two years of decline is fine.</w:t>
      </w:r>
    </w:p>
    <w:p>
      <w:pPr>
        <w:pStyle w:val="BodyText"/>
        <w:numPr>
          <w:ilvl w:val="0"/>
          <w:numId w:val="393"/>
        </w:numPr>
        <w:tabs>
          <w:tab w:val="clear" w:pos="709"/>
          <w:tab w:val="left" w:pos="709" w:leader="none"/>
        </w:tabs>
        <w:bidi w:val="0"/>
        <w:spacing w:before="0" w:after="0"/>
        <w:ind w:hanging="283" w:start="709"/>
        <w:jc w:val="start"/>
        <w:rPr/>
      </w:pPr>
      <w:r>
        <w:rPr>
          <w:b/>
        </w:rPr>
        <w:t>Net income substitution rule:</w:t>
      </w:r>
      <w:r>
        <w:rPr/>
        <w:t xml:space="preserve"> If net income is NOT increasing consistently → </w:t>
      </w:r>
      <w:r>
        <w:rPr>
          <w:b/>
        </w:rPr>
        <w:t>look at operating income instead</w:t>
      </w:r>
      <w:r>
        <w:rPr/>
        <w:t>, and operating income must be increasing consistently. Rationale: net income can be distorted by items that are not the core business —</w:t>
      </w:r>
    </w:p>
    <w:p>
      <w:pPr>
        <w:pStyle w:val="BodyText"/>
        <w:numPr>
          <w:ilvl w:val="1"/>
          <w:numId w:val="393"/>
        </w:numPr>
        <w:tabs>
          <w:tab w:val="clear" w:pos="709"/>
          <w:tab w:val="left" w:pos="1418" w:leader="none"/>
        </w:tabs>
        <w:bidi w:val="0"/>
        <w:ind w:hanging="283" w:start="1418"/>
        <w:jc w:val="start"/>
        <w:rPr/>
      </w:pPr>
      <w:r>
        <w:rPr/>
        <w:t xml:space="preserve">Non-operating </w:t>
      </w:r>
      <w:r>
        <w:rPr>
          <w:b/>
        </w:rPr>
        <w:t>expenses</w:t>
      </w:r>
      <w:r>
        <w:rPr/>
        <w:t xml:space="preserve"> excluded from operating income: interest costs, taxation, lawsuits, merger &amp; acquisition costs</w:t>
      </w:r>
    </w:p>
    <w:p>
      <w:pPr>
        <w:pStyle w:val="BodyText"/>
        <w:numPr>
          <w:ilvl w:val="1"/>
          <w:numId w:val="393"/>
        </w:numPr>
        <w:tabs>
          <w:tab w:val="clear" w:pos="709"/>
          <w:tab w:val="left" w:pos="1418" w:leader="none"/>
        </w:tabs>
        <w:bidi w:val="0"/>
        <w:ind w:hanging="283" w:start="1418"/>
        <w:jc w:val="start"/>
        <w:rPr/>
      </w:pPr>
      <w:r>
        <w:rPr/>
        <w:t xml:space="preserve">Non-operating </w:t>
      </w:r>
      <w:r>
        <w:rPr>
          <w:b/>
        </w:rPr>
        <w:t>income</w:t>
      </w:r>
      <w:r>
        <w:rPr/>
        <w:t xml:space="preserve"> excluded: forex gains, gains on investment income</w:t>
      </w:r>
    </w:p>
    <w:p>
      <w:pPr>
        <w:pStyle w:val="BodyText"/>
        <w:numPr>
          <w:ilvl w:val="1"/>
          <w:numId w:val="393"/>
        </w:numPr>
        <w:tabs>
          <w:tab w:val="clear" w:pos="709"/>
          <w:tab w:val="left" w:pos="1418" w:leader="none"/>
        </w:tabs>
        <w:bidi w:val="0"/>
        <w:ind w:hanging="283" w:start="1418"/>
        <w:jc w:val="start"/>
        <w:rPr/>
      </w:pPr>
      <w:r>
        <w:rPr/>
        <w:t xml:space="preserve">So operating income shows </w:t>
      </w:r>
      <w:r>
        <w:rPr>
          <w:i/>
        </w:rPr>
        <w:t>"the actual income from the business operations."</w:t>
      </w:r>
    </w:p>
    <w:p>
      <w:pPr>
        <w:pStyle w:val="BodyText"/>
        <w:numPr>
          <w:ilvl w:val="0"/>
          <w:numId w:val="393"/>
        </w:numPr>
        <w:tabs>
          <w:tab w:val="clear" w:pos="709"/>
          <w:tab w:val="left" w:pos="709" w:leader="none"/>
        </w:tabs>
        <w:bidi w:val="0"/>
        <w:ind w:hanging="283" w:start="709"/>
        <w:jc w:val="start"/>
        <w:rPr/>
      </w:pPr>
      <w:r>
        <w:rPr>
          <w:b/>
        </w:rPr>
        <w:t>Recession test:</w:t>
      </w:r>
      <w:r>
        <w:rPr/>
        <w:t xml:space="preserve"> </w:t>
      </w:r>
      <w:r>
        <w:rPr>
          <w:i/>
        </w:rPr>
        <w:t>"especially during past recessions, during past crisis, I want to see that the revenue continues to grow and the cash flow continues to increase. This tells me the company is resilient, is predictable and it is consistent."</w:t>
      </w:r>
    </w:p>
    <w:p>
      <w:pPr>
        <w:pStyle w:val="BodyText"/>
        <w:numPr>
          <w:ilvl w:val="0"/>
          <w:numId w:val="393"/>
        </w:numPr>
        <w:tabs>
          <w:tab w:val="clear" w:pos="709"/>
          <w:tab w:val="left" w:pos="709" w:leader="none"/>
        </w:tabs>
        <w:bidi w:val="0"/>
        <w:ind w:hanging="283" w:start="709"/>
        <w:jc w:val="start"/>
        <w:rPr/>
      </w:pPr>
      <w:r>
        <w:rPr>
          <w:b/>
        </w:rPr>
        <w:t>The whole point:</w:t>
      </w:r>
      <w:r>
        <w:rPr/>
        <w:t xml:space="preserve"> </w:t>
      </w:r>
      <w:r>
        <w:rPr>
          <w:i/>
        </w:rPr>
        <w:t>"When historical earnings and historical sales and cash flow is consistent, then future sales, earnings and cash flows are more predictable."</w:t>
      </w:r>
      <w:r>
        <w:rPr/>
        <w:t xml:space="preserve"> If the history is choppy, there is no way to project next year or the next five years → avoid.</w:t>
      </w:r>
    </w:p>
    <w:p>
      <w:pPr>
        <w:pStyle w:val="Heading4"/>
        <w:numPr>
          <w:ilvl w:val="0"/>
          <w:numId w:val="0"/>
        </w:numPr>
        <w:bidi w:val="0"/>
        <w:ind w:hanging="0" w:start="0"/>
        <w:jc w:val="start"/>
        <w:rPr/>
      </w:pPr>
      <w:r>
        <w:rPr/>
        <w:t>RED FLAGS / automatic rejections</w:t>
      </w:r>
    </w:p>
    <w:p>
      <w:pPr>
        <w:pStyle w:val="BodyText"/>
        <w:numPr>
          <w:ilvl w:val="0"/>
          <w:numId w:val="394"/>
        </w:numPr>
        <w:tabs>
          <w:tab w:val="clear" w:pos="709"/>
          <w:tab w:val="left" w:pos="709" w:leader="none"/>
        </w:tabs>
        <w:bidi w:val="0"/>
        <w:ind w:hanging="283" w:start="709"/>
        <w:jc w:val="start"/>
        <w:rPr/>
      </w:pPr>
      <w:r>
        <w:rPr/>
        <w:t xml:space="preserve">❌ </w:t>
      </w:r>
      <w:r>
        <w:rPr>
          <w:b/>
        </w:rPr>
        <w:t>Profit margins falling for five straight years</w:t>
      </w:r>
      <w:r>
        <w:rPr/>
        <w:t xml:space="preserve"> → </w:t>
      </w:r>
      <w:r>
        <w:rPr>
          <w:i/>
        </w:rPr>
        <w:t>"that's a warning sign to avoid that company."</w:t>
      </w:r>
    </w:p>
    <w:p>
      <w:pPr>
        <w:pStyle w:val="BodyText"/>
        <w:numPr>
          <w:ilvl w:val="0"/>
          <w:numId w:val="394"/>
        </w:numPr>
        <w:tabs>
          <w:tab w:val="clear" w:pos="709"/>
          <w:tab w:val="left" w:pos="709" w:leader="none"/>
        </w:tabs>
        <w:bidi w:val="0"/>
        <w:ind w:hanging="283" w:start="709"/>
        <w:jc w:val="start"/>
        <w:rPr/>
      </w:pPr>
      <w:r>
        <w:rPr/>
        <w:t xml:space="preserve">❌ </w:t>
      </w:r>
      <w:r>
        <w:rPr/>
        <w:t xml:space="preserve">Revenue/profit/cash-flow pattern that goes </w:t>
      </w:r>
      <w:r>
        <w:rPr>
          <w:b/>
        </w:rPr>
        <w:t>up, down, up, down</w:t>
      </w:r>
      <w:r>
        <w:rPr/>
        <w:t xml:space="preserve"> (cyclical roller-coaster) → unpredictable → avoid.</w:t>
      </w:r>
    </w:p>
    <w:p>
      <w:pPr>
        <w:pStyle w:val="BodyText"/>
        <w:numPr>
          <w:ilvl w:val="0"/>
          <w:numId w:val="394"/>
        </w:numPr>
        <w:tabs>
          <w:tab w:val="clear" w:pos="709"/>
          <w:tab w:val="left" w:pos="709" w:leader="none"/>
        </w:tabs>
        <w:bidi w:val="0"/>
        <w:ind w:hanging="283" w:start="709"/>
        <w:jc w:val="start"/>
        <w:rPr/>
      </w:pPr>
      <w:r>
        <w:rPr/>
        <w:t xml:space="preserve">❌ </w:t>
      </w:r>
      <w:r>
        <w:rPr/>
        <w:t xml:space="preserve">Whole industries Adam avoids for failing Step 1: </w:t>
      </w:r>
      <w:r>
        <w:rPr>
          <w:b/>
        </w:rPr>
        <w:t>oil &amp; gas</w:t>
      </w:r>
      <w:r>
        <w:rPr/>
        <w:t xml:space="preserve"> (profits depend on oil price), </w:t>
      </w:r>
      <w:r>
        <w:rPr>
          <w:b/>
        </w:rPr>
        <w:t>airlines</w:t>
      </w:r>
      <w:r>
        <w:rPr/>
        <w:t xml:space="preserve"> (affected by oil prices, tourism, "too many things"). </w:t>
      </w:r>
      <w:r>
        <w:rPr>
          <w:i/>
        </w:rPr>
        <w:t>"They are more for short-term trading, not really for long-term compounding of wealth investing."</w:t>
      </w:r>
    </w:p>
    <w:p>
      <w:pPr>
        <w:pStyle w:val="Heading4"/>
        <w:numPr>
          <w:ilvl w:val="0"/>
          <w:numId w:val="0"/>
        </w:numPr>
        <w:bidi w:val="0"/>
        <w:ind w:hanging="0" w:start="0"/>
        <w:jc w:val="start"/>
        <w:rPr/>
      </w:pPr>
      <w:r>
        <w:rPr/>
        <w:t>EXCEPTIONS to Step 1</w:t>
      </w:r>
    </w:p>
    <w:tbl>
      <w:tblPr>
        <w:tblW w:w="5000" w:type="pct"/>
        <w:jc w:val="start"/>
        <w:tblInd w:w="-5" w:type="dxa"/>
        <w:tblLayout w:type="fixed"/>
        <w:tblCellMar>
          <w:top w:w="55" w:type="dxa"/>
          <w:start w:w="55" w:type="dxa"/>
          <w:bottom w:w="55" w:type="dxa"/>
          <w:end w:w="55" w:type="dxa"/>
        </w:tblCellMar>
      </w:tblPr>
      <w:tblGrid>
        <w:gridCol w:w="4819"/>
        <w:gridCol w:w="4819"/>
      </w:tblGrid>
      <w:tr>
        <w:trPr>
          <w:tblHeader w:val="true"/>
        </w:trPr>
        <w:tc>
          <w:tcPr>
            <w:tcW w:w="4819" w:type="dxa"/>
            <w:tcBorders>
              <w:top w:val="single" w:sz="4" w:space="0" w:color="000000"/>
              <w:start w:val="single" w:sz="4" w:space="0" w:color="000000"/>
              <w:bottom w:val="single" w:sz="4" w:space="0" w:color="000000"/>
            </w:tcBorders>
          </w:tcPr>
          <w:p>
            <w:pPr>
              <w:pStyle w:val="TableHeading"/>
              <w:bidi w:val="0"/>
              <w:jc w:val="start"/>
              <w:rPr/>
            </w:pPr>
            <w:r>
              <w:rPr/>
              <w:t>Business type</w:t>
            </w:r>
          </w:p>
        </w:tc>
        <w:tc>
          <w:tcPr>
            <w:tcW w:w="4819"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Exception</w:t>
            </w:r>
          </w:p>
        </w:tc>
      </w:tr>
      <w:tr>
        <w:trPr/>
        <w:tc>
          <w:tcPr>
            <w:tcW w:w="4819" w:type="dxa"/>
            <w:tcBorders>
              <w:start w:val="single" w:sz="4" w:space="0" w:color="000000"/>
              <w:bottom w:val="single" w:sz="4" w:space="0" w:color="000000"/>
            </w:tcBorders>
          </w:tcPr>
          <w:p>
            <w:pPr>
              <w:pStyle w:val="TableContents"/>
              <w:bidi w:val="0"/>
              <w:jc w:val="start"/>
              <w:rPr/>
            </w:pPr>
            <w:r>
              <w:rPr>
                <w:b/>
              </w:rPr>
              <w:t>Banks</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 xml:space="preserve">Cash flow from operations is naturally inconsistent, sometimes negative. </w:t>
            </w:r>
            <w:r>
              <w:rPr>
                <w:b/>
              </w:rPr>
              <w:t>Look at sales revenue and net income only — ignore CFO.</w:t>
            </w:r>
          </w:p>
        </w:tc>
      </w:tr>
      <w:tr>
        <w:trPr/>
        <w:tc>
          <w:tcPr>
            <w:tcW w:w="4819" w:type="dxa"/>
            <w:tcBorders>
              <w:start w:val="single" w:sz="4" w:space="0" w:color="000000"/>
              <w:bottom w:val="single" w:sz="4" w:space="0" w:color="000000"/>
            </w:tcBorders>
          </w:tcPr>
          <w:p>
            <w:pPr>
              <w:pStyle w:val="TableContents"/>
              <w:bidi w:val="0"/>
              <w:jc w:val="start"/>
              <w:rPr/>
            </w:pPr>
            <w:r>
              <w:rPr>
                <w:b/>
              </w:rPr>
              <w:t>Property developers</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Same — very inconsistent CFO, ignore it.</w:t>
            </w:r>
          </w:p>
        </w:tc>
      </w:tr>
      <w:tr>
        <w:trPr/>
        <w:tc>
          <w:tcPr>
            <w:tcW w:w="4819" w:type="dxa"/>
            <w:tcBorders>
              <w:start w:val="single" w:sz="4" w:space="0" w:color="000000"/>
              <w:bottom w:val="single" w:sz="4" w:space="0" w:color="000000"/>
            </w:tcBorders>
          </w:tcPr>
          <w:p>
            <w:pPr>
              <w:pStyle w:val="TableContents"/>
              <w:bidi w:val="0"/>
              <w:jc w:val="start"/>
              <w:rPr/>
            </w:pPr>
            <w:r>
              <w:rPr>
                <w:b/>
              </w:rPr>
              <w:t>Commodity companies</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Same — very inconsistent CFO, ignore it.</w:t>
            </w:r>
          </w:p>
        </w:tc>
      </w:tr>
      <w:tr>
        <w:trPr/>
        <w:tc>
          <w:tcPr>
            <w:tcW w:w="4819" w:type="dxa"/>
            <w:tcBorders>
              <w:start w:val="single" w:sz="4" w:space="0" w:color="000000"/>
              <w:bottom w:val="single" w:sz="4" w:space="0" w:color="000000"/>
            </w:tcBorders>
          </w:tcPr>
          <w:p>
            <w:pPr>
              <w:pStyle w:val="TableContents"/>
              <w:bidi w:val="0"/>
              <w:jc w:val="start"/>
              <w:rPr/>
            </w:pPr>
            <w:r>
              <w:rPr>
                <w:b/>
              </w:rPr>
              <w:t>Speculative / early-stage growth companies</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See below.</w:t>
            </w:r>
          </w:p>
        </w:tc>
      </w:tr>
    </w:tbl>
    <w:p>
      <w:pPr>
        <w:pStyle w:val="BodyText"/>
        <w:bidi w:val="0"/>
        <w:jc w:val="start"/>
        <w:rPr/>
      </w:pPr>
      <w:r>
        <w:rPr/>
      </w:r>
    </w:p>
    <w:p>
      <w:pPr>
        <w:pStyle w:val="Heading5"/>
        <w:bidi w:val="0"/>
        <w:ind w:hanging="0" w:start="0"/>
        <w:jc w:val="start"/>
        <w:rPr/>
      </w:pPr>
      <w:r>
        <w:rPr/>
        <w:t>Speculative growth company exception (the ~5% carve-out)</w:t>
      </w:r>
    </w:p>
    <w:p>
      <w:pPr>
        <w:pStyle w:val="BodyText"/>
        <w:numPr>
          <w:ilvl w:val="0"/>
          <w:numId w:val="395"/>
        </w:numPr>
        <w:tabs>
          <w:tab w:val="clear" w:pos="709"/>
          <w:tab w:val="left" w:pos="709" w:leader="none"/>
        </w:tabs>
        <w:bidi w:val="0"/>
        <w:ind w:hanging="283" w:start="709"/>
        <w:jc w:val="start"/>
        <w:rPr/>
      </w:pPr>
      <w:r>
        <w:rPr/>
        <w:t xml:space="preserve">Definition: fairly new companies where </w:t>
      </w:r>
      <w:r>
        <w:rPr>
          <w:b/>
        </w:rPr>
        <w:t>revenue is growing 50–100%</w:t>
      </w:r>
      <w:r>
        <w:rPr/>
        <w:t xml:space="preserve"> (double-digit/triple-digit), but they are </w:t>
      </w:r>
      <w:r>
        <w:rPr>
          <w:b/>
        </w:rPr>
        <w:t>not yet profitable</w:t>
      </w:r>
      <w:r>
        <w:rPr/>
        <w:t>.</w:t>
      </w:r>
    </w:p>
    <w:p>
      <w:pPr>
        <w:pStyle w:val="BodyText"/>
        <w:numPr>
          <w:ilvl w:val="0"/>
          <w:numId w:val="395"/>
        </w:numPr>
        <w:tabs>
          <w:tab w:val="clear" w:pos="709"/>
          <w:tab w:val="left" w:pos="709" w:leader="none"/>
        </w:tabs>
        <w:bidi w:val="0"/>
        <w:spacing w:before="0" w:after="0"/>
        <w:ind w:hanging="283" w:start="709"/>
        <w:jc w:val="start"/>
        <w:rPr/>
      </w:pPr>
      <w:r>
        <w:rPr/>
        <w:t xml:space="preserve">Requirement: </w:t>
      </w:r>
      <w:r>
        <w:rPr>
          <w:b/>
        </w:rPr>
        <w:t>revenue growing consistently</w:t>
      </w:r>
      <w:r>
        <w:rPr/>
        <w:t xml:space="preserve">, AND </w:t>
      </w:r>
      <w:r>
        <w:rPr>
          <w:b/>
        </w:rPr>
        <w:t>net income and cash flow from operations must have turned positive</w:t>
      </w:r>
      <w:r>
        <w:rPr/>
        <w:t xml:space="preserve"> — Adam states the rule two ways in the lesson:</w:t>
      </w:r>
    </w:p>
    <w:p>
      <w:pPr>
        <w:pStyle w:val="BodyText"/>
        <w:numPr>
          <w:ilvl w:val="1"/>
          <w:numId w:val="395"/>
        </w:numPr>
        <w:tabs>
          <w:tab w:val="clear" w:pos="709"/>
          <w:tab w:val="left" w:pos="1418" w:leader="none"/>
        </w:tabs>
        <w:bidi w:val="0"/>
        <w:ind w:hanging="283" w:start="1418"/>
        <w:jc w:val="start"/>
        <w:rPr/>
      </w:pPr>
      <w:r>
        <w:rPr/>
        <w:t xml:space="preserve">overview version: </w:t>
      </w:r>
      <w:r>
        <w:rPr>
          <w:i/>
        </w:rPr>
        <w:t>"turned positive in at least the last two quarters"</w:t>
      </w:r>
    </w:p>
    <w:p>
      <w:pPr>
        <w:pStyle w:val="BodyText"/>
        <w:numPr>
          <w:ilvl w:val="1"/>
          <w:numId w:val="395"/>
        </w:numPr>
        <w:tabs>
          <w:tab w:val="clear" w:pos="709"/>
          <w:tab w:val="left" w:pos="1418" w:leader="none"/>
        </w:tabs>
        <w:bidi w:val="0"/>
        <w:ind w:hanging="283" w:start="1418"/>
        <w:jc w:val="start"/>
        <w:rPr/>
      </w:pPr>
      <w:r>
        <w:rPr/>
        <w:t xml:space="preserve">Palantir case version: </w:t>
      </w:r>
      <w:r>
        <w:rPr>
          <w:i/>
        </w:rPr>
        <w:t>"I only started to invest when they showed at least their first one quarter of positive cash flow"</w:t>
      </w:r>
      <w:r>
        <w:rPr/>
        <w:t xml:space="preserve"> (checked on the </w:t>
      </w:r>
      <w:r>
        <w:rPr>
          <w:b/>
        </w:rPr>
        <w:t>quarterly</w:t>
      </w:r>
      <w:r>
        <w:rPr/>
        <w:t xml:space="preserve"> view, not the full-year view)</w:t>
      </w:r>
    </w:p>
    <w:p>
      <w:pPr>
        <w:pStyle w:val="BodyText"/>
        <w:numPr>
          <w:ilvl w:val="0"/>
          <w:numId w:val="395"/>
        </w:numPr>
        <w:tabs>
          <w:tab w:val="clear" w:pos="709"/>
          <w:tab w:val="left" w:pos="709" w:leader="none"/>
        </w:tabs>
        <w:bidi w:val="0"/>
        <w:ind w:hanging="283" w:start="709"/>
        <w:jc w:val="start"/>
        <w:rPr/>
      </w:pPr>
      <w:r>
        <w:rPr/>
        <w:t xml:space="preserve">Additional gate: he only does it </w:t>
      </w:r>
      <w:r>
        <w:rPr>
          <w:i/>
        </w:rPr>
        <w:t>"if I'm very convinced that they'll be very profitable in the future because they've got a very unique business model and they've got an economic moat that can protect them from potential competition."</w:t>
      </w:r>
    </w:p>
    <w:p>
      <w:pPr>
        <w:pStyle w:val="BodyText"/>
        <w:numPr>
          <w:ilvl w:val="0"/>
          <w:numId w:val="395"/>
        </w:numPr>
        <w:tabs>
          <w:tab w:val="clear" w:pos="709"/>
          <w:tab w:val="left" w:pos="709" w:leader="none"/>
        </w:tabs>
        <w:bidi w:val="0"/>
        <w:ind w:hanging="283" w:start="709"/>
        <w:jc w:val="start"/>
        <w:rPr/>
      </w:pPr>
      <w:r>
        <w:rPr>
          <w:b/>
        </w:rPr>
        <w:t>Position sizing penalty: half of his normal investment allocation.</w:t>
      </w:r>
      <w:r>
        <w:rPr/>
        <w:t xml:space="preserve"> </w:t>
      </w:r>
      <w:r>
        <w:rPr>
          <w:i/>
        </w:rPr>
        <w:t>"because they are more risky I don't invest that much — I invest half of my normal investment allocation."</w:t>
      </w:r>
    </w:p>
    <w:p>
      <w:pPr>
        <w:pStyle w:val="BodyText"/>
        <w:numPr>
          <w:ilvl w:val="0"/>
          <w:numId w:val="395"/>
        </w:numPr>
        <w:tabs>
          <w:tab w:val="clear" w:pos="709"/>
          <w:tab w:val="left" w:pos="709" w:leader="none"/>
        </w:tabs>
        <w:bidi w:val="0"/>
        <w:ind w:hanging="283" w:start="709"/>
        <w:jc w:val="start"/>
        <w:rPr/>
      </w:pPr>
      <w:r>
        <w:rPr/>
        <w:t xml:space="preserve">Frequency: </w:t>
      </w:r>
      <w:r>
        <w:rPr>
          <w:i/>
        </w:rPr>
        <w:t>"95% of the time I only invest in companies that pass step one, but there will be a 5% of the time where I make an exception."</w:t>
      </w:r>
    </w:p>
    <w:p>
      <w:pPr>
        <w:pStyle w:val="BodyText"/>
        <w:numPr>
          <w:ilvl w:val="0"/>
          <w:numId w:val="395"/>
        </w:numPr>
        <w:tabs>
          <w:tab w:val="clear" w:pos="709"/>
          <w:tab w:val="left" w:pos="709" w:leader="none"/>
        </w:tabs>
        <w:bidi w:val="0"/>
        <w:ind w:hanging="283" w:start="709"/>
        <w:jc w:val="start"/>
        <w:rPr/>
      </w:pPr>
      <w:r>
        <w:rPr/>
        <w:t xml:space="preserve">Upgrade rule: once the company has </w:t>
      </w:r>
      <w:r>
        <w:rPr>
          <w:b/>
        </w:rPr>
        <w:t>at least 5 years of consistency</w:t>
      </w:r>
      <w:r>
        <w:rPr/>
        <w:t>, it is upgraded from "speculative growth" to a normal investment.</w:t>
      </w:r>
    </w:p>
    <w:p>
      <w:pPr>
        <w:pStyle w:val="Heading4"/>
        <w:numPr>
          <w:ilvl w:val="0"/>
          <w:numId w:val="0"/>
        </w:numPr>
        <w:bidi w:val="0"/>
        <w:ind w:hanging="0" w:start="0"/>
        <w:jc w:val="start"/>
        <w:rPr/>
      </w:pPr>
      <w:r>
        <w:rPr/>
        <w:t>Worked examples</w:t>
      </w:r>
    </w:p>
    <w:tbl>
      <w:tblPr>
        <w:tblW w:w="5000" w:type="pct"/>
        <w:jc w:val="start"/>
        <w:tblInd w:w="-5" w:type="dxa"/>
        <w:tblLayout w:type="fixed"/>
        <w:tblCellMar>
          <w:top w:w="55" w:type="dxa"/>
          <w:start w:w="55" w:type="dxa"/>
          <w:bottom w:w="55" w:type="dxa"/>
          <w:end w:w="55" w:type="dxa"/>
        </w:tblCellMar>
      </w:tblPr>
      <w:tblGrid>
        <w:gridCol w:w="3212"/>
        <w:gridCol w:w="3213"/>
        <w:gridCol w:w="3213"/>
      </w:tblGrid>
      <w:tr>
        <w:trPr>
          <w:tblHeader w:val="true"/>
        </w:trPr>
        <w:tc>
          <w:tcPr>
            <w:tcW w:w="3212" w:type="dxa"/>
            <w:tcBorders>
              <w:top w:val="single" w:sz="4" w:space="0" w:color="000000"/>
              <w:start w:val="single" w:sz="4" w:space="0" w:color="000000"/>
              <w:bottom w:val="single" w:sz="4" w:space="0" w:color="000000"/>
            </w:tcBorders>
          </w:tcPr>
          <w:p>
            <w:pPr>
              <w:pStyle w:val="TableHeading"/>
              <w:bidi w:val="0"/>
              <w:jc w:val="start"/>
              <w:rPr/>
            </w:pPr>
            <w:r>
              <w:rPr/>
              <w:t>Company</w:t>
            </w:r>
          </w:p>
        </w:tc>
        <w:tc>
          <w:tcPr>
            <w:tcW w:w="3213" w:type="dxa"/>
            <w:tcBorders>
              <w:top w:val="single" w:sz="4" w:space="0" w:color="000000"/>
              <w:start w:val="single" w:sz="4" w:space="0" w:color="000000"/>
              <w:bottom w:val="single" w:sz="4" w:space="0" w:color="000000"/>
            </w:tcBorders>
          </w:tcPr>
          <w:p>
            <w:pPr>
              <w:pStyle w:val="TableHeading"/>
              <w:bidi w:val="0"/>
              <w:jc w:val="start"/>
              <w:rPr/>
            </w:pPr>
            <w:r>
              <w:rPr/>
              <w:t>Verdict</w:t>
            </w:r>
          </w:p>
        </w:tc>
        <w:tc>
          <w:tcPr>
            <w:tcW w:w="3213"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Numbers / observation</w:t>
            </w:r>
          </w:p>
        </w:tc>
      </w:tr>
      <w:tr>
        <w:trPr/>
        <w:tc>
          <w:tcPr>
            <w:tcW w:w="3212" w:type="dxa"/>
            <w:tcBorders>
              <w:start w:val="single" w:sz="4" w:space="0" w:color="000000"/>
              <w:bottom w:val="single" w:sz="4" w:space="0" w:color="000000"/>
            </w:tcBorders>
          </w:tcPr>
          <w:p>
            <w:pPr>
              <w:pStyle w:val="TableContents"/>
              <w:bidi w:val="0"/>
              <w:jc w:val="start"/>
              <w:rPr/>
            </w:pPr>
            <w:r>
              <w:rPr>
                <w:b/>
              </w:rPr>
              <w:t>Visa (V)</w:t>
            </w:r>
            <w:r>
              <w:rPr/>
              <w:t xml:space="preserve"> — owned in portfolio</w:t>
            </w:r>
          </w:p>
        </w:tc>
        <w:tc>
          <w:tcPr>
            <w:tcW w:w="3213" w:type="dxa"/>
            <w:tcBorders>
              <w:start w:val="single" w:sz="4" w:space="0" w:color="000000"/>
              <w:bottom w:val="single" w:sz="4" w:space="0" w:color="000000"/>
            </w:tcBorders>
          </w:tcPr>
          <w:p>
            <w:pPr>
              <w:pStyle w:val="TableContents"/>
              <w:bidi w:val="0"/>
              <w:jc w:val="start"/>
              <w:rPr/>
            </w:pPr>
            <w:r>
              <w:rPr/>
              <w:t xml:space="preserve">✅ </w:t>
            </w:r>
            <w:r>
              <w:rPr/>
              <w:t>PASS</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 xml:space="preserve">Revenue, operating income and net income all growing very consistently 5–10 yrs; operating cash flow rising consistently. </w:t>
            </w:r>
            <w:r>
              <w:rPr>
                <w:b/>
              </w:rPr>
              <w:t>Gross margin 78%, operating margin 67%, net profit margin 49%</w:t>
            </w:r>
            <w:r>
              <w:rPr/>
              <w:t xml:space="preserve"> — "very, very strong."</w:t>
            </w:r>
          </w:p>
        </w:tc>
      </w:tr>
      <w:tr>
        <w:trPr/>
        <w:tc>
          <w:tcPr>
            <w:tcW w:w="3212" w:type="dxa"/>
            <w:tcBorders>
              <w:start w:val="single" w:sz="4" w:space="0" w:color="000000"/>
              <w:bottom w:val="single" w:sz="4" w:space="0" w:color="000000"/>
            </w:tcBorders>
          </w:tcPr>
          <w:p>
            <w:pPr>
              <w:pStyle w:val="TableContents"/>
              <w:bidi w:val="0"/>
              <w:jc w:val="start"/>
              <w:rPr/>
            </w:pPr>
            <w:r>
              <w:rPr>
                <w:b/>
              </w:rPr>
              <w:t>Microsoft (MSFT)</w:t>
            </w:r>
            <w:r>
              <w:rPr/>
              <w:t xml:space="preserve"> — owned in portfolio</w:t>
            </w:r>
          </w:p>
        </w:tc>
        <w:tc>
          <w:tcPr>
            <w:tcW w:w="3213" w:type="dxa"/>
            <w:tcBorders>
              <w:start w:val="single" w:sz="4" w:space="0" w:color="000000"/>
              <w:bottom w:val="single" w:sz="4" w:space="0" w:color="000000"/>
            </w:tcBorders>
          </w:tcPr>
          <w:p>
            <w:pPr>
              <w:pStyle w:val="TableContents"/>
              <w:bidi w:val="0"/>
              <w:jc w:val="start"/>
              <w:rPr/>
            </w:pPr>
            <w:r>
              <w:rPr/>
              <w:t xml:space="preserve">✅ </w:t>
            </w:r>
            <w:r>
              <w:rPr/>
              <w:t>PASS</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 xml:space="preserve">Sales, net income and operating cash flow all very consistent. </w:t>
            </w:r>
            <w:r>
              <w:rPr>
                <w:b/>
              </w:rPr>
              <w:t>Gross margin 68%, operating margin 46%, net profit margin 39%.</w:t>
            </w:r>
          </w:p>
        </w:tc>
      </w:tr>
      <w:tr>
        <w:trPr/>
        <w:tc>
          <w:tcPr>
            <w:tcW w:w="3212" w:type="dxa"/>
            <w:tcBorders>
              <w:start w:val="single" w:sz="4" w:space="0" w:color="000000"/>
              <w:bottom w:val="single" w:sz="4" w:space="0" w:color="000000"/>
            </w:tcBorders>
          </w:tcPr>
          <w:p>
            <w:pPr>
              <w:pStyle w:val="TableContents"/>
              <w:bidi w:val="0"/>
              <w:jc w:val="start"/>
              <w:rPr/>
            </w:pPr>
            <w:r>
              <w:rPr>
                <w:b/>
              </w:rPr>
              <w:t>Johnson &amp; Johnson (JNJ)</w:t>
            </w:r>
          </w:p>
        </w:tc>
        <w:tc>
          <w:tcPr>
            <w:tcW w:w="3213" w:type="dxa"/>
            <w:tcBorders>
              <w:start w:val="single" w:sz="4" w:space="0" w:color="000000"/>
              <w:bottom w:val="single" w:sz="4" w:space="0" w:color="000000"/>
            </w:tcBorders>
          </w:tcPr>
          <w:p>
            <w:pPr>
              <w:pStyle w:val="TableContents"/>
              <w:bidi w:val="0"/>
              <w:jc w:val="start"/>
              <w:rPr/>
            </w:pPr>
            <w:r>
              <w:rPr/>
              <w:t xml:space="preserve">✅ </w:t>
            </w:r>
            <w:r>
              <w:rPr/>
              <w:t>PASS (illustrative)</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Net income "increasing year after year after year" over the same period as GM.</w:t>
            </w:r>
          </w:p>
        </w:tc>
      </w:tr>
      <w:tr>
        <w:trPr/>
        <w:tc>
          <w:tcPr>
            <w:tcW w:w="3212" w:type="dxa"/>
            <w:tcBorders>
              <w:start w:val="single" w:sz="4" w:space="0" w:color="000000"/>
              <w:bottom w:val="single" w:sz="4" w:space="0" w:color="000000"/>
            </w:tcBorders>
          </w:tcPr>
          <w:p>
            <w:pPr>
              <w:pStyle w:val="TableContents"/>
              <w:bidi w:val="0"/>
              <w:jc w:val="start"/>
              <w:rPr/>
            </w:pPr>
            <w:r>
              <w:rPr>
                <w:b/>
              </w:rPr>
              <w:t>General Motors (GM)</w:t>
            </w:r>
          </w:p>
        </w:tc>
        <w:tc>
          <w:tcPr>
            <w:tcW w:w="3213" w:type="dxa"/>
            <w:tcBorders>
              <w:start w:val="single" w:sz="4" w:space="0" w:color="000000"/>
              <w:bottom w:val="single" w:sz="4" w:space="0" w:color="000000"/>
            </w:tcBorders>
          </w:tcPr>
          <w:p>
            <w:pPr>
              <w:pStyle w:val="TableContents"/>
              <w:bidi w:val="0"/>
              <w:jc w:val="start"/>
              <w:rPr/>
            </w:pPr>
            <w:r>
              <w:rPr/>
              <w:t xml:space="preserve">❌ </w:t>
            </w:r>
            <w:r>
              <w:rPr/>
              <w:t>FAIL</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Over a 6-year window: high profits → break-even → profits → more profits → less profits → loss. "Inconsistent… unpredictable."</w:t>
            </w:r>
          </w:p>
        </w:tc>
      </w:tr>
      <w:tr>
        <w:trPr/>
        <w:tc>
          <w:tcPr>
            <w:tcW w:w="3212" w:type="dxa"/>
            <w:tcBorders>
              <w:start w:val="single" w:sz="4" w:space="0" w:color="000000"/>
              <w:bottom w:val="single" w:sz="4" w:space="0" w:color="000000"/>
            </w:tcBorders>
          </w:tcPr>
          <w:p>
            <w:pPr>
              <w:pStyle w:val="TableContents"/>
              <w:bidi w:val="0"/>
              <w:jc w:val="start"/>
              <w:rPr/>
            </w:pPr>
            <w:r>
              <w:rPr>
                <w:b/>
              </w:rPr>
              <w:t>ExxonMobil (XOM)</w:t>
            </w:r>
          </w:p>
        </w:tc>
        <w:tc>
          <w:tcPr>
            <w:tcW w:w="3213" w:type="dxa"/>
            <w:tcBorders>
              <w:start w:val="single" w:sz="4" w:space="0" w:color="000000"/>
              <w:bottom w:val="single" w:sz="4" w:space="0" w:color="000000"/>
            </w:tcBorders>
          </w:tcPr>
          <w:p>
            <w:pPr>
              <w:pStyle w:val="TableContents"/>
              <w:bidi w:val="0"/>
              <w:jc w:val="start"/>
              <w:rPr/>
            </w:pPr>
            <w:r>
              <w:rPr/>
              <w:t xml:space="preserve">❌ </w:t>
            </w:r>
            <w:r>
              <w:rPr/>
              <w:t>FAIL</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Revenue up/down like a roller coaster; operating and net income choppy including a loss year; operating cash flow up/down. Profit driven by oil price (2016 war → big profits; COVID → big losses). "Good for speculation, short-term trading, but not for long-term investing."</w:t>
            </w:r>
          </w:p>
        </w:tc>
      </w:tr>
      <w:tr>
        <w:trPr/>
        <w:tc>
          <w:tcPr>
            <w:tcW w:w="3212" w:type="dxa"/>
            <w:tcBorders>
              <w:start w:val="single" w:sz="4" w:space="0" w:color="000000"/>
              <w:bottom w:val="single" w:sz="4" w:space="0" w:color="000000"/>
            </w:tcBorders>
          </w:tcPr>
          <w:p>
            <w:pPr>
              <w:pStyle w:val="TableContents"/>
              <w:bidi w:val="0"/>
              <w:jc w:val="start"/>
              <w:rPr/>
            </w:pPr>
            <w:r>
              <w:rPr>
                <w:b/>
              </w:rPr>
              <w:t>Singapore Airlines</w:t>
            </w:r>
          </w:p>
        </w:tc>
        <w:tc>
          <w:tcPr>
            <w:tcW w:w="3213" w:type="dxa"/>
            <w:tcBorders>
              <w:start w:val="single" w:sz="4" w:space="0" w:color="000000"/>
              <w:bottom w:val="single" w:sz="4" w:space="0" w:color="000000"/>
            </w:tcBorders>
          </w:tcPr>
          <w:p>
            <w:pPr>
              <w:pStyle w:val="TableContents"/>
              <w:bidi w:val="0"/>
              <w:jc w:val="start"/>
              <w:rPr/>
            </w:pPr>
            <w:r>
              <w:rPr/>
              <w:t xml:space="preserve">❌ </w:t>
            </w:r>
            <w:r>
              <w:rPr/>
              <w:t>FAIL</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 xml:space="preserve">Revenue cyclical; profits choppy with loss years; net operating cash flow up/down/negative. </w:t>
            </w:r>
            <w:r>
              <w:rPr>
                <w:b/>
              </w:rPr>
              <w:t>Gross profit margin only 16%, net profit margin only 9.6%</w:t>
            </w:r>
            <w:r>
              <w:rPr/>
              <w:t xml:space="preserve"> — low margins from labour, fuel and maintenance costs. "Although I fly on Singapore Airlines, I won't invest in the business."</w:t>
            </w:r>
          </w:p>
        </w:tc>
      </w:tr>
      <w:tr>
        <w:trPr/>
        <w:tc>
          <w:tcPr>
            <w:tcW w:w="3212" w:type="dxa"/>
            <w:tcBorders>
              <w:start w:val="single" w:sz="4" w:space="0" w:color="000000"/>
              <w:bottom w:val="single" w:sz="4" w:space="0" w:color="000000"/>
            </w:tcBorders>
          </w:tcPr>
          <w:p>
            <w:pPr>
              <w:pStyle w:val="TableContents"/>
              <w:bidi w:val="0"/>
              <w:jc w:val="start"/>
              <w:rPr/>
            </w:pPr>
            <w:r>
              <w:rPr>
                <w:b/>
              </w:rPr>
              <w:t>Palantir (PLTR)</w:t>
            </w:r>
          </w:p>
        </w:tc>
        <w:tc>
          <w:tcPr>
            <w:tcW w:w="3213" w:type="dxa"/>
            <w:tcBorders>
              <w:start w:val="single" w:sz="4" w:space="0" w:color="000000"/>
              <w:bottom w:val="single" w:sz="4" w:space="0" w:color="000000"/>
            </w:tcBorders>
          </w:tcPr>
          <w:p>
            <w:pPr>
              <w:pStyle w:val="TableContents"/>
              <w:bidi w:val="0"/>
              <w:jc w:val="start"/>
              <w:rPr/>
            </w:pPr>
            <w:r>
              <w:rPr/>
              <w:t xml:space="preserve">⚠️ </w:t>
            </w:r>
            <w:r>
              <w:rPr/>
              <w:t>Speculative exception</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 xml:space="preserve">First invested </w:t>
            </w:r>
            <w:r>
              <w:rPr>
                <w:b/>
              </w:rPr>
              <w:t>2022</w:t>
            </w:r>
            <w:r>
              <w:rPr/>
              <w:t xml:space="preserve">. At the time revenue growing very strongly, net income still negative, but </w:t>
            </w:r>
            <w:r>
              <w:rPr>
                <w:b/>
              </w:rPr>
              <w:t>cash flow from operations turned positive on the quarterly view in December 2022</w:t>
            </w:r>
            <w:r>
              <w:rPr/>
              <w:t xml:space="preserve"> — that quarter triggered the buy. Thesis: only company then using AI inside enterprise software (pre-ChatGPT). ~4 years later revenue still growing, profits rising for 4 years — </w:t>
            </w:r>
            <w:r>
              <w:rPr>
                <w:i/>
              </w:rPr>
              <w:t>"has not yet reached a five-year track record so I still classify it as a speculative growth company."</w:t>
            </w:r>
          </w:p>
        </w:tc>
      </w:tr>
      <w:tr>
        <w:trPr/>
        <w:tc>
          <w:tcPr>
            <w:tcW w:w="3212" w:type="dxa"/>
            <w:tcBorders>
              <w:start w:val="single" w:sz="4" w:space="0" w:color="000000"/>
              <w:bottom w:val="single" w:sz="4" w:space="0" w:color="000000"/>
            </w:tcBorders>
          </w:tcPr>
          <w:p>
            <w:pPr>
              <w:pStyle w:val="TableContents"/>
              <w:bidi w:val="0"/>
              <w:jc w:val="start"/>
              <w:rPr/>
            </w:pPr>
            <w:r>
              <w:rPr>
                <w:b/>
              </w:rPr>
              <w:t>Meituan (China)</w:t>
            </w:r>
          </w:p>
        </w:tc>
        <w:tc>
          <w:tcPr>
            <w:tcW w:w="3213" w:type="dxa"/>
            <w:tcBorders>
              <w:start w:val="single" w:sz="4" w:space="0" w:color="000000"/>
              <w:bottom w:val="single" w:sz="4" w:space="0" w:color="000000"/>
            </w:tcBorders>
          </w:tcPr>
          <w:p>
            <w:pPr>
              <w:pStyle w:val="TableContents"/>
              <w:bidi w:val="0"/>
              <w:jc w:val="start"/>
              <w:rPr/>
            </w:pPr>
            <w:r>
              <w:rPr/>
              <w:t xml:space="preserve">⚠️ </w:t>
            </w:r>
            <w:r>
              <w:rPr/>
              <w:t>Speculative exception</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Bought ~2 years prior, when profit and cash flow had just turned positive.</w:t>
            </w:r>
          </w:p>
        </w:tc>
      </w:tr>
    </w:tbl>
    <w:p>
      <w:pPr>
        <w:pStyle w:val="BodyText"/>
        <w:bidi w:val="0"/>
        <w:jc w:val="start"/>
        <w:rPr/>
      </w:pPr>
      <w:r>
        <w:rPr/>
      </w:r>
    </w:p>
    <w:p>
      <w:pPr>
        <w:pStyle w:val="Heading4"/>
        <w:bidi w:val="0"/>
        <w:ind w:hanging="0" w:start="0"/>
        <w:jc w:val="start"/>
        <w:rPr/>
      </w:pPr>
      <w:r>
        <w:rPr/>
        <w:t>Where to find the data (tools)</w:t>
      </w:r>
    </w:p>
    <w:p>
      <w:pPr>
        <w:pStyle w:val="BodyText"/>
        <w:numPr>
          <w:ilvl w:val="0"/>
          <w:numId w:val="396"/>
        </w:numPr>
        <w:tabs>
          <w:tab w:val="clear" w:pos="709"/>
          <w:tab w:val="left" w:pos="709" w:leader="none"/>
        </w:tabs>
        <w:bidi w:val="0"/>
        <w:ind w:hanging="283" w:start="709"/>
        <w:jc w:val="start"/>
        <w:rPr/>
      </w:pPr>
      <w:r>
        <w:rPr>
          <w:b/>
        </w:rPr>
        <w:t>StockOracle → Financials → "Financial Trends" chart</w:t>
      </w:r>
      <w:r>
        <w:rPr/>
        <w:t xml:space="preserve"> — visual of revenue / operating income / net income + operating cash flow.</w:t>
      </w:r>
    </w:p>
    <w:p>
      <w:pPr>
        <w:pStyle w:val="BodyText"/>
        <w:numPr>
          <w:ilvl w:val="0"/>
          <w:numId w:val="396"/>
        </w:numPr>
        <w:tabs>
          <w:tab w:val="clear" w:pos="709"/>
          <w:tab w:val="left" w:pos="709" w:leader="none"/>
        </w:tabs>
        <w:bidi w:val="0"/>
        <w:ind w:hanging="283" w:start="709"/>
        <w:jc w:val="start"/>
        <w:rPr/>
      </w:pPr>
      <w:r>
        <w:rPr>
          <w:b/>
        </w:rPr>
        <w:t>StockOracle → Financials → Income Statement</w:t>
      </w:r>
      <w:r>
        <w:rPr/>
        <w:t xml:space="preserve"> — revenue growth, operating income growth.</w:t>
      </w:r>
    </w:p>
    <w:p>
      <w:pPr>
        <w:pStyle w:val="BodyText"/>
        <w:numPr>
          <w:ilvl w:val="0"/>
          <w:numId w:val="396"/>
        </w:numPr>
        <w:tabs>
          <w:tab w:val="clear" w:pos="709"/>
          <w:tab w:val="left" w:pos="709" w:leader="none"/>
        </w:tabs>
        <w:bidi w:val="0"/>
        <w:ind w:hanging="283" w:start="709"/>
        <w:jc w:val="start"/>
        <w:rPr/>
      </w:pPr>
      <w:r>
        <w:rPr>
          <w:b/>
        </w:rPr>
        <w:t>StockOracle → Statement of Cash Flows</w:t>
      </w:r>
      <w:r>
        <w:rPr/>
        <w:t xml:space="preserve"> — cash flow from operations growth.</w:t>
      </w:r>
    </w:p>
    <w:p>
      <w:pPr>
        <w:pStyle w:val="BodyText"/>
        <w:numPr>
          <w:ilvl w:val="0"/>
          <w:numId w:val="396"/>
        </w:numPr>
        <w:tabs>
          <w:tab w:val="clear" w:pos="709"/>
          <w:tab w:val="left" w:pos="709" w:leader="none"/>
        </w:tabs>
        <w:bidi w:val="0"/>
        <w:ind w:hanging="283" w:start="709"/>
        <w:jc w:val="start"/>
        <w:rPr/>
      </w:pPr>
      <w:r>
        <w:rPr>
          <w:b/>
        </w:rPr>
        <w:t>StockOracle → Company Metrics</w:t>
      </w:r>
      <w:r>
        <w:rPr/>
        <w:t xml:space="preserve"> — margin trend chart plus a table of </w:t>
      </w:r>
      <w:r>
        <w:rPr>
          <w:b/>
        </w:rPr>
        <w:t>current vs 5-year average</w:t>
      </w:r>
      <w:r>
        <w:rPr/>
        <w:t xml:space="preserve"> gross / operating / net margin.</w:t>
      </w:r>
    </w:p>
    <w:p>
      <w:pPr>
        <w:pStyle w:val="BodyText"/>
        <w:numPr>
          <w:ilvl w:val="0"/>
          <w:numId w:val="396"/>
        </w:numPr>
        <w:tabs>
          <w:tab w:val="clear" w:pos="709"/>
          <w:tab w:val="left" w:pos="709" w:leader="none"/>
        </w:tabs>
        <w:bidi w:val="0"/>
        <w:ind w:hanging="283" w:start="709"/>
        <w:jc w:val="start"/>
        <w:rPr/>
      </w:pPr>
      <w:r>
        <w:rPr>
          <w:b/>
        </w:rPr>
        <w:t>Quarterly toggle</w:t>
      </w:r>
      <w:r>
        <w:rPr/>
        <w:t xml:space="preserve"> on StockOracle financials — required for the speculative-growth check (full-year may still be negative while quarterly has turned positive).</w:t>
      </w:r>
    </w:p>
    <w:p>
      <w:pPr>
        <w:pStyle w:val="HorizontalLine"/>
        <w:bidi w:val="0"/>
        <w:jc w:val="start"/>
        <w:rPr/>
      </w:pPr>
      <w:r>
        <w:rPr/>
      </w:r>
    </w:p>
    <w:p>
      <w:pPr>
        <w:pStyle w:val="Heading3"/>
        <w:bidi w:val="0"/>
        <w:ind w:hanging="0" w:start="0"/>
        <w:jc w:val="start"/>
        <w:rPr/>
      </w:pPr>
      <w:r>
        <w:rPr/>
        <w:t>STEP 2 — Positive Projected Growth Rate (Growth Catalysts)</w:t>
      </w:r>
    </w:p>
    <w:p>
      <w:pPr>
        <w:pStyle w:val="Heading4"/>
        <w:bidi w:val="0"/>
        <w:ind w:hanging="0" w:start="0"/>
        <w:jc w:val="start"/>
        <w:rPr/>
      </w:pPr>
      <w:r>
        <w:rPr/>
        <w:t>What it checks</w:t>
      </w:r>
    </w:p>
    <w:p>
      <w:pPr>
        <w:pStyle w:val="BodyText"/>
        <w:bidi w:val="0"/>
        <w:jc w:val="start"/>
        <w:rPr/>
      </w:pPr>
      <w:r>
        <w:rPr/>
        <w:t xml:space="preserve">That the business </w:t>
      </w:r>
      <w:r>
        <w:rPr>
          <w:i/>
        </w:rPr>
        <w:t>"is projected to grow in the next 10 to 20 years"</w:t>
      </w:r>
      <w:r>
        <w:rPr/>
        <w:t xml:space="preserve"> — a </w:t>
      </w:r>
      <w:r>
        <w:rPr>
          <w:b/>
        </w:rPr>
        <w:t>positive growth rate</w:t>
      </w:r>
      <w:r>
        <w:rPr/>
        <w:t xml:space="preserve"> — driven by real growth catalysts (being in a growth industry, opening more outlets, creating more products, expanding the addressable customer base).</w:t>
      </w:r>
    </w:p>
    <w:p>
      <w:pPr>
        <w:pStyle w:val="Heading4"/>
        <w:bidi w:val="0"/>
        <w:ind w:hanging="0" w:start="0"/>
        <w:jc w:val="start"/>
        <w:rPr/>
      </w:pPr>
      <w:r>
        <w:rPr/>
        <w:t>Exact criteria</w:t>
      </w:r>
    </w:p>
    <w:p>
      <w:pPr>
        <w:pStyle w:val="BodyText"/>
        <w:numPr>
          <w:ilvl w:val="0"/>
          <w:numId w:val="397"/>
        </w:numPr>
        <w:tabs>
          <w:tab w:val="clear" w:pos="709"/>
          <w:tab w:val="left" w:pos="709" w:leader="none"/>
        </w:tabs>
        <w:bidi w:val="0"/>
        <w:ind w:hanging="283" w:start="709"/>
        <w:jc w:val="start"/>
        <w:rPr/>
      </w:pPr>
      <w:sdt>
        <w:sdtPr>
          <w:id w:val="2065632019"/>
          <w14:checkbox>
            <w14:checked w14:val="0"/>
            <w14:checkedState w14:val="2612"/>
            <w14:uncheckedState w14:val="2610"/>
          </w14:checkbox>
        </w:sdtPr>
        <w:sdtContent>
          <w:r>
            <w:rPr/>
          </w:r>
          <w:r>
            <w:rPr/>
            <w:t>☐</w:t>
          </w:r>
        </w:sdtContent>
      </w:sdt>
      <w:r>
        <w:rPr/>
        <w:t xml:space="preserve"> </w:t>
      </w:r>
      <w:r>
        <w:rPr/>
        <w:t xml:space="preserve">Projected earnings growth rate is </w:t>
      </w:r>
      <w:r>
        <w:rPr>
          <w:b/>
        </w:rPr>
        <w:t>positive</w:t>
      </w:r>
      <w:r>
        <w:rPr/>
        <w:t xml:space="preserve"> → PASS</w:t>
      </w:r>
    </w:p>
    <w:p>
      <w:pPr>
        <w:pStyle w:val="BodyText"/>
        <w:numPr>
          <w:ilvl w:val="0"/>
          <w:numId w:val="397"/>
        </w:numPr>
        <w:tabs>
          <w:tab w:val="clear" w:pos="709"/>
          <w:tab w:val="left" w:pos="709" w:leader="none"/>
        </w:tabs>
        <w:bidi w:val="0"/>
        <w:ind w:hanging="283" w:start="709"/>
        <w:jc w:val="start"/>
        <w:rPr/>
      </w:pPr>
      <w:sdt>
        <w:sdtPr>
          <w:id w:val="1395254322"/>
          <w14:checkbox>
            <w14:checked w14:val="0"/>
            <w14:checkedState w14:val="2612"/>
            <w14:uncheckedState w14:val="2610"/>
          </w14:checkbox>
        </w:sdtPr>
        <w:sdtContent>
          <w:r>
            <w:rPr/>
          </w:r>
          <w:r>
            <w:rPr/>
            <w:t>☐</w:t>
          </w:r>
        </w:sdtContent>
      </w:sdt>
      <w:r>
        <w:rPr/>
        <w:t xml:space="preserve"> </w:t>
      </w:r>
      <w:r>
        <w:rPr>
          <w:i/>
        </w:rPr>
        <w:t>"Obviously the higher the growth rate, the better"</w:t>
      </w:r>
      <w:r>
        <w:rPr/>
        <w:t xml:space="preserve"> (no numeric minimum is given — positive is the bar)</w:t>
      </w:r>
    </w:p>
    <w:p>
      <w:pPr>
        <w:pStyle w:val="BodyText"/>
        <w:numPr>
          <w:ilvl w:val="0"/>
          <w:numId w:val="397"/>
        </w:numPr>
        <w:tabs>
          <w:tab w:val="clear" w:pos="709"/>
          <w:tab w:val="left" w:pos="709" w:leader="none"/>
        </w:tabs>
        <w:bidi w:val="0"/>
        <w:ind w:hanging="283" w:start="709"/>
        <w:jc w:val="start"/>
        <w:rPr/>
      </w:pPr>
      <w:sdt>
        <w:sdtPr>
          <w:id w:val="288715822"/>
          <w14:checkbox>
            <w14:checked w14:val="0"/>
            <w14:checkedState w14:val="2612"/>
            <w14:uncheckedState w14:val="2610"/>
          </w14:checkbox>
        </w:sdtPr>
        <w:sdtContent>
          <w:r>
            <w:rPr/>
          </w:r>
          <w:r>
            <w:rPr/>
            <w:t>☐</w:t>
          </w:r>
        </w:sdtContent>
      </w:sdt>
      <w:r>
        <w:rPr/>
        <w:t xml:space="preserve"> </w:t>
      </w:r>
      <w:r>
        <w:rPr>
          <w:b/>
        </w:rPr>
        <w:t>Ideal (not mandatory):</w:t>
      </w:r>
      <w:r>
        <w:rPr/>
        <w:t xml:space="preserve"> the company sits inside one of the six high-growth secular trends listed below</w:t>
      </w:r>
    </w:p>
    <w:p>
      <w:pPr>
        <w:pStyle w:val="BodyText"/>
        <w:bidi w:val="0"/>
        <w:jc w:val="start"/>
        <w:rPr/>
      </w:pPr>
      <w:r>
        <w:rPr>
          <w:b/>
        </w:rPr>
        <w:t>PASS = positive projected growth. FAIL = zero/negative projected growth.</w:t>
      </w:r>
      <w:r>
        <w:rPr/>
        <w:t xml:space="preserve"> This is the loosest of the seven gates.</w:t>
      </w:r>
    </w:p>
    <w:p>
      <w:pPr>
        <w:pStyle w:val="Heading4"/>
        <w:bidi w:val="0"/>
        <w:ind w:hanging="0" w:start="0"/>
        <w:jc w:val="start"/>
        <w:rPr/>
      </w:pPr>
      <w:r>
        <w:rPr/>
        <w:t>Where to find the projected growth rate (tools)</w:t>
      </w:r>
    </w:p>
    <w:p>
      <w:pPr>
        <w:pStyle w:val="BodyText"/>
        <w:numPr>
          <w:ilvl w:val="0"/>
          <w:numId w:val="398"/>
        </w:numPr>
        <w:tabs>
          <w:tab w:val="clear" w:pos="709"/>
          <w:tab w:val="left" w:pos="709" w:leader="none"/>
        </w:tabs>
        <w:bidi w:val="0"/>
        <w:ind w:hanging="283" w:start="709"/>
        <w:jc w:val="start"/>
        <w:rPr/>
      </w:pPr>
      <w:r>
        <w:rPr>
          <w:b/>
        </w:rPr>
        <w:t>StockOracle → Company Metrics → scroll to the bottom → "Projected Growth"</w:t>
      </w:r>
      <w:r>
        <w:rPr/>
        <w:t xml:space="preserve"> — gives the </w:t>
      </w:r>
      <w:r>
        <w:rPr>
          <w:b/>
        </w:rPr>
        <w:t>next 3–5 year</w:t>
      </w:r>
      <w:r>
        <w:rPr/>
        <w:t xml:space="preserve"> projected earnings growth rate AND a </w:t>
      </w:r>
      <w:r>
        <w:rPr>
          <w:b/>
        </w:rPr>
        <w:t>long-term</w:t>
      </w:r>
      <w:r>
        <w:rPr/>
        <w:t xml:space="preserve"> growth rate.</w:t>
      </w:r>
    </w:p>
    <w:p>
      <w:pPr>
        <w:pStyle w:val="BodyText"/>
        <w:numPr>
          <w:ilvl w:val="0"/>
          <w:numId w:val="398"/>
        </w:numPr>
        <w:tabs>
          <w:tab w:val="clear" w:pos="709"/>
          <w:tab w:val="left" w:pos="709" w:leader="none"/>
        </w:tabs>
        <w:bidi w:val="0"/>
        <w:ind w:hanging="283" w:start="709"/>
        <w:jc w:val="start"/>
        <w:rPr/>
      </w:pPr>
      <w:r>
        <w:rPr>
          <w:b/>
        </w:rPr>
        <w:t>finviz.com</w:t>
      </w:r>
    </w:p>
    <w:p>
      <w:pPr>
        <w:pStyle w:val="BodyText"/>
        <w:numPr>
          <w:ilvl w:val="0"/>
          <w:numId w:val="398"/>
        </w:numPr>
        <w:tabs>
          <w:tab w:val="clear" w:pos="709"/>
          <w:tab w:val="left" w:pos="709" w:leader="none"/>
        </w:tabs>
        <w:bidi w:val="0"/>
        <w:ind w:hanging="283" w:start="709"/>
        <w:jc w:val="start"/>
        <w:rPr/>
      </w:pPr>
      <w:r>
        <w:rPr>
          <w:b/>
        </w:rPr>
        <w:t>Yahoo Finance</w:t>
      </w:r>
    </w:p>
    <w:p>
      <w:pPr>
        <w:pStyle w:val="BodyText"/>
        <w:numPr>
          <w:ilvl w:val="0"/>
          <w:numId w:val="398"/>
        </w:numPr>
        <w:tabs>
          <w:tab w:val="clear" w:pos="709"/>
          <w:tab w:val="left" w:pos="709" w:leader="none"/>
        </w:tabs>
        <w:bidi w:val="0"/>
        <w:ind w:hanging="283" w:start="709"/>
        <w:jc w:val="start"/>
        <w:rPr/>
      </w:pPr>
      <w:r>
        <w:rPr>
          <w:b/>
        </w:rPr>
        <w:t>zacks.com</w:t>
      </w:r>
    </w:p>
    <w:p>
      <w:pPr>
        <w:pStyle w:val="Heading4"/>
        <w:numPr>
          <w:ilvl w:val="0"/>
          <w:numId w:val="0"/>
        </w:numPr>
        <w:bidi w:val="0"/>
        <w:ind w:hanging="0" w:start="0"/>
        <w:jc w:val="start"/>
        <w:rPr/>
      </w:pPr>
      <w:r>
        <w:rPr/>
        <w:t xml:space="preserve">Where to find the </w:t>
      </w:r>
      <w:r>
        <w:rPr>
          <w:i/>
        </w:rPr>
        <w:t>reasons</w:t>
      </w:r>
      <w:r>
        <w:rPr/>
        <w:t xml:space="preserve"> for growth (best sources)</w:t>
      </w:r>
    </w:p>
    <w:p>
      <w:pPr>
        <w:pStyle w:val="BodyText"/>
        <w:numPr>
          <w:ilvl w:val="0"/>
          <w:numId w:val="399"/>
        </w:numPr>
        <w:tabs>
          <w:tab w:val="clear" w:pos="709"/>
          <w:tab w:val="left" w:pos="709" w:leader="none"/>
        </w:tabs>
        <w:bidi w:val="0"/>
        <w:ind w:hanging="283" w:start="709"/>
        <w:jc w:val="start"/>
        <w:rPr/>
      </w:pPr>
      <w:r>
        <w:rPr/>
        <w:t xml:space="preserve">The company's </w:t>
      </w:r>
      <w:r>
        <w:rPr>
          <w:b/>
        </w:rPr>
        <w:t>quarterly reports</w:t>
      </w:r>
    </w:p>
    <w:p>
      <w:pPr>
        <w:pStyle w:val="BodyText"/>
        <w:numPr>
          <w:ilvl w:val="0"/>
          <w:numId w:val="399"/>
        </w:numPr>
        <w:tabs>
          <w:tab w:val="clear" w:pos="709"/>
          <w:tab w:val="left" w:pos="709" w:leader="none"/>
        </w:tabs>
        <w:bidi w:val="0"/>
        <w:ind w:hanging="283" w:start="709"/>
        <w:jc w:val="start"/>
        <w:rPr/>
      </w:pPr>
      <w:r>
        <w:rPr/>
        <w:t xml:space="preserve">The company's </w:t>
      </w:r>
      <w:r>
        <w:rPr>
          <w:b/>
        </w:rPr>
        <w:t>annual reports</w:t>
      </w:r>
    </w:p>
    <w:p>
      <w:pPr>
        <w:pStyle w:val="BodyText"/>
        <w:numPr>
          <w:ilvl w:val="0"/>
          <w:numId w:val="399"/>
        </w:numPr>
        <w:tabs>
          <w:tab w:val="clear" w:pos="709"/>
          <w:tab w:val="left" w:pos="709" w:leader="none"/>
        </w:tabs>
        <w:bidi w:val="0"/>
        <w:ind w:hanging="283" w:start="709"/>
        <w:jc w:val="start"/>
        <w:rPr/>
      </w:pPr>
      <w:r>
        <w:rPr/>
        <w:t xml:space="preserve">The company's </w:t>
      </w:r>
      <w:r>
        <w:rPr>
          <w:b/>
        </w:rPr>
        <w:t>earnings call transcript</w:t>
      </w:r>
      <w:r>
        <w:rPr/>
        <w:t xml:space="preserve"> — </w:t>
      </w:r>
      <w:r>
        <w:rPr>
          <w:i/>
        </w:rPr>
        <w:t>"where the entire management team will talk about what are their growth plans in the future… what new products, what new services, what new markets are they growing into."</w:t>
      </w:r>
    </w:p>
    <w:p>
      <w:pPr>
        <w:pStyle w:val="BodyText"/>
        <w:numPr>
          <w:ilvl w:val="0"/>
          <w:numId w:val="399"/>
        </w:numPr>
        <w:tabs>
          <w:tab w:val="clear" w:pos="709"/>
          <w:tab w:val="left" w:pos="709" w:leader="none"/>
        </w:tabs>
        <w:bidi w:val="0"/>
        <w:ind w:hanging="283" w:start="709"/>
        <w:jc w:val="start"/>
        <w:rPr/>
      </w:pPr>
      <w:r>
        <w:rPr>
          <w:b/>
        </w:rPr>
        <w:t>StockOracle → Earnings tab</w:t>
      </w:r>
      <w:r>
        <w:rPr/>
        <w:t xml:space="preserve"> — download the quarterly press release and open the earnings call transcript.</w:t>
      </w:r>
    </w:p>
    <w:p>
      <w:pPr>
        <w:pStyle w:val="BodyText"/>
        <w:numPr>
          <w:ilvl w:val="0"/>
          <w:numId w:val="399"/>
        </w:numPr>
        <w:tabs>
          <w:tab w:val="clear" w:pos="709"/>
          <w:tab w:val="left" w:pos="709" w:leader="none"/>
        </w:tabs>
        <w:bidi w:val="0"/>
        <w:ind w:hanging="283" w:start="709"/>
        <w:jc w:val="start"/>
        <w:rPr/>
      </w:pPr>
      <w:r>
        <w:rPr>
          <w:b/>
        </w:rPr>
        <w:t>Shortcut: StockOracle → "AI Insights" → scroll to Growth Drivers.</w:t>
      </w:r>
    </w:p>
    <w:p>
      <w:pPr>
        <w:pStyle w:val="Heading4"/>
        <w:numPr>
          <w:ilvl w:val="0"/>
          <w:numId w:val="0"/>
        </w:numPr>
        <w:bidi w:val="0"/>
        <w:ind w:hanging="0" w:start="0"/>
        <w:jc w:val="start"/>
        <w:rPr/>
      </w:pPr>
      <w:r>
        <w:rPr/>
        <w:t>Worked example — Microsoft</w:t>
      </w:r>
    </w:p>
    <w:p>
      <w:pPr>
        <w:pStyle w:val="BodyText"/>
        <w:numPr>
          <w:ilvl w:val="0"/>
          <w:numId w:val="400"/>
        </w:numPr>
        <w:tabs>
          <w:tab w:val="clear" w:pos="709"/>
          <w:tab w:val="left" w:pos="709" w:leader="none"/>
        </w:tabs>
        <w:bidi w:val="0"/>
        <w:ind w:hanging="283" w:start="709"/>
        <w:jc w:val="start"/>
        <w:rPr/>
      </w:pPr>
      <w:r>
        <w:rPr/>
        <w:t xml:space="preserve">Projected earnings growth </w:t>
      </w:r>
      <w:r>
        <w:rPr>
          <w:b/>
        </w:rPr>
        <w:t>19.62% for the next 3–5 years</w:t>
      </w:r>
    </w:p>
    <w:p>
      <w:pPr>
        <w:pStyle w:val="BodyText"/>
        <w:numPr>
          <w:ilvl w:val="0"/>
          <w:numId w:val="400"/>
        </w:numPr>
        <w:tabs>
          <w:tab w:val="clear" w:pos="709"/>
          <w:tab w:val="left" w:pos="709" w:leader="none"/>
        </w:tabs>
        <w:bidi w:val="0"/>
        <w:ind w:hanging="283" w:start="709"/>
        <w:jc w:val="start"/>
        <w:rPr/>
      </w:pPr>
      <w:r>
        <w:rPr/>
        <w:t xml:space="preserve">Projected earnings growth </w:t>
      </w:r>
      <w:r>
        <w:rPr>
          <w:b/>
        </w:rPr>
        <w:t>8.9% beyond that (long-term)</w:t>
      </w:r>
    </w:p>
    <w:p>
      <w:pPr>
        <w:pStyle w:val="BodyText"/>
        <w:numPr>
          <w:ilvl w:val="0"/>
          <w:numId w:val="400"/>
        </w:numPr>
        <w:tabs>
          <w:tab w:val="clear" w:pos="709"/>
          <w:tab w:val="left" w:pos="709" w:leader="none"/>
        </w:tabs>
        <w:bidi w:val="0"/>
        <w:ind w:hanging="283" w:start="709"/>
        <w:jc w:val="start"/>
        <w:rPr/>
      </w:pPr>
      <w:r>
        <w:rPr/>
        <w:t xml:space="preserve">Verdict: positive → </w:t>
      </w:r>
      <w:r>
        <w:rPr>
          <w:b/>
        </w:rPr>
        <w:t>PASS Step 2.</w:t>
      </w:r>
      <w:r>
        <w:rPr/>
        <w:t xml:space="preserve"> ("Is that positive? Yes. Is that good? Not bad.")</w:t>
      </w:r>
    </w:p>
    <w:p>
      <w:pPr>
        <w:pStyle w:val="BodyText"/>
        <w:numPr>
          <w:ilvl w:val="0"/>
          <w:numId w:val="400"/>
        </w:numPr>
        <w:tabs>
          <w:tab w:val="clear" w:pos="709"/>
          <w:tab w:val="left" w:pos="709" w:leader="none"/>
        </w:tabs>
        <w:bidi w:val="0"/>
        <w:ind w:hanging="283" w:start="709"/>
        <w:jc w:val="start"/>
        <w:rPr/>
      </w:pPr>
      <w:r>
        <w:rPr>
          <w:b/>
        </w:rPr>
        <w:t>AI Insights growth drivers listed for MSFT:</w:t>
      </w:r>
      <w:r>
        <w:rPr/>
        <w:t xml:space="preserve"> AI-driven cloud expansion · enterprise SaaS and Copilot monetization · proprietary AI infrastructure · commercial bookings and contract backlog · global cloud market share gains · Windows 11 adoption and OEM growth.</w:t>
      </w:r>
    </w:p>
    <w:p>
      <w:pPr>
        <w:pStyle w:val="BodyText"/>
        <w:numPr>
          <w:ilvl w:val="0"/>
          <w:numId w:val="400"/>
        </w:numPr>
        <w:tabs>
          <w:tab w:val="clear" w:pos="709"/>
          <w:tab w:val="left" w:pos="709" w:leader="none"/>
        </w:tabs>
        <w:bidi w:val="0"/>
        <w:ind w:hanging="283" w:start="709"/>
        <w:jc w:val="start"/>
        <w:rPr/>
      </w:pPr>
      <w:r>
        <w:rPr/>
        <w:t xml:space="preserve">Bonus: Microsoft sits inside </w:t>
      </w:r>
      <w:r>
        <w:rPr>
          <w:b/>
        </w:rPr>
        <w:t>two</w:t>
      </w:r>
      <w:r>
        <w:rPr/>
        <w:t xml:space="preserve"> of the six preferred high-growth industries (AI &amp; robotics; cybersecurity).</w:t>
      </w:r>
    </w:p>
    <w:p>
      <w:pPr>
        <w:pStyle w:val="Heading4"/>
        <w:numPr>
          <w:ilvl w:val="0"/>
          <w:numId w:val="0"/>
        </w:numPr>
        <w:bidi w:val="0"/>
        <w:ind w:hanging="0" w:start="0"/>
        <w:jc w:val="start"/>
        <w:rPr/>
      </w:pPr>
      <w:r>
        <w:rPr/>
        <w:t>The six high-growth industries Adam focuses on</w:t>
      </w:r>
    </w:p>
    <w:p>
      <w:pPr>
        <w:pStyle w:val="BodyText"/>
        <w:numPr>
          <w:ilvl w:val="0"/>
          <w:numId w:val="401"/>
        </w:numPr>
        <w:tabs>
          <w:tab w:val="clear" w:pos="709"/>
          <w:tab w:val="left" w:pos="709" w:leader="none"/>
        </w:tabs>
        <w:bidi w:val="0"/>
        <w:ind w:hanging="283" w:start="709"/>
        <w:jc w:val="start"/>
        <w:rPr/>
      </w:pPr>
      <w:r>
        <w:rPr>
          <w:b/>
        </w:rPr>
        <w:t>AI and robotics</w:t>
      </w:r>
    </w:p>
    <w:p>
      <w:pPr>
        <w:pStyle w:val="BodyText"/>
        <w:numPr>
          <w:ilvl w:val="0"/>
          <w:numId w:val="401"/>
        </w:numPr>
        <w:tabs>
          <w:tab w:val="clear" w:pos="709"/>
          <w:tab w:val="left" w:pos="709" w:leader="none"/>
        </w:tabs>
        <w:bidi w:val="0"/>
        <w:ind w:hanging="283" w:start="709"/>
        <w:jc w:val="start"/>
        <w:rPr/>
      </w:pPr>
      <w:r>
        <w:rPr>
          <w:b/>
        </w:rPr>
        <w:t>AI energy infrastructure</w:t>
      </w:r>
    </w:p>
    <w:p>
      <w:pPr>
        <w:pStyle w:val="BodyText"/>
        <w:numPr>
          <w:ilvl w:val="0"/>
          <w:numId w:val="401"/>
        </w:numPr>
        <w:tabs>
          <w:tab w:val="clear" w:pos="709"/>
          <w:tab w:val="left" w:pos="709" w:leader="none"/>
        </w:tabs>
        <w:bidi w:val="0"/>
        <w:ind w:hanging="283" w:start="709"/>
        <w:jc w:val="start"/>
        <w:rPr/>
      </w:pPr>
      <w:r>
        <w:rPr>
          <w:b/>
        </w:rPr>
        <w:t>Healthcare</w:t>
      </w:r>
      <w:r>
        <w:rPr/>
        <w:t xml:space="preserve"> — driven by the world's </w:t>
      </w:r>
      <w:r>
        <w:rPr>
          <w:b/>
        </w:rPr>
        <w:t>aging population</w:t>
      </w:r>
    </w:p>
    <w:p>
      <w:pPr>
        <w:pStyle w:val="BodyText"/>
        <w:numPr>
          <w:ilvl w:val="0"/>
          <w:numId w:val="401"/>
        </w:numPr>
        <w:tabs>
          <w:tab w:val="clear" w:pos="709"/>
          <w:tab w:val="left" w:pos="709" w:leader="none"/>
        </w:tabs>
        <w:bidi w:val="0"/>
        <w:ind w:hanging="283" w:start="709"/>
        <w:jc w:val="start"/>
        <w:rPr/>
      </w:pPr>
      <w:r>
        <w:rPr>
          <w:b/>
        </w:rPr>
        <w:t>Digital payments</w:t>
      </w:r>
      <w:r>
        <w:rPr/>
        <w:t xml:space="preserve"> — shift from physical cash to digital (Mastercard, Visa)</w:t>
      </w:r>
    </w:p>
    <w:p>
      <w:pPr>
        <w:pStyle w:val="BodyText"/>
        <w:numPr>
          <w:ilvl w:val="0"/>
          <w:numId w:val="401"/>
        </w:numPr>
        <w:tabs>
          <w:tab w:val="clear" w:pos="709"/>
          <w:tab w:val="left" w:pos="709" w:leader="none"/>
        </w:tabs>
        <w:bidi w:val="0"/>
        <w:ind w:hanging="283" w:start="709"/>
        <w:jc w:val="start"/>
        <w:rPr/>
      </w:pPr>
      <w:r>
        <w:rPr>
          <w:b/>
        </w:rPr>
        <w:t>Cybersecurity</w:t>
      </w:r>
      <w:r>
        <w:rPr/>
        <w:t xml:space="preserve"> — more companies using AI and being online → more hacking and cybercrime</w:t>
      </w:r>
    </w:p>
    <w:p>
      <w:pPr>
        <w:pStyle w:val="BodyText"/>
        <w:numPr>
          <w:ilvl w:val="0"/>
          <w:numId w:val="401"/>
        </w:numPr>
        <w:tabs>
          <w:tab w:val="clear" w:pos="709"/>
          <w:tab w:val="left" w:pos="709" w:leader="none"/>
        </w:tabs>
        <w:bidi w:val="0"/>
        <w:ind w:hanging="283" w:start="709"/>
        <w:jc w:val="start"/>
        <w:rPr/>
      </w:pPr>
      <w:r>
        <w:rPr>
          <w:b/>
        </w:rPr>
        <w:t>The new space economy</w:t>
      </w:r>
      <w:r>
        <w:rPr/>
        <w:t xml:space="preserve"> — ⚠️ </w:t>
      </w:r>
      <w:r>
        <w:rPr>
          <w:i/>
        </w:rPr>
        <w:t>"I have not yet invested in it, but it's something I'm watching… because many of the companies involved are not yet profitable."</w:t>
      </w:r>
      <w:r>
        <w:rPr/>
        <w:t xml:space="preserve"> Applications beyond space tourism: </w:t>
      </w:r>
      <w:r>
        <w:rPr>
          <w:b/>
        </w:rPr>
        <w:t>data centers in space, missile defense shield, low-earth-orbit satellite communications.</w:t>
      </w:r>
    </w:p>
    <w:p>
      <w:pPr>
        <w:pStyle w:val="HorizontalLine"/>
        <w:bidi w:val="0"/>
        <w:jc w:val="start"/>
        <w:rPr/>
      </w:pPr>
      <w:r>
        <w:rPr/>
      </w:r>
    </w:p>
    <w:p>
      <w:pPr>
        <w:pStyle w:val="Heading3"/>
        <w:bidi w:val="0"/>
        <w:ind w:hanging="0" w:start="0"/>
        <w:jc w:val="start"/>
        <w:rPr/>
      </w:pPr>
      <w:r>
        <w:rPr/>
        <w:t>STEP 3 — Sustainable Competitive Advantage (Economic Moat) ⭐ MOST IMPORTANT</w:t>
      </w:r>
    </w:p>
    <w:p>
      <w:pPr>
        <w:pStyle w:val="Heading4"/>
        <w:bidi w:val="0"/>
        <w:ind w:hanging="0" w:start="0"/>
        <w:jc w:val="start"/>
        <w:rPr/>
      </w:pPr>
      <w:r>
        <w:rPr/>
        <w:t>What it checks</w:t>
      </w:r>
    </w:p>
    <w:p>
      <w:pPr>
        <w:pStyle w:val="BodyText"/>
        <w:bidi w:val="0"/>
        <w:jc w:val="start"/>
        <w:rPr/>
      </w:pPr>
      <w:r>
        <w:rPr/>
        <w:t xml:space="preserve">That the company has a </w:t>
      </w:r>
      <w:r>
        <w:rPr>
          <w:b/>
        </w:rPr>
        <w:t>sustainable competitive advantage that protects it from competition</w:t>
      </w:r>
      <w:r>
        <w:rPr/>
        <w:t xml:space="preserve">, so competitors cannot easily take away its customers or market share. Warren Buffett's term: an </w:t>
      </w:r>
      <w:r>
        <w:rPr>
          <w:b/>
        </w:rPr>
        <w:t>economic moat</w:t>
      </w:r>
      <w:r>
        <w:rPr/>
        <w:t>.</w:t>
      </w:r>
    </w:p>
    <w:p>
      <w:pPr>
        <w:pStyle w:val="BodyText"/>
        <w:bidi w:val="0"/>
        <w:jc w:val="start"/>
        <w:rPr/>
      </w:pPr>
      <w:r>
        <w:rPr>
          <w:b/>
        </w:rPr>
        <w:t>Why it is the most important step:</w:t>
      </w:r>
      <w:r>
        <w:rPr/>
        <w:t xml:space="preserve"> Step 1 shows it </w:t>
      </w:r>
      <w:r>
        <w:rPr>
          <w:i/>
        </w:rPr>
        <w:t>has</w:t>
      </w:r>
      <w:r>
        <w:rPr/>
        <w:t xml:space="preserve"> grown; Step 2 shows the industry </w:t>
      </w:r>
      <w:r>
        <w:rPr>
          <w:i/>
        </w:rPr>
        <w:t>will</w:t>
      </w:r>
      <w:r>
        <w:rPr/>
        <w:t xml:space="preserve"> grow. </w:t>
      </w:r>
      <w:r>
        <w:rPr>
          <w:i/>
        </w:rPr>
        <w:t>"But can the business continue to grow its revenue, profits and cash flow in the next 10, 20 years? The only thing that can stop it is competition."</w:t>
      </w:r>
    </w:p>
    <w:p>
      <w:pPr>
        <w:pStyle w:val="BodyText"/>
        <w:bidi w:val="0"/>
        <w:jc w:val="start"/>
        <w:rPr/>
      </w:pPr>
      <w:r>
        <w:rPr>
          <w:b/>
        </w:rPr>
        <w:t>The consequence of a moat:</w:t>
      </w:r>
      <w:r>
        <w:rPr/>
        <w:t xml:space="preserve"> the company keeps its </w:t>
      </w:r>
      <w:r>
        <w:rPr>
          <w:b/>
        </w:rPr>
        <w:t>pricing power</w:t>
      </w:r>
      <w:r>
        <w:rPr/>
        <w:t xml:space="preserve"> — </w:t>
      </w:r>
      <w:r>
        <w:rPr>
          <w:i/>
        </w:rPr>
        <w:t>"it's able to raise prices consistently and not lose customers and not lose market share"</w:t>
      </w:r>
      <w:r>
        <w:rPr/>
        <w:t xml:space="preserve"> — and therefore generates consistent growth in sales, net income and cash flow for the next 10–20 years, which grows intrinsic value.</w:t>
      </w:r>
    </w:p>
    <w:p>
      <w:pPr>
        <w:pStyle w:val="BodyText"/>
        <w:bidi w:val="0"/>
        <w:jc w:val="start"/>
        <w:rPr/>
      </w:pPr>
      <w:r>
        <w:rPr/>
        <w:t xml:space="preserve">Adam's preference: </w:t>
      </w:r>
      <w:r>
        <w:rPr>
          <w:i/>
        </w:rPr>
        <w:t>"I like to invest in monopolistic businesses that have got ideally little or no competition."</w:t>
      </w:r>
    </w:p>
    <w:p>
      <w:pPr>
        <w:pStyle w:val="Heading4"/>
        <w:bidi w:val="0"/>
        <w:ind w:hanging="0" w:start="0"/>
        <w:jc w:val="start"/>
        <w:rPr/>
      </w:pPr>
      <w:r>
        <w:rPr/>
        <w:t>The three moat grades</w:t>
      </w:r>
    </w:p>
    <w:tbl>
      <w:tblPr>
        <w:tblW w:w="5000" w:type="pct"/>
        <w:jc w:val="start"/>
        <w:tblInd w:w="-5" w:type="dxa"/>
        <w:tblLayout w:type="fixed"/>
        <w:tblCellMar>
          <w:top w:w="55" w:type="dxa"/>
          <w:start w:w="55" w:type="dxa"/>
          <w:bottom w:w="55" w:type="dxa"/>
          <w:end w:w="55" w:type="dxa"/>
        </w:tblCellMar>
      </w:tblPr>
      <w:tblGrid>
        <w:gridCol w:w="1606"/>
        <w:gridCol w:w="1606"/>
        <w:gridCol w:w="1607"/>
        <w:gridCol w:w="1606"/>
        <w:gridCol w:w="1606"/>
        <w:gridCol w:w="1607"/>
      </w:tblGrid>
      <w:tr>
        <w:trPr>
          <w:tblHeader w:val="true"/>
        </w:trPr>
        <w:tc>
          <w:tcPr>
            <w:tcW w:w="1606" w:type="dxa"/>
            <w:tcBorders>
              <w:top w:val="single" w:sz="4" w:space="0" w:color="000000"/>
              <w:start w:val="single" w:sz="4" w:space="0" w:color="000000"/>
              <w:bottom w:val="single" w:sz="4" w:space="0" w:color="000000"/>
            </w:tcBorders>
          </w:tcPr>
          <w:p>
            <w:pPr>
              <w:pStyle w:val="TableHeading"/>
              <w:bidi w:val="0"/>
              <w:jc w:val="start"/>
              <w:rPr/>
            </w:pPr>
            <w:r>
              <w:rPr/>
              <w:t>Grade</w:t>
            </w:r>
          </w:p>
        </w:tc>
        <w:tc>
          <w:tcPr>
            <w:tcW w:w="1606" w:type="dxa"/>
            <w:tcBorders>
              <w:top w:val="single" w:sz="4" w:space="0" w:color="000000"/>
              <w:start w:val="single" w:sz="4" w:space="0" w:color="000000"/>
              <w:bottom w:val="single" w:sz="4" w:space="0" w:color="000000"/>
            </w:tcBorders>
          </w:tcPr>
          <w:p>
            <w:pPr>
              <w:pStyle w:val="TableHeading"/>
              <w:bidi w:val="0"/>
              <w:jc w:val="start"/>
              <w:rPr/>
            </w:pPr>
            <w:r>
              <w:rPr/>
              <w:t>Definition</w:t>
            </w:r>
          </w:p>
        </w:tc>
        <w:tc>
          <w:tcPr>
            <w:tcW w:w="1607" w:type="dxa"/>
            <w:tcBorders>
              <w:top w:val="single" w:sz="4" w:space="0" w:color="000000"/>
              <w:start w:val="single" w:sz="4" w:space="0" w:color="000000"/>
              <w:bottom w:val="single" w:sz="4" w:space="0" w:color="000000"/>
            </w:tcBorders>
          </w:tcPr>
          <w:p>
            <w:pPr>
              <w:pStyle w:val="TableHeading"/>
              <w:bidi w:val="0"/>
              <w:jc w:val="start"/>
              <w:rPr/>
            </w:pPr>
            <w:r>
              <w:rPr/>
              <w:t>Competitors</w:t>
            </w:r>
          </w:p>
        </w:tc>
        <w:tc>
          <w:tcPr>
            <w:tcW w:w="1606" w:type="dxa"/>
            <w:tcBorders>
              <w:top w:val="single" w:sz="4" w:space="0" w:color="000000"/>
              <w:start w:val="single" w:sz="4" w:space="0" w:color="000000"/>
              <w:bottom w:val="single" w:sz="4" w:space="0" w:color="000000"/>
            </w:tcBorders>
          </w:tcPr>
          <w:p>
            <w:pPr>
              <w:pStyle w:val="TableHeading"/>
              <w:bidi w:val="0"/>
              <w:jc w:val="start"/>
              <w:rPr/>
            </w:pPr>
            <w:r>
              <w:rPr/>
              <w:t>Pricing power</w:t>
            </w:r>
          </w:p>
        </w:tc>
        <w:tc>
          <w:tcPr>
            <w:tcW w:w="1606" w:type="dxa"/>
            <w:tcBorders>
              <w:top w:val="single" w:sz="4" w:space="0" w:color="000000"/>
              <w:start w:val="single" w:sz="4" w:space="0" w:color="000000"/>
              <w:bottom w:val="single" w:sz="4" w:space="0" w:color="000000"/>
            </w:tcBorders>
          </w:tcPr>
          <w:p>
            <w:pPr>
              <w:pStyle w:val="TableHeading"/>
              <w:bidi w:val="0"/>
              <w:jc w:val="start"/>
              <w:rPr/>
            </w:pPr>
            <w:r>
              <w:rPr/>
              <w:t>Financial signature</w:t>
            </w:r>
          </w:p>
        </w:tc>
        <w:tc>
          <w:tcPr>
            <w:tcW w:w="1607"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Adam's action</w:t>
            </w:r>
          </w:p>
        </w:tc>
      </w:tr>
      <w:tr>
        <w:trPr/>
        <w:tc>
          <w:tcPr>
            <w:tcW w:w="1606" w:type="dxa"/>
            <w:tcBorders>
              <w:start w:val="single" w:sz="4" w:space="0" w:color="000000"/>
              <w:bottom w:val="single" w:sz="4" w:space="0" w:color="000000"/>
            </w:tcBorders>
          </w:tcPr>
          <w:p>
            <w:pPr>
              <w:pStyle w:val="TableContents"/>
              <w:bidi w:val="0"/>
              <w:jc w:val="start"/>
              <w:rPr/>
            </w:pPr>
            <w:r>
              <w:rPr>
                <w:b/>
              </w:rPr>
              <w:t>WIDE</w:t>
            </w:r>
          </w:p>
        </w:tc>
        <w:tc>
          <w:tcPr>
            <w:tcW w:w="1606" w:type="dxa"/>
            <w:tcBorders>
              <w:start w:val="single" w:sz="4" w:space="0" w:color="000000"/>
              <w:bottom w:val="single" w:sz="4" w:space="0" w:color="000000"/>
            </w:tcBorders>
          </w:tcPr>
          <w:p>
            <w:pPr>
              <w:pStyle w:val="TableContents"/>
              <w:bidi w:val="0"/>
              <w:jc w:val="start"/>
              <w:rPr/>
            </w:pPr>
            <w:r>
              <w:rPr/>
              <w:t xml:space="preserve">Very strong, sustainable advantage; </w:t>
            </w:r>
            <w:r>
              <w:rPr>
                <w:i/>
              </w:rPr>
              <w:t>"we are pretty certain it can't easily be disrupted for the next 20 years."</w:t>
            </w:r>
            <w:r>
              <w:rPr/>
              <w:t xml:space="preserve"> Monopolistic.</w:t>
            </w:r>
          </w:p>
        </w:tc>
        <w:tc>
          <w:tcPr>
            <w:tcW w:w="1607" w:type="dxa"/>
            <w:tcBorders>
              <w:start w:val="single" w:sz="4" w:space="0" w:color="000000"/>
              <w:bottom w:val="single" w:sz="4" w:space="0" w:color="000000"/>
            </w:tcBorders>
          </w:tcPr>
          <w:p>
            <w:pPr>
              <w:pStyle w:val="TableContents"/>
              <w:bidi w:val="0"/>
              <w:jc w:val="start"/>
              <w:rPr/>
            </w:pPr>
            <w:r>
              <w:rPr/>
              <w:t>None or insignificant</w:t>
            </w:r>
          </w:p>
        </w:tc>
        <w:tc>
          <w:tcPr>
            <w:tcW w:w="1606" w:type="dxa"/>
            <w:tcBorders>
              <w:start w:val="single" w:sz="4" w:space="0" w:color="000000"/>
              <w:bottom w:val="single" w:sz="4" w:space="0" w:color="000000"/>
            </w:tcBorders>
          </w:tcPr>
          <w:p>
            <w:pPr>
              <w:pStyle w:val="TableContents"/>
              <w:bidi w:val="0"/>
              <w:jc w:val="start"/>
              <w:rPr/>
            </w:pPr>
            <w:r>
              <w:rPr/>
              <w:t>Can raise prices without materially affecting demand</w:t>
            </w:r>
          </w:p>
        </w:tc>
        <w:tc>
          <w:tcPr>
            <w:tcW w:w="1606" w:type="dxa"/>
            <w:tcBorders>
              <w:start w:val="single" w:sz="4" w:space="0" w:color="000000"/>
              <w:bottom w:val="single" w:sz="4" w:space="0" w:color="000000"/>
            </w:tcBorders>
          </w:tcPr>
          <w:p>
            <w:pPr>
              <w:pStyle w:val="TableContents"/>
              <w:bidi w:val="0"/>
              <w:jc w:val="start"/>
              <w:rPr/>
            </w:pPr>
            <w:r>
              <w:rPr/>
              <w:t>Very high profit margins; consistent increase in sales &amp; profits; predictable long-term outlook</w:t>
            </w:r>
          </w:p>
        </w:tc>
        <w:tc>
          <w:tcPr>
            <w:tcW w:w="1607" w:type="dxa"/>
            <w:tcBorders>
              <w:start w:val="single" w:sz="4" w:space="0" w:color="000000"/>
              <w:bottom w:val="single" w:sz="4" w:space="0" w:color="000000"/>
              <w:end w:val="single" w:sz="4" w:space="0" w:color="000000"/>
            </w:tcBorders>
          </w:tcPr>
          <w:p>
            <w:pPr>
              <w:pStyle w:val="TableContents"/>
              <w:bidi w:val="0"/>
              <w:jc w:val="start"/>
              <w:rPr/>
            </w:pPr>
            <w:r>
              <w:rPr/>
              <w:t xml:space="preserve">✅ </w:t>
            </w:r>
            <w:r>
              <w:rPr>
                <w:b/>
              </w:rPr>
              <w:t>70–80% of all stocks he buys</w:t>
            </w:r>
          </w:p>
        </w:tc>
      </w:tr>
      <w:tr>
        <w:trPr/>
        <w:tc>
          <w:tcPr>
            <w:tcW w:w="1606" w:type="dxa"/>
            <w:tcBorders>
              <w:start w:val="single" w:sz="4" w:space="0" w:color="000000"/>
              <w:bottom w:val="single" w:sz="4" w:space="0" w:color="000000"/>
            </w:tcBorders>
          </w:tcPr>
          <w:p>
            <w:pPr>
              <w:pStyle w:val="TableContents"/>
              <w:bidi w:val="0"/>
              <w:jc w:val="start"/>
              <w:rPr/>
            </w:pPr>
            <w:r>
              <w:rPr>
                <w:b/>
              </w:rPr>
              <w:t>NARROW</w:t>
            </w:r>
          </w:p>
        </w:tc>
        <w:tc>
          <w:tcPr>
            <w:tcW w:w="1606" w:type="dxa"/>
            <w:tcBorders>
              <w:start w:val="single" w:sz="4" w:space="0" w:color="000000"/>
              <w:bottom w:val="single" w:sz="4" w:space="0" w:color="000000"/>
            </w:tcBorders>
          </w:tcPr>
          <w:p>
            <w:pPr>
              <w:pStyle w:val="TableContents"/>
              <w:bidi w:val="0"/>
              <w:jc w:val="start"/>
              <w:rPr/>
            </w:pPr>
            <w:r>
              <w:rPr/>
              <w:t xml:space="preserve">Some competitive advantage, </w:t>
            </w:r>
            <w:r>
              <w:rPr>
                <w:i/>
              </w:rPr>
              <w:t>"probably sustainable for the next 10 years. But beyond 10 years, we are not so sure."</w:t>
            </w:r>
          </w:p>
        </w:tc>
        <w:tc>
          <w:tcPr>
            <w:tcW w:w="1607" w:type="dxa"/>
            <w:tcBorders>
              <w:start w:val="single" w:sz="4" w:space="0" w:color="000000"/>
              <w:bottom w:val="single" w:sz="4" w:space="0" w:color="000000"/>
            </w:tcBorders>
          </w:tcPr>
          <w:p>
            <w:pPr>
              <w:pStyle w:val="TableContents"/>
              <w:bidi w:val="0"/>
              <w:jc w:val="start"/>
              <w:rPr/>
            </w:pPr>
            <w:r>
              <w:rPr/>
              <w:t>Several significant competitors</w:t>
            </w:r>
          </w:p>
        </w:tc>
        <w:tc>
          <w:tcPr>
            <w:tcW w:w="1606" w:type="dxa"/>
            <w:tcBorders>
              <w:start w:val="single" w:sz="4" w:space="0" w:color="000000"/>
              <w:bottom w:val="single" w:sz="4" w:space="0" w:color="000000"/>
            </w:tcBorders>
          </w:tcPr>
          <w:p>
            <w:pPr>
              <w:pStyle w:val="TableContents"/>
              <w:bidi w:val="0"/>
              <w:jc w:val="start"/>
              <w:rPr/>
            </w:pPr>
            <w:r>
              <w:rPr/>
              <w:t>Limited — raise price too much and customers defect</w:t>
            </w:r>
          </w:p>
        </w:tc>
        <w:tc>
          <w:tcPr>
            <w:tcW w:w="1606" w:type="dxa"/>
            <w:tcBorders>
              <w:start w:val="single" w:sz="4" w:space="0" w:color="000000"/>
              <w:bottom w:val="single" w:sz="4" w:space="0" w:color="000000"/>
            </w:tcBorders>
          </w:tcPr>
          <w:p>
            <w:pPr>
              <w:pStyle w:val="TableContents"/>
              <w:bidi w:val="0"/>
              <w:jc w:val="start"/>
              <w:rPr/>
            </w:pPr>
            <w:r>
              <w:rPr/>
              <w:t>Average profit margins ("pretty good, but not super normal"); increasing sales &amp; profits over next 10 yrs</w:t>
            </w:r>
          </w:p>
        </w:tc>
        <w:tc>
          <w:tcPr>
            <w:tcW w:w="1607" w:type="dxa"/>
            <w:tcBorders>
              <w:start w:val="single" w:sz="4" w:space="0" w:color="000000"/>
              <w:bottom w:val="single" w:sz="4" w:space="0" w:color="000000"/>
              <w:end w:val="single" w:sz="4" w:space="0" w:color="000000"/>
            </w:tcBorders>
          </w:tcPr>
          <w:p>
            <w:pPr>
              <w:pStyle w:val="TableContents"/>
              <w:bidi w:val="0"/>
              <w:jc w:val="start"/>
              <w:rPr/>
            </w:pPr>
            <w:r>
              <w:rPr/>
              <w:t xml:space="preserve">✅ </w:t>
            </w:r>
            <w:r>
              <w:rPr/>
              <w:t>Buys some ("I would still invest in it")</w:t>
            </w:r>
          </w:p>
        </w:tc>
      </w:tr>
      <w:tr>
        <w:trPr/>
        <w:tc>
          <w:tcPr>
            <w:tcW w:w="1606" w:type="dxa"/>
            <w:tcBorders>
              <w:start w:val="single" w:sz="4" w:space="0" w:color="000000"/>
              <w:bottom w:val="single" w:sz="4" w:space="0" w:color="000000"/>
            </w:tcBorders>
          </w:tcPr>
          <w:p>
            <w:pPr>
              <w:pStyle w:val="TableContents"/>
              <w:bidi w:val="0"/>
              <w:jc w:val="start"/>
              <w:rPr/>
            </w:pPr>
            <w:r>
              <w:rPr>
                <w:b/>
              </w:rPr>
              <w:t>NO MOAT</w:t>
            </w:r>
          </w:p>
        </w:tc>
        <w:tc>
          <w:tcPr>
            <w:tcW w:w="1606" w:type="dxa"/>
            <w:tcBorders>
              <w:start w:val="single" w:sz="4" w:space="0" w:color="000000"/>
              <w:bottom w:val="single" w:sz="4" w:space="0" w:color="000000"/>
            </w:tcBorders>
          </w:tcPr>
          <w:p>
            <w:pPr>
              <w:pStyle w:val="TableContents"/>
              <w:bidi w:val="0"/>
              <w:jc w:val="start"/>
              <w:rPr/>
            </w:pPr>
            <w:r>
              <w:rPr/>
              <w:t xml:space="preserve">No clear competitive advantage; can be killed by a stronger competitor </w:t>
            </w:r>
            <w:r>
              <w:rPr>
                <w:i/>
              </w:rPr>
              <w:t>"in the next one or two or three years."</w:t>
            </w:r>
          </w:p>
        </w:tc>
        <w:tc>
          <w:tcPr>
            <w:tcW w:w="1607" w:type="dxa"/>
            <w:tcBorders>
              <w:start w:val="single" w:sz="4" w:space="0" w:color="000000"/>
              <w:bottom w:val="single" w:sz="4" w:space="0" w:color="000000"/>
            </w:tcBorders>
          </w:tcPr>
          <w:p>
            <w:pPr>
              <w:pStyle w:val="TableContents"/>
              <w:bidi w:val="0"/>
              <w:jc w:val="start"/>
              <w:rPr/>
            </w:pPr>
            <w:r>
              <w:rPr/>
              <w:t>Many competitors selling near-identical / commodity products</w:t>
            </w:r>
          </w:p>
        </w:tc>
        <w:tc>
          <w:tcPr>
            <w:tcW w:w="1606" w:type="dxa"/>
            <w:tcBorders>
              <w:start w:val="single" w:sz="4" w:space="0" w:color="000000"/>
              <w:bottom w:val="single" w:sz="4" w:space="0" w:color="000000"/>
            </w:tcBorders>
          </w:tcPr>
          <w:p>
            <w:pPr>
              <w:pStyle w:val="TableContents"/>
              <w:bidi w:val="0"/>
              <w:jc w:val="start"/>
              <w:rPr/>
            </w:pPr>
            <w:r>
              <w:rPr/>
              <w:t xml:space="preserve">None — </w:t>
            </w:r>
            <w:r>
              <w:rPr>
                <w:b/>
              </w:rPr>
              <w:t>price is the ultimate buying decision</w:t>
            </w:r>
            <w:r>
              <w:rPr/>
              <w:t>; customers just buy the cheapest</w:t>
            </w:r>
          </w:p>
        </w:tc>
        <w:tc>
          <w:tcPr>
            <w:tcW w:w="1606" w:type="dxa"/>
            <w:tcBorders>
              <w:start w:val="single" w:sz="4" w:space="0" w:color="000000"/>
              <w:bottom w:val="single" w:sz="4" w:space="0" w:color="000000"/>
            </w:tcBorders>
          </w:tcPr>
          <w:p>
            <w:pPr>
              <w:pStyle w:val="TableContents"/>
              <w:bidi w:val="0"/>
              <w:jc w:val="start"/>
              <w:rPr/>
            </w:pPr>
            <w:r>
              <w:rPr/>
              <w:t>Low profit margins; inconsistent sales &amp; profits; unpredictable growth beyond 5 years</w:t>
            </w:r>
          </w:p>
        </w:tc>
        <w:tc>
          <w:tcPr>
            <w:tcW w:w="1607" w:type="dxa"/>
            <w:tcBorders>
              <w:start w:val="single" w:sz="4" w:space="0" w:color="000000"/>
              <w:bottom w:val="single" w:sz="4" w:space="0" w:color="000000"/>
              <w:end w:val="single" w:sz="4" w:space="0" w:color="000000"/>
            </w:tcBorders>
          </w:tcPr>
          <w:p>
            <w:pPr>
              <w:pStyle w:val="TableContents"/>
              <w:bidi w:val="0"/>
              <w:jc w:val="start"/>
              <w:rPr/>
            </w:pPr>
            <w:r>
              <w:rPr/>
              <w:t xml:space="preserve">❌ </w:t>
            </w:r>
            <w:r>
              <w:rPr>
                <w:b/>
              </w:rPr>
              <w:t>"Avoided at all costs."</w:t>
            </w:r>
            <w:r>
              <w:rPr/>
              <w:t xml:space="preserve"> Only usable for short-term speculation, never buy-and-close-your-eyes.</w:t>
            </w:r>
          </w:p>
        </w:tc>
      </w:tr>
    </w:tbl>
    <w:p>
      <w:pPr>
        <w:pStyle w:val="BodyText"/>
        <w:bidi w:val="0"/>
        <w:jc w:val="start"/>
        <w:rPr/>
      </w:pPr>
      <w:r>
        <w:rPr/>
      </w:r>
    </w:p>
    <w:p>
      <w:pPr>
        <w:pStyle w:val="BodyText"/>
        <w:bidi w:val="0"/>
        <w:jc w:val="start"/>
        <w:rPr/>
      </w:pPr>
      <w:r>
        <w:rPr/>
        <w:t xml:space="preserve">⚠️ </w:t>
      </w:r>
      <w:r>
        <w:rPr>
          <w:b/>
        </w:rPr>
        <w:t>Important nuance:</w:t>
      </w:r>
      <w:r>
        <w:rPr/>
        <w:t xml:space="preserve"> a no-moat stock can still rise in the short term and still grow revenue and be profitable. That is not the point — </w:t>
      </w:r>
      <w:r>
        <w:rPr>
          <w:i/>
        </w:rPr>
        <w:t>"it can be easily disrupted by bigger competitors."</w:t>
      </w:r>
    </w:p>
    <w:p>
      <w:pPr>
        <w:pStyle w:val="Heading4"/>
        <w:bidi w:val="0"/>
        <w:ind w:hanging="0" w:start="0"/>
        <w:jc w:val="start"/>
        <w:rPr/>
      </w:pPr>
      <w:r>
        <w:rPr/>
        <w:t>The FIVE sources of moat</w:t>
      </w:r>
    </w:p>
    <w:tbl>
      <w:tblPr>
        <w:tblW w:w="5000" w:type="pct"/>
        <w:jc w:val="start"/>
        <w:tblInd w:w="-5" w:type="dxa"/>
        <w:tblLayout w:type="fixed"/>
        <w:tblCellMar>
          <w:top w:w="55" w:type="dxa"/>
          <w:start w:w="55" w:type="dxa"/>
          <w:bottom w:w="55" w:type="dxa"/>
          <w:end w:w="55" w:type="dxa"/>
        </w:tblCellMar>
      </w:tblPr>
      <w:tblGrid>
        <w:gridCol w:w="2409"/>
        <w:gridCol w:w="2410"/>
        <w:gridCol w:w="2409"/>
        <w:gridCol w:w="2410"/>
      </w:tblGrid>
      <w:tr>
        <w:trPr>
          <w:tblHeader w:val="true"/>
        </w:trPr>
        <w:tc>
          <w:tcPr>
            <w:tcW w:w="2409" w:type="dxa"/>
            <w:tcBorders>
              <w:top w:val="single" w:sz="4" w:space="0" w:color="000000"/>
              <w:start w:val="single" w:sz="4" w:space="0" w:color="000000"/>
              <w:bottom w:val="single" w:sz="4" w:space="0" w:color="000000"/>
            </w:tcBorders>
          </w:tcPr>
          <w:p>
            <w:pPr>
              <w:pStyle w:val="TableHeading"/>
              <w:bidi w:val="0"/>
              <w:jc w:val="start"/>
              <w:rPr/>
            </w:pPr>
            <w:r>
              <w:rPr/>
              <w:t>#</w:t>
            </w:r>
          </w:p>
        </w:tc>
        <w:tc>
          <w:tcPr>
            <w:tcW w:w="2410" w:type="dxa"/>
            <w:tcBorders>
              <w:top w:val="single" w:sz="4" w:space="0" w:color="000000"/>
              <w:start w:val="single" w:sz="4" w:space="0" w:color="000000"/>
              <w:bottom w:val="single" w:sz="4" w:space="0" w:color="000000"/>
            </w:tcBorders>
          </w:tcPr>
          <w:p>
            <w:pPr>
              <w:pStyle w:val="TableHeading"/>
              <w:bidi w:val="0"/>
              <w:jc w:val="start"/>
              <w:rPr/>
            </w:pPr>
            <w:r>
              <w:rPr/>
              <w:t>Moat source</w:t>
            </w:r>
          </w:p>
        </w:tc>
        <w:tc>
          <w:tcPr>
            <w:tcW w:w="2409" w:type="dxa"/>
            <w:tcBorders>
              <w:top w:val="single" w:sz="4" w:space="0" w:color="000000"/>
              <w:start w:val="single" w:sz="4" w:space="0" w:color="000000"/>
              <w:bottom w:val="single" w:sz="4" w:space="0" w:color="000000"/>
            </w:tcBorders>
          </w:tcPr>
          <w:p>
            <w:pPr>
              <w:pStyle w:val="TableHeading"/>
              <w:bidi w:val="0"/>
              <w:jc w:val="start"/>
              <w:rPr/>
            </w:pPr>
            <w:r>
              <w:rPr/>
              <w:t>What it means</w:t>
            </w:r>
          </w:p>
        </w:tc>
        <w:tc>
          <w:tcPr>
            <w:tcW w:w="2410"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Examples given</w:t>
            </w:r>
          </w:p>
        </w:tc>
      </w:tr>
      <w:tr>
        <w:trPr/>
        <w:tc>
          <w:tcPr>
            <w:tcW w:w="2409" w:type="dxa"/>
            <w:tcBorders>
              <w:start w:val="single" w:sz="4" w:space="0" w:color="000000"/>
              <w:bottom w:val="single" w:sz="4" w:space="0" w:color="000000"/>
            </w:tcBorders>
          </w:tcPr>
          <w:p>
            <w:pPr>
              <w:pStyle w:val="TableContents"/>
              <w:bidi w:val="0"/>
              <w:jc w:val="start"/>
              <w:rPr/>
            </w:pPr>
            <w:r>
              <w:rPr>
                <w:b/>
              </w:rPr>
              <w:t>1</w:t>
            </w:r>
          </w:p>
        </w:tc>
        <w:tc>
          <w:tcPr>
            <w:tcW w:w="2410" w:type="dxa"/>
            <w:tcBorders>
              <w:start w:val="single" w:sz="4" w:space="0" w:color="000000"/>
              <w:bottom w:val="single" w:sz="4" w:space="0" w:color="000000"/>
            </w:tcBorders>
          </w:tcPr>
          <w:p>
            <w:pPr>
              <w:pStyle w:val="TableContents"/>
              <w:bidi w:val="0"/>
              <w:jc w:val="start"/>
              <w:rPr/>
            </w:pPr>
            <w:r>
              <w:rPr>
                <w:b/>
              </w:rPr>
              <w:t>Strong brand / brand monopoly</w:t>
            </w:r>
          </w:p>
        </w:tc>
        <w:tc>
          <w:tcPr>
            <w:tcW w:w="2409" w:type="dxa"/>
            <w:tcBorders>
              <w:start w:val="single" w:sz="4" w:space="0" w:color="000000"/>
              <w:bottom w:val="single" w:sz="4" w:space="0" w:color="000000"/>
            </w:tcBorders>
          </w:tcPr>
          <w:p>
            <w:pPr>
              <w:pStyle w:val="TableContents"/>
              <w:bidi w:val="0"/>
              <w:jc w:val="start"/>
              <w:rPr/>
            </w:pPr>
            <w:r>
              <w:rPr/>
              <w:t xml:space="preserve">People are loyal enough to keep buying even if the company raises price and competitors are cheaper. A </w:t>
            </w:r>
            <w:r>
              <w:rPr>
                <w:b/>
              </w:rPr>
              <w:t>brand monopoly</w:t>
            </w:r>
            <w:r>
              <w:rPr/>
              <w:t xml:space="preserve"> = </w:t>
            </w:r>
            <w:r>
              <w:rPr>
                <w:b/>
              </w:rPr>
              <w:t>top-of-mind recall</w:t>
            </w:r>
            <w:r>
              <w:rPr/>
              <w:t xml:space="preserve"> — the first name people think of for that product category.</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 xml:space="preserve">Apple, McDonald's, Coca-Cola, Nike, Microsoft. Brand-monopoly test cases: office software → </w:t>
            </w:r>
            <w:r>
              <w:rPr>
                <w:b/>
              </w:rPr>
              <w:t>Microsoft</w:t>
            </w:r>
            <w:r>
              <w:rPr/>
              <w:t xml:space="preserve">; search → </w:t>
            </w:r>
            <w:r>
              <w:rPr>
                <w:b/>
              </w:rPr>
              <w:t>Google</w:t>
            </w:r>
            <w:r>
              <w:rPr/>
              <w:t xml:space="preserve"> ("we say </w:t>
            </w:r>
            <w:r>
              <w:rPr>
                <w:i/>
              </w:rPr>
              <w:t>Google this, Google that</w:t>
            </w:r>
            <w:r>
              <w:rPr/>
              <w:t xml:space="preserve">, not </w:t>
            </w:r>
            <w:r>
              <w:rPr>
                <w:i/>
              </w:rPr>
              <w:t>Bing this</w:t>
            </w:r>
            <w:r>
              <w:rPr/>
              <w:t xml:space="preserve">"); free online video → </w:t>
            </w:r>
            <w:r>
              <w:rPr>
                <w:b/>
              </w:rPr>
              <w:t>YouTube</w:t>
            </w:r>
            <w:r>
              <w:rPr/>
              <w:t xml:space="preserve"> (owned by Google); paid online video → </w:t>
            </w:r>
            <w:r>
              <w:rPr>
                <w:b/>
              </w:rPr>
              <w:t>Netflix</w:t>
            </w:r>
            <w:r>
              <w:rPr/>
              <w:t xml:space="preserve">; food anywhere/anytime when everything is closed → </w:t>
            </w:r>
            <w:r>
              <w:rPr>
                <w:b/>
              </w:rPr>
              <w:t>McDonald's</w:t>
            </w:r>
            <w:r>
              <w:rPr/>
              <w:t xml:space="preserve">; social media → </w:t>
            </w:r>
            <w:r>
              <w:rPr>
                <w:b/>
              </w:rPr>
              <w:t>Meta</w:t>
            </w:r>
            <w:r>
              <w:rPr/>
              <w:t xml:space="preserve"> (WhatsApp, Instagram, Facebook)</w:t>
            </w:r>
          </w:p>
        </w:tc>
      </w:tr>
      <w:tr>
        <w:trPr/>
        <w:tc>
          <w:tcPr>
            <w:tcW w:w="2409" w:type="dxa"/>
            <w:tcBorders>
              <w:start w:val="single" w:sz="4" w:space="0" w:color="000000"/>
              <w:bottom w:val="single" w:sz="4" w:space="0" w:color="000000"/>
            </w:tcBorders>
          </w:tcPr>
          <w:p>
            <w:pPr>
              <w:pStyle w:val="TableContents"/>
              <w:bidi w:val="0"/>
              <w:jc w:val="start"/>
              <w:rPr/>
            </w:pPr>
            <w:r>
              <w:rPr>
                <w:b/>
              </w:rPr>
              <w:t>2</w:t>
            </w:r>
          </w:p>
        </w:tc>
        <w:tc>
          <w:tcPr>
            <w:tcW w:w="2410" w:type="dxa"/>
            <w:tcBorders>
              <w:start w:val="single" w:sz="4" w:space="0" w:color="000000"/>
              <w:bottom w:val="single" w:sz="4" w:space="0" w:color="000000"/>
            </w:tcBorders>
          </w:tcPr>
          <w:p>
            <w:pPr>
              <w:pStyle w:val="TableContents"/>
              <w:bidi w:val="0"/>
              <w:jc w:val="start"/>
              <w:rPr/>
            </w:pPr>
            <w:r>
              <w:rPr>
                <w:b/>
              </w:rPr>
              <w:t>High customer switching costs</w:t>
            </w:r>
          </w:p>
        </w:tc>
        <w:tc>
          <w:tcPr>
            <w:tcW w:w="2409" w:type="dxa"/>
            <w:tcBorders>
              <w:start w:val="single" w:sz="4" w:space="0" w:color="000000"/>
              <w:bottom w:val="single" w:sz="4" w:space="0" w:color="000000"/>
            </w:tcBorders>
          </w:tcPr>
          <w:p>
            <w:pPr>
              <w:pStyle w:val="TableContents"/>
              <w:bidi w:val="0"/>
              <w:jc w:val="start"/>
              <w:rPr/>
            </w:pPr>
            <w:r>
              <w:rPr/>
              <w:t>Once a customer uses the product it becomes very expensive or very inconvenient to switch; normally subscription-based; locks in the customer for years.</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b/>
              </w:rPr>
              <w:t>Apple ecosystem/iCloud</w:t>
            </w:r>
            <w:r>
              <w:rPr/>
              <w:t xml:space="preserve"> ("Hotel California — you can check out but you can never leave"; Watch + iPhone + MacBook + iPad + home camera/lighting all synced; a better, cheaper Samsung phone still wouldn't be bought because it can't sync). </w:t>
            </w:r>
            <w:r>
              <w:rPr>
                <w:b/>
              </w:rPr>
              <w:t>Enterprise software:</w:t>
            </w:r>
            <w:r>
              <w:rPr/>
              <w:t xml:space="preserve"> ServiceNow, Salesforce (embedded into all workflows). </w:t>
            </w:r>
            <w:r>
              <w:rPr>
                <w:b/>
              </w:rPr>
              <w:t>Cybersecurity vendors:</w:t>
            </w:r>
            <w:r>
              <w:rPr/>
              <w:t xml:space="preserve"> Palo Alto, CrowdStrike, Fortinet (integrated into the entire company; switching is risky and difficult). </w:t>
            </w:r>
            <w:r>
              <w:rPr>
                <w:b/>
              </w:rPr>
              <w:t>Amazon Web Services</w:t>
            </w:r>
            <w:r>
              <w:rPr/>
              <w:t xml:space="preserve"> (hard to migrate to another cloud).</w:t>
            </w:r>
          </w:p>
        </w:tc>
      </w:tr>
      <w:tr>
        <w:trPr/>
        <w:tc>
          <w:tcPr>
            <w:tcW w:w="2409" w:type="dxa"/>
            <w:tcBorders>
              <w:start w:val="single" w:sz="4" w:space="0" w:color="000000"/>
              <w:bottom w:val="single" w:sz="4" w:space="0" w:color="000000"/>
            </w:tcBorders>
          </w:tcPr>
          <w:p>
            <w:pPr>
              <w:pStyle w:val="TableContents"/>
              <w:bidi w:val="0"/>
              <w:jc w:val="start"/>
              <w:rPr/>
            </w:pPr>
            <w:r>
              <w:rPr>
                <w:b/>
              </w:rPr>
              <w:t>3</w:t>
            </w:r>
          </w:p>
        </w:tc>
        <w:tc>
          <w:tcPr>
            <w:tcW w:w="2410" w:type="dxa"/>
            <w:tcBorders>
              <w:start w:val="single" w:sz="4" w:space="0" w:color="000000"/>
              <w:bottom w:val="single" w:sz="4" w:space="0" w:color="000000"/>
            </w:tcBorders>
          </w:tcPr>
          <w:p>
            <w:pPr>
              <w:pStyle w:val="TableContents"/>
              <w:bidi w:val="0"/>
              <w:jc w:val="start"/>
              <w:rPr/>
            </w:pPr>
            <w:r>
              <w:rPr>
                <w:b/>
              </w:rPr>
              <w:t>Network effect</w:t>
            </w:r>
          </w:p>
        </w:tc>
        <w:tc>
          <w:tcPr>
            <w:tcW w:w="2409" w:type="dxa"/>
            <w:tcBorders>
              <w:start w:val="single" w:sz="4" w:space="0" w:color="000000"/>
              <w:bottom w:val="single" w:sz="4" w:space="0" w:color="000000"/>
            </w:tcBorders>
          </w:tcPr>
          <w:p>
            <w:pPr>
              <w:pStyle w:val="TableContents"/>
              <w:bidi w:val="0"/>
              <w:jc w:val="start"/>
              <w:rPr/>
            </w:pPr>
            <w:r>
              <w:rPr/>
              <w:t>The more customers use the product, the better it gets and the more others want to use it — a flywheel.</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 xml:space="preserve">WhatsApp / Instagram / Facebook (Asia &amp; Europe — "you're left out of the loop"); </w:t>
            </w:r>
            <w:r>
              <w:rPr>
                <w:b/>
              </w:rPr>
              <w:t>iMessage</w:t>
            </w:r>
            <w:r>
              <w:rPr/>
              <w:t xml:space="preserve"> in the US; </w:t>
            </w:r>
            <w:r>
              <w:rPr>
                <w:b/>
              </w:rPr>
              <w:t>WeChat</w:t>
            </w:r>
            <w:r>
              <w:rPr/>
              <w:t xml:space="preserve"> (Tencent) in China; </w:t>
            </w:r>
            <w:r>
              <w:rPr>
                <w:b/>
              </w:rPr>
              <w:t>Amazon</w:t>
            </w:r>
            <w:r>
              <w:rPr/>
              <w:t xml:space="preserve"> (sellers and buyers must be there); </w:t>
            </w:r>
            <w:r>
              <w:rPr>
                <w:b/>
              </w:rPr>
              <w:t>Alibaba</w:t>
            </w:r>
            <w:r>
              <w:rPr/>
              <w:t xml:space="preserve"> and </w:t>
            </w:r>
            <w:r>
              <w:rPr>
                <w:b/>
              </w:rPr>
              <w:t>Pinduoduo</w:t>
            </w:r>
            <w:r>
              <w:rPr/>
              <w:t xml:space="preserve"> in China; </w:t>
            </w:r>
            <w:r>
              <w:rPr>
                <w:b/>
              </w:rPr>
              <w:t>MercadoLibre</w:t>
            </w:r>
            <w:r>
              <w:rPr/>
              <w:t xml:space="preserve"> in Latin America; </w:t>
            </w:r>
            <w:r>
              <w:rPr>
                <w:b/>
              </w:rPr>
              <w:t>Google search / Gemini</w:t>
            </w:r>
            <w:r>
              <w:rPr/>
              <w:t xml:space="preserve"> (more usage → smarter searches → more powerful AI)</w:t>
            </w:r>
          </w:p>
        </w:tc>
      </w:tr>
      <w:tr>
        <w:trPr/>
        <w:tc>
          <w:tcPr>
            <w:tcW w:w="2409" w:type="dxa"/>
            <w:tcBorders>
              <w:start w:val="single" w:sz="4" w:space="0" w:color="000000"/>
              <w:bottom w:val="single" w:sz="4" w:space="0" w:color="000000"/>
            </w:tcBorders>
          </w:tcPr>
          <w:p>
            <w:pPr>
              <w:pStyle w:val="TableContents"/>
              <w:bidi w:val="0"/>
              <w:jc w:val="start"/>
              <w:rPr/>
            </w:pPr>
            <w:r>
              <w:rPr>
                <w:b/>
              </w:rPr>
              <w:t>4</w:t>
            </w:r>
          </w:p>
        </w:tc>
        <w:tc>
          <w:tcPr>
            <w:tcW w:w="2410" w:type="dxa"/>
            <w:tcBorders>
              <w:start w:val="single" w:sz="4" w:space="0" w:color="000000"/>
              <w:bottom w:val="single" w:sz="4" w:space="0" w:color="000000"/>
            </w:tcBorders>
          </w:tcPr>
          <w:p>
            <w:pPr>
              <w:pStyle w:val="TableContents"/>
              <w:bidi w:val="0"/>
              <w:jc w:val="start"/>
              <w:rPr/>
            </w:pPr>
            <w:r>
              <w:rPr>
                <w:b/>
              </w:rPr>
              <w:t>High barriers to entry</w:t>
            </w:r>
          </w:p>
        </w:tc>
        <w:tc>
          <w:tcPr>
            <w:tcW w:w="2409" w:type="dxa"/>
            <w:tcBorders>
              <w:start w:val="single" w:sz="4" w:space="0" w:color="000000"/>
              <w:bottom w:val="single" w:sz="4" w:space="0" w:color="000000"/>
            </w:tcBorders>
          </w:tcPr>
          <w:p>
            <w:pPr>
              <w:pStyle w:val="TableContents"/>
              <w:bidi w:val="0"/>
              <w:jc w:val="start"/>
              <w:rPr/>
            </w:pPr>
            <w:r>
              <w:rPr/>
              <w:t>Regulatory restrictions, intellectual property, patents, trademarks.</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b/>
              </w:rPr>
              <w:t>Pharmaceutical patents — protected for 20 years</w:t>
            </w:r>
            <w:r>
              <w:rPr/>
              <w:t xml:space="preserve"> (⚠️ but </w:t>
            </w:r>
            <w:r>
              <w:rPr>
                <w:i/>
              </w:rPr>
              <w:t>"it doesn't last forever"</w:t>
            </w:r>
            <w:r>
              <w:rPr/>
              <w:t xml:space="preserve">). </w:t>
            </w:r>
            <w:r>
              <w:rPr>
                <w:b/>
              </w:rPr>
              <w:t>Regulatory moats:</w:t>
            </w:r>
            <w:r>
              <w:rPr/>
              <w:t xml:space="preserve"> Palantir, Lockheed Martin — need very high-level security clearance with the US military/Pentagon, so new competitors can't enter. Airbus.</w:t>
            </w:r>
          </w:p>
        </w:tc>
      </w:tr>
      <w:tr>
        <w:trPr/>
        <w:tc>
          <w:tcPr>
            <w:tcW w:w="2409" w:type="dxa"/>
            <w:tcBorders>
              <w:start w:val="single" w:sz="4" w:space="0" w:color="000000"/>
              <w:bottom w:val="single" w:sz="4" w:space="0" w:color="000000"/>
            </w:tcBorders>
          </w:tcPr>
          <w:p>
            <w:pPr>
              <w:pStyle w:val="TableContents"/>
              <w:bidi w:val="0"/>
              <w:jc w:val="start"/>
              <w:rPr/>
            </w:pPr>
            <w:r>
              <w:rPr>
                <w:b/>
              </w:rPr>
              <w:t>5</w:t>
            </w:r>
          </w:p>
        </w:tc>
        <w:tc>
          <w:tcPr>
            <w:tcW w:w="2410" w:type="dxa"/>
            <w:tcBorders>
              <w:start w:val="single" w:sz="4" w:space="0" w:color="000000"/>
              <w:bottom w:val="single" w:sz="4" w:space="0" w:color="000000"/>
            </w:tcBorders>
          </w:tcPr>
          <w:p>
            <w:pPr>
              <w:pStyle w:val="TableContents"/>
              <w:bidi w:val="0"/>
              <w:jc w:val="start"/>
              <w:rPr/>
            </w:pPr>
            <w:r>
              <w:rPr>
                <w:b/>
              </w:rPr>
              <w:t>Economies of scale</w:t>
            </w:r>
          </w:p>
        </w:tc>
        <w:tc>
          <w:tcPr>
            <w:tcW w:w="2409" w:type="dxa"/>
            <w:tcBorders>
              <w:start w:val="single" w:sz="4" w:space="0" w:color="000000"/>
              <w:bottom w:val="single" w:sz="4" w:space="0" w:color="000000"/>
            </w:tcBorders>
          </w:tcPr>
          <w:p>
            <w:pPr>
              <w:pStyle w:val="TableContents"/>
              <w:bidi w:val="0"/>
              <w:jc w:val="start"/>
              <w:rPr/>
            </w:pPr>
            <w:r>
              <w:rPr/>
              <w:t>So big that competing is almost impossible: buy in bulk, run more efficiently, spread fixed costs over a larger base → can temporarily cut price and kill competitors, or keep price and earn far higher margins and out-spend on R&amp;D.</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Amazon, Walmart, Costco, Airbus</w:t>
            </w:r>
          </w:p>
        </w:tc>
      </w:tr>
    </w:tbl>
    <w:p>
      <w:pPr>
        <w:pStyle w:val="BodyText"/>
        <w:bidi w:val="0"/>
        <w:jc w:val="start"/>
        <w:rPr/>
      </w:pPr>
      <w:r>
        <w:rPr/>
      </w:r>
    </w:p>
    <w:p>
      <w:pPr>
        <w:pStyle w:val="Heading4"/>
        <w:bidi w:val="0"/>
        <w:ind w:hanging="0" w:start="0"/>
        <w:jc w:val="start"/>
        <w:rPr/>
      </w:pPr>
      <w:r>
        <w:rPr/>
        <w:t xml:space="preserve">🔑 </w:t>
      </w:r>
      <w:r>
        <w:rPr/>
        <w:t>THE SCORING RULE</w:t>
      </w:r>
    </w:p>
    <w:p>
      <w:pPr>
        <w:pStyle w:val="BlockQuotation"/>
        <w:bidi w:val="0"/>
        <w:jc w:val="start"/>
        <w:rPr/>
      </w:pPr>
      <w:r>
        <w:rPr>
          <w:b/>
        </w:rPr>
        <w:t>"If a company has got at least THREE out of these FIVE moat sources, then I would want to invest in the company. It tells me the company has a strong moat."</w:t>
      </w:r>
    </w:p>
    <w:p>
      <w:pPr>
        <w:pStyle w:val="Heading4"/>
        <w:bidi w:val="0"/>
        <w:ind w:hanging="0" w:start="0"/>
        <w:jc w:val="start"/>
        <w:rPr/>
      </w:pPr>
      <w:r>
        <w:rPr/>
        <w:t>The pricing-power test (the fast qualitative check)</w:t>
      </w:r>
    </w:p>
    <w:p>
      <w:pPr>
        <w:pStyle w:val="BodyText"/>
        <w:bidi w:val="0"/>
        <w:jc w:val="start"/>
        <w:rPr/>
      </w:pPr>
      <w:r>
        <w:rPr>
          <w:i/>
        </w:rPr>
        <w:t>"Can [the company] raise their price every year and not lose market share?"</w:t>
      </w:r>
    </w:p>
    <w:p>
      <w:pPr>
        <w:pStyle w:val="BodyText"/>
        <w:numPr>
          <w:ilvl w:val="0"/>
          <w:numId w:val="402"/>
        </w:numPr>
        <w:tabs>
          <w:tab w:val="clear" w:pos="709"/>
          <w:tab w:val="left" w:pos="709" w:leader="none"/>
        </w:tabs>
        <w:bidi w:val="0"/>
        <w:ind w:hanging="283" w:start="709"/>
        <w:jc w:val="start"/>
        <w:rPr/>
      </w:pPr>
      <w:r>
        <w:rPr>
          <w:b/>
        </w:rPr>
        <w:t>Yes</w:t>
      </w:r>
      <w:r>
        <w:rPr/>
        <w:t xml:space="preserve"> → wide moat.</w:t>
      </w:r>
    </w:p>
    <w:p>
      <w:pPr>
        <w:pStyle w:val="BodyText"/>
        <w:numPr>
          <w:ilvl w:val="0"/>
          <w:numId w:val="402"/>
        </w:numPr>
        <w:tabs>
          <w:tab w:val="clear" w:pos="709"/>
          <w:tab w:val="left" w:pos="709" w:leader="none"/>
        </w:tabs>
        <w:bidi w:val="0"/>
        <w:ind w:hanging="283" w:start="709"/>
        <w:jc w:val="start"/>
        <w:rPr/>
      </w:pPr>
      <w:r>
        <w:rPr>
          <w:b/>
        </w:rPr>
        <w:t>No / must discount</w:t>
      </w:r>
      <w:r>
        <w:rPr/>
        <w:t xml:space="preserve"> → narrow moat at best.</w:t>
      </w:r>
    </w:p>
    <w:p>
      <w:pPr>
        <w:pStyle w:val="BodyText"/>
        <w:numPr>
          <w:ilvl w:val="0"/>
          <w:numId w:val="402"/>
        </w:numPr>
        <w:tabs>
          <w:tab w:val="clear" w:pos="709"/>
          <w:tab w:val="left" w:pos="709" w:leader="none"/>
        </w:tabs>
        <w:bidi w:val="0"/>
        <w:ind w:hanging="283" w:start="709"/>
        <w:jc w:val="start"/>
        <w:rPr/>
      </w:pPr>
      <w:r>
        <w:rPr/>
        <w:t xml:space="preserve">Worked example — </w:t>
      </w:r>
      <w:r>
        <w:rPr>
          <w:b/>
        </w:rPr>
        <w:t>Tesla:</w:t>
      </w:r>
      <w:r>
        <w:rPr/>
        <w:t xml:space="preserve"> cannot raise car prices annually without losing share; facing heavy EV competition from China; </w:t>
      </w:r>
      <w:r>
        <w:rPr>
          <w:i/>
        </w:rPr>
        <w:t>"not only can they not raise their price, they have to keep cutting their price, they have to keep discounting."</w:t>
      </w:r>
      <w:r>
        <w:rPr/>
        <w:t xml:space="preserve"> → </w:t>
      </w:r>
      <w:r>
        <w:rPr>
          <w:b/>
        </w:rPr>
        <w:t>narrow moat, not wide.</w:t>
      </w:r>
    </w:p>
    <w:p>
      <w:pPr>
        <w:pStyle w:val="Heading4"/>
        <w:numPr>
          <w:ilvl w:val="0"/>
          <w:numId w:val="0"/>
        </w:numPr>
        <w:bidi w:val="0"/>
        <w:ind w:hanging="0" w:start="0"/>
        <w:jc w:val="start"/>
        <w:rPr/>
      </w:pPr>
      <w:r>
        <w:rPr/>
        <w:t>The 10-year chart shortcut (visual moat proxy)</w:t>
      </w:r>
    </w:p>
    <w:p>
      <w:pPr>
        <w:pStyle w:val="BodyText"/>
        <w:numPr>
          <w:ilvl w:val="0"/>
          <w:numId w:val="403"/>
        </w:numPr>
        <w:tabs>
          <w:tab w:val="clear" w:pos="709"/>
          <w:tab w:val="left" w:pos="709" w:leader="none"/>
        </w:tabs>
        <w:bidi w:val="0"/>
        <w:ind w:hanging="283" w:start="709"/>
        <w:jc w:val="start"/>
        <w:rPr/>
      </w:pPr>
      <w:r>
        <w:rPr/>
        <w:t xml:space="preserve">Look at the </w:t>
      </w:r>
      <w:r>
        <w:rPr>
          <w:b/>
        </w:rPr>
        <w:t>long-term chart of the last 10 years</w:t>
      </w:r>
      <w:r>
        <w:rPr/>
        <w:t>.</w:t>
      </w:r>
    </w:p>
    <w:p>
      <w:pPr>
        <w:pStyle w:val="BodyText"/>
        <w:numPr>
          <w:ilvl w:val="0"/>
          <w:numId w:val="403"/>
        </w:numPr>
        <w:tabs>
          <w:tab w:val="clear" w:pos="709"/>
          <w:tab w:val="left" w:pos="709" w:leader="none"/>
        </w:tabs>
        <w:bidi w:val="0"/>
        <w:ind w:hanging="283" w:start="709"/>
        <w:jc w:val="start"/>
        <w:rPr/>
      </w:pPr>
      <w:r>
        <w:rPr>
          <w:b/>
        </w:rPr>
        <w:t>Clear 10-year uptrend</w:t>
      </w:r>
      <w:r>
        <w:rPr/>
        <w:t xml:space="preserve"> → </w:t>
      </w:r>
      <w:r>
        <w:rPr>
          <w:i/>
        </w:rPr>
        <w:t>"usually a sign of a strong economic moat."</w:t>
      </w:r>
    </w:p>
    <w:p>
      <w:pPr>
        <w:pStyle w:val="BodyText"/>
        <w:numPr>
          <w:ilvl w:val="0"/>
          <w:numId w:val="403"/>
        </w:numPr>
        <w:tabs>
          <w:tab w:val="clear" w:pos="709"/>
          <w:tab w:val="left" w:pos="709" w:leader="none"/>
        </w:tabs>
        <w:bidi w:val="0"/>
        <w:ind w:hanging="283" w:start="709"/>
        <w:jc w:val="start"/>
        <w:rPr/>
      </w:pPr>
      <w:r>
        <w:rPr>
          <w:b/>
        </w:rPr>
        <w:t>Generally on a downtrend over the long run</w:t>
      </w:r>
      <w:r>
        <w:rPr/>
        <w:t xml:space="preserve"> → </w:t>
      </w:r>
      <w:r>
        <w:rPr>
          <w:i/>
        </w:rPr>
        <w:t>"then it doesn't have a competitive advantage."</w:t>
      </w:r>
    </w:p>
    <w:p>
      <w:pPr>
        <w:pStyle w:val="BodyText"/>
        <w:numPr>
          <w:ilvl w:val="0"/>
          <w:numId w:val="403"/>
        </w:numPr>
        <w:tabs>
          <w:tab w:val="clear" w:pos="709"/>
          <w:tab w:val="left" w:pos="709" w:leader="none"/>
        </w:tabs>
        <w:bidi w:val="0"/>
        <w:ind w:hanging="283" w:start="709"/>
        <w:jc w:val="start"/>
        <w:rPr/>
      </w:pPr>
      <w:r>
        <w:rPr/>
        <w:t xml:space="preserve">Brand monopolies illustrated this way: Microsoft, Google, Netflix, McDonald's all </w:t>
      </w:r>
      <w:r>
        <w:rPr>
          <w:i/>
        </w:rPr>
        <w:t>"in the long run, it always goes up."</w:t>
      </w:r>
    </w:p>
    <w:p>
      <w:pPr>
        <w:pStyle w:val="Heading4"/>
        <w:numPr>
          <w:ilvl w:val="0"/>
          <w:numId w:val="0"/>
        </w:numPr>
        <w:bidi w:val="0"/>
        <w:ind w:hanging="0" w:start="0"/>
        <w:jc w:val="start"/>
        <w:rPr/>
      </w:pPr>
      <w:r>
        <w:rPr/>
        <w:t>Tool: StockOracle Pro moat analysis</w:t>
      </w:r>
    </w:p>
    <w:p>
      <w:pPr>
        <w:pStyle w:val="BodyText"/>
        <w:numPr>
          <w:ilvl w:val="0"/>
          <w:numId w:val="404"/>
        </w:numPr>
        <w:tabs>
          <w:tab w:val="clear" w:pos="709"/>
          <w:tab w:val="left" w:pos="709" w:leader="none"/>
        </w:tabs>
        <w:bidi w:val="0"/>
        <w:ind w:hanging="283" w:start="709"/>
        <w:jc w:val="start"/>
        <w:rPr/>
      </w:pPr>
      <w:r>
        <w:rPr/>
        <w:t>Enter the ticker → a moat grade (Wide / Narrow / None) is displayed immediately.</w:t>
      </w:r>
    </w:p>
    <w:p>
      <w:pPr>
        <w:pStyle w:val="BodyText"/>
        <w:numPr>
          <w:ilvl w:val="0"/>
          <w:numId w:val="404"/>
        </w:numPr>
        <w:tabs>
          <w:tab w:val="clear" w:pos="709"/>
          <w:tab w:val="left" w:pos="709" w:leader="none"/>
        </w:tabs>
        <w:bidi w:val="0"/>
        <w:spacing w:before="0" w:after="0"/>
        <w:ind w:hanging="283" w:start="709"/>
        <w:jc w:val="start"/>
        <w:rPr/>
      </w:pPr>
      <w:r>
        <w:rPr/>
        <w:t xml:space="preserve">Click </w:t>
      </w:r>
      <w:r>
        <w:rPr>
          <w:b/>
        </w:rPr>
        <w:t>"Oracle IQ"</w:t>
      </w:r>
      <w:r>
        <w:rPr/>
        <w:t xml:space="preserve"> → </w:t>
      </w:r>
      <w:r>
        <w:rPr>
          <w:b/>
        </w:rPr>
        <w:t>three perspectives on the moat</w:t>
      </w:r>
      <w:r>
        <w:rPr/>
        <w:t>:</w:t>
      </w:r>
    </w:p>
    <w:p>
      <w:pPr>
        <w:pStyle w:val="BodyText"/>
        <w:numPr>
          <w:ilvl w:val="1"/>
          <w:numId w:val="404"/>
        </w:numPr>
        <w:tabs>
          <w:tab w:val="clear" w:pos="709"/>
          <w:tab w:val="left" w:pos="1418" w:leader="none"/>
        </w:tabs>
        <w:bidi w:val="0"/>
        <w:ind w:hanging="283" w:start="1418"/>
        <w:jc w:val="start"/>
        <w:rPr/>
      </w:pPr>
      <w:r>
        <w:rPr>
          <w:b/>
        </w:rPr>
        <w:t>Oracle Moat</w:t>
      </w:r>
      <w:r>
        <w:rPr/>
        <w:t xml:space="preserve"> — assigned by the StockOracle research team based on an algorithm.</w:t>
      </w:r>
    </w:p>
    <w:p>
      <w:pPr>
        <w:pStyle w:val="BodyText"/>
        <w:numPr>
          <w:ilvl w:val="1"/>
          <w:numId w:val="404"/>
        </w:numPr>
        <w:tabs>
          <w:tab w:val="clear" w:pos="709"/>
          <w:tab w:val="left" w:pos="1418" w:leader="none"/>
        </w:tabs>
        <w:bidi w:val="0"/>
        <w:ind w:hanging="283" w:start="1418"/>
        <w:jc w:val="start"/>
        <w:rPr/>
      </w:pPr>
      <w:r>
        <w:rPr>
          <w:b/>
        </w:rPr>
        <w:t>Community Moat</w:t>
      </w:r>
      <w:r>
        <w:rPr/>
        <w:t xml:space="preserve"> — crowd vote (users vote wide/narrow).</w:t>
      </w:r>
    </w:p>
    <w:p>
      <w:pPr>
        <w:pStyle w:val="BodyText"/>
        <w:numPr>
          <w:ilvl w:val="1"/>
          <w:numId w:val="404"/>
        </w:numPr>
        <w:tabs>
          <w:tab w:val="clear" w:pos="709"/>
          <w:tab w:val="left" w:pos="1418" w:leader="none"/>
        </w:tabs>
        <w:bidi w:val="0"/>
        <w:ind w:hanging="283" w:start="1418"/>
        <w:jc w:val="start"/>
        <w:rPr/>
      </w:pPr>
      <w:r>
        <w:rPr>
          <w:b/>
        </w:rPr>
        <w:t>AI Moat</w:t>
      </w:r>
      <w:r>
        <w:rPr/>
        <w:t xml:space="preserve"> — AI-generated, scored </w:t>
      </w:r>
      <w:r>
        <w:rPr>
          <w:b/>
        </w:rPr>
        <w:t>out of 10</w:t>
      </w:r>
      <w:r>
        <w:rPr/>
        <w:t xml:space="preserve">, with a written explanation and a </w:t>
      </w:r>
      <w:r>
        <w:rPr>
          <w:b/>
        </w:rPr>
        <w:t>breakdown by the five moat sources</w:t>
      </w:r>
      <w:r>
        <w:rPr/>
        <w:t>, each scored /10.</w:t>
      </w:r>
    </w:p>
    <w:p>
      <w:pPr>
        <w:pStyle w:val="Heading5"/>
        <w:numPr>
          <w:ilvl w:val="0"/>
          <w:numId w:val="0"/>
        </w:numPr>
        <w:bidi w:val="0"/>
        <w:ind w:hanging="0" w:start="0"/>
        <w:jc w:val="start"/>
        <w:rPr/>
      </w:pPr>
      <w:r>
        <w:rPr/>
        <w:t>AI Moat score thresholds (Adam's stated preference)</w:t>
      </w:r>
    </w:p>
    <w:p>
      <w:pPr>
        <w:pStyle w:val="BodyText"/>
        <w:numPr>
          <w:ilvl w:val="0"/>
          <w:numId w:val="405"/>
        </w:numPr>
        <w:tabs>
          <w:tab w:val="clear" w:pos="709"/>
          <w:tab w:val="left" w:pos="709" w:leader="none"/>
        </w:tabs>
        <w:bidi w:val="0"/>
        <w:ind w:hanging="283" w:start="709"/>
        <w:jc w:val="start"/>
        <w:rPr/>
      </w:pPr>
      <w:r>
        <w:rPr>
          <w:b/>
        </w:rPr>
        <w:t>9/10</w:t>
      </w:r>
      <w:r>
        <w:rPr/>
        <w:t xml:space="preserve"> = "a very, very wide moat."</w:t>
      </w:r>
    </w:p>
    <w:p>
      <w:pPr>
        <w:pStyle w:val="BodyText"/>
        <w:numPr>
          <w:ilvl w:val="0"/>
          <w:numId w:val="405"/>
        </w:numPr>
        <w:tabs>
          <w:tab w:val="clear" w:pos="709"/>
          <w:tab w:val="left" w:pos="709" w:leader="none"/>
        </w:tabs>
        <w:bidi w:val="0"/>
        <w:ind w:hanging="283" w:start="709"/>
        <w:jc w:val="start"/>
        <w:rPr/>
      </w:pPr>
      <w:r>
        <w:rPr>
          <w:b/>
        </w:rPr>
        <w:t>7, 8 or 9 out of 10</w:t>
      </w:r>
      <w:r>
        <w:rPr/>
        <w:t xml:space="preserve"> = </w:t>
      </w:r>
      <w:r>
        <w:rPr>
          <w:i/>
        </w:rPr>
        <w:t>"that gives me more confidence."</w:t>
      </w:r>
    </w:p>
    <w:p>
      <w:pPr>
        <w:pStyle w:val="BodyText"/>
        <w:numPr>
          <w:ilvl w:val="0"/>
          <w:numId w:val="405"/>
        </w:numPr>
        <w:tabs>
          <w:tab w:val="clear" w:pos="709"/>
          <w:tab w:val="left" w:pos="709" w:leader="none"/>
        </w:tabs>
        <w:bidi w:val="0"/>
        <w:ind w:hanging="283" w:start="709"/>
        <w:jc w:val="start"/>
        <w:rPr/>
      </w:pPr>
      <w:r>
        <w:rPr>
          <w:b/>
        </w:rPr>
        <w:t>6/10</w:t>
      </w:r>
      <w:r>
        <w:rPr/>
        <w:t xml:space="preserve"> → </w:t>
      </w:r>
      <w:r>
        <w:rPr>
          <w:i/>
        </w:rPr>
        <w:t>"I don't often invest in 6 out of 10. It's not strong enough."</w:t>
      </w:r>
    </w:p>
    <w:p>
      <w:pPr>
        <w:pStyle w:val="BodyText"/>
        <w:numPr>
          <w:ilvl w:val="0"/>
          <w:numId w:val="405"/>
        </w:numPr>
        <w:tabs>
          <w:tab w:val="clear" w:pos="709"/>
          <w:tab w:val="left" w:pos="709" w:leader="none"/>
        </w:tabs>
        <w:bidi w:val="0"/>
        <w:ind w:hanging="283" w:start="709"/>
        <w:jc w:val="start"/>
        <w:rPr/>
      </w:pPr>
      <w:r>
        <w:rPr>
          <w:b/>
        </w:rPr>
        <w:t>2/10</w:t>
      </w:r>
      <w:r>
        <w:rPr/>
        <w:t xml:space="preserve"> = no moat = </w:t>
      </w:r>
      <w:r>
        <w:rPr>
          <w:i/>
        </w:rPr>
        <w:t>"the most dangerous."</w:t>
      </w:r>
    </w:p>
    <w:p>
      <w:pPr>
        <w:pStyle w:val="Heading4"/>
        <w:numPr>
          <w:ilvl w:val="0"/>
          <w:numId w:val="0"/>
        </w:numPr>
        <w:bidi w:val="0"/>
        <w:ind w:hanging="0" w:start="0"/>
        <w:jc w:val="start"/>
        <w:rPr/>
      </w:pPr>
      <w:r>
        <w:rPr/>
        <w:t>Worked examples — moat scoring</w:t>
      </w:r>
    </w:p>
    <w:p>
      <w:pPr>
        <w:pStyle w:val="BodyText"/>
        <w:bidi w:val="0"/>
        <w:jc w:val="start"/>
        <w:rPr/>
      </w:pPr>
      <w:r>
        <w:rPr>
          <w:b/>
        </w:rPr>
        <w:t>Meta Platforms (META) — WIDE MOAT, AI moat score 9/10</w:t>
      </w:r>
    </w:p>
    <w:tbl>
      <w:tblPr>
        <w:tblW w:w="5000" w:type="pct"/>
        <w:jc w:val="start"/>
        <w:tblInd w:w="-5" w:type="dxa"/>
        <w:tblLayout w:type="fixed"/>
        <w:tblCellMar>
          <w:top w:w="55" w:type="dxa"/>
          <w:start w:w="55" w:type="dxa"/>
          <w:bottom w:w="55" w:type="dxa"/>
          <w:end w:w="55" w:type="dxa"/>
        </w:tblCellMar>
      </w:tblPr>
      <w:tblGrid>
        <w:gridCol w:w="4819"/>
        <w:gridCol w:w="4819"/>
      </w:tblGrid>
      <w:tr>
        <w:trPr>
          <w:tblHeader w:val="true"/>
        </w:trPr>
        <w:tc>
          <w:tcPr>
            <w:tcW w:w="4819" w:type="dxa"/>
            <w:tcBorders>
              <w:top w:val="single" w:sz="4" w:space="0" w:color="000000"/>
              <w:start w:val="single" w:sz="4" w:space="0" w:color="000000"/>
              <w:bottom w:val="single" w:sz="4" w:space="0" w:color="000000"/>
            </w:tcBorders>
          </w:tcPr>
          <w:p>
            <w:pPr>
              <w:pStyle w:val="TableHeading"/>
              <w:bidi w:val="0"/>
              <w:jc w:val="start"/>
              <w:rPr/>
            </w:pPr>
            <w:r>
              <w:rPr/>
              <w:t>Moat source</w:t>
            </w:r>
          </w:p>
        </w:tc>
        <w:tc>
          <w:tcPr>
            <w:tcW w:w="4819"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Score</w:t>
            </w:r>
          </w:p>
        </w:tc>
      </w:tr>
      <w:tr>
        <w:trPr/>
        <w:tc>
          <w:tcPr>
            <w:tcW w:w="4819" w:type="dxa"/>
            <w:tcBorders>
              <w:start w:val="single" w:sz="4" w:space="0" w:color="000000"/>
              <w:bottom w:val="single" w:sz="4" w:space="0" w:color="000000"/>
            </w:tcBorders>
          </w:tcPr>
          <w:p>
            <w:pPr>
              <w:pStyle w:val="TableContents"/>
              <w:bidi w:val="0"/>
              <w:jc w:val="start"/>
              <w:rPr/>
            </w:pPr>
            <w:r>
              <w:rPr/>
              <w:t>Brand loyalty &amp; pricing power</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9/10</w:t>
            </w:r>
          </w:p>
        </w:tc>
      </w:tr>
      <w:tr>
        <w:trPr/>
        <w:tc>
          <w:tcPr>
            <w:tcW w:w="4819" w:type="dxa"/>
            <w:tcBorders>
              <w:start w:val="single" w:sz="4" w:space="0" w:color="000000"/>
              <w:bottom w:val="single" w:sz="4" w:space="0" w:color="000000"/>
            </w:tcBorders>
          </w:tcPr>
          <w:p>
            <w:pPr>
              <w:pStyle w:val="TableContents"/>
              <w:bidi w:val="0"/>
              <w:jc w:val="start"/>
              <w:rPr/>
            </w:pPr>
            <w:r>
              <w:rPr/>
              <w:t>Barriers to entry</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9/10</w:t>
            </w:r>
          </w:p>
        </w:tc>
      </w:tr>
      <w:tr>
        <w:trPr/>
        <w:tc>
          <w:tcPr>
            <w:tcW w:w="4819" w:type="dxa"/>
            <w:tcBorders>
              <w:start w:val="single" w:sz="4" w:space="0" w:color="000000"/>
              <w:bottom w:val="single" w:sz="4" w:space="0" w:color="000000"/>
            </w:tcBorders>
          </w:tcPr>
          <w:p>
            <w:pPr>
              <w:pStyle w:val="TableContents"/>
              <w:bidi w:val="0"/>
              <w:jc w:val="start"/>
              <w:rPr/>
            </w:pPr>
            <w:r>
              <w:rPr/>
              <w:t>Switching costs</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8/10</w:t>
            </w:r>
          </w:p>
        </w:tc>
      </w:tr>
      <w:tr>
        <w:trPr/>
        <w:tc>
          <w:tcPr>
            <w:tcW w:w="4819" w:type="dxa"/>
            <w:tcBorders>
              <w:start w:val="single" w:sz="4" w:space="0" w:color="000000"/>
              <w:bottom w:val="single" w:sz="4" w:space="0" w:color="000000"/>
            </w:tcBorders>
          </w:tcPr>
          <w:p>
            <w:pPr>
              <w:pStyle w:val="TableContents"/>
              <w:bidi w:val="0"/>
              <w:jc w:val="start"/>
              <w:rPr/>
            </w:pPr>
            <w:r>
              <w:rPr>
                <w:b/>
              </w:rPr>
              <w:t>Network effect</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b/>
              </w:rPr>
              <w:t>10/10</w:t>
            </w:r>
          </w:p>
        </w:tc>
      </w:tr>
      <w:tr>
        <w:trPr/>
        <w:tc>
          <w:tcPr>
            <w:tcW w:w="4819" w:type="dxa"/>
            <w:tcBorders>
              <w:start w:val="single" w:sz="4" w:space="0" w:color="000000"/>
              <w:bottom w:val="single" w:sz="4" w:space="0" w:color="000000"/>
            </w:tcBorders>
          </w:tcPr>
          <w:p>
            <w:pPr>
              <w:pStyle w:val="TableContents"/>
              <w:bidi w:val="0"/>
              <w:jc w:val="start"/>
              <w:rPr/>
            </w:pPr>
            <w:r>
              <w:rPr/>
              <w:t>Economies of scale</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9/10</w:t>
            </w:r>
          </w:p>
        </w:tc>
      </w:tr>
    </w:tbl>
    <w:p>
      <w:pPr>
        <w:pStyle w:val="BodyText"/>
        <w:bidi w:val="0"/>
        <w:jc w:val="start"/>
        <w:rPr/>
      </w:pPr>
      <w:r>
        <w:rPr/>
      </w:r>
    </w:p>
    <w:p>
      <w:pPr>
        <w:pStyle w:val="BodyText"/>
        <w:bidi w:val="0"/>
        <w:jc w:val="start"/>
        <w:rPr/>
      </w:pPr>
      <w:r>
        <w:rPr/>
        <w:t>Rationale summarised by the tool: operates the largest global social media and digital advertising ecosystem via Facebook, Instagram, WhatsApp, Messenger and Threads; competes with Alphabet, ByteDance, Amazon and emerging platforms; dominant share of global social media usage and advertising revenue; scale and network effects smaller competitors struggle to match. </w:t>
      </w:r>
      <w:r>
        <w:rPr>
          <w:b/>
        </w:rPr>
        <w:t>Adam's fun fact:</w:t>
      </w:r>
      <w:r>
        <w:rPr/>
        <w:t xml:space="preserve"> ~</w:t>
      </w:r>
      <w:r>
        <w:rPr>
          <w:b/>
        </w:rPr>
        <w:t>6 billion people</w:t>
      </w:r>
      <w:r>
        <w:rPr/>
        <w:t xml:space="preserve"> worldwide have internet access; </w:t>
      </w:r>
      <w:r>
        <w:rPr>
          <w:b/>
        </w:rPr>
        <w:t>3.5 billion</w:t>
      </w:r>
      <w:r>
        <w:rPr/>
        <w:t xml:space="preserve"> use one of Meta's products ≈ </w:t>
      </w:r>
      <w:r>
        <w:rPr>
          <w:b/>
        </w:rPr>
        <w:t>60% of everyone on the internet.</w:t>
      </w:r>
      <w:r>
        <w:rPr/>
        <w:t xml:space="preserve"> No competitor (Twitter/X, Snapchat, Reddit) comes close.</w:t>
      </w:r>
    </w:p>
    <w:p>
      <w:pPr>
        <w:pStyle w:val="BodyText"/>
        <w:bidi w:val="0"/>
        <w:jc w:val="start"/>
        <w:rPr/>
      </w:pPr>
      <w:r>
        <w:rPr>
          <w:b/>
        </w:rPr>
        <w:t>Zoom Communications (ZM) — NARROW MOAT, AI moat score 6/10 → NOT BOUGHT</w:t>
      </w:r>
    </w:p>
    <w:tbl>
      <w:tblPr>
        <w:tblW w:w="5000" w:type="pct"/>
        <w:jc w:val="start"/>
        <w:tblInd w:w="-5" w:type="dxa"/>
        <w:tblLayout w:type="fixed"/>
        <w:tblCellMar>
          <w:top w:w="55" w:type="dxa"/>
          <w:start w:w="55" w:type="dxa"/>
          <w:bottom w:w="55" w:type="dxa"/>
          <w:end w:w="55" w:type="dxa"/>
        </w:tblCellMar>
      </w:tblPr>
      <w:tblGrid>
        <w:gridCol w:w="4819"/>
        <w:gridCol w:w="4819"/>
      </w:tblGrid>
      <w:tr>
        <w:trPr>
          <w:tblHeader w:val="true"/>
        </w:trPr>
        <w:tc>
          <w:tcPr>
            <w:tcW w:w="4819" w:type="dxa"/>
            <w:tcBorders>
              <w:top w:val="single" w:sz="4" w:space="0" w:color="000000"/>
              <w:start w:val="single" w:sz="4" w:space="0" w:color="000000"/>
              <w:bottom w:val="single" w:sz="4" w:space="0" w:color="000000"/>
            </w:tcBorders>
          </w:tcPr>
          <w:p>
            <w:pPr>
              <w:pStyle w:val="TableHeading"/>
              <w:bidi w:val="0"/>
              <w:jc w:val="start"/>
              <w:rPr/>
            </w:pPr>
            <w:r>
              <w:rPr/>
              <w:t>Moat source</w:t>
            </w:r>
          </w:p>
        </w:tc>
        <w:tc>
          <w:tcPr>
            <w:tcW w:w="4819"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Score</w:t>
            </w:r>
          </w:p>
        </w:tc>
      </w:tr>
      <w:tr>
        <w:trPr/>
        <w:tc>
          <w:tcPr>
            <w:tcW w:w="4819" w:type="dxa"/>
            <w:tcBorders>
              <w:start w:val="single" w:sz="4" w:space="0" w:color="000000"/>
              <w:bottom w:val="single" w:sz="4" w:space="0" w:color="000000"/>
            </w:tcBorders>
          </w:tcPr>
          <w:p>
            <w:pPr>
              <w:pStyle w:val="TableContents"/>
              <w:bidi w:val="0"/>
              <w:jc w:val="start"/>
              <w:rPr/>
            </w:pPr>
            <w:r>
              <w:rPr/>
              <w:t>Brand loyalty &amp; pricing power</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6/10</w:t>
            </w:r>
          </w:p>
        </w:tc>
      </w:tr>
      <w:tr>
        <w:trPr/>
        <w:tc>
          <w:tcPr>
            <w:tcW w:w="4819" w:type="dxa"/>
            <w:tcBorders>
              <w:start w:val="single" w:sz="4" w:space="0" w:color="000000"/>
              <w:bottom w:val="single" w:sz="4" w:space="0" w:color="000000"/>
            </w:tcBorders>
          </w:tcPr>
          <w:p>
            <w:pPr>
              <w:pStyle w:val="TableContents"/>
              <w:bidi w:val="0"/>
              <w:jc w:val="start"/>
              <w:rPr/>
            </w:pPr>
            <w:r>
              <w:rPr/>
              <w:t>Barriers to entry</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5/10 (</w:t>
            </w:r>
            <w:r>
              <w:rPr>
                <w:i/>
              </w:rPr>
              <w:t>"bigger competitors can always replicate a similar platform"</w:t>
            </w:r>
            <w:r>
              <w:rPr/>
              <w:t>)</w:t>
            </w:r>
          </w:p>
        </w:tc>
      </w:tr>
      <w:tr>
        <w:trPr/>
        <w:tc>
          <w:tcPr>
            <w:tcW w:w="4819" w:type="dxa"/>
            <w:tcBorders>
              <w:start w:val="single" w:sz="4" w:space="0" w:color="000000"/>
              <w:bottom w:val="single" w:sz="4" w:space="0" w:color="000000"/>
            </w:tcBorders>
          </w:tcPr>
          <w:p>
            <w:pPr>
              <w:pStyle w:val="TableContents"/>
              <w:bidi w:val="0"/>
              <w:jc w:val="start"/>
              <w:rPr/>
            </w:pPr>
            <w:r>
              <w:rPr/>
              <w:t>Switching costs</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6/10 (</w:t>
            </w:r>
            <w:r>
              <w:rPr>
                <w:i/>
              </w:rPr>
              <w:t>"you can easily switch to another platform"</w:t>
            </w:r>
            <w:r>
              <w:rPr/>
              <w:t>)</w:t>
            </w:r>
          </w:p>
        </w:tc>
      </w:tr>
      <w:tr>
        <w:trPr/>
        <w:tc>
          <w:tcPr>
            <w:tcW w:w="4819" w:type="dxa"/>
            <w:tcBorders>
              <w:start w:val="single" w:sz="4" w:space="0" w:color="000000"/>
              <w:bottom w:val="single" w:sz="4" w:space="0" w:color="000000"/>
            </w:tcBorders>
          </w:tcPr>
          <w:p>
            <w:pPr>
              <w:pStyle w:val="TableContents"/>
              <w:bidi w:val="0"/>
              <w:jc w:val="start"/>
              <w:rPr/>
            </w:pPr>
            <w:r>
              <w:rPr/>
              <w:t>Network effect</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6/10</w:t>
            </w:r>
          </w:p>
        </w:tc>
      </w:tr>
      <w:tr>
        <w:trPr/>
        <w:tc>
          <w:tcPr>
            <w:tcW w:w="4819" w:type="dxa"/>
            <w:tcBorders>
              <w:start w:val="single" w:sz="4" w:space="0" w:color="000000"/>
              <w:bottom w:val="single" w:sz="4" w:space="0" w:color="000000"/>
            </w:tcBorders>
          </w:tcPr>
          <w:p>
            <w:pPr>
              <w:pStyle w:val="TableContents"/>
              <w:bidi w:val="0"/>
              <w:jc w:val="start"/>
              <w:rPr/>
            </w:pPr>
            <w:r>
              <w:rPr/>
              <w:t>Economies of scale</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5/10</w:t>
            </w:r>
          </w:p>
        </w:tc>
      </w:tr>
    </w:tbl>
    <w:p>
      <w:pPr>
        <w:pStyle w:val="BodyText"/>
        <w:bidi w:val="0"/>
        <w:jc w:val="start"/>
        <w:rPr/>
      </w:pPr>
      <w:r>
        <w:rPr/>
      </w:r>
    </w:p>
    <w:p>
      <w:pPr>
        <w:pStyle w:val="BodyText"/>
        <w:bidi w:val="0"/>
        <w:jc w:val="start"/>
        <w:rPr/>
      </w:pPr>
      <w:r>
        <w:rPr/>
        <w:t xml:space="preserve">Adam's reasoning at the time: Zoom was growing well, especially during the pandemic, </w:t>
      </w:r>
      <w:r>
        <w:rPr>
          <w:i/>
        </w:rPr>
        <w:t>"but I felt that although Zoom was growing, it didn't have a very strong moat. It could easily be disrupted by bigger competitors like Microsoft and Google."</w:t>
      </w:r>
    </w:p>
    <w:p>
      <w:pPr>
        <w:pStyle w:val="BodyText"/>
        <w:bidi w:val="0"/>
        <w:jc w:val="start"/>
        <w:rPr/>
      </w:pPr>
      <w:r>
        <w:rPr>
          <w:b/>
        </w:rPr>
        <w:t>Beyond Meat — NO MOAT, AI moat score 2/10 → AVOIDED, subsequently collapsed</w:t>
      </w:r>
      <w:r>
        <w:rPr/>
        <w:t xml:space="preserve"> No pricing power, no brand loyalty, no barriers to entry, no switching costs, no network effect, low economies of scale. </w:t>
      </w:r>
      <w:r>
        <w:rPr>
          <w:i/>
        </w:rPr>
        <w:t>"No moat is the most dangerous."</w:t>
      </w:r>
    </w:p>
    <w:p>
      <w:pPr>
        <w:pStyle w:val="BodyText"/>
        <w:bidi w:val="0"/>
        <w:jc w:val="start"/>
        <w:rPr/>
      </w:pPr>
      <w:r>
        <w:rPr>
          <w:b/>
        </w:rPr>
        <w:t>PayPal — AVOIDED.</w:t>
      </w:r>
      <w:r>
        <w:rPr/>
        <w:t xml:space="preserve"> </w:t>
      </w:r>
      <w:r>
        <w:rPr>
          <w:i/>
        </w:rPr>
        <w:t>"Although PayPal was gaining traction, it was getting popular, it was growing, but I felt that the business itself could be easily disrupted and replaced by much stronger competitors. And good thing I didn't buy it, because after going up initially, these shares have collapsed and I still wouldn't buy it."</w:t>
      </w:r>
    </w:p>
    <w:p>
      <w:pPr>
        <w:pStyle w:val="Heading4"/>
        <w:bidi w:val="0"/>
        <w:ind w:hanging="0" w:start="0"/>
        <w:jc w:val="start"/>
        <w:rPr/>
      </w:pPr>
      <w:r>
        <w:rPr/>
        <w:t>Reference lists given</w:t>
      </w:r>
    </w:p>
    <w:p>
      <w:pPr>
        <w:pStyle w:val="BodyText"/>
        <w:numPr>
          <w:ilvl w:val="0"/>
          <w:numId w:val="406"/>
        </w:numPr>
        <w:tabs>
          <w:tab w:val="clear" w:pos="709"/>
          <w:tab w:val="left" w:pos="709" w:leader="none"/>
        </w:tabs>
        <w:bidi w:val="0"/>
        <w:ind w:hanging="283" w:start="709"/>
        <w:jc w:val="start"/>
        <w:rPr/>
      </w:pPr>
      <w:r>
        <w:rPr>
          <w:b/>
        </w:rPr>
        <w:t>Wide moat examples:</w:t>
      </w:r>
      <w:r>
        <w:rPr/>
        <w:t xml:space="preserve"> Meta Platforms, Amazon, S&amp;P Global, Alphabet (Google), Netflix, Nvidia, Mastercard, Visa, Apple ("and there are many, many more").</w:t>
      </w:r>
    </w:p>
    <w:p>
      <w:pPr>
        <w:pStyle w:val="BodyText"/>
        <w:numPr>
          <w:ilvl w:val="0"/>
          <w:numId w:val="406"/>
        </w:numPr>
        <w:tabs>
          <w:tab w:val="clear" w:pos="709"/>
          <w:tab w:val="left" w:pos="709" w:leader="none"/>
        </w:tabs>
        <w:bidi w:val="0"/>
        <w:ind w:hanging="283" w:start="709"/>
        <w:jc w:val="start"/>
        <w:rPr/>
      </w:pPr>
      <w:r>
        <w:rPr>
          <w:b/>
        </w:rPr>
        <w:t>Narrow moat examples:</w:t>
      </w:r>
      <w:r>
        <w:rPr/>
        <w:t xml:space="preserve"> Cisco Systems, FedEx, Expedia, Dow Chemical, Alcoa, Chevron, Schlumberger, Tesla, ExxonMobil, Royal Dutch Shell.</w:t>
      </w:r>
    </w:p>
    <w:p>
      <w:pPr>
        <w:pStyle w:val="BodyText"/>
        <w:numPr>
          <w:ilvl w:val="0"/>
          <w:numId w:val="406"/>
        </w:numPr>
        <w:tabs>
          <w:tab w:val="clear" w:pos="709"/>
          <w:tab w:val="left" w:pos="709" w:leader="none"/>
        </w:tabs>
        <w:bidi w:val="0"/>
        <w:ind w:hanging="283" w:start="709"/>
        <w:jc w:val="start"/>
        <w:rPr/>
      </w:pPr>
      <w:r>
        <w:rPr>
          <w:b/>
        </w:rPr>
        <w:t>No-moat industries (mostly, not all):</w:t>
      </w:r>
      <w:r>
        <w:rPr/>
        <w:t xml:space="preserve"> commodity companies, </w:t>
      </w:r>
      <w:r>
        <w:rPr>
          <w:b/>
        </w:rPr>
        <w:t>airlines, auto manufacturers, property developers, construction companies, shipping companies, oil &amp; gas companies.</w:t>
      </w:r>
      <w:r>
        <w:rPr/>
        <w:t xml:space="preserve"> </w:t>
      </w:r>
      <w:r>
        <w:rPr>
          <w:i/>
        </w:rPr>
        <w:t>"It's like a bloody red ocean of competition. So I stay away from those industries."</w:t>
      </w:r>
    </w:p>
    <w:p>
      <w:pPr>
        <w:pStyle w:val="Heading4"/>
        <w:numPr>
          <w:ilvl w:val="0"/>
          <w:numId w:val="0"/>
        </w:numPr>
        <w:bidi w:val="0"/>
        <w:ind w:hanging="0" w:start="0"/>
        <w:jc w:val="start"/>
        <w:rPr/>
      </w:pPr>
      <w:r>
        <w:rPr/>
        <w:t>Step 3 summary questions to ask before buying</w:t>
      </w:r>
    </w:p>
    <w:p>
      <w:pPr>
        <w:pStyle w:val="BodyText"/>
        <w:numPr>
          <w:ilvl w:val="0"/>
          <w:numId w:val="407"/>
        </w:numPr>
        <w:tabs>
          <w:tab w:val="clear" w:pos="709"/>
          <w:tab w:val="left" w:pos="709" w:leader="none"/>
        </w:tabs>
        <w:bidi w:val="0"/>
        <w:ind w:hanging="283" w:start="709"/>
        <w:jc w:val="start"/>
        <w:rPr/>
      </w:pPr>
      <w:r>
        <w:rPr/>
        <w:t xml:space="preserve">Does it have a </w:t>
      </w:r>
      <w:r>
        <w:rPr>
          <w:b/>
        </w:rPr>
        <w:t>strong brand / brand monopoly</w:t>
      </w:r>
      <w:r>
        <w:rPr/>
        <w:t>? (McDonald's, Visa, Mastercard, Microsoft, Google, Coca-Cola, Pepsi)</w:t>
      </w:r>
    </w:p>
    <w:p>
      <w:pPr>
        <w:pStyle w:val="BodyText"/>
        <w:numPr>
          <w:ilvl w:val="0"/>
          <w:numId w:val="407"/>
        </w:numPr>
        <w:tabs>
          <w:tab w:val="clear" w:pos="709"/>
          <w:tab w:val="left" w:pos="709" w:leader="none"/>
        </w:tabs>
        <w:bidi w:val="0"/>
        <w:ind w:hanging="283" w:start="709"/>
        <w:jc w:val="start"/>
        <w:rPr/>
      </w:pPr>
      <w:r>
        <w:rPr/>
        <w:t xml:space="preserve">Does it have </w:t>
      </w:r>
      <w:r>
        <w:rPr>
          <w:b/>
        </w:rPr>
        <w:t>high barriers to entry</w:t>
      </w:r>
      <w:r>
        <w:rPr/>
        <w:t xml:space="preserve"> — regulatory barriers, IP or patents? (Lockheed Martin, Airbus, Palantir)</w:t>
      </w:r>
    </w:p>
    <w:p>
      <w:pPr>
        <w:pStyle w:val="BodyText"/>
        <w:numPr>
          <w:ilvl w:val="0"/>
          <w:numId w:val="407"/>
        </w:numPr>
        <w:tabs>
          <w:tab w:val="clear" w:pos="709"/>
          <w:tab w:val="left" w:pos="709" w:leader="none"/>
        </w:tabs>
        <w:bidi w:val="0"/>
        <w:ind w:hanging="283" w:start="709"/>
        <w:jc w:val="start"/>
        <w:rPr/>
      </w:pPr>
      <w:r>
        <w:rPr/>
        <w:t xml:space="preserve">Does it have </w:t>
      </w:r>
      <w:r>
        <w:rPr>
          <w:b/>
        </w:rPr>
        <w:t>huge economies of scale</w:t>
      </w:r>
      <w:r>
        <w:rPr/>
        <w:t>? (Amazon, Walmart, Airbus)</w:t>
      </w:r>
    </w:p>
    <w:p>
      <w:pPr>
        <w:pStyle w:val="BodyText"/>
        <w:numPr>
          <w:ilvl w:val="0"/>
          <w:numId w:val="407"/>
        </w:numPr>
        <w:tabs>
          <w:tab w:val="clear" w:pos="709"/>
          <w:tab w:val="left" w:pos="709" w:leader="none"/>
        </w:tabs>
        <w:bidi w:val="0"/>
        <w:ind w:hanging="283" w:start="709"/>
        <w:jc w:val="start"/>
        <w:rPr/>
      </w:pPr>
      <w:r>
        <w:rPr/>
        <w:t xml:space="preserve">Does it have a </w:t>
      </w:r>
      <w:r>
        <w:rPr>
          <w:b/>
        </w:rPr>
        <w:t>network effect</w:t>
      </w:r>
      <w:r>
        <w:rPr/>
        <w:t>? (Google, Meta, Apple, Alibaba, Tencent)</w:t>
      </w:r>
    </w:p>
    <w:p>
      <w:pPr>
        <w:pStyle w:val="BodyText"/>
        <w:numPr>
          <w:ilvl w:val="0"/>
          <w:numId w:val="407"/>
        </w:numPr>
        <w:tabs>
          <w:tab w:val="clear" w:pos="709"/>
          <w:tab w:val="left" w:pos="709" w:leader="none"/>
        </w:tabs>
        <w:bidi w:val="0"/>
        <w:ind w:hanging="283" w:start="709"/>
        <w:jc w:val="start"/>
        <w:rPr/>
      </w:pPr>
      <w:r>
        <w:rPr/>
        <w:t xml:space="preserve">Does it have </w:t>
      </w:r>
      <w:r>
        <w:rPr>
          <w:b/>
        </w:rPr>
        <w:t>high switching costs</w:t>
      </w:r>
      <w:r>
        <w:rPr/>
        <w:t xml:space="preserve">? (Microsoft, Palo Alto, CrowdStrike, Amazon Web Services) → </w:t>
      </w:r>
      <w:r>
        <w:rPr>
          <w:b/>
        </w:rPr>
        <w:t>≥3 of 5 = invest.</w:t>
      </w:r>
    </w:p>
    <w:p>
      <w:pPr>
        <w:pStyle w:val="HorizontalLine"/>
        <w:bidi w:val="0"/>
        <w:jc w:val="start"/>
        <w:rPr/>
      </w:pPr>
      <w:r>
        <w:rPr/>
      </w:r>
    </w:p>
    <w:p>
      <w:pPr>
        <w:pStyle w:val="Heading3"/>
        <w:bidi w:val="0"/>
        <w:ind w:hanging="0" w:start="0"/>
        <w:jc w:val="start"/>
        <w:rPr/>
      </w:pPr>
      <w:r>
        <w:rPr/>
        <w:t>STEP 4 — Highly Profitable and Operationally Efficient</w:t>
      </w:r>
    </w:p>
    <w:p>
      <w:pPr>
        <w:pStyle w:val="Heading4"/>
        <w:bidi w:val="0"/>
        <w:ind w:hanging="0" w:start="0"/>
        <w:jc w:val="start"/>
        <w:rPr/>
      </w:pPr>
      <w:r>
        <w:rPr/>
        <w:t>What it checks</w:t>
      </w:r>
    </w:p>
    <w:p>
      <w:pPr>
        <w:pStyle w:val="BodyText"/>
        <w:bidi w:val="0"/>
        <w:jc w:val="start"/>
        <w:rPr/>
      </w:pPr>
      <w:r>
        <w:rPr/>
        <w:t xml:space="preserve">That the company is genuinely profitable and runs efficiently — and that its profitability is </w:t>
      </w:r>
      <w:r>
        <w:rPr>
          <w:b/>
        </w:rPr>
        <w:t>not being manufactured by leverage</w:t>
      </w:r>
      <w:r>
        <w:rPr/>
        <w:t>.</w:t>
      </w:r>
    </w:p>
    <w:p>
      <w:pPr>
        <w:pStyle w:val="Heading4"/>
        <w:bidi w:val="0"/>
        <w:ind w:hanging="0" w:start="0"/>
        <w:jc w:val="start"/>
        <w:rPr/>
      </w:pPr>
      <w:r>
        <w:rPr/>
        <w:t>The FOUR metrics and exact thresholds</w:t>
      </w:r>
    </w:p>
    <w:tbl>
      <w:tblPr>
        <w:tblW w:w="5000" w:type="pct"/>
        <w:jc w:val="start"/>
        <w:tblInd w:w="-5" w:type="dxa"/>
        <w:tblLayout w:type="fixed"/>
        <w:tblCellMar>
          <w:top w:w="55" w:type="dxa"/>
          <w:start w:w="55" w:type="dxa"/>
          <w:bottom w:w="55" w:type="dxa"/>
          <w:end w:w="55" w:type="dxa"/>
        </w:tblCellMar>
      </w:tblPr>
      <w:tblGrid>
        <w:gridCol w:w="2409"/>
        <w:gridCol w:w="2410"/>
        <w:gridCol w:w="2409"/>
        <w:gridCol w:w="2410"/>
      </w:tblGrid>
      <w:tr>
        <w:trPr>
          <w:tblHeader w:val="true"/>
        </w:trPr>
        <w:tc>
          <w:tcPr>
            <w:tcW w:w="2409" w:type="dxa"/>
            <w:tcBorders>
              <w:top w:val="single" w:sz="4" w:space="0" w:color="000000"/>
              <w:start w:val="single" w:sz="4" w:space="0" w:color="000000"/>
              <w:bottom w:val="single" w:sz="4" w:space="0" w:color="000000"/>
            </w:tcBorders>
          </w:tcPr>
          <w:p>
            <w:pPr>
              <w:pStyle w:val="TableHeading"/>
              <w:bidi w:val="0"/>
              <w:jc w:val="start"/>
              <w:rPr/>
            </w:pPr>
            <w:r>
              <w:rPr/>
              <w:t>#</w:t>
            </w:r>
          </w:p>
        </w:tc>
        <w:tc>
          <w:tcPr>
            <w:tcW w:w="2410" w:type="dxa"/>
            <w:tcBorders>
              <w:top w:val="single" w:sz="4" w:space="0" w:color="000000"/>
              <w:start w:val="single" w:sz="4" w:space="0" w:color="000000"/>
              <w:bottom w:val="single" w:sz="4" w:space="0" w:color="000000"/>
            </w:tcBorders>
          </w:tcPr>
          <w:p>
            <w:pPr>
              <w:pStyle w:val="TableHeading"/>
              <w:bidi w:val="0"/>
              <w:jc w:val="start"/>
              <w:rPr/>
            </w:pPr>
            <w:r>
              <w:rPr/>
              <w:t>Metric</w:t>
            </w:r>
          </w:p>
        </w:tc>
        <w:tc>
          <w:tcPr>
            <w:tcW w:w="2409" w:type="dxa"/>
            <w:tcBorders>
              <w:top w:val="single" w:sz="4" w:space="0" w:color="000000"/>
              <w:start w:val="single" w:sz="4" w:space="0" w:color="000000"/>
              <w:bottom w:val="single" w:sz="4" w:space="0" w:color="000000"/>
            </w:tcBorders>
          </w:tcPr>
          <w:p>
            <w:pPr>
              <w:pStyle w:val="TableHeading"/>
              <w:bidi w:val="0"/>
              <w:jc w:val="start"/>
              <w:rPr/>
            </w:pPr>
            <w:r>
              <w:rPr/>
              <w:t>Threshold</w:t>
            </w:r>
          </w:p>
        </w:tc>
        <w:tc>
          <w:tcPr>
            <w:tcW w:w="2410"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Notes</w:t>
            </w:r>
          </w:p>
        </w:tc>
      </w:tr>
      <w:tr>
        <w:trPr/>
        <w:tc>
          <w:tcPr>
            <w:tcW w:w="2409" w:type="dxa"/>
            <w:tcBorders>
              <w:start w:val="single" w:sz="4" w:space="0" w:color="000000"/>
              <w:bottom w:val="single" w:sz="4" w:space="0" w:color="000000"/>
            </w:tcBorders>
          </w:tcPr>
          <w:p>
            <w:pPr>
              <w:pStyle w:val="TableContents"/>
              <w:bidi w:val="0"/>
              <w:jc w:val="start"/>
              <w:rPr/>
            </w:pPr>
            <w:r>
              <w:rPr>
                <w:b/>
              </w:rPr>
              <w:t>1</w:t>
            </w:r>
          </w:p>
        </w:tc>
        <w:tc>
          <w:tcPr>
            <w:tcW w:w="2410" w:type="dxa"/>
            <w:tcBorders>
              <w:start w:val="single" w:sz="4" w:space="0" w:color="000000"/>
              <w:bottom w:val="single" w:sz="4" w:space="0" w:color="000000"/>
            </w:tcBorders>
          </w:tcPr>
          <w:p>
            <w:pPr>
              <w:pStyle w:val="TableContents"/>
              <w:bidi w:val="0"/>
              <w:jc w:val="start"/>
              <w:rPr/>
            </w:pPr>
            <w:r>
              <w:rPr>
                <w:b/>
              </w:rPr>
              <w:t>Return on Equity (ROE)</w:t>
            </w:r>
          </w:p>
        </w:tc>
        <w:tc>
          <w:tcPr>
            <w:tcW w:w="2409" w:type="dxa"/>
            <w:tcBorders>
              <w:start w:val="single" w:sz="4" w:space="0" w:color="000000"/>
              <w:bottom w:val="single" w:sz="4" w:space="0" w:color="000000"/>
            </w:tcBorders>
          </w:tcPr>
          <w:p>
            <w:pPr>
              <w:pStyle w:val="TableContents"/>
              <w:bidi w:val="0"/>
              <w:jc w:val="start"/>
              <w:rPr/>
            </w:pPr>
            <w:r>
              <w:rPr>
                <w:b/>
              </w:rPr>
              <w:t xml:space="preserve">≥ </w:t>
            </w:r>
            <w:r>
              <w:rPr>
                <w:b/>
              </w:rPr>
              <w:t>12% = "a very profitable business"&gt; 15% = "a super exceptional business"</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Measures how well the company makes money from shareholders' stake in the business</w:t>
            </w:r>
          </w:p>
        </w:tc>
      </w:tr>
      <w:tr>
        <w:trPr/>
        <w:tc>
          <w:tcPr>
            <w:tcW w:w="2409" w:type="dxa"/>
            <w:tcBorders>
              <w:start w:val="single" w:sz="4" w:space="0" w:color="000000"/>
              <w:bottom w:val="single" w:sz="4" w:space="0" w:color="000000"/>
            </w:tcBorders>
          </w:tcPr>
          <w:p>
            <w:pPr>
              <w:pStyle w:val="TableContents"/>
              <w:bidi w:val="0"/>
              <w:jc w:val="start"/>
              <w:rPr/>
            </w:pPr>
            <w:r>
              <w:rPr>
                <w:b/>
              </w:rPr>
              <w:t>2</w:t>
            </w:r>
          </w:p>
        </w:tc>
        <w:tc>
          <w:tcPr>
            <w:tcW w:w="2410" w:type="dxa"/>
            <w:tcBorders>
              <w:start w:val="single" w:sz="4" w:space="0" w:color="000000"/>
              <w:bottom w:val="single" w:sz="4" w:space="0" w:color="000000"/>
            </w:tcBorders>
          </w:tcPr>
          <w:p>
            <w:pPr>
              <w:pStyle w:val="TableContents"/>
              <w:bidi w:val="0"/>
              <w:jc w:val="start"/>
              <w:rPr/>
            </w:pPr>
            <w:r>
              <w:rPr>
                <w:b/>
              </w:rPr>
              <w:t>Return on Invested Capital (ROIC)</w:t>
            </w:r>
          </w:p>
        </w:tc>
        <w:tc>
          <w:tcPr>
            <w:tcW w:w="2409" w:type="dxa"/>
            <w:tcBorders>
              <w:start w:val="single" w:sz="4" w:space="0" w:color="000000"/>
              <w:bottom w:val="single" w:sz="4" w:space="0" w:color="000000"/>
            </w:tcBorders>
          </w:tcPr>
          <w:p>
            <w:pPr>
              <w:pStyle w:val="TableContents"/>
              <w:bidi w:val="0"/>
              <w:jc w:val="start"/>
              <w:rPr/>
            </w:pPr>
            <w:r>
              <w:rPr>
                <w:b/>
              </w:rPr>
              <w:t xml:space="preserve">≥ </w:t>
            </w:r>
            <w:r>
              <w:rPr>
                <w:b/>
              </w:rPr>
              <w:t>12% = a good business≥ 15% = an excellent business</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b/>
              </w:rPr>
              <w:t>Why both?</w:t>
            </w:r>
            <w:r>
              <w:rPr/>
              <w:t xml:space="preserve"> Companies that finance with a lot of </w:t>
            </w:r>
            <w:r>
              <w:rPr>
                <w:b/>
              </w:rPr>
              <w:t>debt</w:t>
            </w:r>
            <w:r>
              <w:rPr/>
              <w:t xml:space="preserve"> need less equity, which </w:t>
            </w:r>
            <w:r>
              <w:rPr>
                <w:b/>
              </w:rPr>
              <w:t>inflates ROE artificially</w:t>
            </w:r>
            <w:r>
              <w:rPr/>
              <w:t xml:space="preserve"> — but heavy debt </w:t>
            </w:r>
            <w:r>
              <w:rPr>
                <w:b/>
              </w:rPr>
              <w:t>drags ROIC down</w:t>
            </w:r>
            <w:r>
              <w:rPr/>
              <w:t xml:space="preserve">. Requiring high ROE </w:t>
            </w:r>
            <w:r>
              <w:rPr>
                <w:i/>
              </w:rPr>
              <w:t>and</w:t>
            </w:r>
            <w:r>
              <w:rPr/>
              <w:t xml:space="preserve"> high ROIC ensures </w:t>
            </w:r>
            <w:r>
              <w:rPr>
                <w:i/>
              </w:rPr>
              <w:t>"its profitability is not being pushed up by too much debt."</w:t>
            </w:r>
          </w:p>
        </w:tc>
      </w:tr>
      <w:tr>
        <w:trPr/>
        <w:tc>
          <w:tcPr>
            <w:tcW w:w="2409" w:type="dxa"/>
            <w:tcBorders>
              <w:start w:val="single" w:sz="4" w:space="0" w:color="000000"/>
              <w:bottom w:val="single" w:sz="4" w:space="0" w:color="000000"/>
            </w:tcBorders>
          </w:tcPr>
          <w:p>
            <w:pPr>
              <w:pStyle w:val="TableContents"/>
              <w:bidi w:val="0"/>
              <w:jc w:val="start"/>
              <w:rPr/>
            </w:pPr>
            <w:r>
              <w:rPr>
                <w:b/>
              </w:rPr>
              <w:t>3</w:t>
            </w:r>
          </w:p>
        </w:tc>
        <w:tc>
          <w:tcPr>
            <w:tcW w:w="2410" w:type="dxa"/>
            <w:tcBorders>
              <w:start w:val="single" w:sz="4" w:space="0" w:color="000000"/>
              <w:bottom w:val="single" w:sz="4" w:space="0" w:color="000000"/>
            </w:tcBorders>
          </w:tcPr>
          <w:p>
            <w:pPr>
              <w:pStyle w:val="TableContents"/>
              <w:bidi w:val="0"/>
              <w:jc w:val="start"/>
              <w:rPr/>
            </w:pPr>
            <w:r>
              <w:rPr>
                <w:b/>
              </w:rPr>
              <w:t>Sales revenue vs Accounts Receivable</w:t>
            </w:r>
          </w:p>
        </w:tc>
        <w:tc>
          <w:tcPr>
            <w:tcW w:w="2409" w:type="dxa"/>
            <w:tcBorders>
              <w:start w:val="single" w:sz="4" w:space="0" w:color="000000"/>
              <w:bottom w:val="single" w:sz="4" w:space="0" w:color="000000"/>
            </w:tcBorders>
          </w:tcPr>
          <w:p>
            <w:pPr>
              <w:pStyle w:val="TableContents"/>
              <w:bidi w:val="0"/>
              <w:jc w:val="start"/>
              <w:rPr/>
            </w:pPr>
            <w:r>
              <w:rPr>
                <w:b/>
              </w:rPr>
              <w:t>Sales revenue must be growing FASTER than accounts receivable</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Working-capital efficiency check</w:t>
            </w:r>
          </w:p>
        </w:tc>
      </w:tr>
      <w:tr>
        <w:trPr/>
        <w:tc>
          <w:tcPr>
            <w:tcW w:w="2409" w:type="dxa"/>
            <w:tcBorders>
              <w:start w:val="single" w:sz="4" w:space="0" w:color="000000"/>
              <w:bottom w:val="single" w:sz="4" w:space="0" w:color="000000"/>
            </w:tcBorders>
          </w:tcPr>
          <w:p>
            <w:pPr>
              <w:pStyle w:val="TableContents"/>
              <w:bidi w:val="0"/>
              <w:jc w:val="start"/>
              <w:rPr/>
            </w:pPr>
            <w:r>
              <w:rPr>
                <w:b/>
              </w:rPr>
              <w:t>4</w:t>
            </w:r>
          </w:p>
        </w:tc>
        <w:tc>
          <w:tcPr>
            <w:tcW w:w="2410" w:type="dxa"/>
            <w:tcBorders>
              <w:start w:val="single" w:sz="4" w:space="0" w:color="000000"/>
              <w:bottom w:val="single" w:sz="4" w:space="0" w:color="000000"/>
            </w:tcBorders>
          </w:tcPr>
          <w:p>
            <w:pPr>
              <w:pStyle w:val="TableContents"/>
              <w:bidi w:val="0"/>
              <w:jc w:val="start"/>
              <w:rPr/>
            </w:pPr>
            <w:r>
              <w:rPr>
                <w:b/>
              </w:rPr>
              <w:t>Cash Conversion Cycle (CCC)</w:t>
            </w:r>
          </w:p>
        </w:tc>
        <w:tc>
          <w:tcPr>
            <w:tcW w:w="2409" w:type="dxa"/>
            <w:tcBorders>
              <w:start w:val="single" w:sz="4" w:space="0" w:color="000000"/>
              <w:bottom w:val="single" w:sz="4" w:space="0" w:color="000000"/>
            </w:tcBorders>
          </w:tcPr>
          <w:p>
            <w:pPr>
              <w:pStyle w:val="TableContents"/>
              <w:bidi w:val="0"/>
              <w:jc w:val="start"/>
              <w:rPr/>
            </w:pPr>
            <w:r>
              <w:rPr>
                <w:b/>
              </w:rPr>
              <w:t>Consistent or declining</w:t>
            </w:r>
            <w:r>
              <w:rPr/>
              <w:t xml:space="preserve"> — must not be increasing too much</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i/>
              </w:rPr>
              <w:t>"how many days it takes for every $1 the company spends… to get the money back. The faster the better."</w:t>
            </w:r>
            <w:r>
              <w:rPr/>
              <w:t xml:space="preserve"> </w:t>
            </w:r>
            <w:r>
              <w:rPr>
                <w:b/>
              </w:rPr>
              <w:t>A NEGATIVE CCC is fantastic</w:t>
            </w:r>
            <w:r>
              <w:rPr/>
              <w:t xml:space="preserve"> — the company collects cash upfront from customers before it even pays its suppliers. Applies mainly to companies selling </w:t>
            </w:r>
            <w:r>
              <w:rPr>
                <w:b/>
              </w:rPr>
              <w:t>physical goods</w:t>
            </w:r>
            <w:r>
              <w:rPr/>
              <w:t xml:space="preserve"> (Apple, Nike).</w:t>
            </w:r>
          </w:p>
        </w:tc>
      </w:tr>
    </w:tbl>
    <w:p>
      <w:pPr>
        <w:pStyle w:val="BodyText"/>
        <w:bidi w:val="0"/>
        <w:jc w:val="start"/>
        <w:rPr/>
      </w:pPr>
      <w:r>
        <w:rPr/>
      </w:r>
    </w:p>
    <w:p>
      <w:pPr>
        <w:pStyle w:val="Heading4"/>
        <w:bidi w:val="0"/>
        <w:ind w:hanging="0" w:start="0"/>
        <w:jc w:val="start"/>
        <w:rPr/>
      </w:pPr>
      <w:r>
        <w:rPr/>
        <w:t>Trend rules</w:t>
      </w:r>
    </w:p>
    <w:p>
      <w:pPr>
        <w:pStyle w:val="BodyText"/>
        <w:numPr>
          <w:ilvl w:val="0"/>
          <w:numId w:val="408"/>
        </w:numPr>
        <w:tabs>
          <w:tab w:val="clear" w:pos="709"/>
          <w:tab w:val="left" w:pos="709" w:leader="none"/>
        </w:tabs>
        <w:bidi w:val="0"/>
        <w:ind w:hanging="283" w:start="709"/>
        <w:jc w:val="start"/>
        <w:rPr/>
      </w:pPr>
      <w:r>
        <w:rPr/>
        <w:t xml:space="preserve">ROE and ROIC </w:t>
      </w:r>
      <w:r>
        <w:rPr>
          <w:b/>
        </w:rPr>
        <w:t>trend charts</w:t>
      </w:r>
      <w:r>
        <w:rPr/>
        <w:t xml:space="preserve">: </w:t>
      </w:r>
      <w:r>
        <w:rPr>
          <w:i/>
        </w:rPr>
        <w:t>"as long as it is consistent or rising, that's a good thing. But if it's consistently declining, then it's something to watch out for."</w:t>
      </w:r>
    </w:p>
    <w:p>
      <w:pPr>
        <w:pStyle w:val="BodyText"/>
        <w:numPr>
          <w:ilvl w:val="0"/>
          <w:numId w:val="408"/>
        </w:numPr>
        <w:tabs>
          <w:tab w:val="clear" w:pos="709"/>
          <w:tab w:val="left" w:pos="709" w:leader="none"/>
        </w:tabs>
        <w:bidi w:val="0"/>
        <w:ind w:hanging="283" w:start="709"/>
        <w:jc w:val="start"/>
        <w:rPr/>
      </w:pPr>
      <w:r>
        <w:rPr/>
        <w:t xml:space="preserve">Always compare the </w:t>
      </w:r>
      <w:r>
        <w:rPr>
          <w:b/>
        </w:rPr>
        <w:t>current</w:t>
      </w:r>
      <w:r>
        <w:rPr/>
        <w:t xml:space="preserve"> figure to the </w:t>
      </w:r>
      <w:r>
        <w:rPr>
          <w:b/>
        </w:rPr>
        <w:t>5-year average</w:t>
      </w:r>
      <w:r>
        <w:rPr/>
        <w:t xml:space="preserve"> — current at or above the 5-yr average is what you want.</w:t>
      </w:r>
    </w:p>
    <w:p>
      <w:pPr>
        <w:pStyle w:val="Heading4"/>
        <w:numPr>
          <w:ilvl w:val="0"/>
          <w:numId w:val="0"/>
        </w:numPr>
        <w:bidi w:val="0"/>
        <w:ind w:hanging="0" w:start="0"/>
        <w:jc w:val="start"/>
        <w:rPr/>
      </w:pPr>
      <w:r>
        <w:rPr/>
        <w:t xml:space="preserve">⚠️ </w:t>
      </w:r>
      <w:r>
        <w:rPr/>
        <w:t>ROIC EXCEPTIONS — do NOT apply ROIC to:</w:t>
      </w:r>
    </w:p>
    <w:p>
      <w:pPr>
        <w:pStyle w:val="BodyText"/>
        <w:numPr>
          <w:ilvl w:val="0"/>
          <w:numId w:val="409"/>
        </w:numPr>
        <w:tabs>
          <w:tab w:val="clear" w:pos="709"/>
          <w:tab w:val="left" w:pos="709" w:leader="none"/>
        </w:tabs>
        <w:bidi w:val="0"/>
        <w:ind w:hanging="283" w:start="709"/>
        <w:jc w:val="start"/>
        <w:rPr/>
      </w:pPr>
      <w:r>
        <w:rPr>
          <w:b/>
        </w:rPr>
        <w:t>Banks</w:t>
      </w:r>
    </w:p>
    <w:p>
      <w:pPr>
        <w:pStyle w:val="BodyText"/>
        <w:numPr>
          <w:ilvl w:val="0"/>
          <w:numId w:val="409"/>
        </w:numPr>
        <w:tabs>
          <w:tab w:val="clear" w:pos="709"/>
          <w:tab w:val="left" w:pos="709" w:leader="none"/>
        </w:tabs>
        <w:bidi w:val="0"/>
        <w:ind w:hanging="283" w:start="709"/>
        <w:jc w:val="start"/>
        <w:rPr/>
      </w:pPr>
      <w:r>
        <w:rPr>
          <w:b/>
        </w:rPr>
        <w:t>Insurance companies</w:t>
      </w:r>
    </w:p>
    <w:p>
      <w:pPr>
        <w:pStyle w:val="BodyText"/>
        <w:numPr>
          <w:ilvl w:val="0"/>
          <w:numId w:val="409"/>
        </w:numPr>
        <w:tabs>
          <w:tab w:val="clear" w:pos="709"/>
          <w:tab w:val="left" w:pos="709" w:leader="none"/>
        </w:tabs>
        <w:bidi w:val="0"/>
        <w:ind w:hanging="283" w:start="709"/>
        <w:jc w:val="start"/>
        <w:rPr/>
      </w:pPr>
      <w:r>
        <w:rPr>
          <w:b/>
        </w:rPr>
        <w:t>Regulated utilities</w:t>
      </w:r>
    </w:p>
    <w:p>
      <w:pPr>
        <w:pStyle w:val="BodyText"/>
        <w:bidi w:val="0"/>
        <w:jc w:val="start"/>
        <w:rPr/>
      </w:pPr>
      <w:r>
        <w:rPr/>
        <w:t xml:space="preserve">Reason: these are highly leveraged by nature, or have very high fixed capex requiring debt financing. </w:t>
      </w:r>
      <w:r>
        <w:rPr>
          <w:i/>
        </w:rPr>
        <w:t>"We just look at ROE, because if you use ROIC, they will all fail."</w:t>
      </w:r>
    </w:p>
    <w:p>
      <w:pPr>
        <w:pStyle w:val="Heading4"/>
        <w:bidi w:val="0"/>
        <w:ind w:hanging="0" w:start="0"/>
        <w:jc w:val="start"/>
        <w:rPr/>
      </w:pPr>
      <w:r>
        <w:rPr/>
        <w:t>Worked example — NVIDIA (NVDA)</w:t>
      </w:r>
    </w:p>
    <w:tbl>
      <w:tblPr>
        <w:tblW w:w="5000" w:type="pct"/>
        <w:jc w:val="start"/>
        <w:tblInd w:w="-5" w:type="dxa"/>
        <w:tblLayout w:type="fixed"/>
        <w:tblCellMar>
          <w:top w:w="55" w:type="dxa"/>
          <w:start w:w="55" w:type="dxa"/>
          <w:bottom w:w="55" w:type="dxa"/>
          <w:end w:w="55" w:type="dxa"/>
        </w:tblCellMar>
      </w:tblPr>
      <w:tblGrid>
        <w:gridCol w:w="3212"/>
        <w:gridCol w:w="3213"/>
        <w:gridCol w:w="3213"/>
      </w:tblGrid>
      <w:tr>
        <w:trPr>
          <w:tblHeader w:val="true"/>
        </w:trPr>
        <w:tc>
          <w:tcPr>
            <w:tcW w:w="3212" w:type="dxa"/>
            <w:tcBorders>
              <w:top w:val="single" w:sz="4" w:space="0" w:color="000000"/>
              <w:start w:val="single" w:sz="4" w:space="0" w:color="000000"/>
              <w:bottom w:val="single" w:sz="4" w:space="0" w:color="000000"/>
            </w:tcBorders>
          </w:tcPr>
          <w:p>
            <w:pPr>
              <w:pStyle w:val="TableHeading"/>
              <w:bidi w:val="0"/>
              <w:jc w:val="start"/>
              <w:rPr/>
            </w:pPr>
            <w:r>
              <w:rPr/>
              <w:t>Metric</w:t>
            </w:r>
          </w:p>
        </w:tc>
        <w:tc>
          <w:tcPr>
            <w:tcW w:w="3213" w:type="dxa"/>
            <w:tcBorders>
              <w:top w:val="single" w:sz="4" w:space="0" w:color="000000"/>
              <w:start w:val="single" w:sz="4" w:space="0" w:color="000000"/>
              <w:bottom w:val="single" w:sz="4" w:space="0" w:color="000000"/>
            </w:tcBorders>
          </w:tcPr>
          <w:p>
            <w:pPr>
              <w:pStyle w:val="TableHeading"/>
              <w:bidi w:val="0"/>
              <w:jc w:val="start"/>
              <w:rPr/>
            </w:pPr>
            <w:r>
              <w:rPr/>
              <w:t>Value</w:t>
            </w:r>
          </w:p>
        </w:tc>
        <w:tc>
          <w:tcPr>
            <w:tcW w:w="3213"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Verdict</w:t>
            </w:r>
          </w:p>
        </w:tc>
      </w:tr>
      <w:tr>
        <w:trPr/>
        <w:tc>
          <w:tcPr>
            <w:tcW w:w="3212" w:type="dxa"/>
            <w:tcBorders>
              <w:start w:val="single" w:sz="4" w:space="0" w:color="000000"/>
              <w:bottom w:val="single" w:sz="4" w:space="0" w:color="000000"/>
            </w:tcBorders>
          </w:tcPr>
          <w:p>
            <w:pPr>
              <w:pStyle w:val="TableContents"/>
              <w:bidi w:val="0"/>
              <w:jc w:val="start"/>
              <w:rPr/>
            </w:pPr>
            <w:r>
              <w:rPr/>
              <w:t>ROE</w:t>
            </w:r>
          </w:p>
        </w:tc>
        <w:tc>
          <w:tcPr>
            <w:tcW w:w="3213" w:type="dxa"/>
            <w:tcBorders>
              <w:start w:val="single" w:sz="4" w:space="0" w:color="000000"/>
              <w:bottom w:val="single" w:sz="4" w:space="0" w:color="000000"/>
            </w:tcBorders>
          </w:tcPr>
          <w:p>
            <w:pPr>
              <w:pStyle w:val="TableContents"/>
              <w:bidi w:val="0"/>
              <w:jc w:val="start"/>
              <w:rPr/>
            </w:pPr>
            <w:r>
              <w:rPr>
                <w:b/>
              </w:rPr>
              <w:t>101%</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 xml:space="preserve">✅ </w:t>
            </w:r>
            <w:r>
              <w:rPr/>
              <w:t>Way over 15%, and above the 5-year average</w:t>
            </w:r>
          </w:p>
        </w:tc>
      </w:tr>
      <w:tr>
        <w:trPr/>
        <w:tc>
          <w:tcPr>
            <w:tcW w:w="3212" w:type="dxa"/>
            <w:tcBorders>
              <w:start w:val="single" w:sz="4" w:space="0" w:color="000000"/>
              <w:bottom w:val="single" w:sz="4" w:space="0" w:color="000000"/>
            </w:tcBorders>
          </w:tcPr>
          <w:p>
            <w:pPr>
              <w:pStyle w:val="TableContents"/>
              <w:bidi w:val="0"/>
              <w:jc w:val="start"/>
              <w:rPr/>
            </w:pPr>
            <w:r>
              <w:rPr/>
              <w:t>ROIC</w:t>
            </w:r>
          </w:p>
        </w:tc>
        <w:tc>
          <w:tcPr>
            <w:tcW w:w="3213" w:type="dxa"/>
            <w:tcBorders>
              <w:start w:val="single" w:sz="4" w:space="0" w:color="000000"/>
              <w:bottom w:val="single" w:sz="4" w:space="0" w:color="000000"/>
            </w:tcBorders>
          </w:tcPr>
          <w:p>
            <w:pPr>
              <w:pStyle w:val="TableContents"/>
              <w:bidi w:val="0"/>
              <w:jc w:val="start"/>
              <w:rPr/>
            </w:pPr>
            <w:r>
              <w:rPr>
                <w:b/>
              </w:rPr>
              <w:t>93%</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 xml:space="preserve">✅ </w:t>
            </w:r>
            <w:r>
              <w:rPr/>
              <w:t>Way above 15% and above the 5-year average</w:t>
            </w:r>
          </w:p>
        </w:tc>
      </w:tr>
      <w:tr>
        <w:trPr/>
        <w:tc>
          <w:tcPr>
            <w:tcW w:w="3212" w:type="dxa"/>
            <w:tcBorders>
              <w:start w:val="single" w:sz="4" w:space="0" w:color="000000"/>
              <w:bottom w:val="single" w:sz="4" w:space="0" w:color="000000"/>
            </w:tcBorders>
          </w:tcPr>
          <w:p>
            <w:pPr>
              <w:pStyle w:val="TableContents"/>
              <w:bidi w:val="0"/>
              <w:jc w:val="start"/>
              <w:rPr/>
            </w:pPr>
            <w:r>
              <w:rPr/>
              <w:t>Revenue vs Accounts Receivable</w:t>
            </w:r>
          </w:p>
        </w:tc>
        <w:tc>
          <w:tcPr>
            <w:tcW w:w="3213" w:type="dxa"/>
            <w:tcBorders>
              <w:start w:val="single" w:sz="4" w:space="0" w:color="000000"/>
              <w:bottom w:val="single" w:sz="4" w:space="0" w:color="000000"/>
            </w:tcBorders>
          </w:tcPr>
          <w:p>
            <w:pPr>
              <w:pStyle w:val="TableContents"/>
              <w:bidi w:val="0"/>
              <w:jc w:val="start"/>
              <w:rPr/>
            </w:pPr>
            <w:r>
              <w:rPr/>
              <w:t>Revenue growing faster than AR</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 xml:space="preserve">✅ </w:t>
            </w:r>
            <w:r>
              <w:rPr/>
              <w:t>Pass</w:t>
            </w:r>
          </w:p>
        </w:tc>
      </w:tr>
      <w:tr>
        <w:trPr/>
        <w:tc>
          <w:tcPr>
            <w:tcW w:w="3212" w:type="dxa"/>
            <w:tcBorders>
              <w:start w:val="single" w:sz="4" w:space="0" w:color="000000"/>
              <w:bottom w:val="single" w:sz="4" w:space="0" w:color="000000"/>
            </w:tcBorders>
          </w:tcPr>
          <w:p>
            <w:pPr>
              <w:pStyle w:val="TableContents"/>
              <w:bidi w:val="0"/>
              <w:jc w:val="start"/>
              <w:rPr/>
            </w:pPr>
            <w:r>
              <w:rPr/>
              <w:t>Cash Conversion Cycle</w:t>
            </w:r>
          </w:p>
        </w:tc>
        <w:tc>
          <w:tcPr>
            <w:tcW w:w="3213" w:type="dxa"/>
            <w:tcBorders>
              <w:start w:val="single" w:sz="4" w:space="0" w:color="000000"/>
              <w:bottom w:val="single" w:sz="4" w:space="0" w:color="000000"/>
            </w:tcBorders>
          </w:tcPr>
          <w:p>
            <w:pPr>
              <w:pStyle w:val="TableContents"/>
              <w:bidi w:val="0"/>
              <w:jc w:val="start"/>
              <w:rPr/>
            </w:pPr>
            <w:r>
              <w:rPr/>
              <w:t>"Generally moderately rising, but nothing to be concerned about"</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 xml:space="preserve">✅ </w:t>
            </w:r>
            <w:r>
              <w:rPr/>
              <w:t>Acceptable</w:t>
            </w:r>
          </w:p>
        </w:tc>
      </w:tr>
    </w:tbl>
    <w:p>
      <w:pPr>
        <w:pStyle w:val="BodyText"/>
        <w:bidi w:val="0"/>
        <w:jc w:val="start"/>
        <w:rPr/>
      </w:pPr>
      <w:r>
        <w:rPr/>
      </w:r>
    </w:p>
    <w:p>
      <w:pPr>
        <w:pStyle w:val="BodyText"/>
        <w:bidi w:val="0"/>
        <w:jc w:val="start"/>
        <w:rPr/>
      </w:pPr>
      <w:r>
        <w:rPr>
          <w:b/>
        </w:rPr>
        <w:t>Singapore Telecom (SingTel)</w:t>
      </w:r>
      <w:r>
        <w:rPr/>
        <w:t xml:space="preserve"> — CCC on TradingView is </w:t>
      </w:r>
      <w:r>
        <w:rPr>
          <w:b/>
        </w:rPr>
        <w:t>negative</w:t>
      </w:r>
      <w:r>
        <w:rPr/>
        <w:t xml:space="preserve"> and mostly sideways over 5 years. </w:t>
      </w:r>
      <w:r>
        <w:rPr>
          <w:i/>
        </w:rPr>
        <w:t>"Negative cash conversion cycle is a very good thing. That means SingTel collects cash upfront before paying its suppliers. So that is of course the best scenario."</w:t>
      </w:r>
    </w:p>
    <w:p>
      <w:pPr>
        <w:pStyle w:val="Heading4"/>
        <w:bidi w:val="0"/>
        <w:ind w:hanging="0" w:start="0"/>
        <w:jc w:val="start"/>
        <w:rPr/>
      </w:pPr>
      <w:r>
        <w:rPr/>
        <w:t>Where to find the data (tools)</w:t>
      </w:r>
    </w:p>
    <w:p>
      <w:pPr>
        <w:pStyle w:val="BodyText"/>
        <w:numPr>
          <w:ilvl w:val="0"/>
          <w:numId w:val="410"/>
        </w:numPr>
        <w:tabs>
          <w:tab w:val="clear" w:pos="709"/>
          <w:tab w:val="left" w:pos="709" w:leader="none"/>
        </w:tabs>
        <w:bidi w:val="0"/>
        <w:ind w:hanging="283" w:start="709"/>
        <w:jc w:val="start"/>
        <w:rPr/>
      </w:pPr>
      <w:r>
        <w:rPr>
          <w:b/>
        </w:rPr>
        <w:t>StockOracle → Company Metrics → ROE/ROIC trend chart</w:t>
      </w:r>
      <w:r>
        <w:rPr/>
        <w:t xml:space="preserve">, then scroll down to </w:t>
      </w:r>
      <w:r>
        <w:rPr>
          <w:b/>
        </w:rPr>
        <w:t>"Profitability Ratios"</w:t>
      </w:r>
      <w:r>
        <w:rPr/>
        <w:t xml:space="preserve"> for the exact figures and 5-year averages. </w:t>
      </w:r>
      <w:r>
        <w:rPr>
          <w:i/>
        </w:rPr>
        <w:t>Works on the FREE basic account.</w:t>
      </w:r>
    </w:p>
    <w:p>
      <w:pPr>
        <w:pStyle w:val="BodyText"/>
        <w:numPr>
          <w:ilvl w:val="0"/>
          <w:numId w:val="410"/>
        </w:numPr>
        <w:tabs>
          <w:tab w:val="clear" w:pos="709"/>
          <w:tab w:val="left" w:pos="709" w:leader="none"/>
        </w:tabs>
        <w:bidi w:val="0"/>
        <w:ind w:hanging="283" w:start="709"/>
        <w:jc w:val="start"/>
        <w:rPr/>
      </w:pPr>
      <w:r>
        <w:rPr>
          <w:b/>
        </w:rPr>
        <w:t>StockOracle → Financials → scroll down</w:t>
      </w:r>
      <w:r>
        <w:rPr/>
        <w:t xml:space="preserve"> for revenue growth vs accounts receivable. </w:t>
      </w:r>
      <w:r>
        <w:rPr>
          <w:i/>
        </w:rPr>
        <w:t>Also on the free site.</w:t>
      </w:r>
    </w:p>
    <w:p>
      <w:pPr>
        <w:pStyle w:val="BodyText"/>
        <w:numPr>
          <w:ilvl w:val="0"/>
          <w:numId w:val="410"/>
        </w:numPr>
        <w:tabs>
          <w:tab w:val="clear" w:pos="709"/>
          <w:tab w:val="left" w:pos="709" w:leader="none"/>
        </w:tabs>
        <w:bidi w:val="0"/>
        <w:ind w:hanging="283" w:start="709"/>
        <w:jc w:val="start"/>
        <w:rPr/>
      </w:pPr>
      <w:r>
        <w:rPr>
          <w:b/>
        </w:rPr>
        <w:t>Morningstar.com → [ticker] → Key Metrics → Profitability and Efficiency</w:t>
      </w:r>
      <w:r>
        <w:rPr/>
        <w:t xml:space="preserve"> — alternative source, </w:t>
      </w:r>
      <w:r>
        <w:rPr>
          <w:b/>
        </w:rPr>
        <w:t>shows ROE and ROIC for the last 6 years</w:t>
      </w:r>
      <w:r>
        <w:rPr/>
        <w:t xml:space="preserve">; works for </w:t>
      </w:r>
      <w:r>
        <w:rPr>
          <w:b/>
        </w:rPr>
        <w:t>foreign (non-US) stocks not covered by StockOracle</w:t>
      </w:r>
      <w:r>
        <w:rPr/>
        <w:t>.</w:t>
      </w:r>
    </w:p>
    <w:p>
      <w:pPr>
        <w:pStyle w:val="BodyText"/>
        <w:numPr>
          <w:ilvl w:val="0"/>
          <w:numId w:val="410"/>
        </w:numPr>
        <w:tabs>
          <w:tab w:val="clear" w:pos="709"/>
          <w:tab w:val="left" w:pos="709" w:leader="none"/>
        </w:tabs>
        <w:bidi w:val="0"/>
        <w:ind w:hanging="283" w:start="709"/>
        <w:jc w:val="start"/>
        <w:rPr/>
      </w:pPr>
      <w:r>
        <w:rPr>
          <w:b/>
        </w:rPr>
        <w:t>TradingView → Indicators → search "Cash Conversion Cycle"</w:t>
      </w:r>
      <w:r>
        <w:rPr/>
        <w:t xml:space="preserve"> — plot CCC over the last 5 years.</w:t>
      </w:r>
    </w:p>
    <w:p>
      <w:pPr>
        <w:pStyle w:val="BodyText"/>
        <w:numPr>
          <w:ilvl w:val="0"/>
          <w:numId w:val="410"/>
        </w:numPr>
        <w:tabs>
          <w:tab w:val="clear" w:pos="709"/>
          <w:tab w:val="left" w:pos="709" w:leader="none"/>
        </w:tabs>
        <w:bidi w:val="0"/>
        <w:ind w:hanging="283" w:start="709"/>
        <w:jc w:val="start"/>
        <w:rPr/>
      </w:pPr>
      <w:r>
        <w:rPr>
          <w:b/>
        </w:rPr>
        <w:t>TradingView custom script — "Total Revenue vs Accounts Receivables"</w:t>
      </w:r>
      <w:r>
        <w:rPr/>
        <w:t xml:space="preserve"> (labelled </w:t>
      </w:r>
      <w:r>
        <w:rPr>
          <w:b/>
        </w:rPr>
        <w:t>Piranha Profit</w:t>
      </w:r>
      <w:r>
        <w:rPr/>
        <w:t xml:space="preserve">): download from the </w:t>
      </w:r>
      <w:r>
        <w:rPr>
          <w:b/>
        </w:rPr>
        <w:t>Whale Investor course resources</w:t>
      </w:r>
      <w:r>
        <w:rPr/>
        <w:t xml:space="preserve">, under </w:t>
      </w:r>
      <w:r>
        <w:rPr>
          <w:b/>
        </w:rPr>
        <w:t>Lesson 4 (Fundamental Analysis) → Course Notes and Resources</w:t>
      </w:r>
      <w:r>
        <w:rPr/>
        <w:t xml:space="preserve">, then load via TradingView → Indicators. Revenue plots </w:t>
      </w:r>
      <w:r>
        <w:rPr>
          <w:b/>
        </w:rPr>
        <w:t>green</w:t>
      </w:r>
      <w:r>
        <w:rPr/>
        <w:t xml:space="preserve">, accounts receivable plots </w:t>
      </w:r>
      <w:r>
        <w:rPr>
          <w:b/>
        </w:rPr>
        <w:t>red</w:t>
      </w:r>
      <w:r>
        <w:rPr/>
        <w:t>.</w:t>
      </w:r>
    </w:p>
    <w:p>
      <w:pPr>
        <w:pStyle w:val="HorizontalLine"/>
        <w:bidi w:val="0"/>
        <w:jc w:val="start"/>
        <w:rPr/>
      </w:pPr>
      <w:r>
        <w:rPr/>
      </w:r>
    </w:p>
    <w:p>
      <w:pPr>
        <w:pStyle w:val="Heading3"/>
        <w:bidi w:val="0"/>
        <w:ind w:hanging="0" w:start="0"/>
        <w:jc w:val="start"/>
        <w:rPr/>
      </w:pPr>
      <w:r>
        <w:rPr/>
        <w:t>STEP 5 — Conservative Debt Structure (Strong Balance Sheet)</w:t>
      </w:r>
    </w:p>
    <w:p>
      <w:pPr>
        <w:pStyle w:val="Heading4"/>
        <w:bidi w:val="0"/>
        <w:ind w:hanging="0" w:start="0"/>
        <w:jc w:val="start"/>
        <w:rPr/>
      </w:pPr>
      <w:r>
        <w:rPr/>
        <w:t>What it checks</w:t>
      </w:r>
    </w:p>
    <w:p>
      <w:pPr>
        <w:pStyle w:val="BodyText"/>
        <w:bidi w:val="0"/>
        <w:jc w:val="start"/>
        <w:rPr/>
      </w:pPr>
      <w:r>
        <w:rPr/>
        <w:t xml:space="preserve">That the company will not be crippled or bankrupted by debt. </w:t>
      </w:r>
      <w:r>
        <w:rPr>
          <w:i/>
        </w:rPr>
        <w:t>"If you invest in companies with little or no debt, it can't go bankrupt. You can only go bankrupt with high debt."</w:t>
      </w:r>
    </w:p>
    <w:p>
      <w:pPr>
        <w:pStyle w:val="BodyText"/>
        <w:bidi w:val="0"/>
        <w:jc w:val="start"/>
        <w:rPr/>
      </w:pPr>
      <w:r>
        <w:rPr>
          <w:b/>
        </w:rPr>
        <w:t>Why it matters:</w:t>
      </w:r>
      <w:r>
        <w:rPr/>
        <w:t xml:space="preserve"> companies that can make a lot of money by taking on high debt are risky — </w:t>
      </w:r>
      <w:r>
        <w:rPr>
          <w:i/>
        </w:rPr>
        <w:t>"if interest rates rise too much, these companies would suddenly pay a lot of interest expense… that would lower their profits and the share price would suffer."</w:t>
      </w:r>
      <w:r>
        <w:rPr/>
        <w:t> </w:t>
      </w:r>
      <w:r>
        <w:rPr>
          <w:b/>
        </w:rPr>
        <w:t>Bankruptcy examples cited:</w:t>
      </w:r>
      <w:r>
        <w:rPr/>
        <w:t xml:space="preserve"> </w:t>
      </w:r>
      <w:r>
        <w:rPr>
          <w:b/>
        </w:rPr>
        <w:t>Evergrande</w:t>
      </w:r>
      <w:r>
        <w:rPr/>
        <w:t xml:space="preserve"> (China property) and </w:t>
      </w:r>
      <w:r>
        <w:rPr>
          <w:b/>
        </w:rPr>
        <w:t>Hyflux</w:t>
      </w:r>
      <w:r>
        <w:rPr/>
        <w:t xml:space="preserve"> (Singapore). </w:t>
      </w:r>
      <w:r>
        <w:rPr>
          <w:i/>
        </w:rPr>
        <w:t>"What did all these companies have in common? They had very high debt."</w:t>
      </w:r>
    </w:p>
    <w:p>
      <w:pPr>
        <w:pStyle w:val="Heading4"/>
        <w:bidi w:val="0"/>
        <w:ind w:hanging="0" w:start="0"/>
        <w:jc w:val="start"/>
        <w:rPr/>
      </w:pPr>
      <w:r>
        <w:rPr/>
        <w:t>The THREE main ratios and exact thresholds</w:t>
      </w:r>
    </w:p>
    <w:tbl>
      <w:tblPr>
        <w:tblW w:w="5000" w:type="pct"/>
        <w:jc w:val="start"/>
        <w:tblInd w:w="-5" w:type="dxa"/>
        <w:tblLayout w:type="fixed"/>
        <w:tblCellMar>
          <w:top w:w="55" w:type="dxa"/>
          <w:start w:w="55" w:type="dxa"/>
          <w:bottom w:w="55" w:type="dxa"/>
          <w:end w:w="55" w:type="dxa"/>
        </w:tblCellMar>
      </w:tblPr>
      <w:tblGrid>
        <w:gridCol w:w="2409"/>
        <w:gridCol w:w="2410"/>
        <w:gridCol w:w="2409"/>
        <w:gridCol w:w="2410"/>
      </w:tblGrid>
      <w:tr>
        <w:trPr>
          <w:tblHeader w:val="true"/>
        </w:trPr>
        <w:tc>
          <w:tcPr>
            <w:tcW w:w="2409" w:type="dxa"/>
            <w:tcBorders>
              <w:top w:val="single" w:sz="4" w:space="0" w:color="000000"/>
              <w:start w:val="single" w:sz="4" w:space="0" w:color="000000"/>
              <w:bottom w:val="single" w:sz="4" w:space="0" w:color="000000"/>
            </w:tcBorders>
          </w:tcPr>
          <w:p>
            <w:pPr>
              <w:pStyle w:val="TableHeading"/>
              <w:bidi w:val="0"/>
              <w:jc w:val="start"/>
              <w:rPr/>
            </w:pPr>
            <w:r>
              <w:rPr/>
              <w:t>#</w:t>
            </w:r>
          </w:p>
        </w:tc>
        <w:tc>
          <w:tcPr>
            <w:tcW w:w="2410" w:type="dxa"/>
            <w:tcBorders>
              <w:top w:val="single" w:sz="4" w:space="0" w:color="000000"/>
              <w:start w:val="single" w:sz="4" w:space="0" w:color="000000"/>
              <w:bottom w:val="single" w:sz="4" w:space="0" w:color="000000"/>
            </w:tcBorders>
          </w:tcPr>
          <w:p>
            <w:pPr>
              <w:pStyle w:val="TableHeading"/>
              <w:bidi w:val="0"/>
              <w:jc w:val="start"/>
              <w:rPr/>
            </w:pPr>
            <w:r>
              <w:rPr/>
              <w:t>Ratio</w:t>
            </w:r>
          </w:p>
        </w:tc>
        <w:tc>
          <w:tcPr>
            <w:tcW w:w="2409" w:type="dxa"/>
            <w:tcBorders>
              <w:top w:val="single" w:sz="4" w:space="0" w:color="000000"/>
              <w:start w:val="single" w:sz="4" w:space="0" w:color="000000"/>
              <w:bottom w:val="single" w:sz="4" w:space="0" w:color="000000"/>
            </w:tcBorders>
          </w:tcPr>
          <w:p>
            <w:pPr>
              <w:pStyle w:val="TableHeading"/>
              <w:bidi w:val="0"/>
              <w:jc w:val="start"/>
              <w:rPr/>
            </w:pPr>
            <w:r>
              <w:rPr/>
              <w:t>Threshold</w:t>
            </w:r>
          </w:p>
        </w:tc>
        <w:tc>
          <w:tcPr>
            <w:tcW w:w="2410"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Meaning</w:t>
            </w:r>
          </w:p>
        </w:tc>
      </w:tr>
      <w:tr>
        <w:trPr/>
        <w:tc>
          <w:tcPr>
            <w:tcW w:w="2409" w:type="dxa"/>
            <w:tcBorders>
              <w:start w:val="single" w:sz="4" w:space="0" w:color="000000"/>
              <w:bottom w:val="single" w:sz="4" w:space="0" w:color="000000"/>
            </w:tcBorders>
          </w:tcPr>
          <w:p>
            <w:pPr>
              <w:pStyle w:val="TableContents"/>
              <w:bidi w:val="0"/>
              <w:jc w:val="start"/>
              <w:rPr/>
            </w:pPr>
            <w:r>
              <w:rPr>
                <w:b/>
              </w:rPr>
              <w:t>1</w:t>
            </w:r>
          </w:p>
        </w:tc>
        <w:tc>
          <w:tcPr>
            <w:tcW w:w="2410" w:type="dxa"/>
            <w:tcBorders>
              <w:start w:val="single" w:sz="4" w:space="0" w:color="000000"/>
              <w:bottom w:val="single" w:sz="4" w:space="0" w:color="000000"/>
            </w:tcBorders>
          </w:tcPr>
          <w:p>
            <w:pPr>
              <w:pStyle w:val="TableContents"/>
              <w:bidi w:val="0"/>
              <w:jc w:val="start"/>
              <w:rPr/>
            </w:pPr>
            <w:r>
              <w:rPr>
                <w:b/>
              </w:rPr>
              <w:t>Current Ratio</w:t>
            </w:r>
          </w:p>
        </w:tc>
        <w:tc>
          <w:tcPr>
            <w:tcW w:w="2409" w:type="dxa"/>
            <w:tcBorders>
              <w:start w:val="single" w:sz="4" w:space="0" w:color="000000"/>
              <w:bottom w:val="single" w:sz="4" w:space="0" w:color="000000"/>
            </w:tcBorders>
          </w:tcPr>
          <w:p>
            <w:pPr>
              <w:pStyle w:val="TableContents"/>
              <w:bidi w:val="0"/>
              <w:jc w:val="start"/>
              <w:rPr/>
            </w:pPr>
            <w:r>
              <w:rPr>
                <w:b/>
              </w:rPr>
              <w:t>&gt; 1</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Company has more current assets than current liabilities</w:t>
            </w:r>
          </w:p>
        </w:tc>
      </w:tr>
      <w:tr>
        <w:trPr/>
        <w:tc>
          <w:tcPr>
            <w:tcW w:w="2409" w:type="dxa"/>
            <w:tcBorders>
              <w:start w:val="single" w:sz="4" w:space="0" w:color="000000"/>
              <w:bottom w:val="single" w:sz="4" w:space="0" w:color="000000"/>
            </w:tcBorders>
          </w:tcPr>
          <w:p>
            <w:pPr>
              <w:pStyle w:val="TableContents"/>
              <w:bidi w:val="0"/>
              <w:jc w:val="start"/>
              <w:rPr/>
            </w:pPr>
            <w:r>
              <w:rPr>
                <w:b/>
              </w:rPr>
              <w:t>2</w:t>
            </w:r>
          </w:p>
        </w:tc>
        <w:tc>
          <w:tcPr>
            <w:tcW w:w="2410" w:type="dxa"/>
            <w:tcBorders>
              <w:start w:val="single" w:sz="4" w:space="0" w:color="000000"/>
              <w:bottom w:val="single" w:sz="4" w:space="0" w:color="000000"/>
            </w:tcBorders>
          </w:tcPr>
          <w:p>
            <w:pPr>
              <w:pStyle w:val="TableContents"/>
              <w:bidi w:val="0"/>
              <w:jc w:val="start"/>
              <w:rPr/>
            </w:pPr>
            <w:r>
              <w:rPr>
                <w:b/>
              </w:rPr>
              <w:t>Debt / EBITDA</w:t>
            </w:r>
          </w:p>
        </w:tc>
        <w:tc>
          <w:tcPr>
            <w:tcW w:w="2409" w:type="dxa"/>
            <w:tcBorders>
              <w:start w:val="single" w:sz="4" w:space="0" w:color="000000"/>
              <w:bottom w:val="single" w:sz="4" w:space="0" w:color="000000"/>
            </w:tcBorders>
          </w:tcPr>
          <w:p>
            <w:pPr>
              <w:pStyle w:val="TableContents"/>
              <w:bidi w:val="0"/>
              <w:jc w:val="start"/>
              <w:rPr/>
            </w:pPr>
            <w:r>
              <w:rPr>
                <w:b/>
              </w:rPr>
              <w:t xml:space="preserve">≤ </w:t>
            </w:r>
            <w:r>
              <w:rPr>
                <w:b/>
              </w:rPr>
              <w:t>3</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i/>
              </w:rPr>
              <w:t>"the company can pay back all their debt in three years using their profits"</w:t>
            </w:r>
            <w:r>
              <w:rPr/>
              <w:t xml:space="preserve"> (EBITDA = earnings before interest, taxes, depreciation and amortization)</w:t>
            </w:r>
          </w:p>
        </w:tc>
      </w:tr>
      <w:tr>
        <w:trPr/>
        <w:tc>
          <w:tcPr>
            <w:tcW w:w="2409" w:type="dxa"/>
            <w:tcBorders>
              <w:start w:val="single" w:sz="4" w:space="0" w:color="000000"/>
              <w:bottom w:val="single" w:sz="4" w:space="0" w:color="000000"/>
            </w:tcBorders>
          </w:tcPr>
          <w:p>
            <w:pPr>
              <w:pStyle w:val="TableContents"/>
              <w:bidi w:val="0"/>
              <w:jc w:val="start"/>
              <w:rPr/>
            </w:pPr>
            <w:r>
              <w:rPr>
                <w:b/>
              </w:rPr>
              <w:t>3</w:t>
            </w:r>
          </w:p>
        </w:tc>
        <w:tc>
          <w:tcPr>
            <w:tcW w:w="2410" w:type="dxa"/>
            <w:tcBorders>
              <w:start w:val="single" w:sz="4" w:space="0" w:color="000000"/>
              <w:bottom w:val="single" w:sz="4" w:space="0" w:color="000000"/>
            </w:tcBorders>
          </w:tcPr>
          <w:p>
            <w:pPr>
              <w:pStyle w:val="TableContents"/>
              <w:bidi w:val="0"/>
              <w:jc w:val="start"/>
              <w:rPr/>
            </w:pPr>
            <w:r>
              <w:rPr>
                <w:b/>
              </w:rPr>
              <w:t>Debt Servicing Ratio</w:t>
            </w:r>
          </w:p>
        </w:tc>
        <w:tc>
          <w:tcPr>
            <w:tcW w:w="2409" w:type="dxa"/>
            <w:tcBorders>
              <w:start w:val="single" w:sz="4" w:space="0" w:color="000000"/>
              <w:bottom w:val="single" w:sz="4" w:space="0" w:color="000000"/>
            </w:tcBorders>
          </w:tcPr>
          <w:p>
            <w:pPr>
              <w:pStyle w:val="TableContents"/>
              <w:bidi w:val="0"/>
              <w:jc w:val="start"/>
              <w:rPr/>
            </w:pPr>
            <w:r>
              <w:rPr>
                <w:b/>
              </w:rPr>
              <w:t>&lt; 30%</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b/>
              </w:rPr>
              <w:t>Formula: Interest expense ÷ Cash flow from operations × 100%</w:t>
            </w:r>
          </w:p>
        </w:tc>
      </w:tr>
    </w:tbl>
    <w:p>
      <w:pPr>
        <w:pStyle w:val="BodyText"/>
        <w:bidi w:val="0"/>
        <w:jc w:val="start"/>
        <w:rPr/>
      </w:pPr>
      <w:r>
        <w:rPr/>
      </w:r>
    </w:p>
    <w:p>
      <w:pPr>
        <w:pStyle w:val="Heading4"/>
        <w:bidi w:val="0"/>
        <w:ind w:hanging="0" w:start="0"/>
        <w:jc w:val="start"/>
        <w:rPr/>
      </w:pPr>
      <w:r>
        <w:rPr/>
        <w:t>Supplementary ratio</w:t>
      </w:r>
    </w:p>
    <w:tbl>
      <w:tblPr>
        <w:tblW w:w="5000" w:type="pct"/>
        <w:jc w:val="start"/>
        <w:tblInd w:w="-5" w:type="dxa"/>
        <w:tblLayout w:type="fixed"/>
        <w:tblCellMar>
          <w:top w:w="55" w:type="dxa"/>
          <w:start w:w="55" w:type="dxa"/>
          <w:bottom w:w="55" w:type="dxa"/>
          <w:end w:w="55" w:type="dxa"/>
        </w:tblCellMar>
      </w:tblPr>
      <w:tblGrid>
        <w:gridCol w:w="4819"/>
        <w:gridCol w:w="4819"/>
      </w:tblGrid>
      <w:tr>
        <w:trPr>
          <w:tblHeader w:val="true"/>
        </w:trPr>
        <w:tc>
          <w:tcPr>
            <w:tcW w:w="4819" w:type="dxa"/>
            <w:tcBorders>
              <w:top w:val="single" w:sz="4" w:space="0" w:color="000000"/>
              <w:start w:val="single" w:sz="4" w:space="0" w:color="000000"/>
              <w:bottom w:val="single" w:sz="4" w:space="0" w:color="000000"/>
            </w:tcBorders>
          </w:tcPr>
          <w:p>
            <w:pPr>
              <w:pStyle w:val="TableHeading"/>
              <w:bidi w:val="0"/>
              <w:jc w:val="start"/>
              <w:rPr/>
            </w:pPr>
            <w:r>
              <w:rPr/>
              <w:t>Ratio</w:t>
            </w:r>
          </w:p>
        </w:tc>
        <w:tc>
          <w:tcPr>
            <w:tcW w:w="4819"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Threshold</w:t>
            </w:r>
          </w:p>
        </w:tc>
      </w:tr>
      <w:tr>
        <w:trPr/>
        <w:tc>
          <w:tcPr>
            <w:tcW w:w="4819" w:type="dxa"/>
            <w:tcBorders>
              <w:start w:val="single" w:sz="4" w:space="0" w:color="000000"/>
              <w:bottom w:val="single" w:sz="4" w:space="0" w:color="000000"/>
            </w:tcBorders>
          </w:tcPr>
          <w:p>
            <w:pPr>
              <w:pStyle w:val="TableContents"/>
              <w:bidi w:val="0"/>
              <w:jc w:val="start"/>
              <w:rPr/>
            </w:pPr>
            <w:r>
              <w:rPr>
                <w:b/>
              </w:rPr>
              <w:t>Interest Coverage Ratio</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b/>
              </w:rPr>
              <w:t>&gt; 3 = OK; &gt; 5 = very safe</w:t>
            </w:r>
          </w:p>
        </w:tc>
      </w:tr>
    </w:tbl>
    <w:p>
      <w:pPr>
        <w:pStyle w:val="BodyText"/>
        <w:bidi w:val="0"/>
        <w:jc w:val="start"/>
        <w:rPr/>
      </w:pPr>
      <w:r>
        <w:rPr/>
      </w:r>
    </w:p>
    <w:p>
      <w:pPr>
        <w:pStyle w:val="Heading4"/>
        <w:bidi w:val="0"/>
        <w:ind w:hanging="0" w:start="0"/>
        <w:jc w:val="start"/>
        <w:rPr/>
      </w:pPr>
      <w:r>
        <w:rPr/>
        <w:t xml:space="preserve">⚠️ </w:t>
      </w:r>
      <w:r>
        <w:rPr/>
        <w:t>Current-ratio exception</w:t>
      </w:r>
    </w:p>
    <w:p>
      <w:pPr>
        <w:pStyle w:val="BodyText"/>
        <w:bidi w:val="0"/>
        <w:jc w:val="start"/>
        <w:rPr/>
      </w:pPr>
      <w:r>
        <w:rPr/>
        <w:t xml:space="preserve">Some companies </w:t>
      </w:r>
      <w:r>
        <w:rPr>
          <w:b/>
        </w:rPr>
        <w:t>intentionally</w:t>
      </w:r>
      <w:r>
        <w:rPr/>
        <w:t xml:space="preserve"> run a current ratio </w:t>
      </w:r>
      <w:r>
        <w:rPr>
          <w:b/>
        </w:rPr>
        <w:t>below 1</w:t>
      </w:r>
      <w:r>
        <w:rPr/>
        <w:t xml:space="preserve"> because they </w:t>
      </w:r>
      <w:r>
        <w:rPr>
          <w:b/>
        </w:rPr>
        <w:t>collect sales upfront</w:t>
      </w:r>
      <w:r>
        <w:rPr/>
        <w:t xml:space="preserve"> — e.g. </w:t>
      </w:r>
      <w:r>
        <w:rPr>
          <w:b/>
        </w:rPr>
        <w:t>subscription companies like ServiceNow</w:t>
      </w:r>
      <w:r>
        <w:rPr/>
        <w:t xml:space="preserve">, or </w:t>
      </w:r>
      <w:r>
        <w:rPr>
          <w:b/>
        </w:rPr>
        <w:t>Apple</w:t>
      </w:r>
      <w:r>
        <w:rPr/>
        <w:t xml:space="preserve">. Cash collected before the service is delivered is booked as </w:t>
      </w:r>
      <w:r>
        <w:rPr>
          <w:b/>
        </w:rPr>
        <w:t>deferred revenue</w:t>
      </w:r>
      <w:r>
        <w:rPr/>
        <w:t xml:space="preserve">, which sits in </w:t>
      </w:r>
      <w:r>
        <w:rPr>
          <w:b/>
        </w:rPr>
        <w:t>current liabilities</w:t>
      </w:r>
      <w:r>
        <w:rPr/>
        <w:t xml:space="preserve">, enlarging the denominator. </w:t>
      </w:r>
      <w:r>
        <w:rPr>
          <w:i/>
        </w:rPr>
        <w:t>"In cases where the current ratio is less than one, don't be too alarmed, it's because of this reason."</w:t>
      </w:r>
    </w:p>
    <w:p>
      <w:pPr>
        <w:pStyle w:val="Heading4"/>
        <w:bidi w:val="0"/>
        <w:ind w:hanging="0" w:start="0"/>
        <w:jc w:val="start"/>
        <w:rPr/>
      </w:pPr>
      <w:r>
        <w:rPr/>
        <w:t xml:space="preserve">⚠️ </w:t>
      </w:r>
      <w:r>
        <w:rPr/>
        <w:t>Sector exceptions — these three ratios do NOT apply to banks or REITs</w:t>
      </w:r>
    </w:p>
    <w:tbl>
      <w:tblPr>
        <w:tblW w:w="5000" w:type="pct"/>
        <w:jc w:val="start"/>
        <w:tblInd w:w="-5" w:type="dxa"/>
        <w:tblLayout w:type="fixed"/>
        <w:tblCellMar>
          <w:top w:w="55" w:type="dxa"/>
          <w:start w:w="55" w:type="dxa"/>
          <w:bottom w:w="55" w:type="dxa"/>
          <w:end w:w="55" w:type="dxa"/>
        </w:tblCellMar>
      </w:tblPr>
      <w:tblGrid>
        <w:gridCol w:w="3212"/>
        <w:gridCol w:w="3213"/>
        <w:gridCol w:w="3213"/>
      </w:tblGrid>
      <w:tr>
        <w:trPr>
          <w:tblHeader w:val="true"/>
        </w:trPr>
        <w:tc>
          <w:tcPr>
            <w:tcW w:w="3212" w:type="dxa"/>
            <w:tcBorders>
              <w:top w:val="single" w:sz="4" w:space="0" w:color="000000"/>
              <w:start w:val="single" w:sz="4" w:space="0" w:color="000000"/>
              <w:bottom w:val="single" w:sz="4" w:space="0" w:color="000000"/>
            </w:tcBorders>
          </w:tcPr>
          <w:p>
            <w:pPr>
              <w:pStyle w:val="TableHeading"/>
              <w:bidi w:val="0"/>
              <w:jc w:val="start"/>
              <w:rPr/>
            </w:pPr>
            <w:r>
              <w:rPr/>
              <w:t>Sector</w:t>
            </w:r>
          </w:p>
        </w:tc>
        <w:tc>
          <w:tcPr>
            <w:tcW w:w="3213" w:type="dxa"/>
            <w:tcBorders>
              <w:top w:val="single" w:sz="4" w:space="0" w:color="000000"/>
              <w:start w:val="single" w:sz="4" w:space="0" w:color="000000"/>
              <w:bottom w:val="single" w:sz="4" w:space="0" w:color="000000"/>
            </w:tcBorders>
          </w:tcPr>
          <w:p>
            <w:pPr>
              <w:pStyle w:val="TableHeading"/>
              <w:bidi w:val="0"/>
              <w:jc w:val="start"/>
              <w:rPr/>
            </w:pPr>
            <w:r>
              <w:rPr/>
              <w:t>Use instead</w:t>
            </w:r>
          </w:p>
        </w:tc>
        <w:tc>
          <w:tcPr>
            <w:tcW w:w="3213"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Threshold</w:t>
            </w:r>
          </w:p>
        </w:tc>
      </w:tr>
      <w:tr>
        <w:trPr/>
        <w:tc>
          <w:tcPr>
            <w:tcW w:w="3212" w:type="dxa"/>
            <w:tcBorders>
              <w:start w:val="single" w:sz="4" w:space="0" w:color="000000"/>
              <w:bottom w:val="single" w:sz="4" w:space="0" w:color="000000"/>
            </w:tcBorders>
          </w:tcPr>
          <w:p>
            <w:pPr>
              <w:pStyle w:val="TableContents"/>
              <w:bidi w:val="0"/>
              <w:jc w:val="start"/>
              <w:rPr/>
            </w:pPr>
            <w:r>
              <w:rPr>
                <w:b/>
              </w:rPr>
              <w:t>Banks</w:t>
            </w:r>
          </w:p>
        </w:tc>
        <w:tc>
          <w:tcPr>
            <w:tcW w:w="3213" w:type="dxa"/>
            <w:tcBorders>
              <w:start w:val="single" w:sz="4" w:space="0" w:color="000000"/>
              <w:bottom w:val="single" w:sz="4" w:space="0" w:color="000000"/>
            </w:tcBorders>
          </w:tcPr>
          <w:p>
            <w:pPr>
              <w:pStyle w:val="TableContents"/>
              <w:bidi w:val="0"/>
              <w:jc w:val="start"/>
              <w:rPr/>
            </w:pPr>
            <w:r>
              <w:rPr>
                <w:b/>
              </w:rPr>
              <w:t>Common Equity Tier 1 (CET1) ratio</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b/>
              </w:rPr>
              <w:t>&gt; 10% = pretty safe</w:t>
            </w:r>
          </w:p>
        </w:tc>
      </w:tr>
      <w:tr>
        <w:trPr/>
        <w:tc>
          <w:tcPr>
            <w:tcW w:w="3212" w:type="dxa"/>
            <w:tcBorders>
              <w:start w:val="single" w:sz="4" w:space="0" w:color="000000"/>
              <w:bottom w:val="single" w:sz="4" w:space="0" w:color="000000"/>
            </w:tcBorders>
          </w:tcPr>
          <w:p>
            <w:pPr>
              <w:pStyle w:val="TableContents"/>
              <w:bidi w:val="0"/>
              <w:jc w:val="start"/>
              <w:rPr/>
            </w:pPr>
            <w:r>
              <w:rPr>
                <w:b/>
              </w:rPr>
              <w:t>REITs</w:t>
            </w:r>
          </w:p>
        </w:tc>
        <w:tc>
          <w:tcPr>
            <w:tcW w:w="3213" w:type="dxa"/>
            <w:tcBorders>
              <w:start w:val="single" w:sz="4" w:space="0" w:color="000000"/>
              <w:bottom w:val="single" w:sz="4" w:space="0" w:color="000000"/>
            </w:tcBorders>
          </w:tcPr>
          <w:p>
            <w:pPr>
              <w:pStyle w:val="TableContents"/>
              <w:bidi w:val="0"/>
              <w:jc w:val="start"/>
              <w:rPr/>
            </w:pPr>
            <w:r>
              <w:rPr>
                <w:b/>
              </w:rPr>
              <w:t>Gearing ratio = Total debt ÷ Total assets</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b/>
              </w:rPr>
              <w:t xml:space="preserve">≤ </w:t>
            </w:r>
            <w:r>
              <w:rPr>
                <w:b/>
              </w:rPr>
              <w:t>45% is the minimum requirement; below 40% is the safest</w:t>
            </w:r>
          </w:p>
        </w:tc>
      </w:tr>
    </w:tbl>
    <w:p>
      <w:pPr>
        <w:pStyle w:val="BodyText"/>
        <w:bidi w:val="0"/>
        <w:jc w:val="start"/>
        <w:rPr/>
      </w:pPr>
      <w:r>
        <w:rPr/>
      </w:r>
    </w:p>
    <w:p>
      <w:pPr>
        <w:pStyle w:val="BodyText"/>
        <w:numPr>
          <w:ilvl w:val="0"/>
          <w:numId w:val="411"/>
        </w:numPr>
        <w:tabs>
          <w:tab w:val="clear" w:pos="709"/>
          <w:tab w:val="left" w:pos="709" w:leader="none"/>
        </w:tabs>
        <w:bidi w:val="0"/>
        <w:ind w:hanging="283" w:start="709"/>
        <w:jc w:val="start"/>
        <w:rPr/>
      </w:pPr>
      <w:r>
        <w:rPr/>
        <w:t xml:space="preserve">CET1 location: </w:t>
      </w:r>
      <w:r>
        <w:rPr>
          <w:b/>
        </w:rPr>
        <w:t>StockOracle → [bank ticker] → Overview → scroll to the bottom → "Financial Strength."</w:t>
      </w:r>
    </w:p>
    <w:p>
      <w:pPr>
        <w:pStyle w:val="BodyText"/>
        <w:numPr>
          <w:ilvl w:val="0"/>
          <w:numId w:val="411"/>
        </w:numPr>
        <w:tabs>
          <w:tab w:val="clear" w:pos="709"/>
          <w:tab w:val="left" w:pos="709" w:leader="none"/>
        </w:tabs>
        <w:bidi w:val="0"/>
        <w:ind w:hanging="283" w:start="709"/>
        <w:jc w:val="start"/>
        <w:rPr/>
      </w:pPr>
      <w:r>
        <w:rPr/>
        <w:t xml:space="preserve">Gearing ratio location: the REIT's </w:t>
      </w:r>
      <w:r>
        <w:rPr>
          <w:b/>
        </w:rPr>
        <w:t>quarterly and annual report</w:t>
      </w:r>
      <w:r>
        <w:rPr/>
        <w:t xml:space="preserve">, or the REIT's own </w:t>
      </w:r>
      <w:r>
        <w:rPr>
          <w:b/>
        </w:rPr>
        <w:t>website → Investor Presentation</w:t>
      </w:r>
      <w:r>
        <w:rPr/>
        <w:t xml:space="preserve"> (Singapore-listed REITs explicitly disclose "gearing ratio").</w:t>
      </w:r>
    </w:p>
    <w:p>
      <w:pPr>
        <w:pStyle w:val="Heading4"/>
        <w:numPr>
          <w:ilvl w:val="0"/>
          <w:numId w:val="0"/>
        </w:numPr>
        <w:bidi w:val="0"/>
        <w:ind w:hanging="0" w:start="0"/>
        <w:jc w:val="start"/>
        <w:rPr/>
      </w:pPr>
      <w:r>
        <w:rPr/>
        <w:t>Worked examples</w:t>
      </w:r>
    </w:p>
    <w:p>
      <w:pPr>
        <w:pStyle w:val="BodyText"/>
        <w:bidi w:val="0"/>
        <w:jc w:val="start"/>
        <w:rPr/>
      </w:pPr>
      <w:r>
        <w:rPr>
          <w:b/>
        </w:rPr>
        <w:t>NVIDIA (NVDA) — "solid balance sheet"</w:t>
      </w:r>
    </w:p>
    <w:tbl>
      <w:tblPr>
        <w:tblW w:w="5000" w:type="pct"/>
        <w:jc w:val="start"/>
        <w:tblInd w:w="-5" w:type="dxa"/>
        <w:tblLayout w:type="fixed"/>
        <w:tblCellMar>
          <w:top w:w="55" w:type="dxa"/>
          <w:start w:w="55" w:type="dxa"/>
          <w:bottom w:w="55" w:type="dxa"/>
          <w:end w:w="55" w:type="dxa"/>
        </w:tblCellMar>
      </w:tblPr>
      <w:tblGrid>
        <w:gridCol w:w="2409"/>
        <w:gridCol w:w="2410"/>
        <w:gridCol w:w="2409"/>
        <w:gridCol w:w="2410"/>
      </w:tblGrid>
      <w:tr>
        <w:trPr>
          <w:tblHeader w:val="true"/>
        </w:trPr>
        <w:tc>
          <w:tcPr>
            <w:tcW w:w="2409" w:type="dxa"/>
            <w:tcBorders>
              <w:top w:val="single" w:sz="4" w:space="0" w:color="000000"/>
              <w:start w:val="single" w:sz="4" w:space="0" w:color="000000"/>
              <w:bottom w:val="single" w:sz="4" w:space="0" w:color="000000"/>
            </w:tcBorders>
          </w:tcPr>
          <w:p>
            <w:pPr>
              <w:pStyle w:val="TableHeading"/>
              <w:bidi w:val="0"/>
              <w:jc w:val="start"/>
              <w:rPr/>
            </w:pPr>
            <w:r>
              <w:rPr/>
              <w:t>Ratio</w:t>
            </w:r>
          </w:p>
        </w:tc>
        <w:tc>
          <w:tcPr>
            <w:tcW w:w="2410" w:type="dxa"/>
            <w:tcBorders>
              <w:top w:val="single" w:sz="4" w:space="0" w:color="000000"/>
              <w:start w:val="single" w:sz="4" w:space="0" w:color="000000"/>
              <w:bottom w:val="single" w:sz="4" w:space="0" w:color="000000"/>
            </w:tcBorders>
          </w:tcPr>
          <w:p>
            <w:pPr>
              <w:pStyle w:val="TableHeading"/>
              <w:bidi w:val="0"/>
              <w:jc w:val="start"/>
              <w:rPr/>
            </w:pPr>
            <w:r>
              <w:rPr/>
              <w:t>Value</w:t>
            </w:r>
          </w:p>
        </w:tc>
        <w:tc>
          <w:tcPr>
            <w:tcW w:w="2409" w:type="dxa"/>
            <w:tcBorders>
              <w:top w:val="single" w:sz="4" w:space="0" w:color="000000"/>
              <w:start w:val="single" w:sz="4" w:space="0" w:color="000000"/>
              <w:bottom w:val="single" w:sz="4" w:space="0" w:color="000000"/>
            </w:tcBorders>
          </w:tcPr>
          <w:p>
            <w:pPr>
              <w:pStyle w:val="TableHeading"/>
              <w:bidi w:val="0"/>
              <w:jc w:val="start"/>
              <w:rPr/>
            </w:pPr>
            <w:r>
              <w:rPr/>
              <w:t>Threshold</w:t>
            </w:r>
          </w:p>
        </w:tc>
        <w:tc>
          <w:tcPr>
            <w:tcW w:w="2410"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Verdict</w:t>
            </w:r>
          </w:p>
        </w:tc>
      </w:tr>
      <w:tr>
        <w:trPr/>
        <w:tc>
          <w:tcPr>
            <w:tcW w:w="2409" w:type="dxa"/>
            <w:tcBorders>
              <w:start w:val="single" w:sz="4" w:space="0" w:color="000000"/>
              <w:bottom w:val="single" w:sz="4" w:space="0" w:color="000000"/>
            </w:tcBorders>
          </w:tcPr>
          <w:p>
            <w:pPr>
              <w:pStyle w:val="TableContents"/>
              <w:bidi w:val="0"/>
              <w:jc w:val="start"/>
              <w:rPr/>
            </w:pPr>
            <w:r>
              <w:rPr/>
              <w:t>Current ratio</w:t>
            </w:r>
          </w:p>
        </w:tc>
        <w:tc>
          <w:tcPr>
            <w:tcW w:w="2410" w:type="dxa"/>
            <w:tcBorders>
              <w:start w:val="single" w:sz="4" w:space="0" w:color="000000"/>
              <w:bottom w:val="single" w:sz="4" w:space="0" w:color="000000"/>
            </w:tcBorders>
          </w:tcPr>
          <w:p>
            <w:pPr>
              <w:pStyle w:val="TableContents"/>
              <w:bidi w:val="0"/>
              <w:jc w:val="start"/>
              <w:rPr/>
            </w:pPr>
            <w:r>
              <w:rPr>
                <w:b/>
              </w:rPr>
              <w:t>3.91</w:t>
            </w:r>
          </w:p>
        </w:tc>
        <w:tc>
          <w:tcPr>
            <w:tcW w:w="2409" w:type="dxa"/>
            <w:tcBorders>
              <w:start w:val="single" w:sz="4" w:space="0" w:color="000000"/>
              <w:bottom w:val="single" w:sz="4" w:space="0" w:color="000000"/>
            </w:tcBorders>
          </w:tcPr>
          <w:p>
            <w:pPr>
              <w:pStyle w:val="TableContents"/>
              <w:bidi w:val="0"/>
              <w:jc w:val="start"/>
              <w:rPr/>
            </w:pPr>
            <w:r>
              <w:rPr/>
              <w:t>&gt; 1</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 xml:space="preserve">✅ </w:t>
            </w:r>
            <w:r>
              <w:rPr/>
              <w:t>"way above 1"</w:t>
            </w:r>
          </w:p>
        </w:tc>
      </w:tr>
      <w:tr>
        <w:trPr/>
        <w:tc>
          <w:tcPr>
            <w:tcW w:w="2409" w:type="dxa"/>
            <w:tcBorders>
              <w:start w:val="single" w:sz="4" w:space="0" w:color="000000"/>
              <w:bottom w:val="single" w:sz="4" w:space="0" w:color="000000"/>
            </w:tcBorders>
          </w:tcPr>
          <w:p>
            <w:pPr>
              <w:pStyle w:val="TableContents"/>
              <w:bidi w:val="0"/>
              <w:jc w:val="start"/>
              <w:rPr/>
            </w:pPr>
            <w:r>
              <w:rPr/>
              <w:t>Debt servicing ratio</w:t>
            </w:r>
          </w:p>
        </w:tc>
        <w:tc>
          <w:tcPr>
            <w:tcW w:w="2410" w:type="dxa"/>
            <w:tcBorders>
              <w:start w:val="single" w:sz="4" w:space="0" w:color="000000"/>
              <w:bottom w:val="single" w:sz="4" w:space="0" w:color="000000"/>
            </w:tcBorders>
          </w:tcPr>
          <w:p>
            <w:pPr>
              <w:pStyle w:val="TableContents"/>
              <w:bidi w:val="0"/>
              <w:jc w:val="start"/>
              <w:rPr/>
            </w:pPr>
            <w:r>
              <w:rPr>
                <w:b/>
              </w:rPr>
              <w:t>0</w:t>
            </w:r>
          </w:p>
        </w:tc>
        <w:tc>
          <w:tcPr>
            <w:tcW w:w="2409" w:type="dxa"/>
            <w:tcBorders>
              <w:start w:val="single" w:sz="4" w:space="0" w:color="000000"/>
              <w:bottom w:val="single" w:sz="4" w:space="0" w:color="000000"/>
            </w:tcBorders>
          </w:tcPr>
          <w:p>
            <w:pPr>
              <w:pStyle w:val="TableContents"/>
              <w:bidi w:val="0"/>
              <w:jc w:val="start"/>
              <w:rPr/>
            </w:pPr>
            <w:r>
              <w:rPr/>
              <w:t>&lt; 30%</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 xml:space="preserve">✅ </w:t>
            </w:r>
            <w:r>
              <w:rPr/>
              <w:t>"fantastic"</w:t>
            </w:r>
          </w:p>
        </w:tc>
      </w:tr>
      <w:tr>
        <w:trPr/>
        <w:tc>
          <w:tcPr>
            <w:tcW w:w="2409" w:type="dxa"/>
            <w:tcBorders>
              <w:start w:val="single" w:sz="4" w:space="0" w:color="000000"/>
              <w:bottom w:val="single" w:sz="4" w:space="0" w:color="000000"/>
            </w:tcBorders>
          </w:tcPr>
          <w:p>
            <w:pPr>
              <w:pStyle w:val="TableContents"/>
              <w:bidi w:val="0"/>
              <w:jc w:val="start"/>
              <w:rPr/>
            </w:pPr>
            <w:r>
              <w:rPr/>
              <w:t>Debt / EBITDA</w:t>
            </w:r>
          </w:p>
        </w:tc>
        <w:tc>
          <w:tcPr>
            <w:tcW w:w="2410" w:type="dxa"/>
            <w:tcBorders>
              <w:start w:val="single" w:sz="4" w:space="0" w:color="000000"/>
              <w:bottom w:val="single" w:sz="4" w:space="0" w:color="000000"/>
            </w:tcBorders>
          </w:tcPr>
          <w:p>
            <w:pPr>
              <w:pStyle w:val="TableContents"/>
              <w:bidi w:val="0"/>
              <w:jc w:val="start"/>
              <w:rPr/>
            </w:pPr>
            <w:r>
              <w:rPr>
                <w:b/>
              </w:rPr>
              <w:t>0.06</w:t>
            </w:r>
          </w:p>
        </w:tc>
        <w:tc>
          <w:tcPr>
            <w:tcW w:w="2409" w:type="dxa"/>
            <w:tcBorders>
              <w:start w:val="single" w:sz="4" w:space="0" w:color="000000"/>
              <w:bottom w:val="single" w:sz="4" w:space="0" w:color="000000"/>
            </w:tcBorders>
          </w:tcPr>
          <w:p>
            <w:pPr>
              <w:pStyle w:val="TableContents"/>
              <w:bidi w:val="0"/>
              <w:jc w:val="start"/>
              <w:rPr/>
            </w:pPr>
            <w:r>
              <w:rPr/>
              <w:t xml:space="preserve">≤ </w:t>
            </w:r>
            <w:r>
              <w:rPr/>
              <w:t>3</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w:t>
            </w:r>
          </w:p>
        </w:tc>
      </w:tr>
      <w:tr>
        <w:trPr/>
        <w:tc>
          <w:tcPr>
            <w:tcW w:w="2409" w:type="dxa"/>
            <w:tcBorders>
              <w:start w:val="single" w:sz="4" w:space="0" w:color="000000"/>
              <w:bottom w:val="single" w:sz="4" w:space="0" w:color="000000"/>
            </w:tcBorders>
          </w:tcPr>
          <w:p>
            <w:pPr>
              <w:pStyle w:val="TableContents"/>
              <w:bidi w:val="0"/>
              <w:jc w:val="start"/>
              <w:rPr/>
            </w:pPr>
            <w:r>
              <w:rPr/>
              <w:t>Interest coverage</w:t>
            </w:r>
          </w:p>
        </w:tc>
        <w:tc>
          <w:tcPr>
            <w:tcW w:w="2410" w:type="dxa"/>
            <w:tcBorders>
              <w:start w:val="single" w:sz="4" w:space="0" w:color="000000"/>
              <w:bottom w:val="single" w:sz="4" w:space="0" w:color="000000"/>
            </w:tcBorders>
          </w:tcPr>
          <w:p>
            <w:pPr>
              <w:pStyle w:val="TableContents"/>
              <w:bidi w:val="0"/>
              <w:jc w:val="start"/>
              <w:rPr/>
            </w:pPr>
            <w:r>
              <w:rPr>
                <w:b/>
              </w:rPr>
              <w:t>503</w:t>
            </w:r>
          </w:p>
        </w:tc>
        <w:tc>
          <w:tcPr>
            <w:tcW w:w="2409" w:type="dxa"/>
            <w:tcBorders>
              <w:start w:val="single" w:sz="4" w:space="0" w:color="000000"/>
              <w:bottom w:val="single" w:sz="4" w:space="0" w:color="000000"/>
            </w:tcBorders>
          </w:tcPr>
          <w:p>
            <w:pPr>
              <w:pStyle w:val="TableContents"/>
              <w:bidi w:val="0"/>
              <w:jc w:val="start"/>
              <w:rPr/>
            </w:pPr>
            <w:r>
              <w:rPr/>
              <w:t>&gt; 5</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w:t>
            </w:r>
          </w:p>
        </w:tc>
      </w:tr>
    </w:tbl>
    <w:p>
      <w:pPr>
        <w:pStyle w:val="BodyText"/>
        <w:bidi w:val="0"/>
        <w:jc w:val="start"/>
        <w:rPr/>
      </w:pPr>
      <w:r>
        <w:rPr/>
      </w:r>
    </w:p>
    <w:p>
      <w:pPr>
        <w:pStyle w:val="BodyText"/>
        <w:bidi w:val="0"/>
        <w:jc w:val="start"/>
        <w:rPr/>
      </w:pPr>
      <w:r>
        <w:rPr>
          <w:b/>
        </w:rPr>
        <w:t>Banks — CET1</w:t>
      </w:r>
    </w:p>
    <w:tbl>
      <w:tblPr>
        <w:tblW w:w="5000" w:type="pct"/>
        <w:jc w:val="start"/>
        <w:tblInd w:w="-5" w:type="dxa"/>
        <w:tblLayout w:type="fixed"/>
        <w:tblCellMar>
          <w:top w:w="55" w:type="dxa"/>
          <w:start w:w="55" w:type="dxa"/>
          <w:bottom w:w="55" w:type="dxa"/>
          <w:end w:w="55" w:type="dxa"/>
        </w:tblCellMar>
      </w:tblPr>
      <w:tblGrid>
        <w:gridCol w:w="3212"/>
        <w:gridCol w:w="3213"/>
        <w:gridCol w:w="3213"/>
      </w:tblGrid>
      <w:tr>
        <w:trPr>
          <w:tblHeader w:val="true"/>
        </w:trPr>
        <w:tc>
          <w:tcPr>
            <w:tcW w:w="3212" w:type="dxa"/>
            <w:tcBorders>
              <w:top w:val="single" w:sz="4" w:space="0" w:color="000000"/>
              <w:start w:val="single" w:sz="4" w:space="0" w:color="000000"/>
              <w:bottom w:val="single" w:sz="4" w:space="0" w:color="000000"/>
            </w:tcBorders>
          </w:tcPr>
          <w:p>
            <w:pPr>
              <w:pStyle w:val="TableHeading"/>
              <w:bidi w:val="0"/>
              <w:jc w:val="start"/>
              <w:rPr/>
            </w:pPr>
            <w:r>
              <w:rPr/>
              <w:t>Bank</w:t>
            </w:r>
          </w:p>
        </w:tc>
        <w:tc>
          <w:tcPr>
            <w:tcW w:w="3213" w:type="dxa"/>
            <w:tcBorders>
              <w:top w:val="single" w:sz="4" w:space="0" w:color="000000"/>
              <w:start w:val="single" w:sz="4" w:space="0" w:color="000000"/>
              <w:bottom w:val="single" w:sz="4" w:space="0" w:color="000000"/>
            </w:tcBorders>
          </w:tcPr>
          <w:p>
            <w:pPr>
              <w:pStyle w:val="TableHeading"/>
              <w:bidi w:val="0"/>
              <w:jc w:val="start"/>
              <w:rPr/>
            </w:pPr>
            <w:r>
              <w:rPr/>
              <w:t>CET1</w:t>
            </w:r>
          </w:p>
        </w:tc>
        <w:tc>
          <w:tcPr>
            <w:tcW w:w="3213"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Verdict</w:t>
            </w:r>
          </w:p>
        </w:tc>
      </w:tr>
      <w:tr>
        <w:trPr/>
        <w:tc>
          <w:tcPr>
            <w:tcW w:w="3212" w:type="dxa"/>
            <w:tcBorders>
              <w:start w:val="single" w:sz="4" w:space="0" w:color="000000"/>
              <w:bottom w:val="single" w:sz="4" w:space="0" w:color="000000"/>
            </w:tcBorders>
          </w:tcPr>
          <w:p>
            <w:pPr>
              <w:pStyle w:val="TableContents"/>
              <w:bidi w:val="0"/>
              <w:jc w:val="start"/>
              <w:rPr/>
            </w:pPr>
            <w:r>
              <w:rPr>
                <w:b/>
              </w:rPr>
              <w:t>JPMorgan (JPM)</w:t>
            </w:r>
          </w:p>
        </w:tc>
        <w:tc>
          <w:tcPr>
            <w:tcW w:w="3213" w:type="dxa"/>
            <w:tcBorders>
              <w:start w:val="single" w:sz="4" w:space="0" w:color="000000"/>
              <w:bottom w:val="single" w:sz="4" w:space="0" w:color="000000"/>
            </w:tcBorders>
          </w:tcPr>
          <w:p>
            <w:pPr>
              <w:pStyle w:val="TableContents"/>
              <w:bidi w:val="0"/>
              <w:jc w:val="start"/>
              <w:rPr/>
            </w:pPr>
            <w:r>
              <w:rPr>
                <w:b/>
              </w:rPr>
              <w:t>14.1%</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 xml:space="preserve">✅ </w:t>
            </w:r>
            <w:r>
              <w:rPr/>
              <w:t>"way above 10%"</w:t>
            </w:r>
          </w:p>
        </w:tc>
      </w:tr>
      <w:tr>
        <w:trPr/>
        <w:tc>
          <w:tcPr>
            <w:tcW w:w="3212" w:type="dxa"/>
            <w:tcBorders>
              <w:start w:val="single" w:sz="4" w:space="0" w:color="000000"/>
              <w:bottom w:val="single" w:sz="4" w:space="0" w:color="000000"/>
            </w:tcBorders>
          </w:tcPr>
          <w:p>
            <w:pPr>
              <w:pStyle w:val="TableContents"/>
              <w:bidi w:val="0"/>
              <w:jc w:val="start"/>
              <w:rPr/>
            </w:pPr>
            <w:r>
              <w:rPr>
                <w:b/>
              </w:rPr>
              <w:t>DBS Group Holdings</w:t>
            </w:r>
          </w:p>
        </w:tc>
        <w:tc>
          <w:tcPr>
            <w:tcW w:w="3213" w:type="dxa"/>
            <w:tcBorders>
              <w:start w:val="single" w:sz="4" w:space="0" w:color="000000"/>
              <w:bottom w:val="single" w:sz="4" w:space="0" w:color="000000"/>
            </w:tcBorders>
          </w:tcPr>
          <w:p>
            <w:pPr>
              <w:pStyle w:val="TableContents"/>
              <w:bidi w:val="0"/>
              <w:jc w:val="start"/>
              <w:rPr/>
            </w:pPr>
            <w:r>
              <w:rPr>
                <w:b/>
              </w:rPr>
              <w:t>17%</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 xml:space="preserve">✅ </w:t>
            </w:r>
            <w:r>
              <w:rPr>
                <w:i/>
              </w:rPr>
              <w:t>"Singapore banks are very, very, very conservative and very safe."</w:t>
            </w:r>
          </w:p>
        </w:tc>
      </w:tr>
    </w:tbl>
    <w:p>
      <w:pPr>
        <w:pStyle w:val="BodyText"/>
        <w:bidi w:val="0"/>
        <w:jc w:val="start"/>
        <w:rPr/>
      </w:pPr>
      <w:r>
        <w:rPr/>
      </w:r>
    </w:p>
    <w:p>
      <w:pPr>
        <w:pStyle w:val="Heading4"/>
        <w:bidi w:val="0"/>
        <w:ind w:hanging="0" w:start="0"/>
        <w:jc w:val="start"/>
        <w:rPr/>
      </w:pPr>
      <w:r>
        <w:rPr/>
        <w:t>Where to find the data (tools)</w:t>
      </w:r>
    </w:p>
    <w:p>
      <w:pPr>
        <w:pStyle w:val="BodyText"/>
        <w:numPr>
          <w:ilvl w:val="0"/>
          <w:numId w:val="412"/>
        </w:numPr>
        <w:tabs>
          <w:tab w:val="clear" w:pos="709"/>
          <w:tab w:val="left" w:pos="709" w:leader="none"/>
        </w:tabs>
        <w:bidi w:val="0"/>
        <w:ind w:hanging="283" w:start="709"/>
        <w:jc w:val="start"/>
        <w:rPr/>
      </w:pPr>
      <w:r>
        <w:rPr>
          <w:b/>
        </w:rPr>
        <w:t>StockOracle → Company Metrics → scroll down → "Debt and Liquidity Ratios"</w:t>
      </w:r>
      <w:r>
        <w:rPr/>
        <w:t xml:space="preserve"> — current ratio, debt servicing ratio, debt/EBITDA, each shown </w:t>
      </w:r>
      <w:r>
        <w:rPr>
          <w:b/>
        </w:rPr>
        <w:t>current vs 5-year average</w:t>
      </w:r>
      <w:r>
        <w:rPr/>
        <w:t xml:space="preserve">. </w:t>
      </w:r>
      <w:r>
        <w:rPr>
          <w:i/>
        </w:rPr>
        <w:t>Available on the free basic account.</w:t>
      </w:r>
    </w:p>
    <w:p>
      <w:pPr>
        <w:pStyle w:val="BodyText"/>
        <w:numPr>
          <w:ilvl w:val="0"/>
          <w:numId w:val="412"/>
        </w:numPr>
        <w:tabs>
          <w:tab w:val="clear" w:pos="709"/>
          <w:tab w:val="left" w:pos="709" w:leader="none"/>
        </w:tabs>
        <w:bidi w:val="0"/>
        <w:ind w:hanging="283" w:start="709"/>
        <w:jc w:val="start"/>
        <w:rPr/>
      </w:pPr>
      <w:r>
        <w:rPr>
          <w:b/>
        </w:rPr>
        <w:t>StockOracle → Overview → Financial Strength</w:t>
      </w:r>
      <w:r>
        <w:rPr/>
        <w:t xml:space="preserve"> — CET1 for banks.</w:t>
      </w:r>
    </w:p>
    <w:p>
      <w:pPr>
        <w:pStyle w:val="HorizontalLine"/>
        <w:bidi w:val="0"/>
        <w:jc w:val="start"/>
        <w:rPr/>
      </w:pPr>
      <w:r>
        <w:rPr/>
      </w:r>
    </w:p>
    <w:p>
      <w:pPr>
        <w:pStyle w:val="Heading3"/>
        <w:bidi w:val="0"/>
        <w:ind w:hanging="0" w:start="0"/>
        <w:jc w:val="start"/>
        <w:rPr/>
      </w:pPr>
      <w:r>
        <w:rPr/>
        <w:t xml:space="preserve">✅ </w:t>
      </w:r>
      <w:r>
        <w:rPr/>
        <w:t>CHECKPOINT — After Steps 1–5</w:t>
      </w:r>
    </w:p>
    <w:p>
      <w:pPr>
        <w:pStyle w:val="BlockQuotation"/>
        <w:bidi w:val="0"/>
        <w:jc w:val="start"/>
        <w:rPr/>
      </w:pPr>
      <w:r>
        <w:rPr>
          <w:i/>
        </w:rPr>
        <w:t>"If the company passes the first five steps, it's a great business."</w:t>
      </w:r>
      <w:r>
        <w:rPr/>
        <w:t> </w:t>
      </w:r>
      <w:r>
        <w:rPr>
          <w:i/>
        </w:rPr>
        <w:t>"Once it passes the first five steps, does it mean it's a buy? NO — because it may be at the wrong price."</w:t>
      </w:r>
    </w:p>
    <w:p>
      <w:pPr>
        <w:pStyle w:val="BodyText"/>
        <w:bidi w:val="0"/>
        <w:jc w:val="start"/>
        <w:rPr/>
      </w:pPr>
      <w:r>
        <w:rPr>
          <w:b/>
        </w:rPr>
        <w:t>Action:</w:t>
      </w:r>
      <w:r>
        <w:rPr/>
        <w:t xml:space="preserve"> put it on the </w:t>
      </w:r>
      <w:r>
        <w:rPr>
          <w:b/>
        </w:rPr>
        <w:t>WATCH LIST</w:t>
      </w:r>
      <w:r>
        <w:rPr/>
        <w:t xml:space="preserve"> and be patient. </w:t>
      </w:r>
      <w:r>
        <w:rPr>
          <w:i/>
        </w:rPr>
        <w:t>"You watch it until the price is right."</w:t>
      </w:r>
    </w:p>
    <w:p>
      <w:pPr>
        <w:pStyle w:val="HorizontalLine"/>
        <w:bidi w:val="0"/>
        <w:jc w:val="start"/>
        <w:rPr/>
      </w:pPr>
      <w:r>
        <w:rPr/>
      </w:r>
    </w:p>
    <w:p>
      <w:pPr>
        <w:pStyle w:val="Heading3"/>
        <w:bidi w:val="0"/>
        <w:ind w:hanging="0" w:start="0"/>
        <w:jc w:val="start"/>
        <w:rPr/>
      </w:pPr>
      <w:r>
        <w:rPr/>
        <w:t>STEP 6 — Great Price: Buy Below Intrinsic Value (Margin of Safety)</w:t>
      </w:r>
    </w:p>
    <w:p>
      <w:pPr>
        <w:pStyle w:val="Heading4"/>
        <w:bidi w:val="0"/>
        <w:ind w:hanging="0" w:start="0"/>
        <w:jc w:val="start"/>
        <w:rPr/>
      </w:pPr>
      <w:r>
        <w:rPr/>
        <w:t>What it checks</w:t>
      </w:r>
    </w:p>
    <w:p>
      <w:pPr>
        <w:pStyle w:val="BodyText"/>
        <w:bidi w:val="0"/>
        <w:jc w:val="start"/>
        <w:rPr/>
      </w:pPr>
      <w:r>
        <w:rPr/>
        <w:t xml:space="preserve">That the </w:t>
      </w:r>
      <w:r>
        <w:rPr>
          <w:b/>
        </w:rPr>
        <w:t>share price is below the intrinsic / fair value</w:t>
      </w:r>
      <w:r>
        <w:rPr/>
        <w:t xml:space="preserve"> of the business.</w:t>
      </w:r>
    </w:p>
    <w:p>
      <w:pPr>
        <w:pStyle w:val="Heading4"/>
        <w:bidi w:val="0"/>
        <w:ind w:hanging="0" w:start="0"/>
        <w:jc w:val="start"/>
        <w:rPr/>
      </w:pPr>
      <w:r>
        <w:rPr/>
        <w:t>The rule</w:t>
      </w:r>
    </w:p>
    <w:p>
      <w:pPr>
        <w:pStyle w:val="BodyText"/>
        <w:numPr>
          <w:ilvl w:val="0"/>
          <w:numId w:val="413"/>
        </w:numPr>
        <w:tabs>
          <w:tab w:val="clear" w:pos="709"/>
          <w:tab w:val="left" w:pos="709" w:leader="none"/>
        </w:tabs>
        <w:bidi w:val="0"/>
        <w:ind w:hanging="283" w:start="709"/>
        <w:jc w:val="start"/>
        <w:rPr/>
      </w:pPr>
      <w:sdt>
        <w:sdtPr>
          <w:id w:val="1730914878"/>
          <w14:checkbox>
            <w14:checked w14:val="0"/>
            <w14:checkedState w14:val="2612"/>
            <w14:uncheckedState w14:val="2610"/>
          </w14:checkbox>
        </w:sdtPr>
        <w:sdtContent>
          <w:r>
            <w:rPr/>
          </w:r>
          <w:r>
            <w:rPr/>
            <w:t>☐</w:t>
          </w:r>
        </w:sdtContent>
      </w:sdt>
      <w:r>
        <w:rPr/>
        <w:t xml:space="preserve"> </w:t>
      </w:r>
      <w:r>
        <w:rPr>
          <w:b/>
        </w:rPr>
        <w:t>Share price &lt; intrinsic value</w:t>
      </w:r>
      <w:r>
        <w:rPr/>
        <w:t xml:space="preserve"> → undervalued → eligible to buy</w:t>
      </w:r>
    </w:p>
    <w:p>
      <w:pPr>
        <w:pStyle w:val="BodyText"/>
        <w:numPr>
          <w:ilvl w:val="0"/>
          <w:numId w:val="413"/>
        </w:numPr>
        <w:tabs>
          <w:tab w:val="clear" w:pos="709"/>
          <w:tab w:val="left" w:pos="709" w:leader="none"/>
        </w:tabs>
        <w:bidi w:val="0"/>
        <w:ind w:hanging="283" w:start="709"/>
        <w:jc w:val="start"/>
        <w:rPr/>
      </w:pPr>
      <w:sdt>
        <w:sdtPr>
          <w:id w:val="1025848405"/>
          <w14:checkbox>
            <w14:checked w14:val="0"/>
            <w14:checkedState w14:val="2612"/>
            <w14:uncheckedState w14:val="2610"/>
          </w14:checkbox>
        </w:sdtPr>
        <w:sdtContent>
          <w:r>
            <w:rPr/>
          </w:r>
          <w:r>
            <w:rPr/>
            <w:t>☐</w:t>
          </w:r>
        </w:sdtContent>
      </w:sdt>
      <w:r>
        <w:rPr/>
        <w:t xml:space="preserve"> </w:t>
      </w:r>
      <w:r>
        <w:rPr>
          <w:i/>
        </w:rPr>
        <w:t>"The lower the share price is versus the true value, the greater the margin of safety."</w:t>
      </w:r>
    </w:p>
    <w:p>
      <w:pPr>
        <w:pStyle w:val="BodyText"/>
        <w:numPr>
          <w:ilvl w:val="0"/>
          <w:numId w:val="413"/>
        </w:numPr>
        <w:tabs>
          <w:tab w:val="clear" w:pos="709"/>
          <w:tab w:val="left" w:pos="709" w:leader="none"/>
        </w:tabs>
        <w:bidi w:val="0"/>
        <w:ind w:hanging="283" w:start="709"/>
        <w:jc w:val="start"/>
        <w:rPr/>
      </w:pPr>
      <w:r>
        <w:rPr/>
        <w:t xml:space="preserve">❌ </w:t>
      </w:r>
      <w:r>
        <w:rPr>
          <w:b/>
        </w:rPr>
        <w:t>Overvalued great business = a bad investment</w:t>
      </w:r>
      <w:r>
        <w:rPr/>
        <w:t xml:space="preserve">: </w:t>
      </w:r>
      <w:r>
        <w:rPr>
          <w:i/>
        </w:rPr>
        <w:t>"even though it's a great business, it may take you a long time to break even on your investment if the share price happens to drop way below the intrinsic value after you bought it."</w:t>
      </w:r>
    </w:p>
    <w:p>
      <w:pPr>
        <w:pStyle w:val="Heading4"/>
        <w:numPr>
          <w:ilvl w:val="0"/>
          <w:numId w:val="0"/>
        </w:numPr>
        <w:bidi w:val="0"/>
        <w:ind w:hanging="0" w:start="0"/>
        <w:jc w:val="start"/>
        <w:rPr/>
      </w:pPr>
      <w:r>
        <w:rPr/>
        <w:t>Valuation method by business type</w:t>
      </w:r>
    </w:p>
    <w:tbl>
      <w:tblPr>
        <w:tblW w:w="5000" w:type="pct"/>
        <w:jc w:val="start"/>
        <w:tblInd w:w="-5" w:type="dxa"/>
        <w:tblLayout w:type="fixed"/>
        <w:tblCellMar>
          <w:top w:w="55" w:type="dxa"/>
          <w:start w:w="55" w:type="dxa"/>
          <w:bottom w:w="55" w:type="dxa"/>
          <w:end w:w="55" w:type="dxa"/>
        </w:tblCellMar>
      </w:tblPr>
      <w:tblGrid>
        <w:gridCol w:w="3212"/>
        <w:gridCol w:w="3213"/>
        <w:gridCol w:w="3213"/>
      </w:tblGrid>
      <w:tr>
        <w:trPr>
          <w:tblHeader w:val="true"/>
        </w:trPr>
        <w:tc>
          <w:tcPr>
            <w:tcW w:w="3212" w:type="dxa"/>
            <w:tcBorders>
              <w:top w:val="single" w:sz="4" w:space="0" w:color="000000"/>
              <w:start w:val="single" w:sz="4" w:space="0" w:color="000000"/>
              <w:bottom w:val="single" w:sz="4" w:space="0" w:color="000000"/>
            </w:tcBorders>
          </w:tcPr>
          <w:p>
            <w:pPr>
              <w:pStyle w:val="TableHeading"/>
              <w:bidi w:val="0"/>
              <w:jc w:val="start"/>
              <w:rPr/>
            </w:pPr>
            <w:r>
              <w:rPr/>
              <w:t>Business type</w:t>
            </w:r>
          </w:p>
        </w:tc>
        <w:tc>
          <w:tcPr>
            <w:tcW w:w="3213" w:type="dxa"/>
            <w:tcBorders>
              <w:top w:val="single" w:sz="4" w:space="0" w:color="000000"/>
              <w:start w:val="single" w:sz="4" w:space="0" w:color="000000"/>
              <w:bottom w:val="single" w:sz="4" w:space="0" w:color="000000"/>
            </w:tcBorders>
          </w:tcPr>
          <w:p>
            <w:pPr>
              <w:pStyle w:val="TableHeading"/>
              <w:bidi w:val="0"/>
              <w:jc w:val="start"/>
              <w:rPr/>
            </w:pPr>
            <w:r>
              <w:rPr/>
              <w:t>Method</w:t>
            </w:r>
          </w:p>
        </w:tc>
        <w:tc>
          <w:tcPr>
            <w:tcW w:w="3213"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Requirement / formula</w:t>
            </w:r>
          </w:p>
        </w:tc>
      </w:tr>
      <w:tr>
        <w:trPr/>
        <w:tc>
          <w:tcPr>
            <w:tcW w:w="3212" w:type="dxa"/>
            <w:tcBorders>
              <w:start w:val="single" w:sz="4" w:space="0" w:color="000000"/>
              <w:bottom w:val="single" w:sz="4" w:space="0" w:color="000000"/>
            </w:tcBorders>
          </w:tcPr>
          <w:p>
            <w:pPr>
              <w:pStyle w:val="TableContents"/>
              <w:bidi w:val="0"/>
              <w:jc w:val="start"/>
              <w:rPr/>
            </w:pPr>
            <w:r>
              <w:rPr>
                <w:b/>
              </w:rPr>
              <w:t>Normal companies (primary method)</w:t>
            </w:r>
          </w:p>
        </w:tc>
        <w:tc>
          <w:tcPr>
            <w:tcW w:w="3213" w:type="dxa"/>
            <w:tcBorders>
              <w:start w:val="single" w:sz="4" w:space="0" w:color="000000"/>
              <w:bottom w:val="single" w:sz="4" w:space="0" w:color="000000"/>
            </w:tcBorders>
          </w:tcPr>
          <w:p>
            <w:pPr>
              <w:pStyle w:val="TableContents"/>
              <w:bidi w:val="0"/>
              <w:jc w:val="start"/>
              <w:rPr/>
            </w:pPr>
            <w:r>
              <w:rPr>
                <w:b/>
              </w:rPr>
              <w:t>Discounted Cash Flow (DCF)</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 xml:space="preserve">Project how much cash the business generates for the </w:t>
            </w:r>
            <w:r>
              <w:rPr>
                <w:b/>
              </w:rPr>
              <w:t>next 20 years</w:t>
            </w:r>
            <w:r>
              <w:rPr/>
              <w:t xml:space="preserve"> and discount to present value. </w:t>
            </w:r>
            <w:r>
              <w:rPr>
                <w:b/>
              </w:rPr>
              <w:t>Assumption: cash flow from operations must be increasing consistently.</w:t>
            </w:r>
          </w:p>
        </w:tc>
      </w:tr>
      <w:tr>
        <w:trPr/>
        <w:tc>
          <w:tcPr>
            <w:tcW w:w="3212" w:type="dxa"/>
            <w:tcBorders>
              <w:start w:val="single" w:sz="4" w:space="0" w:color="000000"/>
              <w:bottom w:val="single" w:sz="4" w:space="0" w:color="000000"/>
            </w:tcBorders>
          </w:tcPr>
          <w:p>
            <w:pPr>
              <w:pStyle w:val="TableContents"/>
              <w:bidi w:val="0"/>
              <w:jc w:val="start"/>
              <w:rPr/>
            </w:pPr>
            <w:r>
              <w:rPr>
                <w:b/>
              </w:rPr>
              <w:t>Companies with inconsistent CFO but consistent earnings</w:t>
            </w:r>
          </w:p>
        </w:tc>
        <w:tc>
          <w:tcPr>
            <w:tcW w:w="3213" w:type="dxa"/>
            <w:tcBorders>
              <w:start w:val="single" w:sz="4" w:space="0" w:color="000000"/>
              <w:bottom w:val="single" w:sz="4" w:space="0" w:color="000000"/>
            </w:tcBorders>
          </w:tcPr>
          <w:p>
            <w:pPr>
              <w:pStyle w:val="TableContents"/>
              <w:bidi w:val="0"/>
              <w:jc w:val="start"/>
              <w:rPr/>
            </w:pPr>
            <w:r>
              <w:rPr>
                <w:b/>
              </w:rPr>
              <w:t>Discounted Net Income method</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 xml:space="preserve">Requires </w:t>
            </w:r>
            <w:r>
              <w:rPr>
                <w:b/>
              </w:rPr>
              <w:t>net income increasing consistently for at least the last 5 years</w:t>
            </w:r>
          </w:p>
        </w:tc>
      </w:tr>
      <w:tr>
        <w:trPr/>
        <w:tc>
          <w:tcPr>
            <w:tcW w:w="3212" w:type="dxa"/>
            <w:tcBorders>
              <w:start w:val="single" w:sz="4" w:space="0" w:color="000000"/>
              <w:bottom w:val="single" w:sz="4" w:space="0" w:color="000000"/>
            </w:tcBorders>
          </w:tcPr>
          <w:p>
            <w:pPr>
              <w:pStyle w:val="TableContents"/>
              <w:bidi w:val="0"/>
              <w:jc w:val="start"/>
              <w:rPr/>
            </w:pPr>
            <w:r>
              <w:rPr>
                <w:b/>
              </w:rPr>
              <w:t>Both CFO and net income inconsistent</w:t>
            </w:r>
          </w:p>
        </w:tc>
        <w:tc>
          <w:tcPr>
            <w:tcW w:w="3213" w:type="dxa"/>
            <w:tcBorders>
              <w:start w:val="single" w:sz="4" w:space="0" w:color="000000"/>
              <w:bottom w:val="single" w:sz="4" w:space="0" w:color="000000"/>
            </w:tcBorders>
          </w:tcPr>
          <w:p>
            <w:pPr>
              <w:pStyle w:val="TableContents"/>
              <w:bidi w:val="0"/>
              <w:jc w:val="start"/>
              <w:rPr/>
            </w:pPr>
            <w:r>
              <w:rPr/>
              <w:t xml:space="preserve">❌ </w:t>
            </w:r>
            <w:r>
              <w:rPr>
                <w:b/>
              </w:rPr>
              <w:t>Do not buy</w:t>
            </w:r>
            <w:r>
              <w:rPr/>
              <w:t xml:space="preserve"> — </w:t>
            </w:r>
            <w:r>
              <w:rPr>
                <w:i/>
              </w:rPr>
              <w:t>"then it won't pass the first five steps in the first place"</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 xml:space="preserve">For a high-quality business, </w:t>
            </w:r>
            <w:r>
              <w:rPr>
                <w:b/>
              </w:rPr>
              <w:t>at least one of cash flow or earnings must be increasing consistently</w:t>
            </w:r>
          </w:p>
        </w:tc>
      </w:tr>
      <w:tr>
        <w:trPr/>
        <w:tc>
          <w:tcPr>
            <w:tcW w:w="3212" w:type="dxa"/>
            <w:tcBorders>
              <w:start w:val="single" w:sz="4" w:space="0" w:color="000000"/>
              <w:bottom w:val="single" w:sz="4" w:space="0" w:color="000000"/>
            </w:tcBorders>
          </w:tcPr>
          <w:p>
            <w:pPr>
              <w:pStyle w:val="TableContents"/>
              <w:bidi w:val="0"/>
              <w:jc w:val="start"/>
              <w:rPr/>
            </w:pPr>
            <w:r>
              <w:rPr>
                <w:b/>
              </w:rPr>
              <w:t>Banks</w:t>
            </w:r>
            <w:r>
              <w:rPr/>
              <w:t xml:space="preserve"> (JPMorgan, Bank of America, DBS, OCBC)</w:t>
            </w:r>
          </w:p>
        </w:tc>
        <w:tc>
          <w:tcPr>
            <w:tcW w:w="3213" w:type="dxa"/>
            <w:tcBorders>
              <w:start w:val="single" w:sz="4" w:space="0" w:color="000000"/>
              <w:bottom w:val="single" w:sz="4" w:space="0" w:color="000000"/>
            </w:tcBorders>
          </w:tcPr>
          <w:p>
            <w:pPr>
              <w:pStyle w:val="TableContents"/>
              <w:bidi w:val="0"/>
              <w:jc w:val="start"/>
              <w:rPr/>
            </w:pPr>
            <w:r>
              <w:rPr>
                <w:b/>
              </w:rPr>
              <w:t>Price-to-Book (P/B) method</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b/>
              </w:rPr>
              <w:t>Fair value = 5-year average P/B ratio × current book value per share</w:t>
            </w:r>
          </w:p>
        </w:tc>
      </w:tr>
      <w:tr>
        <w:trPr/>
        <w:tc>
          <w:tcPr>
            <w:tcW w:w="3212" w:type="dxa"/>
            <w:tcBorders>
              <w:start w:val="single" w:sz="4" w:space="0" w:color="000000"/>
              <w:bottom w:val="single" w:sz="4" w:space="0" w:color="000000"/>
            </w:tcBorders>
          </w:tcPr>
          <w:p>
            <w:pPr>
              <w:pStyle w:val="TableContents"/>
              <w:bidi w:val="0"/>
              <w:jc w:val="start"/>
              <w:rPr/>
            </w:pPr>
            <w:r>
              <w:rPr>
                <w:b/>
              </w:rPr>
              <w:t>REITs</w:t>
            </w:r>
          </w:p>
        </w:tc>
        <w:tc>
          <w:tcPr>
            <w:tcW w:w="3213" w:type="dxa"/>
            <w:tcBorders>
              <w:start w:val="single" w:sz="4" w:space="0" w:color="000000"/>
              <w:bottom w:val="single" w:sz="4" w:space="0" w:color="000000"/>
            </w:tcBorders>
          </w:tcPr>
          <w:p>
            <w:pPr>
              <w:pStyle w:val="TableContents"/>
              <w:bidi w:val="0"/>
              <w:jc w:val="start"/>
              <w:rPr/>
            </w:pPr>
            <w:r>
              <w:rPr>
                <w:b/>
              </w:rPr>
              <w:t>Price-to-NAV method</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b/>
              </w:rPr>
              <w:t>Fair value = average P/NAV ratio over the last 5 or 10 years × current NAV per share.</w:t>
            </w:r>
            <w:r>
              <w:rPr/>
              <w:t xml:space="preserve"> Buy when price is below fair value.</w:t>
            </w:r>
          </w:p>
        </w:tc>
      </w:tr>
      <w:tr>
        <w:trPr/>
        <w:tc>
          <w:tcPr>
            <w:tcW w:w="3212" w:type="dxa"/>
            <w:tcBorders>
              <w:start w:val="single" w:sz="4" w:space="0" w:color="000000"/>
              <w:bottom w:val="single" w:sz="4" w:space="0" w:color="000000"/>
            </w:tcBorders>
          </w:tcPr>
          <w:p>
            <w:pPr>
              <w:pStyle w:val="TableContents"/>
              <w:bidi w:val="0"/>
              <w:jc w:val="start"/>
              <w:rPr/>
            </w:pPr>
            <w:r>
              <w:rPr>
                <w:b/>
              </w:rPr>
              <w:t>Speculative / early-stage growth companies</w:t>
            </w:r>
            <w:r>
              <w:rPr/>
              <w:t xml:space="preserve"> (no consistent profits or cash flow)</w:t>
            </w:r>
          </w:p>
        </w:tc>
        <w:tc>
          <w:tcPr>
            <w:tcW w:w="3213" w:type="dxa"/>
            <w:tcBorders>
              <w:start w:val="single" w:sz="4" w:space="0" w:color="000000"/>
              <w:bottom w:val="single" w:sz="4" w:space="0" w:color="000000"/>
            </w:tcBorders>
          </w:tcPr>
          <w:p>
            <w:pPr>
              <w:pStyle w:val="TableContents"/>
              <w:bidi w:val="0"/>
              <w:jc w:val="start"/>
              <w:rPr/>
            </w:pPr>
            <w:r>
              <w:rPr>
                <w:b/>
              </w:rPr>
              <w:t>Price-to-Sales (P/S) method</w:t>
            </w:r>
            <w:r>
              <w:rPr/>
              <w:t xml:space="preserve">, or </w:t>
            </w:r>
            <w:r>
              <w:rPr>
                <w:b/>
              </w:rPr>
              <w:t>Price-to-Sales-Growth ratio</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 xml:space="preserve">(a) </w:t>
            </w:r>
            <w:r>
              <w:rPr>
                <w:b/>
              </w:rPr>
              <w:t>Intrinsic value = 5-year average P/S ratio × current revenue per share</w:t>
            </w:r>
            <w:r>
              <w:rPr/>
              <w:t xml:space="preserve">(b) </w:t>
            </w:r>
            <w:r>
              <w:rPr>
                <w:b/>
              </w:rPr>
              <w:t>P/S-Growth = P/S ratio ÷ projected revenue growth rate</w:t>
            </w:r>
          </w:p>
        </w:tc>
      </w:tr>
    </w:tbl>
    <w:p>
      <w:pPr>
        <w:pStyle w:val="BodyText"/>
        <w:bidi w:val="0"/>
        <w:jc w:val="start"/>
        <w:rPr/>
      </w:pPr>
      <w:r>
        <w:rPr/>
      </w:r>
    </w:p>
    <w:p>
      <w:pPr>
        <w:pStyle w:val="Heading4"/>
        <w:bidi w:val="0"/>
        <w:ind w:hanging="0" w:start="0"/>
        <w:jc w:val="start"/>
        <w:rPr/>
      </w:pPr>
      <w:r>
        <w:rPr/>
        <w:t>Price-to-Sales-Growth ratio thresholds (speculative growth stocks)</w:t>
      </w:r>
    </w:p>
    <w:tbl>
      <w:tblPr>
        <w:tblW w:w="5000" w:type="pct"/>
        <w:jc w:val="start"/>
        <w:tblInd w:w="-5" w:type="dxa"/>
        <w:tblLayout w:type="fixed"/>
        <w:tblCellMar>
          <w:top w:w="55" w:type="dxa"/>
          <w:start w:w="55" w:type="dxa"/>
          <w:bottom w:w="55" w:type="dxa"/>
          <w:end w:w="55" w:type="dxa"/>
        </w:tblCellMar>
      </w:tblPr>
      <w:tblGrid>
        <w:gridCol w:w="4819"/>
        <w:gridCol w:w="4819"/>
      </w:tblGrid>
      <w:tr>
        <w:trPr>
          <w:tblHeader w:val="true"/>
        </w:trPr>
        <w:tc>
          <w:tcPr>
            <w:tcW w:w="4819" w:type="dxa"/>
            <w:tcBorders>
              <w:top w:val="single" w:sz="4" w:space="0" w:color="000000"/>
              <w:start w:val="single" w:sz="4" w:space="0" w:color="000000"/>
              <w:bottom w:val="single" w:sz="4" w:space="0" w:color="000000"/>
            </w:tcBorders>
          </w:tcPr>
          <w:p>
            <w:pPr>
              <w:pStyle w:val="TableHeading"/>
              <w:bidi w:val="0"/>
              <w:jc w:val="start"/>
              <w:rPr/>
            </w:pPr>
            <w:r>
              <w:rPr/>
              <w:t>Value</w:t>
            </w:r>
          </w:p>
        </w:tc>
        <w:tc>
          <w:tcPr>
            <w:tcW w:w="4819"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Verdict</w:t>
            </w:r>
          </w:p>
        </w:tc>
      </w:tr>
      <w:tr>
        <w:trPr/>
        <w:tc>
          <w:tcPr>
            <w:tcW w:w="4819" w:type="dxa"/>
            <w:tcBorders>
              <w:start w:val="single" w:sz="4" w:space="0" w:color="000000"/>
              <w:bottom w:val="single" w:sz="4" w:space="0" w:color="000000"/>
            </w:tcBorders>
          </w:tcPr>
          <w:p>
            <w:pPr>
              <w:pStyle w:val="TableContents"/>
              <w:bidi w:val="0"/>
              <w:jc w:val="start"/>
              <w:rPr/>
            </w:pPr>
            <w:r>
              <w:rPr>
                <w:b/>
              </w:rPr>
              <w:t>Below 0.2</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b/>
              </w:rPr>
              <w:t>Undervalued</w:t>
            </w:r>
          </w:p>
        </w:tc>
      </w:tr>
      <w:tr>
        <w:trPr/>
        <w:tc>
          <w:tcPr>
            <w:tcW w:w="4819" w:type="dxa"/>
            <w:tcBorders>
              <w:start w:val="single" w:sz="4" w:space="0" w:color="000000"/>
              <w:bottom w:val="single" w:sz="4" w:space="0" w:color="000000"/>
            </w:tcBorders>
          </w:tcPr>
          <w:p>
            <w:pPr>
              <w:pStyle w:val="TableContents"/>
              <w:bidi w:val="0"/>
              <w:jc w:val="start"/>
              <w:rPr/>
            </w:pPr>
            <w:r>
              <w:rPr>
                <w:b/>
              </w:rPr>
              <w:t>0.2 – 0.3</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b/>
              </w:rPr>
              <w:t>Fair value</w:t>
            </w:r>
          </w:p>
        </w:tc>
      </w:tr>
      <w:tr>
        <w:trPr/>
        <w:tc>
          <w:tcPr>
            <w:tcW w:w="4819" w:type="dxa"/>
            <w:tcBorders>
              <w:start w:val="single" w:sz="4" w:space="0" w:color="000000"/>
              <w:bottom w:val="single" w:sz="4" w:space="0" w:color="000000"/>
            </w:tcBorders>
          </w:tcPr>
          <w:p>
            <w:pPr>
              <w:pStyle w:val="TableContents"/>
              <w:bidi w:val="0"/>
              <w:jc w:val="start"/>
              <w:rPr/>
            </w:pPr>
            <w:r>
              <w:rPr>
                <w:b/>
              </w:rPr>
              <w:t>Above 0.3</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b/>
              </w:rPr>
              <w:t>Overvalued</w:t>
            </w:r>
          </w:p>
        </w:tc>
      </w:tr>
    </w:tbl>
    <w:p>
      <w:pPr>
        <w:pStyle w:val="BodyText"/>
        <w:bidi w:val="0"/>
        <w:jc w:val="start"/>
        <w:rPr/>
      </w:pPr>
      <w:r>
        <w:rPr/>
      </w:r>
    </w:p>
    <w:p>
      <w:pPr>
        <w:pStyle w:val="Heading4"/>
        <w:bidi w:val="0"/>
        <w:ind w:hanging="0" w:start="0"/>
        <w:jc w:val="start"/>
        <w:rPr/>
      </w:pPr>
      <w:r>
        <w:rPr/>
        <w:t>REIT extra requirement</w:t>
      </w:r>
    </w:p>
    <w:p>
      <w:pPr>
        <w:pStyle w:val="BodyText"/>
        <w:numPr>
          <w:ilvl w:val="0"/>
          <w:numId w:val="414"/>
        </w:numPr>
        <w:tabs>
          <w:tab w:val="clear" w:pos="709"/>
          <w:tab w:val="left" w:pos="709" w:leader="none"/>
        </w:tabs>
        <w:bidi w:val="0"/>
        <w:ind w:hanging="283" w:start="709"/>
        <w:jc w:val="start"/>
        <w:rPr/>
      </w:pPr>
      <w:r>
        <w:rPr/>
        <w:t xml:space="preserve">When buying a REIT, Adam is buying it </w:t>
      </w:r>
      <w:r>
        <w:rPr>
          <w:b/>
        </w:rPr>
        <w:t>for the dividend yield</w:t>
      </w:r>
      <w:r>
        <w:rPr/>
        <w:t xml:space="preserve">. For </w:t>
      </w:r>
      <w:r>
        <w:rPr>
          <w:b/>
        </w:rPr>
        <w:t>Singapore-listed REITs he wants a minimum 5% dividend yield.</w:t>
      </w:r>
    </w:p>
    <w:p>
      <w:pPr>
        <w:pStyle w:val="Heading4"/>
        <w:numPr>
          <w:ilvl w:val="0"/>
          <w:numId w:val="0"/>
        </w:numPr>
        <w:bidi w:val="0"/>
        <w:ind w:hanging="0" w:start="0"/>
        <w:jc w:val="start"/>
        <w:rPr/>
      </w:pPr>
      <w:r>
        <w:rPr/>
        <w:t>Tools</w:t>
      </w:r>
    </w:p>
    <w:p>
      <w:pPr>
        <w:pStyle w:val="BodyText"/>
        <w:numPr>
          <w:ilvl w:val="0"/>
          <w:numId w:val="415"/>
        </w:numPr>
        <w:tabs>
          <w:tab w:val="clear" w:pos="709"/>
          <w:tab w:val="left" w:pos="709" w:leader="none"/>
        </w:tabs>
        <w:bidi w:val="0"/>
        <w:ind w:hanging="283" w:start="709"/>
        <w:jc w:val="start"/>
        <w:rPr/>
      </w:pPr>
      <w:r>
        <w:rPr>
          <w:b/>
        </w:rPr>
        <w:t>StockOracle → "Intrinsic Value" tab</w:t>
      </w:r>
      <w:r>
        <w:rPr/>
        <w:t xml:space="preserve"> — computes intrinsic value automatically using several different methods.</w:t>
      </w:r>
    </w:p>
    <w:p>
      <w:pPr>
        <w:pStyle w:val="BodyText"/>
        <w:numPr>
          <w:ilvl w:val="0"/>
          <w:numId w:val="415"/>
        </w:numPr>
        <w:tabs>
          <w:tab w:val="clear" w:pos="709"/>
          <w:tab w:val="left" w:pos="709" w:leader="none"/>
        </w:tabs>
        <w:bidi w:val="0"/>
        <w:ind w:hanging="283" w:start="709"/>
        <w:jc w:val="start"/>
        <w:rPr/>
      </w:pPr>
      <w:r>
        <w:rPr>
          <w:b/>
        </w:rPr>
        <w:t>StockOracle Pro → "Oracle Value"</w:t>
      </w:r>
      <w:r>
        <w:rPr/>
        <w:t xml:space="preserve"> — Adam's preferred output because it </w:t>
      </w:r>
      <w:r>
        <w:rPr>
          <w:b/>
        </w:rPr>
        <w:t>normalizes capex</w:t>
      </w:r>
      <w:r>
        <w:rPr/>
        <w:t xml:space="preserve"> and </w:t>
      </w:r>
      <w:r>
        <w:rPr>
          <w:b/>
        </w:rPr>
        <w:t>adjusts when recent free cash flow is inconsistent</w:t>
      </w:r>
      <w:r>
        <w:rPr/>
        <w:t xml:space="preserve">, giving </w:t>
      </w:r>
      <w:r>
        <w:rPr>
          <w:i/>
        </w:rPr>
        <w:t>"the most appropriate intrinsic value."</w:t>
      </w:r>
    </w:p>
    <w:p>
      <w:pPr>
        <w:pStyle w:val="BodyText"/>
        <w:numPr>
          <w:ilvl w:val="0"/>
          <w:numId w:val="415"/>
        </w:numPr>
        <w:tabs>
          <w:tab w:val="clear" w:pos="709"/>
          <w:tab w:val="left" w:pos="709" w:leader="none"/>
        </w:tabs>
        <w:bidi w:val="0"/>
        <w:ind w:hanging="283" w:start="709"/>
        <w:jc w:val="start"/>
        <w:rPr/>
      </w:pPr>
      <w:r>
        <w:rPr>
          <w:b/>
        </w:rPr>
        <w:t>Intrinsic value calculators</w:t>
      </w:r>
      <w:r>
        <w:rPr/>
        <w:t xml:space="preserve"> taught in the previous lesson, for manual calculation.</w:t>
      </w:r>
    </w:p>
    <w:p>
      <w:pPr>
        <w:pStyle w:val="Heading4"/>
        <w:numPr>
          <w:ilvl w:val="0"/>
          <w:numId w:val="0"/>
        </w:numPr>
        <w:bidi w:val="0"/>
        <w:ind w:hanging="0" w:start="0"/>
        <w:jc w:val="start"/>
        <w:rPr/>
      </w:pPr>
      <w:r>
        <w:rPr/>
        <w:t>Worked example — Alphabet / Google</w:t>
      </w:r>
    </w:p>
    <w:p>
      <w:pPr>
        <w:pStyle w:val="BodyText"/>
        <w:numPr>
          <w:ilvl w:val="0"/>
          <w:numId w:val="416"/>
        </w:numPr>
        <w:tabs>
          <w:tab w:val="clear" w:pos="709"/>
          <w:tab w:val="left" w:pos="709" w:leader="none"/>
        </w:tabs>
        <w:bidi w:val="0"/>
        <w:ind w:hanging="283" w:start="709"/>
        <w:jc w:val="start"/>
        <w:rPr/>
      </w:pPr>
      <w:r>
        <w:rPr>
          <w:b/>
        </w:rPr>
        <w:t>Plain discounted free cash flow method: intrinsic value $190.</w:t>
      </w:r>
      <w:r>
        <w:rPr/>
        <w:t xml:space="preserve"> ⚠️ Caveat: this method </w:t>
      </w:r>
      <w:r>
        <w:rPr>
          <w:b/>
        </w:rPr>
        <w:t>does not normalize capex</w:t>
      </w:r>
      <w:r>
        <w:rPr/>
        <w:t xml:space="preserve"> — Google's capex recently spiked and free cash flow dropped a lot, </w:t>
      </w:r>
      <w:r>
        <w:rPr>
          <w:i/>
        </w:rPr>
        <w:t>"that's why the number is lower."</w:t>
      </w:r>
    </w:p>
    <w:p>
      <w:pPr>
        <w:pStyle w:val="BodyText"/>
        <w:numPr>
          <w:ilvl w:val="0"/>
          <w:numId w:val="416"/>
        </w:numPr>
        <w:tabs>
          <w:tab w:val="clear" w:pos="709"/>
          <w:tab w:val="left" w:pos="709" w:leader="none"/>
        </w:tabs>
        <w:bidi w:val="0"/>
        <w:ind w:hanging="283" w:start="709"/>
        <w:jc w:val="start"/>
        <w:rPr/>
      </w:pPr>
      <w:r>
        <w:rPr>
          <w:b/>
        </w:rPr>
        <w:t>Oracle Value (normalizes capex): $302.</w:t>
      </w:r>
    </w:p>
    <w:p>
      <w:pPr>
        <w:pStyle w:val="BodyText"/>
        <w:numPr>
          <w:ilvl w:val="0"/>
          <w:numId w:val="416"/>
        </w:numPr>
        <w:tabs>
          <w:tab w:val="clear" w:pos="709"/>
          <w:tab w:val="left" w:pos="709" w:leader="none"/>
        </w:tabs>
        <w:bidi w:val="0"/>
        <w:ind w:hanging="283" w:start="709"/>
        <w:jc w:val="start"/>
        <w:rPr/>
      </w:pPr>
      <w:r>
        <w:rPr/>
        <w:t xml:space="preserve">Verdict at the time of recording: </w:t>
      </w:r>
      <w:r>
        <w:rPr>
          <w:b/>
        </w:rPr>
        <w:t>Google is selling slightly ABOVE intrinsic value</w:t>
      </w:r>
      <w:r>
        <w:rPr/>
        <w:t xml:space="preserve"> → not a buy yet.</w:t>
      </w:r>
    </w:p>
    <w:p>
      <w:pPr>
        <w:pStyle w:val="BodyText"/>
        <w:bidi w:val="0"/>
        <w:jc w:val="start"/>
        <w:rPr/>
      </w:pPr>
      <w:r>
        <w:rPr>
          <w:i/>
        </w:rPr>
        <w:t>(Note: in the Step 7 chart walkthrough of the same lesson, Alphabet's intrinsic value is quoted as ~"3,008" against support levels of 2,833 / 2,670 / 2,479 / 2,261 — the same relationship, undervalued, but on a different quoted scale in the transcript. The relationship taught is what matters: price below intrinsic value.)</w:t>
      </w:r>
    </w:p>
    <w:p>
      <w:pPr>
        <w:pStyle w:val="Heading4"/>
        <w:bidi w:val="0"/>
        <w:ind w:hanging="0" w:start="0"/>
        <w:jc w:val="start"/>
        <w:rPr/>
      </w:pPr>
      <w:r>
        <w:rPr/>
        <w:t>Speculative growth positions Adam has taken under this rule</w:t>
      </w:r>
    </w:p>
    <w:p>
      <w:pPr>
        <w:pStyle w:val="BodyText"/>
        <w:numPr>
          <w:ilvl w:val="0"/>
          <w:numId w:val="417"/>
        </w:numPr>
        <w:tabs>
          <w:tab w:val="clear" w:pos="709"/>
          <w:tab w:val="left" w:pos="709" w:leader="none"/>
        </w:tabs>
        <w:bidi w:val="0"/>
        <w:ind w:hanging="283" w:start="709"/>
        <w:jc w:val="start"/>
        <w:rPr/>
      </w:pPr>
      <w:r>
        <w:rPr>
          <w:b/>
        </w:rPr>
        <w:t>Palantir</w:t>
      </w:r>
      <w:r>
        <w:rPr/>
        <w:t xml:space="preserve"> and </w:t>
      </w:r>
      <w:r>
        <w:rPr>
          <w:b/>
        </w:rPr>
        <w:t>Celsius</w:t>
      </w:r>
      <w:r>
        <w:rPr/>
        <w:t xml:space="preserve"> (the energy drink) — bought with a </w:t>
      </w:r>
      <w:r>
        <w:rPr>
          <w:b/>
        </w:rPr>
        <w:t>small allocation</w:t>
      </w:r>
      <w:r>
        <w:rPr/>
        <w:t xml:space="preserve"> because </w:t>
      </w:r>
      <w:r>
        <w:rPr>
          <w:i/>
        </w:rPr>
        <w:t>"the moat is very strong and there's a huge opportunity."</w:t>
      </w:r>
    </w:p>
    <w:p>
      <w:pPr>
        <w:pStyle w:val="HorizontalLine"/>
        <w:bidi w:val="0"/>
        <w:jc w:val="start"/>
        <w:rPr/>
      </w:pPr>
      <w:r>
        <w:rPr/>
      </w:r>
    </w:p>
    <w:p>
      <w:pPr>
        <w:pStyle w:val="Heading3"/>
        <w:bidi w:val="0"/>
        <w:ind w:hanging="0" w:start="0"/>
        <w:jc w:val="start"/>
        <w:rPr/>
      </w:pPr>
      <w:r>
        <w:rPr/>
        <w:t>STEP 7 — Great Point of Entry: Buy the Wave Down into Support</w:t>
      </w:r>
    </w:p>
    <w:p>
      <w:pPr>
        <w:pStyle w:val="Heading4"/>
        <w:bidi w:val="0"/>
        <w:ind w:hanging="0" w:start="0"/>
        <w:jc w:val="start"/>
        <w:rPr/>
      </w:pPr>
      <w:r>
        <w:rPr/>
        <w:t>What it checks</w:t>
      </w:r>
    </w:p>
    <w:p>
      <w:pPr>
        <w:pStyle w:val="BodyText"/>
        <w:bidi w:val="0"/>
        <w:jc w:val="start"/>
        <w:rPr/>
      </w:pPr>
      <w:r>
        <w:rPr/>
        <w:t xml:space="preserve">That you enter at an </w:t>
      </w:r>
      <w:r>
        <w:rPr>
          <w:b/>
        </w:rPr>
        <w:t>optimal chart level</w:t>
      </w:r>
      <w:r>
        <w:rPr/>
        <w:t>, using support structure and tranching, once Steps 1–6 already pass.</w:t>
      </w:r>
    </w:p>
    <w:p>
      <w:pPr>
        <w:pStyle w:val="Heading4"/>
        <w:bidi w:val="0"/>
        <w:ind w:hanging="0" w:start="0"/>
        <w:jc w:val="start"/>
        <w:rPr/>
      </w:pPr>
      <w:r>
        <w:rPr/>
        <w:t>The core principle</w:t>
      </w:r>
    </w:p>
    <w:p>
      <w:pPr>
        <w:pStyle w:val="BodyText"/>
        <w:numPr>
          <w:ilvl w:val="0"/>
          <w:numId w:val="418"/>
        </w:numPr>
        <w:tabs>
          <w:tab w:val="clear" w:pos="709"/>
          <w:tab w:val="left" w:pos="709" w:leader="none"/>
        </w:tabs>
        <w:bidi w:val="0"/>
        <w:ind w:hanging="283" w:start="709"/>
        <w:jc w:val="start"/>
        <w:rPr/>
      </w:pPr>
      <w:r>
        <w:rPr/>
        <w:t xml:space="preserve">Great businesses go up over the long run, </w:t>
      </w:r>
      <w:r>
        <w:rPr>
          <w:b/>
        </w:rPr>
        <w:t>but never in a straight line</w:t>
      </w:r>
      <w:r>
        <w:rPr/>
        <w:t xml:space="preserve"> — price moves in </w:t>
      </w:r>
      <w:r>
        <w:rPr>
          <w:b/>
        </w:rPr>
        <w:t>wave up / wave down</w:t>
      </w:r>
      <w:r>
        <w:rPr/>
        <w:t xml:space="preserve"> patterns driven by </w:t>
      </w:r>
      <w:r>
        <w:rPr>
          <w:b/>
        </w:rPr>
        <w:t>greed and fear</w:t>
      </w:r>
      <w:r>
        <w:rPr/>
        <w:t>.</w:t>
      </w:r>
    </w:p>
    <w:p>
      <w:pPr>
        <w:pStyle w:val="BodyText"/>
        <w:numPr>
          <w:ilvl w:val="0"/>
          <w:numId w:val="418"/>
        </w:numPr>
        <w:tabs>
          <w:tab w:val="clear" w:pos="709"/>
          <w:tab w:val="left" w:pos="709" w:leader="none"/>
        </w:tabs>
        <w:bidi w:val="0"/>
        <w:ind w:hanging="283" w:start="709"/>
        <w:jc w:val="start"/>
        <w:rPr/>
      </w:pPr>
      <w:r>
        <w:rPr>
          <w:b/>
        </w:rPr>
        <w:t>THE GOLDEN RULE: "Never buy during a wave up. Never chase the stock. Wait for the stock to come to you."</w:t>
      </w:r>
    </w:p>
    <w:p>
      <w:pPr>
        <w:pStyle w:val="BodyText"/>
        <w:numPr>
          <w:ilvl w:val="0"/>
          <w:numId w:val="418"/>
        </w:numPr>
        <w:tabs>
          <w:tab w:val="clear" w:pos="709"/>
          <w:tab w:val="left" w:pos="709" w:leader="none"/>
        </w:tabs>
        <w:bidi w:val="0"/>
        <w:ind w:hanging="283" w:start="709"/>
        <w:jc w:val="start"/>
        <w:rPr/>
      </w:pPr>
      <w:r>
        <w:rPr>
          <w:i/>
        </w:rPr>
        <w:t>"Whenever the price gets too far from the moving average, like a rubber band, it will snap back eventually. So don't get in when it's waving up."</w:t>
      </w:r>
    </w:p>
    <w:p>
      <w:pPr>
        <w:pStyle w:val="BodyText"/>
        <w:numPr>
          <w:ilvl w:val="0"/>
          <w:numId w:val="418"/>
        </w:numPr>
        <w:tabs>
          <w:tab w:val="clear" w:pos="709"/>
          <w:tab w:val="left" w:pos="709" w:leader="none"/>
        </w:tabs>
        <w:bidi w:val="0"/>
        <w:ind w:hanging="283" w:start="709"/>
        <w:jc w:val="start"/>
        <w:rPr/>
      </w:pPr>
      <w:r>
        <w:rPr/>
        <w:t xml:space="preserve">You cannot catch the exact bottom: </w:t>
      </w:r>
      <w:r>
        <w:rPr>
          <w:i/>
        </w:rPr>
        <w:t>"As long as we can buy near the bottom, we've done our job. And as long as we don't buy near the top, we're doing the right thing."</w:t>
      </w:r>
    </w:p>
    <w:p>
      <w:pPr>
        <w:pStyle w:val="Heading4"/>
        <w:numPr>
          <w:ilvl w:val="0"/>
          <w:numId w:val="0"/>
        </w:numPr>
        <w:bidi w:val="0"/>
        <w:ind w:hanging="0" w:start="0"/>
        <w:jc w:val="start"/>
        <w:rPr/>
      </w:pPr>
      <w:r>
        <w:rPr/>
        <w:t>The three chart scenarios</w:t>
      </w:r>
    </w:p>
    <w:p>
      <w:pPr>
        <w:pStyle w:val="Heading5"/>
        <w:bidi w:val="0"/>
        <w:ind w:hanging="0" w:start="0"/>
        <w:jc w:val="start"/>
        <w:rPr/>
      </w:pPr>
      <w:r>
        <w:rPr/>
        <w:t>Scenario A — Buy the DIP on an UPTREND</w:t>
      </w:r>
    </w:p>
    <w:p>
      <w:pPr>
        <w:pStyle w:val="BodyText"/>
        <w:numPr>
          <w:ilvl w:val="0"/>
          <w:numId w:val="419"/>
        </w:numPr>
        <w:tabs>
          <w:tab w:val="clear" w:pos="709"/>
          <w:tab w:val="left" w:pos="709" w:leader="none"/>
        </w:tabs>
        <w:bidi w:val="0"/>
        <w:ind w:hanging="283" w:start="709"/>
        <w:jc w:val="start"/>
        <w:rPr/>
      </w:pPr>
      <w:r>
        <w:rPr>
          <w:b/>
        </w:rPr>
        <w:t>Uptrend definition:</w:t>
      </w:r>
      <w:r>
        <w:rPr/>
        <w:t xml:space="preserve"> </w:t>
      </w:r>
      <w:r>
        <w:rPr>
          <w:b/>
        </w:rPr>
        <w:t>higher highs and higher lows</w:t>
      </w:r>
      <w:r>
        <w:rPr/>
        <w:t xml:space="preserve">; the </w:t>
      </w:r>
      <w:r>
        <w:rPr>
          <w:b/>
        </w:rPr>
        <w:t>50 MA is above the 150 MA</w:t>
      </w:r>
      <w:r>
        <w:rPr/>
        <w:t xml:space="preserve"> and both </w:t>
      </w:r>
      <w:r>
        <w:rPr>
          <w:b/>
        </w:rPr>
        <w:t>sloping up</w:t>
      </w:r>
      <w:r>
        <w:rPr/>
        <w:t xml:space="preserve">; </w:t>
      </w:r>
      <w:r>
        <w:rPr>
          <w:b/>
        </w:rPr>
        <w:t>price above the 200 MA</w:t>
      </w:r>
      <w:r>
        <w:rPr/>
        <w:t>, which is also sloping up.</w:t>
      </w:r>
    </w:p>
    <w:p>
      <w:pPr>
        <w:pStyle w:val="BodyText"/>
        <w:numPr>
          <w:ilvl w:val="0"/>
          <w:numId w:val="419"/>
        </w:numPr>
        <w:tabs>
          <w:tab w:val="clear" w:pos="709"/>
          <w:tab w:val="left" w:pos="709" w:leader="none"/>
        </w:tabs>
        <w:bidi w:val="0"/>
        <w:ind w:hanging="283" w:start="709"/>
        <w:jc w:val="start"/>
        <w:rPr/>
      </w:pPr>
      <w:r>
        <w:rPr>
          <w:b/>
        </w:rPr>
        <w:t>Buy trigger:</w:t>
      </w:r>
      <w:r>
        <w:rPr/>
        <w:t xml:space="preserve"> wait for the </w:t>
      </w:r>
      <w:r>
        <w:rPr>
          <w:b/>
        </w:rPr>
        <w:t>wave down</w:t>
      </w:r>
      <w:r>
        <w:rPr/>
        <w:t xml:space="preserve"> to a support level, then add.</w:t>
      </w:r>
    </w:p>
    <w:p>
      <w:pPr>
        <w:pStyle w:val="BodyText"/>
        <w:numPr>
          <w:ilvl w:val="0"/>
          <w:numId w:val="419"/>
        </w:numPr>
        <w:tabs>
          <w:tab w:val="clear" w:pos="709"/>
          <w:tab w:val="left" w:pos="709" w:leader="none"/>
        </w:tabs>
        <w:bidi w:val="0"/>
        <w:ind w:hanging="283" w:start="709"/>
        <w:jc w:val="start"/>
        <w:rPr/>
      </w:pPr>
      <w:r>
        <w:rPr>
          <w:b/>
        </w:rPr>
        <w:t>Valid support levels = any of the moving averages: 50 MA, 100 MA, 150 MA, 200 MA.</w:t>
      </w:r>
      <w:r>
        <w:rPr/>
        <w:t xml:space="preserve"> </w:t>
      </w:r>
      <w:r>
        <w:rPr>
          <w:i/>
        </w:rPr>
        <w:t>"Any one of these moving averages are fine, because they act as natural support levels."</w:t>
      </w:r>
    </w:p>
    <w:p>
      <w:pPr>
        <w:pStyle w:val="BodyText"/>
        <w:numPr>
          <w:ilvl w:val="0"/>
          <w:numId w:val="419"/>
        </w:numPr>
        <w:tabs>
          <w:tab w:val="clear" w:pos="709"/>
          <w:tab w:val="left" w:pos="709" w:leader="none"/>
        </w:tabs>
        <w:bidi w:val="0"/>
        <w:ind w:hanging="283" w:start="709"/>
        <w:jc w:val="start"/>
        <w:rPr/>
      </w:pPr>
      <w:r>
        <w:rPr>
          <w:b/>
        </w:rPr>
        <w:t>Every stock has its own character</w:t>
      </w:r>
      <w:r>
        <w:rPr/>
        <w:t xml:space="preserve"> — some bounce off the 50, some off the 100, some off the 200. Identify which MA </w:t>
      </w:r>
      <w:r>
        <w:rPr>
          <w:i/>
        </w:rPr>
        <w:t>that specific stock</w:t>
      </w:r>
      <w:r>
        <w:rPr/>
        <w:t xml:space="preserve"> historically respects.</w:t>
      </w:r>
    </w:p>
    <w:p>
      <w:pPr>
        <w:pStyle w:val="BodyText"/>
        <w:numPr>
          <w:ilvl w:val="0"/>
          <w:numId w:val="419"/>
        </w:numPr>
        <w:tabs>
          <w:tab w:val="clear" w:pos="709"/>
          <w:tab w:val="left" w:pos="709" w:leader="none"/>
        </w:tabs>
        <w:bidi w:val="0"/>
        <w:ind w:hanging="283" w:start="709"/>
        <w:jc w:val="start"/>
        <w:rPr/>
      </w:pPr>
      <w:r>
        <w:rPr>
          <w:b/>
        </w:rPr>
        <w:t>Worked example — Apple:</w:t>
      </w:r>
      <w:r>
        <w:rPr/>
        <w:t xml:space="preserve"> clear uptrend on daily candles (50 MA above 150 MA, both sloping up, 200 MA sloping up). Entries taken on each wave down into a moving average; when it broke the 50 MA and fell to the 200 MA, that was the second tranche.</w:t>
      </w:r>
    </w:p>
    <w:p>
      <w:pPr>
        <w:pStyle w:val="Heading5"/>
        <w:numPr>
          <w:ilvl w:val="0"/>
          <w:numId w:val="0"/>
        </w:numPr>
        <w:bidi w:val="0"/>
        <w:ind w:hanging="0" w:start="0"/>
        <w:jc w:val="start"/>
        <w:rPr/>
      </w:pPr>
      <w:r>
        <w:rPr/>
        <w:t>Scenario B — Buy at the SUPPORT of a CONSOLIDATION (sideways)</w:t>
      </w:r>
    </w:p>
    <w:p>
      <w:pPr>
        <w:pStyle w:val="BodyText"/>
        <w:numPr>
          <w:ilvl w:val="0"/>
          <w:numId w:val="420"/>
        </w:numPr>
        <w:tabs>
          <w:tab w:val="clear" w:pos="709"/>
          <w:tab w:val="left" w:pos="709" w:leader="none"/>
        </w:tabs>
        <w:bidi w:val="0"/>
        <w:ind w:hanging="283" w:start="709"/>
        <w:jc w:val="start"/>
        <w:rPr/>
      </w:pPr>
      <w:r>
        <w:rPr/>
        <w:t xml:space="preserve">⚠️ </w:t>
      </w:r>
      <w:r>
        <w:rPr>
          <w:b/>
        </w:rPr>
        <w:t>"In a consolidation, the moving averages are USELESS. Ignore the moving averages, they tend to be criss-crossing."</w:t>
      </w:r>
      <w:r>
        <w:rPr/>
        <w:t xml:space="preserve"> MAs only work in a clear uptrend (sloping up = support) or clear downtrend (sloping down = resistance).</w:t>
      </w:r>
    </w:p>
    <w:p>
      <w:pPr>
        <w:pStyle w:val="BodyText"/>
        <w:numPr>
          <w:ilvl w:val="0"/>
          <w:numId w:val="420"/>
        </w:numPr>
        <w:tabs>
          <w:tab w:val="clear" w:pos="709"/>
          <w:tab w:val="left" w:pos="709" w:leader="none"/>
        </w:tabs>
        <w:bidi w:val="0"/>
        <w:ind w:hanging="283" w:start="709"/>
        <w:jc w:val="start"/>
        <w:rPr/>
      </w:pPr>
      <w:r>
        <w:rPr>
          <w:b/>
        </w:rPr>
        <w:t>Instead: draw horizontal support and resistance levels yourself</w:t>
      </w:r>
      <w:r>
        <w:rPr/>
        <w:t xml:space="preserve"> from the price pattern.</w:t>
      </w:r>
    </w:p>
    <w:p>
      <w:pPr>
        <w:pStyle w:val="BodyText"/>
        <w:numPr>
          <w:ilvl w:val="0"/>
          <w:numId w:val="420"/>
        </w:numPr>
        <w:tabs>
          <w:tab w:val="clear" w:pos="709"/>
          <w:tab w:val="left" w:pos="709" w:leader="none"/>
        </w:tabs>
        <w:bidi w:val="0"/>
        <w:ind w:hanging="283" w:start="709"/>
        <w:jc w:val="start"/>
        <w:rPr/>
      </w:pPr>
      <w:r>
        <w:rPr/>
        <w:t>Every time price drops near the drawn support → add a tranche.</w:t>
      </w:r>
    </w:p>
    <w:p>
      <w:pPr>
        <w:pStyle w:val="BodyText"/>
        <w:numPr>
          <w:ilvl w:val="0"/>
          <w:numId w:val="420"/>
        </w:numPr>
        <w:tabs>
          <w:tab w:val="clear" w:pos="709"/>
          <w:tab w:val="left" w:pos="709" w:leader="none"/>
        </w:tabs>
        <w:bidi w:val="0"/>
        <w:ind w:hanging="283" w:start="709"/>
        <w:jc w:val="start"/>
        <w:rPr/>
      </w:pPr>
      <w:r>
        <w:rPr>
          <w:i/>
        </w:rPr>
        <w:t>"Whenever it goes into consolidation, eventually it will break out into a new uptrend. So you want to accumulate during this period of consolidation."</w:t>
      </w:r>
    </w:p>
    <w:p>
      <w:pPr>
        <w:pStyle w:val="BodyText"/>
        <w:numPr>
          <w:ilvl w:val="0"/>
          <w:numId w:val="420"/>
        </w:numPr>
        <w:tabs>
          <w:tab w:val="clear" w:pos="709"/>
          <w:tab w:val="left" w:pos="709" w:leader="none"/>
        </w:tabs>
        <w:bidi w:val="0"/>
        <w:ind w:hanging="283" w:start="709"/>
        <w:jc w:val="start"/>
        <w:rPr/>
      </w:pPr>
      <w:r>
        <w:rPr>
          <w:b/>
        </w:rPr>
        <w:t>Worked example — Boeing:</w:t>
      </w:r>
      <w:r>
        <w:rPr/>
        <w:t xml:space="preserve"> sideways consolidation with clear resistance at </w:t>
      </w:r>
      <w:r>
        <w:rPr>
          <w:b/>
        </w:rPr>
        <w:t>375</w:t>
      </w:r>
      <w:r>
        <w:rPr/>
        <w:t xml:space="preserve"> and support at </w:t>
      </w:r>
      <w:r>
        <w:rPr>
          <w:b/>
        </w:rPr>
        <w:t>326</w:t>
      </w:r>
      <w:r>
        <w:rPr/>
        <w:t xml:space="preserve"> (as spoken in the transcript: "$3.75" / "$3.26"). Buy each time price drops near the support.</w:t>
      </w:r>
    </w:p>
    <w:p>
      <w:pPr>
        <w:pStyle w:val="BodyText"/>
        <w:numPr>
          <w:ilvl w:val="0"/>
          <w:numId w:val="420"/>
        </w:numPr>
        <w:tabs>
          <w:tab w:val="clear" w:pos="709"/>
          <w:tab w:val="left" w:pos="709" w:leader="none"/>
        </w:tabs>
        <w:bidi w:val="0"/>
        <w:ind w:hanging="283" w:start="709"/>
        <w:jc w:val="start"/>
        <w:rPr/>
      </w:pPr>
      <w:r>
        <w:rPr>
          <w:b/>
        </w:rPr>
        <w:t>Worked example — TSM (TSMC):</w:t>
      </w:r>
      <w:r>
        <w:rPr/>
        <w:t xml:space="preserve"> consolidated sideways for about a year after a strong uptrend. Adam identified the support and </w:t>
      </w:r>
      <w:r>
        <w:rPr>
          <w:b/>
        </w:rPr>
        <w:t>added shares every time price came near ~108</w:t>
      </w:r>
      <w:r>
        <w:rPr/>
        <w:t>, repeatedly through the year; the stock has since broken out of the consolidation resistance into a new uptrend.</w:t>
      </w:r>
    </w:p>
    <w:p>
      <w:pPr>
        <w:pStyle w:val="BodyText"/>
        <w:numPr>
          <w:ilvl w:val="0"/>
          <w:numId w:val="420"/>
        </w:numPr>
        <w:tabs>
          <w:tab w:val="clear" w:pos="709"/>
          <w:tab w:val="left" w:pos="709" w:leader="none"/>
        </w:tabs>
        <w:bidi w:val="0"/>
        <w:ind w:hanging="283" w:start="709"/>
        <w:jc w:val="start"/>
        <w:rPr/>
      </w:pPr>
      <w:r>
        <w:rPr>
          <w:b/>
        </w:rPr>
        <w:t>Worked example — Amazon:</w:t>
      </w:r>
      <w:r>
        <w:rPr/>
        <w:t xml:space="preserve"> noted as currently in a sideways consolidation pattern.</w:t>
      </w:r>
    </w:p>
    <w:p>
      <w:pPr>
        <w:pStyle w:val="Heading5"/>
        <w:numPr>
          <w:ilvl w:val="0"/>
          <w:numId w:val="0"/>
        </w:numPr>
        <w:bidi w:val="0"/>
        <w:ind w:hanging="0" w:start="0"/>
        <w:jc w:val="start"/>
        <w:rPr/>
      </w:pPr>
      <w:r>
        <w:rPr/>
        <w:t>Scenario C — Buy the REVERSAL of a DOWNTREND into a new uptrend</w:t>
      </w:r>
    </w:p>
    <w:p>
      <w:pPr>
        <w:pStyle w:val="BodyText"/>
        <w:numPr>
          <w:ilvl w:val="0"/>
          <w:numId w:val="421"/>
        </w:numPr>
        <w:tabs>
          <w:tab w:val="clear" w:pos="709"/>
          <w:tab w:val="left" w:pos="709" w:leader="none"/>
        </w:tabs>
        <w:bidi w:val="0"/>
        <w:ind w:hanging="283" w:start="709"/>
        <w:jc w:val="start"/>
        <w:rPr/>
      </w:pPr>
      <w:r>
        <w:rPr>
          <w:b/>
        </w:rPr>
        <w:t>Downtrend definition:</w:t>
      </w:r>
      <w:r>
        <w:rPr/>
        <w:t xml:space="preserve"> </w:t>
      </w:r>
      <w:r>
        <w:rPr>
          <w:b/>
        </w:rPr>
        <w:t>lower highs and lower lows</w:t>
      </w:r>
      <w:r>
        <w:rPr/>
        <w:t xml:space="preserve">; </w:t>
      </w:r>
      <w:r>
        <w:rPr>
          <w:b/>
        </w:rPr>
        <w:t>50 MA below the 150 MA</w:t>
      </w:r>
      <w:r>
        <w:rPr/>
        <w:t xml:space="preserve"> and sloping down; </w:t>
      </w:r>
      <w:r>
        <w:rPr>
          <w:b/>
        </w:rPr>
        <w:t>price below the 200 MA</w:t>
      </w:r>
      <w:r>
        <w:rPr/>
        <w:t>, sloping down.</w:t>
      </w:r>
    </w:p>
    <w:p>
      <w:pPr>
        <w:pStyle w:val="BodyText"/>
        <w:numPr>
          <w:ilvl w:val="0"/>
          <w:numId w:val="421"/>
        </w:numPr>
        <w:tabs>
          <w:tab w:val="clear" w:pos="709"/>
          <w:tab w:val="left" w:pos="709" w:leader="none"/>
        </w:tabs>
        <w:bidi w:val="0"/>
        <w:spacing w:before="0" w:after="0"/>
        <w:ind w:hanging="283" w:start="709"/>
        <w:jc w:val="start"/>
        <w:rPr/>
      </w:pPr>
      <w:r>
        <w:rPr>
          <w:b/>
        </w:rPr>
        <w:t>Standard trigger — wait for confirmed trend change:</w:t>
      </w:r>
    </w:p>
    <w:p>
      <w:pPr>
        <w:pStyle w:val="BodyText"/>
        <w:numPr>
          <w:ilvl w:val="1"/>
          <w:numId w:val="421"/>
        </w:numPr>
        <w:tabs>
          <w:tab w:val="clear" w:pos="709"/>
          <w:tab w:val="left" w:pos="1418" w:leader="none"/>
        </w:tabs>
        <w:bidi w:val="0"/>
        <w:ind w:hanging="283" w:start="1418"/>
        <w:jc w:val="start"/>
        <w:rPr/>
      </w:pPr>
      <w:r>
        <w:rPr>
          <w:b/>
        </w:rPr>
        <w:t>50 MA (blue) crosses above the 150 MA (green)</w:t>
      </w:r>
      <w:r>
        <w:rPr/>
        <w:t xml:space="preserve"> and both slope up, </w:t>
      </w:r>
      <w:r>
        <w:rPr>
          <w:b/>
        </w:rPr>
        <w:t>OR</w:t>
      </w:r>
    </w:p>
    <w:p>
      <w:pPr>
        <w:pStyle w:val="BodyText"/>
        <w:numPr>
          <w:ilvl w:val="1"/>
          <w:numId w:val="421"/>
        </w:numPr>
        <w:tabs>
          <w:tab w:val="clear" w:pos="709"/>
          <w:tab w:val="left" w:pos="1418" w:leader="none"/>
        </w:tabs>
        <w:bidi w:val="0"/>
        <w:ind w:hanging="283" w:start="1418"/>
        <w:jc w:val="start"/>
        <w:rPr/>
      </w:pPr>
      <w:r>
        <w:rPr>
          <w:b/>
        </w:rPr>
        <w:t>Price goes above the 200 MA (red)</w:t>
      </w:r>
      <w:r>
        <w:rPr/>
        <w:t xml:space="preserve"> and the 200 MA slopes up, </w:t>
      </w:r>
      <w:r>
        <w:rPr>
          <w:b/>
        </w:rPr>
        <w:t>OR</w:t>
      </w:r>
    </w:p>
    <w:p>
      <w:pPr>
        <w:pStyle w:val="BodyText"/>
        <w:numPr>
          <w:ilvl w:val="1"/>
          <w:numId w:val="421"/>
        </w:numPr>
        <w:tabs>
          <w:tab w:val="clear" w:pos="709"/>
          <w:tab w:val="left" w:pos="1418" w:leader="none"/>
        </w:tabs>
        <w:bidi w:val="0"/>
        <w:ind w:hanging="283" w:start="1418"/>
        <w:jc w:val="start"/>
        <w:rPr/>
      </w:pPr>
      <w:r>
        <w:rPr>
          <w:b/>
        </w:rPr>
        <w:t>Price action alone</w:t>
      </w:r>
      <w:r>
        <w:rPr/>
        <w:t xml:space="preserve">: a </w:t>
      </w:r>
      <w:r>
        <w:rPr>
          <w:b/>
        </w:rPr>
        <w:t>higher high AND a higher low</w:t>
      </w:r>
      <w:r>
        <w:rPr/>
        <w:t xml:space="preserve"> appear.</w:t>
      </w:r>
    </w:p>
    <w:p>
      <w:pPr>
        <w:pStyle w:val="BodyText"/>
        <w:numPr>
          <w:ilvl w:val="0"/>
          <w:numId w:val="421"/>
        </w:numPr>
        <w:tabs>
          <w:tab w:val="clear" w:pos="709"/>
          <w:tab w:val="left" w:pos="709" w:leader="none"/>
        </w:tabs>
        <w:bidi w:val="0"/>
        <w:ind w:hanging="283" w:start="709"/>
        <w:jc w:val="start"/>
        <w:rPr/>
      </w:pPr>
      <w:r>
        <w:rPr>
          <w:b/>
        </w:rPr>
        <w:t>Trade-off:</w:t>
      </w:r>
      <w:r>
        <w:rPr/>
        <w:t xml:space="preserve"> waiting for confirmation means </w:t>
      </w:r>
      <w:r>
        <w:rPr>
          <w:b/>
        </w:rPr>
        <w:t>you buy higher</w:t>
      </w:r>
      <w:r>
        <w:rPr/>
        <w:t xml:space="preserve"> than if you had bought during the downtrend. In one example, waiting for the 50/150 cross meant buying around </w:t>
      </w:r>
      <w:r>
        <w:rPr>
          <w:b/>
        </w:rPr>
        <w:t>46</w:t>
      </w:r>
      <w:r>
        <w:rPr/>
        <w:t xml:space="preserve"> versus a much lower current price.</w:t>
      </w:r>
    </w:p>
    <w:p>
      <w:pPr>
        <w:pStyle w:val="BodyText"/>
        <w:numPr>
          <w:ilvl w:val="0"/>
          <w:numId w:val="421"/>
        </w:numPr>
        <w:tabs>
          <w:tab w:val="clear" w:pos="709"/>
          <w:tab w:val="left" w:pos="709" w:leader="none"/>
        </w:tabs>
        <w:bidi w:val="0"/>
        <w:ind w:hanging="283" w:start="709"/>
        <w:jc w:val="start"/>
        <w:rPr/>
      </w:pPr>
      <w:r>
        <w:rPr>
          <w:b/>
        </w:rPr>
        <w:t>Pre-emptive entry (optional, allowed for fundamentally good businesses):</w:t>
      </w:r>
      <w:r>
        <w:rPr/>
        <w:t xml:space="preserve"> you may enter </w:t>
      </w:r>
      <w:r>
        <w:rPr>
          <w:b/>
        </w:rPr>
        <w:t>before</w:t>
      </w:r>
      <w:r>
        <w:rPr/>
        <w:t xml:space="preserve"> the confirmed trend change as soon as you see </w:t>
      </w:r>
      <w:r>
        <w:rPr>
          <w:b/>
        </w:rPr>
        <w:t>higher highs and higher lows in the price action</w:t>
      </w:r>
      <w:r>
        <w:rPr/>
        <w:t xml:space="preserve">, </w:t>
      </w:r>
      <w:r>
        <w:rPr>
          <w:i/>
        </w:rPr>
        <w:t>"especially the moment it crosses above the 50 moving average, the blue line, and the blue line is kind of flattening — that could warrant an entry."</w:t>
      </w:r>
    </w:p>
    <w:p>
      <w:pPr>
        <w:pStyle w:val="BodyText"/>
        <w:numPr>
          <w:ilvl w:val="0"/>
          <w:numId w:val="421"/>
        </w:numPr>
        <w:tabs>
          <w:tab w:val="clear" w:pos="709"/>
          <w:tab w:val="left" w:pos="709" w:leader="none"/>
        </w:tabs>
        <w:bidi w:val="0"/>
        <w:ind w:hanging="283" w:start="709"/>
        <w:jc w:val="start"/>
        <w:rPr/>
      </w:pPr>
      <w:r>
        <w:rPr/>
        <w:t xml:space="preserve">Justification for entering early: </w:t>
      </w:r>
      <w:r>
        <w:rPr>
          <w:i/>
        </w:rPr>
        <w:t>"when you're buying good companies they will go up eventually… if you take a one year, three or five year view they will be a lot higher."</w:t>
      </w:r>
    </w:p>
    <w:p>
      <w:pPr>
        <w:pStyle w:val="Heading4"/>
        <w:numPr>
          <w:ilvl w:val="0"/>
          <w:numId w:val="0"/>
        </w:numPr>
        <w:bidi w:val="0"/>
        <w:ind w:hanging="0" w:start="0"/>
        <w:jc w:val="start"/>
        <w:rPr/>
      </w:pPr>
      <w:r>
        <w:rPr/>
        <w:t>Buying INTO a downtrend — the special-circumstances rule</w:t>
      </w:r>
    </w:p>
    <w:p>
      <w:pPr>
        <w:pStyle w:val="BodyText"/>
        <w:bidi w:val="0"/>
        <w:jc w:val="start"/>
        <w:rPr/>
      </w:pPr>
      <w:r>
        <w:rPr/>
        <w:t xml:space="preserve">Adam will add shares while the </w:t>
      </w:r>
      <w:r>
        <w:rPr>
          <w:b/>
        </w:rPr>
        <w:t>daily</w:t>
      </w:r>
      <w:r>
        <w:rPr/>
        <w:t xml:space="preserve"> timeframe is still in a downtrend </w:t>
      </w:r>
      <w:r>
        <w:rPr>
          <w:b/>
        </w:rPr>
        <w:t>only if BOTH conditions are met</w:t>
      </w:r>
      <w:r>
        <w:rPr/>
        <w:t>:</w:t>
      </w:r>
    </w:p>
    <w:p>
      <w:pPr>
        <w:pStyle w:val="BodyText"/>
        <w:numPr>
          <w:ilvl w:val="0"/>
          <w:numId w:val="422"/>
        </w:numPr>
        <w:tabs>
          <w:tab w:val="clear" w:pos="709"/>
          <w:tab w:val="left" w:pos="709" w:leader="none"/>
        </w:tabs>
        <w:bidi w:val="0"/>
        <w:ind w:hanging="283" w:start="709"/>
        <w:jc w:val="start"/>
        <w:rPr/>
      </w:pPr>
      <w:sdt>
        <w:sdtPr>
          <w:id w:val="1564094881"/>
          <w14:checkbox>
            <w14:checked w14:val="0"/>
            <w14:checkedState w14:val="2612"/>
            <w14:uncheckedState w14:val="2610"/>
          </w14:checkbox>
        </w:sdtPr>
        <w:sdtContent>
          <w:r>
            <w:rPr/>
          </w:r>
          <w:r>
            <w:rPr/>
            <w:t>☐</w:t>
          </w:r>
        </w:sdtContent>
      </w:sdt>
      <w:r>
        <w:rPr/>
        <w:t xml:space="preserve"> </w:t>
      </w:r>
      <w:r>
        <w:rPr>
          <w:b/>
        </w:rPr>
        <w:t>Price is at the LOW of the downtrend, after a sharp ~90-degree drop.</w:t>
      </w:r>
      <w:r>
        <w:rPr/>
        <w:t xml:space="preserve"> </w:t>
      </w:r>
      <w:r>
        <w:rPr>
          <w:i/>
        </w:rPr>
        <w:t>"When I see a sharp drop, usually after a sharp drop it tends to reverse back up. Not always, but pretty high probability."</w:t>
      </w:r>
    </w:p>
    <w:p>
      <w:pPr>
        <w:pStyle w:val="BodyText"/>
        <w:numPr>
          <w:ilvl w:val="0"/>
          <w:numId w:val="422"/>
        </w:numPr>
        <w:tabs>
          <w:tab w:val="clear" w:pos="709"/>
          <w:tab w:val="left" w:pos="709" w:leader="none"/>
        </w:tabs>
        <w:bidi w:val="0"/>
        <w:ind w:hanging="283" w:start="709"/>
        <w:jc w:val="start"/>
        <w:rPr/>
      </w:pPr>
      <w:sdt>
        <w:sdtPr>
          <w:id w:val="1701198208"/>
          <w14:checkbox>
            <w14:checked w14:val="0"/>
            <w14:checkedState w14:val="2612"/>
            <w14:uncheckedState w14:val="2610"/>
          </w14:checkbox>
        </w:sdtPr>
        <w:sdtContent>
          <w:r>
            <w:rPr/>
          </w:r>
          <w:r>
            <w:rPr/>
            <w:t>☐</w:t>
          </w:r>
        </w:sdtContent>
      </w:sdt>
      <w:r>
        <w:rPr/>
        <w:t xml:space="preserve"> </w:t>
      </w:r>
      <w:r>
        <w:rPr>
          <w:b/>
        </w:rPr>
        <w:t>Price is at a STRONG SUPPORT on a HIGHER timeframe</w:t>
      </w:r>
      <w:r>
        <w:rPr/>
        <w:t xml:space="preserve"> — i.e. the </w:t>
      </w:r>
      <w:r>
        <w:rPr>
          <w:b/>
        </w:rPr>
        <w:t>weekly</w:t>
      </w:r>
      <w:r>
        <w:rPr/>
        <w:t xml:space="preserve"> or </w:t>
      </w:r>
      <w:r>
        <w:rPr>
          <w:b/>
        </w:rPr>
        <w:t>monthly</w:t>
      </w:r>
      <w:r>
        <w:rPr/>
        <w:t xml:space="preserve"> chart.</w:t>
      </w:r>
    </w:p>
    <w:p>
      <w:pPr>
        <w:pStyle w:val="BodyText"/>
        <w:bidi w:val="0"/>
        <w:jc w:val="start"/>
        <w:rPr/>
      </w:pPr>
      <w:r>
        <w:rPr>
          <w:b/>
        </w:rPr>
        <w:t>Worked example — FICO (Fair Isaac):</w:t>
      </w:r>
      <w:r>
        <w:rPr/>
        <w:t xml:space="preserve"> daily candles clearly in a downtrend (wave up / wave down, lower highs and lows) with a </w:t>
      </w:r>
      <w:r>
        <w:rPr>
          <w:b/>
        </w:rPr>
        <w:t>sharp drop to the low of the downtrend</w:t>
      </w:r>
      <w:r>
        <w:rPr/>
        <w:t xml:space="preserve">. Zooming out to </w:t>
      </w:r>
      <w:r>
        <w:rPr>
          <w:b/>
        </w:rPr>
        <w:t>weekly candles</w:t>
      </w:r>
      <w:r>
        <w:rPr/>
        <w:t xml:space="preserve"> showed a </w:t>
      </w:r>
      <w:r>
        <w:rPr>
          <w:b/>
        </w:rPr>
        <w:t>strong historical support at the 200 MA (red line)</w:t>
      </w:r>
      <w:r>
        <w:rPr/>
        <w:t xml:space="preserve"> — price had previously plunged into that line and bounced. That combination triggered the buy, and the stock bounced.</w:t>
      </w:r>
    </w:p>
    <w:p>
      <w:pPr>
        <w:pStyle w:val="BodyText"/>
        <w:bidi w:val="0"/>
        <w:jc w:val="start"/>
        <w:rPr/>
      </w:pPr>
      <w:r>
        <w:rPr>
          <w:b/>
        </w:rPr>
        <w:t>Worked example — MercadoLibre (MELI):</w:t>
      </w:r>
      <w:r>
        <w:rPr/>
        <w:t xml:space="preserve"> daily timeframe in a clear downtrend with moving averages sloping down, plus a </w:t>
      </w:r>
      <w:r>
        <w:rPr>
          <w:b/>
        </w:rPr>
        <w:t>sharp drop</w:t>
      </w:r>
      <w:r>
        <w:rPr/>
        <w:t xml:space="preserve">. Zooming out to </w:t>
      </w:r>
      <w:r>
        <w:rPr>
          <w:b/>
        </w:rPr>
        <w:t>monthly candles</w:t>
      </w:r>
      <w:r>
        <w:rPr/>
        <w:t xml:space="preserve"> showed the </w:t>
      </w:r>
      <w:r>
        <w:rPr>
          <w:b/>
        </w:rPr>
        <w:t>40 EMA (blue line)</w:t>
      </w:r>
      <w:r>
        <w:rPr/>
        <w:t xml:space="preserve"> had </w:t>
      </w:r>
      <w:r>
        <w:rPr>
          <w:b/>
        </w:rPr>
        <w:t>historically been a strong support</w:t>
      </w:r>
      <w:r>
        <w:rPr/>
        <w:t xml:space="preserve"> — wave up, wave down, hit the blue line and bounce, repeatedly. That gave the confidence to add shares before the bounce.</w:t>
      </w:r>
    </w:p>
    <w:p>
      <w:pPr>
        <w:pStyle w:val="Heading4"/>
        <w:bidi w:val="0"/>
        <w:ind w:hanging="0" w:start="0"/>
        <w:jc w:val="start"/>
        <w:rPr/>
      </w:pPr>
      <w:r>
        <w:rPr/>
        <w:t>Multi-timeframe support mapping — use ALL THREE timeframes</w:t>
      </w:r>
    </w:p>
    <w:p>
      <w:pPr>
        <w:pStyle w:val="BlockQuotation"/>
        <w:bidi w:val="0"/>
        <w:jc w:val="start"/>
        <w:rPr/>
      </w:pPr>
      <w:r>
        <w:rPr>
          <w:i/>
        </w:rPr>
        <w:t>"Which time frame should I look at? The answer is: I look at all three time frames. Because on each time frame, you will see different levels of support."</w:t>
      </w:r>
    </w:p>
    <w:p>
      <w:pPr>
        <w:pStyle w:val="BodyText"/>
        <w:bidi w:val="0"/>
        <w:jc w:val="start"/>
        <w:rPr/>
      </w:pPr>
      <w:r>
        <w:rPr>
          <w:b/>
        </w:rPr>
        <w:t>Worked example — Alphabet (GOOGL): building four buy levels</w:t>
      </w:r>
    </w:p>
    <w:tbl>
      <w:tblPr>
        <w:tblW w:w="5000" w:type="pct"/>
        <w:jc w:val="start"/>
        <w:tblInd w:w="-5" w:type="dxa"/>
        <w:tblLayout w:type="fixed"/>
        <w:tblCellMar>
          <w:top w:w="55" w:type="dxa"/>
          <w:start w:w="55" w:type="dxa"/>
          <w:bottom w:w="55" w:type="dxa"/>
          <w:end w:w="55" w:type="dxa"/>
        </w:tblCellMar>
      </w:tblPr>
      <w:tblGrid>
        <w:gridCol w:w="2409"/>
        <w:gridCol w:w="2410"/>
        <w:gridCol w:w="2409"/>
        <w:gridCol w:w="2410"/>
      </w:tblGrid>
      <w:tr>
        <w:trPr>
          <w:tblHeader w:val="true"/>
        </w:trPr>
        <w:tc>
          <w:tcPr>
            <w:tcW w:w="2409" w:type="dxa"/>
            <w:tcBorders>
              <w:top w:val="single" w:sz="4" w:space="0" w:color="000000"/>
              <w:start w:val="single" w:sz="4" w:space="0" w:color="000000"/>
              <w:bottom w:val="single" w:sz="4" w:space="0" w:color="000000"/>
            </w:tcBorders>
          </w:tcPr>
          <w:p>
            <w:pPr>
              <w:pStyle w:val="TableHeading"/>
              <w:bidi w:val="0"/>
              <w:jc w:val="start"/>
              <w:rPr/>
            </w:pPr>
            <w:r>
              <w:rPr/>
              <w:t>#</w:t>
            </w:r>
          </w:p>
        </w:tc>
        <w:tc>
          <w:tcPr>
            <w:tcW w:w="2410" w:type="dxa"/>
            <w:tcBorders>
              <w:top w:val="single" w:sz="4" w:space="0" w:color="000000"/>
              <w:start w:val="single" w:sz="4" w:space="0" w:color="000000"/>
              <w:bottom w:val="single" w:sz="4" w:space="0" w:color="000000"/>
            </w:tcBorders>
          </w:tcPr>
          <w:p>
            <w:pPr>
              <w:pStyle w:val="TableHeading"/>
              <w:bidi w:val="0"/>
              <w:jc w:val="start"/>
              <w:rPr/>
            </w:pPr>
            <w:r>
              <w:rPr/>
              <w:t>Timeframe</w:t>
            </w:r>
          </w:p>
        </w:tc>
        <w:tc>
          <w:tcPr>
            <w:tcW w:w="2409" w:type="dxa"/>
            <w:tcBorders>
              <w:top w:val="single" w:sz="4" w:space="0" w:color="000000"/>
              <w:start w:val="single" w:sz="4" w:space="0" w:color="000000"/>
              <w:bottom w:val="single" w:sz="4" w:space="0" w:color="000000"/>
            </w:tcBorders>
          </w:tcPr>
          <w:p>
            <w:pPr>
              <w:pStyle w:val="TableHeading"/>
              <w:bidi w:val="0"/>
              <w:jc w:val="start"/>
              <w:rPr/>
            </w:pPr>
            <w:r>
              <w:rPr/>
              <w:t>Support identified</w:t>
            </w:r>
          </w:p>
        </w:tc>
        <w:tc>
          <w:tcPr>
            <w:tcW w:w="2410"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Level (as quoted)</w:t>
            </w:r>
          </w:p>
        </w:tc>
      </w:tr>
      <w:tr>
        <w:trPr/>
        <w:tc>
          <w:tcPr>
            <w:tcW w:w="2409" w:type="dxa"/>
            <w:tcBorders>
              <w:start w:val="single" w:sz="4" w:space="0" w:color="000000"/>
              <w:bottom w:val="single" w:sz="4" w:space="0" w:color="000000"/>
            </w:tcBorders>
          </w:tcPr>
          <w:p>
            <w:pPr>
              <w:pStyle w:val="TableContents"/>
              <w:bidi w:val="0"/>
              <w:jc w:val="start"/>
              <w:rPr/>
            </w:pPr>
            <w:r>
              <w:rPr/>
              <w:t>1</w:t>
            </w:r>
          </w:p>
        </w:tc>
        <w:tc>
          <w:tcPr>
            <w:tcW w:w="2410" w:type="dxa"/>
            <w:tcBorders>
              <w:start w:val="single" w:sz="4" w:space="0" w:color="000000"/>
              <w:bottom w:val="single" w:sz="4" w:space="0" w:color="000000"/>
            </w:tcBorders>
          </w:tcPr>
          <w:p>
            <w:pPr>
              <w:pStyle w:val="TableContents"/>
              <w:bidi w:val="0"/>
              <w:jc w:val="start"/>
              <w:rPr/>
            </w:pPr>
            <w:r>
              <w:rPr>
                <w:b/>
              </w:rPr>
              <w:t>Daily</w:t>
            </w:r>
          </w:p>
        </w:tc>
        <w:tc>
          <w:tcPr>
            <w:tcW w:w="2409" w:type="dxa"/>
            <w:tcBorders>
              <w:start w:val="single" w:sz="4" w:space="0" w:color="000000"/>
              <w:bottom w:val="single" w:sz="4" w:space="0" w:color="000000"/>
            </w:tcBorders>
          </w:tcPr>
          <w:p>
            <w:pPr>
              <w:pStyle w:val="TableContents"/>
              <w:bidi w:val="0"/>
              <w:jc w:val="start"/>
              <w:rPr/>
            </w:pPr>
            <w:r>
              <w:rPr>
                <w:b/>
              </w:rPr>
              <w:t>100 MA (orange line)</w:t>
            </w:r>
            <w:r>
              <w:rPr/>
              <w:t xml:space="preserve"> — recent retracements repeatedly bounced off it</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b/>
              </w:rPr>
              <w:t>2833</w:t>
            </w:r>
          </w:p>
        </w:tc>
      </w:tr>
      <w:tr>
        <w:trPr/>
        <w:tc>
          <w:tcPr>
            <w:tcW w:w="2409" w:type="dxa"/>
            <w:tcBorders>
              <w:start w:val="single" w:sz="4" w:space="0" w:color="000000"/>
              <w:bottom w:val="single" w:sz="4" w:space="0" w:color="000000"/>
            </w:tcBorders>
          </w:tcPr>
          <w:p>
            <w:pPr>
              <w:pStyle w:val="TableContents"/>
              <w:bidi w:val="0"/>
              <w:jc w:val="start"/>
              <w:rPr/>
            </w:pPr>
            <w:r>
              <w:rPr/>
              <w:t>2</w:t>
            </w:r>
          </w:p>
        </w:tc>
        <w:tc>
          <w:tcPr>
            <w:tcW w:w="2410" w:type="dxa"/>
            <w:tcBorders>
              <w:start w:val="single" w:sz="4" w:space="0" w:color="000000"/>
              <w:bottom w:val="single" w:sz="4" w:space="0" w:color="000000"/>
            </w:tcBorders>
          </w:tcPr>
          <w:p>
            <w:pPr>
              <w:pStyle w:val="TableContents"/>
              <w:bidi w:val="0"/>
              <w:jc w:val="start"/>
              <w:rPr/>
            </w:pPr>
            <w:r>
              <w:rPr>
                <w:b/>
              </w:rPr>
              <w:t>Daily</w:t>
            </w:r>
          </w:p>
        </w:tc>
        <w:tc>
          <w:tcPr>
            <w:tcW w:w="2409" w:type="dxa"/>
            <w:tcBorders>
              <w:start w:val="single" w:sz="4" w:space="0" w:color="000000"/>
              <w:bottom w:val="single" w:sz="4" w:space="0" w:color="000000"/>
            </w:tcBorders>
          </w:tcPr>
          <w:p>
            <w:pPr>
              <w:pStyle w:val="TableContents"/>
              <w:bidi w:val="0"/>
              <w:jc w:val="start"/>
              <w:rPr/>
            </w:pPr>
            <w:r>
              <w:rPr>
                <w:b/>
              </w:rPr>
              <w:t>Drawn horizontal support</w:t>
            </w:r>
            <w:r>
              <w:rPr/>
              <w:t xml:space="preserve"> from two previous swing lows</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b/>
              </w:rPr>
              <w:t>2670</w:t>
            </w:r>
          </w:p>
        </w:tc>
      </w:tr>
      <w:tr>
        <w:trPr/>
        <w:tc>
          <w:tcPr>
            <w:tcW w:w="2409" w:type="dxa"/>
            <w:tcBorders>
              <w:start w:val="single" w:sz="4" w:space="0" w:color="000000"/>
              <w:bottom w:val="single" w:sz="4" w:space="0" w:color="000000"/>
            </w:tcBorders>
          </w:tcPr>
          <w:p>
            <w:pPr>
              <w:pStyle w:val="TableContents"/>
              <w:bidi w:val="0"/>
              <w:jc w:val="start"/>
              <w:rPr/>
            </w:pPr>
            <w:r>
              <w:rPr/>
              <w:t>3</w:t>
            </w:r>
          </w:p>
        </w:tc>
        <w:tc>
          <w:tcPr>
            <w:tcW w:w="2410" w:type="dxa"/>
            <w:tcBorders>
              <w:start w:val="single" w:sz="4" w:space="0" w:color="000000"/>
              <w:bottom w:val="single" w:sz="4" w:space="0" w:color="000000"/>
            </w:tcBorders>
          </w:tcPr>
          <w:p>
            <w:pPr>
              <w:pStyle w:val="TableContents"/>
              <w:bidi w:val="0"/>
              <w:jc w:val="start"/>
              <w:rPr/>
            </w:pPr>
            <w:r>
              <w:rPr>
                <w:b/>
              </w:rPr>
              <w:t>Weekly</w:t>
            </w:r>
          </w:p>
        </w:tc>
        <w:tc>
          <w:tcPr>
            <w:tcW w:w="2409" w:type="dxa"/>
            <w:tcBorders>
              <w:start w:val="single" w:sz="4" w:space="0" w:color="000000"/>
              <w:bottom w:val="single" w:sz="4" w:space="0" w:color="000000"/>
            </w:tcBorders>
          </w:tcPr>
          <w:p>
            <w:pPr>
              <w:pStyle w:val="TableContents"/>
              <w:bidi w:val="0"/>
              <w:jc w:val="start"/>
              <w:rPr/>
            </w:pPr>
            <w:r>
              <w:rPr>
                <w:b/>
              </w:rPr>
              <w:t>50 MA (blue line)</w:t>
            </w:r>
            <w:r>
              <w:rPr/>
              <w:t xml:space="preserve"> — historically bounced off it</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b/>
              </w:rPr>
              <w:t>2479</w:t>
            </w:r>
          </w:p>
        </w:tc>
      </w:tr>
      <w:tr>
        <w:trPr/>
        <w:tc>
          <w:tcPr>
            <w:tcW w:w="2409" w:type="dxa"/>
            <w:tcBorders>
              <w:start w:val="single" w:sz="4" w:space="0" w:color="000000"/>
              <w:bottom w:val="single" w:sz="4" w:space="0" w:color="000000"/>
            </w:tcBorders>
          </w:tcPr>
          <w:p>
            <w:pPr>
              <w:pStyle w:val="TableContents"/>
              <w:bidi w:val="0"/>
              <w:jc w:val="start"/>
              <w:rPr/>
            </w:pPr>
            <w:r>
              <w:rPr/>
              <w:t>4</w:t>
            </w:r>
          </w:p>
        </w:tc>
        <w:tc>
          <w:tcPr>
            <w:tcW w:w="2410" w:type="dxa"/>
            <w:tcBorders>
              <w:start w:val="single" w:sz="4" w:space="0" w:color="000000"/>
              <w:bottom w:val="single" w:sz="4" w:space="0" w:color="000000"/>
            </w:tcBorders>
          </w:tcPr>
          <w:p>
            <w:pPr>
              <w:pStyle w:val="TableContents"/>
              <w:bidi w:val="0"/>
              <w:jc w:val="start"/>
              <w:rPr/>
            </w:pPr>
            <w:r>
              <w:rPr>
                <w:b/>
              </w:rPr>
              <w:t>Monthly</w:t>
            </w:r>
          </w:p>
        </w:tc>
        <w:tc>
          <w:tcPr>
            <w:tcW w:w="2409" w:type="dxa"/>
            <w:tcBorders>
              <w:start w:val="single" w:sz="4" w:space="0" w:color="000000"/>
              <w:bottom w:val="single" w:sz="4" w:space="0" w:color="000000"/>
            </w:tcBorders>
          </w:tcPr>
          <w:p>
            <w:pPr>
              <w:pStyle w:val="TableContents"/>
              <w:bidi w:val="0"/>
              <w:jc w:val="start"/>
              <w:rPr/>
            </w:pPr>
            <w:r>
              <w:rPr>
                <w:b/>
              </w:rPr>
              <w:t>20 EMA (red dotted line)</w:t>
            </w:r>
            <w:r>
              <w:rPr/>
              <w:t xml:space="preserve"> — price hits it and bounces during normal corrections</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b/>
              </w:rPr>
              <w:t>2261</w:t>
            </w:r>
          </w:p>
        </w:tc>
      </w:tr>
    </w:tbl>
    <w:p>
      <w:pPr>
        <w:pStyle w:val="BodyText"/>
        <w:bidi w:val="0"/>
        <w:jc w:val="start"/>
        <w:rPr/>
      </w:pPr>
      <w:r>
        <w:rPr/>
      </w:r>
    </w:p>
    <w:p>
      <w:pPr>
        <w:pStyle w:val="BodyText"/>
        <w:bidi w:val="0"/>
        <w:jc w:val="start"/>
        <w:rPr/>
      </w:pPr>
      <w:r>
        <w:rPr/>
        <w:t>Intrinsic value quoted as ~</w:t>
      </w:r>
      <w:r>
        <w:rPr>
          <w:b/>
        </w:rPr>
        <w:t>3008</w:t>
      </w:r>
      <w:r>
        <w:rPr/>
        <w:t xml:space="preserve"> → price is undervalued at all four levels, so all four are valid buy zones.</w:t>
      </w:r>
    </w:p>
    <w:p>
      <w:pPr>
        <w:pStyle w:val="BodyText"/>
        <w:numPr>
          <w:ilvl w:val="0"/>
          <w:numId w:val="423"/>
        </w:numPr>
        <w:tabs>
          <w:tab w:val="clear" w:pos="709"/>
          <w:tab w:val="left" w:pos="709" w:leader="none"/>
        </w:tabs>
        <w:bidi w:val="0"/>
        <w:ind w:hanging="283" w:start="709"/>
        <w:jc w:val="start"/>
        <w:rPr/>
      </w:pPr>
      <w:r>
        <w:rPr>
          <w:b/>
        </w:rPr>
        <w:t>Support can come from either a moving average OR a level you draw yourself from previous swing-low patterns.</w:t>
      </w:r>
    </w:p>
    <w:p>
      <w:pPr>
        <w:pStyle w:val="BodyText"/>
        <w:numPr>
          <w:ilvl w:val="0"/>
          <w:numId w:val="423"/>
        </w:numPr>
        <w:tabs>
          <w:tab w:val="clear" w:pos="709"/>
          <w:tab w:val="left" w:pos="709" w:leader="none"/>
        </w:tabs>
        <w:bidi w:val="0"/>
        <w:ind w:hanging="283" w:start="709"/>
        <w:jc w:val="start"/>
        <w:rPr/>
      </w:pPr>
      <w:r>
        <w:rPr>
          <w:i/>
        </w:rPr>
        <w:t>"This is a bit subjective… it really depends on you identifying what makes sense. It doesn't have to be perfect."</w:t>
      </w:r>
    </w:p>
    <w:p>
      <w:pPr>
        <w:pStyle w:val="BodyText"/>
        <w:numPr>
          <w:ilvl w:val="0"/>
          <w:numId w:val="423"/>
        </w:numPr>
        <w:tabs>
          <w:tab w:val="clear" w:pos="709"/>
          <w:tab w:val="left" w:pos="709" w:leader="none"/>
        </w:tabs>
        <w:bidi w:val="0"/>
        <w:ind w:hanging="283" w:start="709"/>
        <w:jc w:val="start"/>
        <w:rPr/>
      </w:pPr>
      <w:r>
        <w:rPr>
          <w:b/>
        </w:rPr>
        <w:t>How many levels? "Usually I draw like three or four buy levels and that's enough."</w:t>
      </w:r>
    </w:p>
    <w:p>
      <w:pPr>
        <w:pStyle w:val="Heading4"/>
        <w:numPr>
          <w:ilvl w:val="0"/>
          <w:numId w:val="0"/>
        </w:numPr>
        <w:bidi w:val="0"/>
        <w:ind w:hanging="0" w:start="0"/>
        <w:jc w:val="start"/>
        <w:rPr/>
      </w:pPr>
      <w:r>
        <w:rPr/>
        <w:t>Tranching — the position-building method</w:t>
      </w:r>
    </w:p>
    <w:p>
      <w:pPr>
        <w:pStyle w:val="BlockQuotation"/>
        <w:bidi w:val="0"/>
        <w:jc w:val="start"/>
        <w:rPr/>
      </w:pPr>
      <w:r>
        <w:rPr>
          <w:i/>
        </w:rPr>
        <w:t>"When investing in a stock, I never buy a full position all at once. I spread out my purchase over three to four tranches."</w:t>
      </w:r>
    </w:p>
    <w:p>
      <w:pPr>
        <w:pStyle w:val="BodyText"/>
        <w:numPr>
          <w:ilvl w:val="0"/>
          <w:numId w:val="424"/>
        </w:numPr>
        <w:tabs>
          <w:tab w:val="clear" w:pos="709"/>
          <w:tab w:val="left" w:pos="709" w:leader="none"/>
        </w:tabs>
        <w:bidi w:val="0"/>
        <w:ind w:hanging="283" w:start="709"/>
        <w:jc w:val="start"/>
        <w:rPr/>
      </w:pPr>
      <w:r>
        <w:rPr/>
        <w:t xml:space="preserve">Decide the </w:t>
      </w:r>
      <w:r>
        <w:rPr>
          <w:b/>
        </w:rPr>
        <w:t>full intended allocation</w:t>
      </w:r>
      <w:r>
        <w:rPr/>
        <w:t xml:space="preserve"> first (e.g. 100 shares this year).</w:t>
      </w:r>
    </w:p>
    <w:p>
      <w:pPr>
        <w:pStyle w:val="BodyText"/>
        <w:numPr>
          <w:ilvl w:val="0"/>
          <w:numId w:val="424"/>
        </w:numPr>
        <w:tabs>
          <w:tab w:val="clear" w:pos="709"/>
          <w:tab w:val="left" w:pos="709" w:leader="none"/>
        </w:tabs>
        <w:bidi w:val="0"/>
        <w:ind w:hanging="283" w:start="709"/>
        <w:jc w:val="start"/>
        <w:rPr/>
      </w:pPr>
      <w:r>
        <w:rPr/>
        <w:t xml:space="preserve">Divide into </w:t>
      </w:r>
      <w:r>
        <w:rPr>
          <w:b/>
        </w:rPr>
        <w:t>3 or 4 tranches</w:t>
      </w:r>
      <w:r>
        <w:rPr/>
        <w:t xml:space="preserve"> (e.g. </w:t>
      </w:r>
      <w:r>
        <w:rPr>
          <w:b/>
        </w:rPr>
        <w:t>25 shares per level</w:t>
      </w:r>
      <w:r>
        <w:rPr/>
        <w:t>, or 33 shares if using thirds).</w:t>
      </w:r>
    </w:p>
    <w:p>
      <w:pPr>
        <w:pStyle w:val="BodyText"/>
        <w:numPr>
          <w:ilvl w:val="0"/>
          <w:numId w:val="424"/>
        </w:numPr>
        <w:tabs>
          <w:tab w:val="clear" w:pos="709"/>
          <w:tab w:val="left" w:pos="709" w:leader="none"/>
        </w:tabs>
        <w:bidi w:val="0"/>
        <w:ind w:hanging="283" w:start="709"/>
        <w:jc w:val="start"/>
        <w:rPr/>
      </w:pPr>
      <w:r>
        <w:rPr>
          <w:b/>
        </w:rPr>
        <w:t>Buy one tranche each time price hits a support level.</w:t>
      </w:r>
      <w:r>
        <w:rPr/>
        <w:t xml:space="preserve"> If it breaks that level and hits the next one down, buy the next tranche. </w:t>
      </w:r>
      <w:r>
        <w:rPr>
          <w:i/>
        </w:rPr>
        <w:t>"The lower it goes, the more you buy."</w:t>
      </w:r>
    </w:p>
    <w:p>
      <w:pPr>
        <w:pStyle w:val="BodyText"/>
        <w:numPr>
          <w:ilvl w:val="0"/>
          <w:numId w:val="424"/>
        </w:numPr>
        <w:tabs>
          <w:tab w:val="clear" w:pos="709"/>
          <w:tab w:val="left" w:pos="709" w:leader="none"/>
        </w:tabs>
        <w:bidi w:val="0"/>
        <w:ind w:hanging="283" w:start="709"/>
        <w:jc w:val="start"/>
        <w:rPr/>
      </w:pPr>
      <w:r>
        <w:rPr>
          <w:b/>
        </w:rPr>
        <w:t>STOP when the full allocation is bought.</w:t>
      </w:r>
      <w:r>
        <w:rPr/>
        <w:t xml:space="preserve"> </w:t>
      </w:r>
      <w:r>
        <w:rPr>
          <w:i/>
        </w:rPr>
        <w:t>"You buy until you have bought your entire allocation and that's it, leave it, don't add anymore."</w:t>
      </w:r>
    </w:p>
    <w:p>
      <w:pPr>
        <w:pStyle w:val="BodyText"/>
        <w:numPr>
          <w:ilvl w:val="0"/>
          <w:numId w:val="424"/>
        </w:numPr>
        <w:tabs>
          <w:tab w:val="clear" w:pos="709"/>
          <w:tab w:val="left" w:pos="709" w:leader="none"/>
        </w:tabs>
        <w:bidi w:val="0"/>
        <w:ind w:hanging="283" w:start="709"/>
        <w:jc w:val="start"/>
        <w:rPr/>
      </w:pPr>
      <w:r>
        <w:rPr/>
        <w:t xml:space="preserve">If price hits only level 1 and then runs up, you simply hold a quarter position — </w:t>
      </w:r>
      <w:r>
        <w:rPr>
          <w:i/>
        </w:rPr>
        <w:t>"don't worry, eventually it will come back down again and then you take your next quarter position."</w:t>
      </w:r>
    </w:p>
    <w:p>
      <w:pPr>
        <w:pStyle w:val="BodyText"/>
        <w:numPr>
          <w:ilvl w:val="0"/>
          <w:numId w:val="424"/>
        </w:numPr>
        <w:tabs>
          <w:tab w:val="clear" w:pos="709"/>
          <w:tab w:val="left" w:pos="709" w:leader="none"/>
        </w:tabs>
        <w:bidi w:val="0"/>
        <w:ind w:hanging="283" w:start="709"/>
        <w:jc w:val="start"/>
        <w:rPr/>
      </w:pPr>
      <w:r>
        <w:rPr/>
        <w:t xml:space="preserve">Result: </w:t>
      </w:r>
      <w:r>
        <w:rPr>
          <w:i/>
        </w:rPr>
        <w:t>"You may not pay the exact bottom price, but you get a very good average."</w:t>
      </w:r>
    </w:p>
    <w:p>
      <w:pPr>
        <w:pStyle w:val="Heading4"/>
        <w:numPr>
          <w:ilvl w:val="0"/>
          <w:numId w:val="0"/>
        </w:numPr>
        <w:bidi w:val="0"/>
        <w:ind w:hanging="0" w:start="0"/>
        <w:jc w:val="start"/>
        <w:rPr/>
      </w:pPr>
      <w:r>
        <w:rPr/>
        <w:t>Averaging DOWN vs averaging UP</w:t>
      </w:r>
    </w:p>
    <w:tbl>
      <w:tblPr>
        <w:tblW w:w="5000" w:type="pct"/>
        <w:jc w:val="start"/>
        <w:tblInd w:w="-5" w:type="dxa"/>
        <w:tblLayout w:type="fixed"/>
        <w:tblCellMar>
          <w:top w:w="55" w:type="dxa"/>
          <w:start w:w="55" w:type="dxa"/>
          <w:bottom w:w="55" w:type="dxa"/>
          <w:end w:w="55" w:type="dxa"/>
        </w:tblCellMar>
      </w:tblPr>
      <w:tblGrid>
        <w:gridCol w:w="3212"/>
        <w:gridCol w:w="3213"/>
        <w:gridCol w:w="3213"/>
      </w:tblGrid>
      <w:tr>
        <w:trPr>
          <w:tblHeader w:val="true"/>
        </w:trPr>
        <w:tc>
          <w:tcPr>
            <w:tcW w:w="3212" w:type="dxa"/>
            <w:tcBorders>
              <w:top w:val="single" w:sz="4" w:space="0" w:color="000000"/>
              <w:start w:val="single" w:sz="4" w:space="0" w:color="000000"/>
              <w:bottom w:val="single" w:sz="4" w:space="0" w:color="000000"/>
            </w:tcBorders>
          </w:tcPr>
          <w:p>
            <w:pPr>
              <w:pStyle w:val="TableHeading"/>
              <w:bidi w:val="0"/>
              <w:jc w:val="start"/>
              <w:rPr/>
            </w:pPr>
            <w:r>
              <w:rPr/>
            </w:r>
          </w:p>
        </w:tc>
        <w:tc>
          <w:tcPr>
            <w:tcW w:w="3213" w:type="dxa"/>
            <w:tcBorders>
              <w:top w:val="single" w:sz="4" w:space="0" w:color="000000"/>
              <w:start w:val="single" w:sz="4" w:space="0" w:color="000000"/>
              <w:bottom w:val="single" w:sz="4" w:space="0" w:color="000000"/>
            </w:tcBorders>
          </w:tcPr>
          <w:p>
            <w:pPr>
              <w:pStyle w:val="TableHeading"/>
              <w:bidi w:val="0"/>
              <w:jc w:val="start"/>
              <w:rPr/>
            </w:pPr>
            <w:r>
              <w:rPr/>
              <w:t>Definition</w:t>
            </w:r>
          </w:p>
        </w:tc>
        <w:tc>
          <w:tcPr>
            <w:tcW w:w="3213"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Adam's verdict</w:t>
            </w:r>
          </w:p>
        </w:tc>
      </w:tr>
      <w:tr>
        <w:trPr/>
        <w:tc>
          <w:tcPr>
            <w:tcW w:w="3212" w:type="dxa"/>
            <w:tcBorders>
              <w:start w:val="single" w:sz="4" w:space="0" w:color="000000"/>
              <w:bottom w:val="single" w:sz="4" w:space="0" w:color="000000"/>
            </w:tcBorders>
          </w:tcPr>
          <w:p>
            <w:pPr>
              <w:pStyle w:val="TableContents"/>
              <w:bidi w:val="0"/>
              <w:jc w:val="start"/>
              <w:rPr/>
            </w:pPr>
            <w:r>
              <w:rPr>
                <w:b/>
              </w:rPr>
              <w:t>Averaging down</w:t>
            </w:r>
          </w:p>
        </w:tc>
        <w:tc>
          <w:tcPr>
            <w:tcW w:w="3213" w:type="dxa"/>
            <w:tcBorders>
              <w:start w:val="single" w:sz="4" w:space="0" w:color="000000"/>
              <w:bottom w:val="single" w:sz="4" w:space="0" w:color="000000"/>
            </w:tcBorders>
          </w:tcPr>
          <w:p>
            <w:pPr>
              <w:pStyle w:val="TableContents"/>
              <w:bidi w:val="0"/>
              <w:jc w:val="start"/>
              <w:rPr/>
            </w:pPr>
            <w:r>
              <w:rPr/>
              <w:t>Buying more and more as price goes lower and breaks more support levels</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b/>
              </w:rPr>
              <w:t>Better</w:t>
            </w:r>
            <w:r>
              <w:rPr/>
              <w:t xml:space="preserve"> — </w:t>
            </w:r>
            <w:r>
              <w:rPr>
                <w:i/>
              </w:rPr>
              <w:t>"you get to buy more shares at a lower price, your average cost is much lower, you make a lot more money over time."</w:t>
            </w:r>
            <w:r>
              <w:rPr/>
              <w:t xml:space="preserve"> But psychologically hard: </w:t>
            </w:r>
            <w:r>
              <w:rPr>
                <w:i/>
              </w:rPr>
              <w:t>"they see red, red, red, red, and then they freak out."</w:t>
            </w:r>
            <w:r>
              <w:rPr/>
              <w:t xml:space="preserve"> </w:t>
            </w:r>
            <w:r>
              <w:rPr>
                <w:b/>
              </w:rPr>
              <w:t>Adam's preference.</w:t>
            </w:r>
          </w:p>
        </w:tc>
      </w:tr>
      <w:tr>
        <w:trPr/>
        <w:tc>
          <w:tcPr>
            <w:tcW w:w="3212" w:type="dxa"/>
            <w:tcBorders>
              <w:start w:val="single" w:sz="4" w:space="0" w:color="000000"/>
              <w:bottom w:val="single" w:sz="4" w:space="0" w:color="000000"/>
            </w:tcBorders>
          </w:tcPr>
          <w:p>
            <w:pPr>
              <w:pStyle w:val="TableContents"/>
              <w:bidi w:val="0"/>
              <w:jc w:val="start"/>
              <w:rPr/>
            </w:pPr>
            <w:r>
              <w:rPr>
                <w:b/>
              </w:rPr>
              <w:t>Averaging up</w:t>
            </w:r>
          </w:p>
        </w:tc>
        <w:tc>
          <w:tcPr>
            <w:tcW w:w="3213" w:type="dxa"/>
            <w:tcBorders>
              <w:start w:val="single" w:sz="4" w:space="0" w:color="000000"/>
              <w:bottom w:val="single" w:sz="4" w:space="0" w:color="000000"/>
            </w:tcBorders>
          </w:tcPr>
          <w:p>
            <w:pPr>
              <w:pStyle w:val="TableContents"/>
              <w:bidi w:val="0"/>
              <w:jc w:val="start"/>
              <w:rPr/>
            </w:pPr>
            <w:r>
              <w:rPr/>
              <w:t>Price hits support 1, you buy, it rallies, comes back to support later, you buy the next quarter at a higher price</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b/>
              </w:rPr>
              <w:t>Also fine</w:t>
            </w:r>
            <w:r>
              <w:rPr/>
              <w:t xml:space="preserve"> </w:t>
            </w:r>
            <w:r>
              <w:rPr>
                <w:i/>
              </w:rPr>
              <w:t>("although it's still undervalued, it's still fine")</w:t>
            </w:r>
            <w:r>
              <w:rPr/>
              <w:t xml:space="preserve"> — feels better psychologically but you pay more.</w:t>
            </w:r>
          </w:p>
        </w:tc>
      </w:tr>
    </w:tbl>
    <w:p>
      <w:pPr>
        <w:pStyle w:val="BodyText"/>
        <w:bidi w:val="0"/>
        <w:jc w:val="start"/>
        <w:rPr/>
      </w:pPr>
      <w:r>
        <w:rPr/>
      </w:r>
    </w:p>
    <w:p>
      <w:pPr>
        <w:pStyle w:val="BodyText"/>
        <w:bidi w:val="0"/>
        <w:jc w:val="start"/>
        <w:rPr/>
      </w:pPr>
      <w:r>
        <w:rPr>
          <w:i/>
        </w:rPr>
        <w:t>"So you could either average up or average down, depending on how it plays out. To me, I'm fine either way, but I prefer averaging down."</w:t>
      </w:r>
    </w:p>
    <w:p>
      <w:pPr>
        <w:pStyle w:val="HorizontalLine"/>
        <w:bidi w:val="0"/>
        <w:jc w:val="start"/>
        <w:rPr/>
      </w:pPr>
      <w:r>
        <w:rPr/>
      </w:r>
    </w:p>
    <w:p>
      <w:pPr>
        <w:pStyle w:val="Heading3"/>
        <w:bidi w:val="0"/>
        <w:ind w:hanging="0" w:start="0"/>
        <w:jc w:val="start"/>
        <w:rPr/>
      </w:pPr>
      <w:r>
        <w:rPr/>
        <w:t>Key Takeaways</w:t>
      </w:r>
    </w:p>
    <w:p>
      <w:pPr>
        <w:pStyle w:val="BodyText"/>
        <w:numPr>
          <w:ilvl w:val="0"/>
          <w:numId w:val="425"/>
        </w:numPr>
        <w:tabs>
          <w:tab w:val="clear" w:pos="709"/>
          <w:tab w:val="left" w:pos="709" w:leader="none"/>
        </w:tabs>
        <w:bidi w:val="0"/>
        <w:ind w:hanging="283" w:start="709"/>
        <w:jc w:val="start"/>
        <w:rPr/>
      </w:pPr>
      <w:r>
        <w:rPr>
          <w:b/>
        </w:rPr>
        <w:t>The formula is a pass/fail gate, not a scorecard.</w:t>
      </w:r>
      <w:r>
        <w:rPr/>
        <w:t xml:space="preserve"> All seven steps must pass before you invest. No step can be skipped or traded off against another.</w:t>
      </w:r>
    </w:p>
    <w:p>
      <w:pPr>
        <w:pStyle w:val="BodyText"/>
        <w:numPr>
          <w:ilvl w:val="0"/>
          <w:numId w:val="425"/>
        </w:numPr>
        <w:tabs>
          <w:tab w:val="clear" w:pos="709"/>
          <w:tab w:val="left" w:pos="709" w:leader="none"/>
        </w:tabs>
        <w:bidi w:val="0"/>
        <w:ind w:hanging="283" w:start="709"/>
        <w:jc w:val="start"/>
        <w:rPr/>
      </w:pPr>
      <w:r>
        <w:rPr>
          <w:b/>
        </w:rPr>
        <w:t>The seven steps answer three questions in order:</w:t>
      </w:r>
      <w:r>
        <w:rPr/>
        <w:t xml:space="preserve"> (1) Is this a great business? [Steps 1–5] (2) Is this a great price? [Step 6] (3) Is this a great entry? [Step 7].</w:t>
      </w:r>
    </w:p>
    <w:p>
      <w:pPr>
        <w:pStyle w:val="BodyText"/>
        <w:numPr>
          <w:ilvl w:val="0"/>
          <w:numId w:val="425"/>
        </w:numPr>
        <w:tabs>
          <w:tab w:val="clear" w:pos="709"/>
          <w:tab w:val="left" w:pos="709" w:leader="none"/>
        </w:tabs>
        <w:bidi w:val="0"/>
        <w:ind w:hanging="283" w:start="709"/>
        <w:jc w:val="start"/>
        <w:rPr/>
      </w:pPr>
      <w:r>
        <w:rPr>
          <w:b/>
        </w:rPr>
        <w:t>The formula is brutally exclusionary by design.</w:t>
      </w:r>
      <w:r>
        <w:rPr/>
        <w:t xml:space="preserve"> Step 1 alone eliminates ~95% of the world's companies; Steps 1–5 together eliminate ~99%. </w:t>
      </w:r>
      <w:r>
        <w:rPr>
          <w:i/>
        </w:rPr>
        <w:t>"Why settle for anything less than the best?"</w:t>
      </w:r>
    </w:p>
    <w:p>
      <w:pPr>
        <w:pStyle w:val="BodyText"/>
        <w:numPr>
          <w:ilvl w:val="0"/>
          <w:numId w:val="425"/>
        </w:numPr>
        <w:tabs>
          <w:tab w:val="clear" w:pos="709"/>
          <w:tab w:val="left" w:pos="709" w:leader="none"/>
        </w:tabs>
        <w:bidi w:val="0"/>
        <w:ind w:hanging="283" w:start="709"/>
        <w:jc w:val="start"/>
        <w:rPr/>
      </w:pPr>
      <w:r>
        <w:rPr>
          <w:b/>
        </w:rPr>
        <w:t>Predictability is the whole point of Step 1.</w:t>
      </w:r>
      <w:r>
        <w:rPr/>
        <w:t xml:space="preserve"> Consistent historical revenue, cash flow and profits are what make future revenue, cash flow and profits </w:t>
      </w:r>
      <w:r>
        <w:rPr>
          <w:i/>
        </w:rPr>
        <w:t>projectable</w:t>
      </w:r>
      <w:r>
        <w:rPr/>
        <w:t xml:space="preserve"> — and everything in valuation depends on being able to project. Cyclical roller-coaster businesses (oil &amp; gas, airlines) are rejected not because they can't make money but because they are unpredictable.</w:t>
      </w:r>
    </w:p>
    <w:p>
      <w:pPr>
        <w:pStyle w:val="BodyText"/>
        <w:numPr>
          <w:ilvl w:val="0"/>
          <w:numId w:val="425"/>
        </w:numPr>
        <w:tabs>
          <w:tab w:val="clear" w:pos="709"/>
          <w:tab w:val="left" w:pos="709" w:leader="none"/>
        </w:tabs>
        <w:bidi w:val="0"/>
        <w:ind w:hanging="283" w:start="709"/>
        <w:jc w:val="start"/>
        <w:rPr/>
      </w:pPr>
      <w:r>
        <w:rPr>
          <w:b/>
        </w:rPr>
        <w:t>Revenue &gt; cash flow from operations &gt; net income</w:t>
      </w:r>
      <w:r>
        <w:rPr/>
        <w:t xml:space="preserve"> in importance; and if net income is lumpy, substitute </w:t>
      </w:r>
      <w:r>
        <w:rPr>
          <w:b/>
        </w:rPr>
        <w:t>operating income</w:t>
      </w:r>
      <w:r>
        <w:rPr/>
        <w:t>, which strips out interest, taxes, lawsuits, M&amp;A costs, forex gains and investment gains.</w:t>
      </w:r>
    </w:p>
    <w:p>
      <w:pPr>
        <w:pStyle w:val="BodyText"/>
        <w:numPr>
          <w:ilvl w:val="0"/>
          <w:numId w:val="425"/>
        </w:numPr>
        <w:tabs>
          <w:tab w:val="clear" w:pos="709"/>
          <w:tab w:val="left" w:pos="709" w:leader="none"/>
        </w:tabs>
        <w:bidi w:val="0"/>
        <w:ind w:hanging="283" w:start="709"/>
        <w:jc w:val="start"/>
        <w:rPr/>
      </w:pPr>
      <w:r>
        <w:rPr>
          <w:b/>
        </w:rPr>
        <w:t>Step 3 (moat) is the most important step.</w:t>
      </w:r>
      <w:r>
        <w:rPr/>
        <w:t xml:space="preserve"> Steps 1 and 2 establish that a business has grown and its market is growing; only competition can stop that, so a sustainable moat is what converts past growth into future growth. </w:t>
      </w:r>
      <w:r>
        <w:rPr>
          <w:b/>
        </w:rPr>
        <w:t>≥3 of the 5 moat sources = invest.</w:t>
      </w:r>
    </w:p>
    <w:p>
      <w:pPr>
        <w:pStyle w:val="BodyText"/>
        <w:numPr>
          <w:ilvl w:val="0"/>
          <w:numId w:val="425"/>
        </w:numPr>
        <w:tabs>
          <w:tab w:val="clear" w:pos="709"/>
          <w:tab w:val="left" w:pos="709" w:leader="none"/>
        </w:tabs>
        <w:bidi w:val="0"/>
        <w:ind w:hanging="283" w:start="709"/>
        <w:jc w:val="start"/>
        <w:rPr/>
      </w:pPr>
      <w:r>
        <w:rPr>
          <w:b/>
        </w:rPr>
        <w:t>The single fastest moat test is pricing power:</w:t>
      </w:r>
      <w:r>
        <w:rPr/>
        <w:t xml:space="preserve"> can the company raise prices every year without losing customers or market share? Tesla fails this test (must discount), hence narrow moat, not wide.</w:t>
      </w:r>
    </w:p>
    <w:p>
      <w:pPr>
        <w:pStyle w:val="BodyText"/>
        <w:numPr>
          <w:ilvl w:val="0"/>
          <w:numId w:val="425"/>
        </w:numPr>
        <w:tabs>
          <w:tab w:val="clear" w:pos="709"/>
          <w:tab w:val="left" w:pos="709" w:leader="none"/>
        </w:tabs>
        <w:bidi w:val="0"/>
        <w:ind w:hanging="283" w:start="709"/>
        <w:jc w:val="start"/>
        <w:rPr/>
      </w:pPr>
      <w:r>
        <w:rPr>
          <w:b/>
        </w:rPr>
        <w:t>Never buy a no-moat company as an investment.</w:t>
      </w:r>
      <w:r>
        <w:rPr/>
        <w:t xml:space="preserve"> It may be growing and profitable today and can still be killed within 1–3 years by a bigger competitor. Zoom (6/10) was passed on; Beyond Meat (2/10) collapsed; PayPal was passed on and collapsed.</w:t>
      </w:r>
    </w:p>
    <w:p>
      <w:pPr>
        <w:pStyle w:val="BodyText"/>
        <w:numPr>
          <w:ilvl w:val="0"/>
          <w:numId w:val="425"/>
        </w:numPr>
        <w:tabs>
          <w:tab w:val="clear" w:pos="709"/>
          <w:tab w:val="left" w:pos="709" w:leader="none"/>
        </w:tabs>
        <w:bidi w:val="0"/>
        <w:ind w:hanging="283" w:start="709"/>
        <w:jc w:val="start"/>
        <w:rPr/>
      </w:pPr>
      <w:r>
        <w:rPr>
          <w:b/>
        </w:rPr>
        <w:t>ROE and ROIC must BOTH be high.</w:t>
      </w:r>
      <w:r>
        <w:rPr/>
        <w:t xml:space="preserve"> High ROE alone can be a debt illusion — leverage shrinks the equity base and inflates ROE while crushing ROIC. Exception: banks, insurers and regulated utilities are judged on ROE only.</w:t>
      </w:r>
    </w:p>
    <w:p>
      <w:pPr>
        <w:pStyle w:val="BodyText"/>
        <w:numPr>
          <w:ilvl w:val="0"/>
          <w:numId w:val="425"/>
        </w:numPr>
        <w:tabs>
          <w:tab w:val="clear" w:pos="709"/>
          <w:tab w:val="left" w:pos="709" w:leader="none"/>
        </w:tabs>
        <w:bidi w:val="0"/>
        <w:ind w:hanging="283" w:start="709"/>
        <w:jc w:val="start"/>
        <w:rPr/>
      </w:pPr>
      <w:r>
        <w:rPr>
          <w:b/>
        </w:rPr>
        <w:t>Debt is the only thing that makes a company go bankrupt.</w:t>
      </w:r>
      <w:r>
        <w:rPr/>
        <w:t xml:space="preserve"> </w:t>
      </w:r>
      <w:r>
        <w:rPr>
          <w:i/>
        </w:rPr>
        <w:t>"If you invest in companies with little or no debt, it can't go bankrupt."</w:t>
      </w:r>
      <w:r>
        <w:rPr/>
        <w:t xml:space="preserve"> Evergrande and Hyflux are the cautionary cases.</w:t>
      </w:r>
    </w:p>
    <w:p>
      <w:pPr>
        <w:pStyle w:val="BodyText"/>
        <w:numPr>
          <w:ilvl w:val="0"/>
          <w:numId w:val="425"/>
        </w:numPr>
        <w:tabs>
          <w:tab w:val="clear" w:pos="709"/>
          <w:tab w:val="left" w:pos="709" w:leader="none"/>
        </w:tabs>
        <w:bidi w:val="0"/>
        <w:ind w:hanging="283" w:start="709"/>
        <w:jc w:val="start"/>
        <w:rPr/>
      </w:pPr>
      <w:r>
        <w:rPr>
          <w:b/>
        </w:rPr>
        <w:t>Passing Steps 1–5 buys you a watch-list slot, not a trade.</w:t>
      </w:r>
      <w:r>
        <w:rPr/>
        <w:t xml:space="preserve"> A great business bought at an overvalued price can take years to break even.</w:t>
      </w:r>
    </w:p>
    <w:p>
      <w:pPr>
        <w:pStyle w:val="BodyText"/>
        <w:numPr>
          <w:ilvl w:val="0"/>
          <w:numId w:val="425"/>
        </w:numPr>
        <w:tabs>
          <w:tab w:val="clear" w:pos="709"/>
          <w:tab w:val="left" w:pos="709" w:leader="none"/>
        </w:tabs>
        <w:bidi w:val="0"/>
        <w:ind w:hanging="283" w:start="709"/>
        <w:jc w:val="start"/>
        <w:rPr/>
      </w:pPr>
      <w:r>
        <w:rPr>
          <w:b/>
        </w:rPr>
        <w:t>Valuation method must match the business type:</w:t>
      </w:r>
      <w:r>
        <w:rPr/>
        <w:t xml:space="preserve"> DCF for normal companies, Discounted Net Income if cash flow is lumpy, P/B for banks, P/NAV for REITs, P/S or P/S-Growth for speculative growth names.</w:t>
      </w:r>
    </w:p>
    <w:p>
      <w:pPr>
        <w:pStyle w:val="BodyText"/>
        <w:numPr>
          <w:ilvl w:val="0"/>
          <w:numId w:val="425"/>
        </w:numPr>
        <w:tabs>
          <w:tab w:val="clear" w:pos="709"/>
          <w:tab w:val="left" w:pos="709" w:leader="none"/>
        </w:tabs>
        <w:bidi w:val="0"/>
        <w:ind w:hanging="283" w:start="709"/>
        <w:jc w:val="start"/>
        <w:rPr/>
      </w:pPr>
      <w:r>
        <w:rPr>
          <w:b/>
        </w:rPr>
        <w:t>Never chase a wave up.</w:t>
      </w:r>
      <w:r>
        <w:rPr/>
        <w:t xml:space="preserve"> Wait for the wave down into support. If price is far from its moving average it snaps back like a rubber band.</w:t>
      </w:r>
    </w:p>
    <w:p>
      <w:pPr>
        <w:pStyle w:val="BodyText"/>
        <w:numPr>
          <w:ilvl w:val="0"/>
          <w:numId w:val="425"/>
        </w:numPr>
        <w:tabs>
          <w:tab w:val="clear" w:pos="709"/>
          <w:tab w:val="left" w:pos="709" w:leader="none"/>
        </w:tabs>
        <w:bidi w:val="0"/>
        <w:ind w:hanging="283" w:start="709"/>
        <w:jc w:val="start"/>
        <w:rPr/>
      </w:pPr>
      <w:r>
        <w:rPr>
          <w:b/>
        </w:rPr>
        <w:t>Moving averages are useless in a consolidation</w:t>
      </w:r>
      <w:r>
        <w:rPr/>
        <w:t xml:space="preserve"> — draw your own horizontal support/resistance instead. They only function as support/resistance in a clear trend.</w:t>
      </w:r>
    </w:p>
    <w:p>
      <w:pPr>
        <w:pStyle w:val="BodyText"/>
        <w:numPr>
          <w:ilvl w:val="0"/>
          <w:numId w:val="425"/>
        </w:numPr>
        <w:tabs>
          <w:tab w:val="clear" w:pos="709"/>
          <w:tab w:val="left" w:pos="709" w:leader="none"/>
        </w:tabs>
        <w:bidi w:val="0"/>
        <w:ind w:hanging="283" w:start="709"/>
        <w:jc w:val="start"/>
        <w:rPr/>
      </w:pPr>
      <w:r>
        <w:rPr>
          <w:b/>
        </w:rPr>
        <w:t>Map supports across daily, weekly AND monthly charts</w:t>
      </w:r>
      <w:r>
        <w:rPr/>
        <w:t xml:space="preserve"> — each timeframe reveals different support levels. Three or four buy levels is enough.</w:t>
      </w:r>
    </w:p>
    <w:p>
      <w:pPr>
        <w:pStyle w:val="BodyText"/>
        <w:numPr>
          <w:ilvl w:val="0"/>
          <w:numId w:val="425"/>
        </w:numPr>
        <w:tabs>
          <w:tab w:val="clear" w:pos="709"/>
          <w:tab w:val="left" w:pos="709" w:leader="none"/>
        </w:tabs>
        <w:bidi w:val="0"/>
        <w:ind w:hanging="283" w:start="709"/>
        <w:jc w:val="start"/>
        <w:rPr/>
      </w:pPr>
      <w:r>
        <w:rPr>
          <w:b/>
        </w:rPr>
        <w:t>Always buy in 3–4 tranches, never a full position at once.</w:t>
      </w:r>
      <w:r>
        <w:rPr/>
        <w:t xml:space="preserve"> This produces a good average cost without requiring you to call the exact bottom, and lets you exploit deeper corrections rather than fear them.</w:t>
      </w:r>
    </w:p>
    <w:p>
      <w:pPr>
        <w:pStyle w:val="BodyText"/>
        <w:numPr>
          <w:ilvl w:val="0"/>
          <w:numId w:val="425"/>
        </w:numPr>
        <w:tabs>
          <w:tab w:val="clear" w:pos="709"/>
          <w:tab w:val="left" w:pos="709" w:leader="none"/>
        </w:tabs>
        <w:bidi w:val="0"/>
        <w:ind w:hanging="283" w:start="709"/>
        <w:jc w:val="start"/>
        <w:rPr/>
      </w:pPr>
      <w:r>
        <w:rPr>
          <w:b/>
        </w:rPr>
        <w:t>Speculative growth names are a deliberate, sized-down 5% exception</w:t>
      </w:r>
      <w:r>
        <w:rPr/>
        <w:t xml:space="preserve"> — revenue growing 50–100%, profit/cash flow only just turned positive, strong moat required, and </w:t>
      </w:r>
      <w:r>
        <w:rPr>
          <w:b/>
        </w:rPr>
        <w:t>half the normal position size</w:t>
      </w:r>
      <w:r>
        <w:rPr/>
        <w:t>. Upgraded to a normal holding only after 5 years of consistency.</w:t>
      </w:r>
    </w:p>
    <w:p>
      <w:pPr>
        <w:pStyle w:val="HorizontalLine"/>
        <w:bidi w:val="0"/>
        <w:jc w:val="start"/>
        <w:rPr/>
      </w:pPr>
      <w:r>
        <w:rPr/>
      </w:r>
    </w:p>
    <w:p>
      <w:pPr>
        <w:pStyle w:val="Heading3"/>
        <w:bidi w:val="0"/>
        <w:ind w:hanging="0" w:start="0"/>
        <w:jc w:val="start"/>
        <w:rPr/>
      </w:pPr>
      <w:r>
        <w:rPr/>
        <w:t xml:space="preserve">📋 </w:t>
      </w:r>
      <w:r>
        <w:rPr/>
        <w:t>THE VMI 7-STEP CHECKLIST (One Page — Apply to Any Stock)</w:t>
      </w:r>
    </w:p>
    <w:p>
      <w:pPr>
        <w:pStyle w:val="Heading4"/>
        <w:bidi w:val="0"/>
        <w:ind w:hanging="0" w:start="0"/>
        <w:jc w:val="start"/>
        <w:rPr/>
      </w:pPr>
      <w:r>
        <w:rPr/>
        <w:t>Q1 — IS THIS A GREAT BUSINESS? (Steps 1–5)</w:t>
      </w:r>
    </w:p>
    <w:p>
      <w:pPr>
        <w:pStyle w:val="BodyText"/>
        <w:bidi w:val="0"/>
        <w:jc w:val="start"/>
        <w:rPr/>
      </w:pPr>
      <w:r>
        <w:rPr>
          <w:b/>
        </w:rPr>
        <w:t>STEP 1 — Consistent Track Record</w:t>
      </w:r>
      <w:r>
        <w:rPr/>
        <w:t xml:space="preserve"> </w:t>
      </w:r>
      <w:r>
        <w:rPr>
          <w:i/>
        </w:rPr>
        <w:t>(StockOracle → Financials → Financial Trends; Income Statement; Statement of Cash Flows; Company Metrics)</w:t>
      </w:r>
    </w:p>
    <w:p>
      <w:pPr>
        <w:pStyle w:val="BodyText"/>
        <w:numPr>
          <w:ilvl w:val="0"/>
          <w:numId w:val="426"/>
        </w:numPr>
        <w:tabs>
          <w:tab w:val="clear" w:pos="709"/>
          <w:tab w:val="left" w:pos="709" w:leader="none"/>
        </w:tabs>
        <w:bidi w:val="0"/>
        <w:ind w:hanging="283" w:start="709"/>
        <w:jc w:val="start"/>
        <w:rPr/>
      </w:pPr>
      <w:sdt>
        <w:sdtPr>
          <w:id w:val="1078324443"/>
          <w14:checkbox>
            <w14:checked w14:val="0"/>
            <w14:checkedState w14:val="2612"/>
            <w14:uncheckedState w14:val="2610"/>
          </w14:checkbox>
        </w:sdtPr>
        <w:sdtContent>
          <w:r>
            <w:rPr/>
          </w:r>
          <w:r>
            <w:rPr/>
            <w:t>☐</w:t>
          </w:r>
        </w:sdtContent>
      </w:sdt>
      <w:r>
        <w:rPr/>
        <w:t xml:space="preserve"> </w:t>
      </w:r>
      <w:r>
        <w:rPr/>
        <w:t xml:space="preserve">Sales revenue rising consistently for </w:t>
      </w:r>
      <w:r>
        <w:rPr>
          <w:b/>
        </w:rPr>
        <w:t>5–10 years</w:t>
      </w:r>
      <w:r>
        <w:rPr/>
        <w:t xml:space="preserve"> (most important metric)</w:t>
      </w:r>
    </w:p>
    <w:p>
      <w:pPr>
        <w:pStyle w:val="BodyText"/>
        <w:numPr>
          <w:ilvl w:val="0"/>
          <w:numId w:val="426"/>
        </w:numPr>
        <w:tabs>
          <w:tab w:val="clear" w:pos="709"/>
          <w:tab w:val="left" w:pos="709" w:leader="none"/>
        </w:tabs>
        <w:bidi w:val="0"/>
        <w:ind w:hanging="283" w:start="709"/>
        <w:jc w:val="start"/>
        <w:rPr/>
      </w:pPr>
      <w:sdt>
        <w:sdtPr>
          <w:id w:val="1772455356"/>
          <w14:checkbox>
            <w14:checked w14:val="0"/>
            <w14:checkedState w14:val="2612"/>
            <w14:uncheckedState w14:val="2610"/>
          </w14:checkbox>
        </w:sdtPr>
        <w:sdtContent>
          <w:r>
            <w:rPr/>
          </w:r>
          <w:r>
            <w:rPr/>
            <w:t>☐</w:t>
          </w:r>
        </w:sdtContent>
      </w:sdt>
      <w:r>
        <w:rPr/>
        <w:t xml:space="preserve"> </w:t>
      </w:r>
      <w:r>
        <w:rPr/>
        <w:t xml:space="preserve">Cash flow from operations rising consistently for </w:t>
      </w:r>
      <w:r>
        <w:rPr>
          <w:b/>
        </w:rPr>
        <w:t>5–10 years</w:t>
      </w:r>
      <w:r>
        <w:rPr/>
        <w:t xml:space="preserve"> (second most important)</w:t>
      </w:r>
    </w:p>
    <w:p>
      <w:pPr>
        <w:pStyle w:val="BodyText"/>
        <w:numPr>
          <w:ilvl w:val="0"/>
          <w:numId w:val="426"/>
        </w:numPr>
        <w:tabs>
          <w:tab w:val="clear" w:pos="709"/>
          <w:tab w:val="left" w:pos="709" w:leader="none"/>
        </w:tabs>
        <w:bidi w:val="0"/>
        <w:ind w:hanging="283" w:start="709"/>
        <w:jc w:val="start"/>
        <w:rPr/>
      </w:pPr>
      <w:sdt>
        <w:sdtPr>
          <w:id w:val="229776500"/>
          <w14:checkbox>
            <w14:checked w14:val="0"/>
            <w14:checkedState w14:val="2612"/>
            <w14:uncheckedState w14:val="2610"/>
          </w14:checkbox>
        </w:sdtPr>
        <w:sdtContent>
          <w:r>
            <w:rPr/>
          </w:r>
          <w:r>
            <w:rPr/>
            <w:t>☐</w:t>
          </w:r>
        </w:sdtContent>
      </w:sdt>
      <w:r>
        <w:rPr/>
        <w:t xml:space="preserve"> </w:t>
      </w:r>
      <w:r>
        <w:rPr/>
        <w:t xml:space="preserve">Net income rising consistently — </w:t>
      </w:r>
      <w:r>
        <w:rPr>
          <w:b/>
        </w:rPr>
        <w:t>OR</w:t>
      </w:r>
      <w:r>
        <w:rPr/>
        <w:t xml:space="preserve">, if not, </w:t>
      </w:r>
      <w:r>
        <w:rPr>
          <w:b/>
        </w:rPr>
        <w:t>operating income</w:t>
      </w:r>
      <w:r>
        <w:rPr/>
        <w:t xml:space="preserve"> rising consistently</w:t>
      </w:r>
    </w:p>
    <w:p>
      <w:pPr>
        <w:pStyle w:val="BodyText"/>
        <w:numPr>
          <w:ilvl w:val="0"/>
          <w:numId w:val="426"/>
        </w:numPr>
        <w:tabs>
          <w:tab w:val="clear" w:pos="709"/>
          <w:tab w:val="left" w:pos="709" w:leader="none"/>
        </w:tabs>
        <w:bidi w:val="0"/>
        <w:ind w:hanging="283" w:start="709"/>
        <w:jc w:val="start"/>
        <w:rPr/>
      </w:pPr>
      <w:sdt>
        <w:sdtPr>
          <w:id w:val="1416486483"/>
          <w14:checkbox>
            <w14:checked w14:val="0"/>
            <w14:checkedState w14:val="2612"/>
            <w14:uncheckedState w14:val="2610"/>
          </w14:checkbox>
        </w:sdtPr>
        <w:sdtContent>
          <w:r>
            <w:rPr/>
          </w:r>
          <w:r>
            <w:rPr/>
            <w:t>☐</w:t>
          </w:r>
        </w:sdtContent>
      </w:sdt>
      <w:r>
        <w:rPr/>
        <w:t xml:space="preserve"> </w:t>
      </w:r>
      <w:r>
        <w:rPr/>
        <w:t xml:space="preserve">1–2 down years acceptable; overall </w:t>
      </w:r>
      <w:r>
        <w:rPr>
          <w:b/>
        </w:rPr>
        <w:t>uptrend</w:t>
      </w:r>
      <w:r>
        <w:rPr/>
        <w:t xml:space="preserve"> required</w:t>
      </w:r>
    </w:p>
    <w:p>
      <w:pPr>
        <w:pStyle w:val="BodyText"/>
        <w:numPr>
          <w:ilvl w:val="0"/>
          <w:numId w:val="426"/>
        </w:numPr>
        <w:tabs>
          <w:tab w:val="clear" w:pos="709"/>
          <w:tab w:val="left" w:pos="709" w:leader="none"/>
        </w:tabs>
        <w:bidi w:val="0"/>
        <w:ind w:hanging="283" w:start="709"/>
        <w:jc w:val="start"/>
        <w:rPr/>
      </w:pPr>
      <w:sdt>
        <w:sdtPr>
          <w:id w:val="1185447947"/>
          <w14:checkbox>
            <w14:checked w14:val="0"/>
            <w14:checkedState w14:val="2612"/>
            <w14:uncheckedState w14:val="2610"/>
          </w14:checkbox>
        </w:sdtPr>
        <w:sdtContent>
          <w:r>
            <w:rPr/>
          </w:r>
          <w:r>
            <w:rPr/>
            <w:t>☐</w:t>
          </w:r>
        </w:sdtContent>
      </w:sdt>
      <w:r>
        <w:rPr/>
        <w:t xml:space="preserve"> </w:t>
      </w:r>
      <w:r>
        <w:rPr/>
        <w:t xml:space="preserve">Revenue and cash flow kept growing </w:t>
      </w:r>
      <w:r>
        <w:rPr>
          <w:b/>
        </w:rPr>
        <w:t>through past recessions/crises</w:t>
      </w:r>
      <w:r>
        <w:rPr/>
        <w:t xml:space="preserve"> (resilience test)</w:t>
      </w:r>
    </w:p>
    <w:p>
      <w:pPr>
        <w:pStyle w:val="BodyText"/>
        <w:numPr>
          <w:ilvl w:val="0"/>
          <w:numId w:val="426"/>
        </w:numPr>
        <w:tabs>
          <w:tab w:val="clear" w:pos="709"/>
          <w:tab w:val="left" w:pos="709" w:leader="none"/>
        </w:tabs>
        <w:bidi w:val="0"/>
        <w:ind w:hanging="283" w:start="709"/>
        <w:jc w:val="start"/>
        <w:rPr/>
      </w:pPr>
      <w:sdt>
        <w:sdtPr>
          <w:id w:val="429805378"/>
          <w14:checkbox>
            <w14:checked w14:val="0"/>
            <w14:checkedState w14:val="2612"/>
            <w14:uncheckedState w14:val="2610"/>
          </w14:checkbox>
        </w:sdtPr>
        <w:sdtContent>
          <w:r>
            <w:rPr/>
          </w:r>
          <w:r>
            <w:rPr/>
            <w:t>☐</w:t>
          </w:r>
        </w:sdtContent>
      </w:sdt>
      <w:r>
        <w:rPr/>
        <w:t xml:space="preserve"> </w:t>
      </w:r>
      <w:r>
        <w:rPr/>
        <w:t xml:space="preserve">Gross margin </w:t>
      </w:r>
      <w:r>
        <w:rPr>
          <w:b/>
        </w:rPr>
        <w:t>consistent or increasing</w:t>
      </w:r>
      <w:r>
        <w:rPr/>
        <w:t xml:space="preserve"> over 5 years</w:t>
      </w:r>
    </w:p>
    <w:p>
      <w:pPr>
        <w:pStyle w:val="BodyText"/>
        <w:numPr>
          <w:ilvl w:val="0"/>
          <w:numId w:val="426"/>
        </w:numPr>
        <w:tabs>
          <w:tab w:val="clear" w:pos="709"/>
          <w:tab w:val="left" w:pos="709" w:leader="none"/>
        </w:tabs>
        <w:bidi w:val="0"/>
        <w:ind w:hanging="283" w:start="709"/>
        <w:jc w:val="start"/>
        <w:rPr/>
      </w:pPr>
      <w:sdt>
        <w:sdtPr>
          <w:id w:val="1488540356"/>
          <w14:checkbox>
            <w14:checked w14:val="0"/>
            <w14:checkedState w14:val="2612"/>
            <w14:uncheckedState w14:val="2610"/>
          </w14:checkbox>
        </w:sdtPr>
        <w:sdtContent>
          <w:r>
            <w:rPr/>
          </w:r>
          <w:r>
            <w:rPr/>
            <w:t>☐</w:t>
          </w:r>
        </w:sdtContent>
      </w:sdt>
      <w:r>
        <w:rPr/>
        <w:t xml:space="preserve"> </w:t>
      </w:r>
      <w:r>
        <w:rPr/>
        <w:t xml:space="preserve">Net margin </w:t>
      </w:r>
      <w:r>
        <w:rPr>
          <w:b/>
        </w:rPr>
        <w:t>consistent or increasing</w:t>
      </w:r>
      <w:r>
        <w:rPr/>
        <w:t xml:space="preserve"> over 5 years</w:t>
      </w:r>
    </w:p>
    <w:p>
      <w:pPr>
        <w:pStyle w:val="BodyText"/>
        <w:numPr>
          <w:ilvl w:val="0"/>
          <w:numId w:val="426"/>
        </w:numPr>
        <w:tabs>
          <w:tab w:val="clear" w:pos="709"/>
          <w:tab w:val="left" w:pos="709" w:leader="none"/>
        </w:tabs>
        <w:bidi w:val="0"/>
        <w:ind w:hanging="283" w:start="709"/>
        <w:jc w:val="start"/>
        <w:rPr/>
      </w:pPr>
      <w:sdt>
        <w:sdtPr>
          <w:id w:val="1069808423"/>
          <w14:checkbox>
            <w14:checked w14:val="0"/>
            <w14:checkedState w14:val="2612"/>
            <w14:uncheckedState w14:val="2610"/>
          </w14:checkbox>
        </w:sdtPr>
        <w:sdtContent>
          <w:r>
            <w:rPr/>
          </w:r>
          <w:r>
            <w:rPr/>
            <w:t>☐</w:t>
          </w:r>
        </w:sdtContent>
      </w:sdt>
      <w:r>
        <w:rPr/>
        <w:t xml:space="preserve"> </w:t>
      </w:r>
      <w:r>
        <w:rPr/>
        <w:t xml:space="preserve">Current margins </w:t>
      </w:r>
      <w:r>
        <w:rPr>
          <w:b/>
        </w:rPr>
        <w:t>≥ close to the 5-year average</w:t>
      </w:r>
    </w:p>
    <w:p>
      <w:pPr>
        <w:pStyle w:val="BodyText"/>
        <w:numPr>
          <w:ilvl w:val="0"/>
          <w:numId w:val="426"/>
        </w:numPr>
        <w:tabs>
          <w:tab w:val="clear" w:pos="709"/>
          <w:tab w:val="left" w:pos="709" w:leader="none"/>
        </w:tabs>
        <w:bidi w:val="0"/>
        <w:ind w:hanging="283" w:start="709"/>
        <w:jc w:val="start"/>
        <w:rPr/>
      </w:pPr>
      <w:sdt>
        <w:sdtPr>
          <w:id w:val="218867053"/>
          <w14:checkbox>
            <w14:checked w14:val="0"/>
            <w14:checkedState w14:val="2612"/>
            <w14:uncheckedState w14:val="2610"/>
          </w14:checkbox>
        </w:sdtPr>
        <w:sdtContent>
          <w:r>
            <w:rPr/>
          </w:r>
          <w:r>
            <w:rPr/>
            <w:t>☐</w:t>
          </w:r>
        </w:sdtContent>
      </w:sdt>
      <w:r>
        <w:rPr/>
        <w:t xml:space="preserve"> ❌ </w:t>
      </w:r>
      <w:r>
        <w:rPr>
          <w:b/>
        </w:rPr>
        <w:t>REJECT if margins have fallen for 5 straight years</w:t>
      </w:r>
    </w:p>
    <w:p>
      <w:pPr>
        <w:pStyle w:val="BodyText"/>
        <w:numPr>
          <w:ilvl w:val="0"/>
          <w:numId w:val="426"/>
        </w:numPr>
        <w:tabs>
          <w:tab w:val="clear" w:pos="709"/>
          <w:tab w:val="left" w:pos="709" w:leader="none"/>
        </w:tabs>
        <w:bidi w:val="0"/>
        <w:ind w:hanging="283" w:start="709"/>
        <w:jc w:val="start"/>
        <w:rPr/>
      </w:pPr>
      <w:sdt>
        <w:sdtPr>
          <w:id w:val="499469319"/>
          <w14:checkbox>
            <w14:checked w14:val="0"/>
            <w14:checkedState w14:val="2612"/>
            <w14:uncheckedState w14:val="2610"/>
          </w14:checkbox>
        </w:sdtPr>
        <w:sdtContent>
          <w:r>
            <w:rPr/>
          </w:r>
          <w:r>
            <w:rPr/>
            <w:t>☐</w:t>
          </w:r>
        </w:sdtContent>
      </w:sdt>
      <w:r>
        <w:rPr/>
        <w:t xml:space="preserve"> ❌ </w:t>
      </w:r>
      <w:r>
        <w:rPr>
          <w:b/>
        </w:rPr>
        <w:t>REJECT if revenue/profit/cash flow is cyclical up-down-up-down</w:t>
      </w:r>
      <w:r>
        <w:rPr/>
        <w:t xml:space="preserve"> (oil &amp; gas, airlines, commodities)</w:t>
      </w:r>
    </w:p>
    <w:p>
      <w:pPr>
        <w:pStyle w:val="BodyText"/>
        <w:numPr>
          <w:ilvl w:val="0"/>
          <w:numId w:val="426"/>
        </w:numPr>
        <w:tabs>
          <w:tab w:val="clear" w:pos="709"/>
          <w:tab w:val="left" w:pos="709" w:leader="none"/>
        </w:tabs>
        <w:bidi w:val="0"/>
        <w:ind w:hanging="283" w:start="709"/>
        <w:jc w:val="start"/>
        <w:rPr/>
      </w:pPr>
      <w:r>
        <w:rPr>
          <w:b/>
        </w:rPr>
        <w:t>Exceptions:</w:t>
      </w:r>
      <w:r>
        <w:rPr/>
        <w:t xml:space="preserve"> Banks / property developers / commodity companies → </w:t>
      </w:r>
      <w:r>
        <w:rPr>
          <w:b/>
        </w:rPr>
        <w:t>ignore cash flow from operations</w:t>
      </w:r>
      <w:r>
        <w:rPr/>
        <w:t>, use revenue + net income only.</w:t>
      </w:r>
    </w:p>
    <w:p>
      <w:pPr>
        <w:pStyle w:val="BodyText"/>
        <w:numPr>
          <w:ilvl w:val="0"/>
          <w:numId w:val="426"/>
        </w:numPr>
        <w:tabs>
          <w:tab w:val="clear" w:pos="709"/>
          <w:tab w:val="left" w:pos="709" w:leader="none"/>
        </w:tabs>
        <w:bidi w:val="0"/>
        <w:ind w:hanging="283" w:start="709"/>
        <w:jc w:val="start"/>
        <w:rPr/>
      </w:pPr>
      <w:r>
        <w:rPr>
          <w:b/>
        </w:rPr>
        <w:t>Speculative growth exception:</w:t>
      </w:r>
      <w:r>
        <w:rPr/>
        <w:t xml:space="preserve"> revenue growing </w:t>
      </w:r>
      <w:r>
        <w:rPr>
          <w:b/>
        </w:rPr>
        <w:t>50–100%</w:t>
      </w:r>
      <w:r>
        <w:rPr/>
        <w:t xml:space="preserve">, not yet profitable → require </w:t>
      </w:r>
      <w:r>
        <w:rPr>
          <w:b/>
        </w:rPr>
        <w:t>net income and CFO turned positive in the last 1–2 quarters</w:t>
      </w:r>
      <w:r>
        <w:rPr/>
        <w:t xml:space="preserve"> (quarterly view) + strong moat → buy at </w:t>
      </w:r>
      <w:r>
        <w:rPr>
          <w:b/>
        </w:rPr>
        <w:t>HALF the normal allocation</w:t>
      </w:r>
      <w:r>
        <w:rPr/>
        <w:t>; upgrade to normal after 5 years of consistency.</w:t>
      </w:r>
    </w:p>
    <w:p>
      <w:pPr>
        <w:pStyle w:val="BodyText"/>
        <w:bidi w:val="0"/>
        <w:jc w:val="start"/>
        <w:rPr/>
      </w:pPr>
      <w:r>
        <w:rPr>
          <w:b/>
        </w:rPr>
        <w:t>STEP 2 — Positive Projected Growth Rate</w:t>
      </w:r>
      <w:r>
        <w:rPr/>
        <w:t xml:space="preserve"> </w:t>
      </w:r>
      <w:r>
        <w:rPr>
          <w:i/>
        </w:rPr>
        <w:t>(StockOracle → Company Metrics → Projected Growth; also finviz.com, Yahoo Finance, zacks.com; StockOracle → Earnings → transcripts; StockOracle → AI Insights → Growth Drivers)</w:t>
      </w:r>
    </w:p>
    <w:p>
      <w:pPr>
        <w:pStyle w:val="BodyText"/>
        <w:numPr>
          <w:ilvl w:val="0"/>
          <w:numId w:val="427"/>
        </w:numPr>
        <w:tabs>
          <w:tab w:val="clear" w:pos="709"/>
          <w:tab w:val="left" w:pos="709" w:leader="none"/>
        </w:tabs>
        <w:bidi w:val="0"/>
        <w:ind w:hanging="283" w:start="709"/>
        <w:jc w:val="start"/>
        <w:rPr/>
      </w:pPr>
      <w:sdt>
        <w:sdtPr>
          <w:id w:val="2053298018"/>
          <w14:checkbox>
            <w14:checked w14:val="0"/>
            <w14:checkedState w14:val="2612"/>
            <w14:uncheckedState w14:val="2610"/>
          </w14:checkbox>
        </w:sdtPr>
        <w:sdtContent>
          <w:r>
            <w:rPr/>
          </w:r>
          <w:r>
            <w:rPr/>
            <w:t>☐</w:t>
          </w:r>
        </w:sdtContent>
      </w:sdt>
      <w:r>
        <w:rPr/>
        <w:t xml:space="preserve"> </w:t>
      </w:r>
      <w:r>
        <w:rPr/>
        <w:t xml:space="preserve">Projected earnings growth rate for the next </w:t>
      </w:r>
      <w:r>
        <w:rPr>
          <w:b/>
        </w:rPr>
        <w:t>3–5 years is POSITIVE</w:t>
      </w:r>
      <w:r>
        <w:rPr/>
        <w:t xml:space="preserve"> → PASS (higher is better)</w:t>
      </w:r>
    </w:p>
    <w:p>
      <w:pPr>
        <w:pStyle w:val="BodyText"/>
        <w:numPr>
          <w:ilvl w:val="0"/>
          <w:numId w:val="427"/>
        </w:numPr>
        <w:tabs>
          <w:tab w:val="clear" w:pos="709"/>
          <w:tab w:val="left" w:pos="709" w:leader="none"/>
        </w:tabs>
        <w:bidi w:val="0"/>
        <w:ind w:hanging="283" w:start="709"/>
        <w:jc w:val="start"/>
        <w:rPr/>
      </w:pPr>
      <w:sdt>
        <w:sdtPr>
          <w:id w:val="818286081"/>
          <w14:checkbox>
            <w14:checked w14:val="0"/>
            <w14:checkedState w14:val="2612"/>
            <w14:uncheckedState w14:val="2610"/>
          </w14:checkbox>
        </w:sdtPr>
        <w:sdtContent>
          <w:r>
            <w:rPr/>
          </w:r>
          <w:r>
            <w:rPr/>
            <w:t>☐</w:t>
          </w:r>
        </w:sdtContent>
      </w:sdt>
      <w:r>
        <w:rPr/>
        <w:t xml:space="preserve"> </w:t>
      </w:r>
      <w:r>
        <w:rPr/>
        <w:t xml:space="preserve">Long-term projected growth rate is </w:t>
      </w:r>
      <w:r>
        <w:rPr>
          <w:b/>
        </w:rPr>
        <w:t>POSITIVE</w:t>
      </w:r>
    </w:p>
    <w:p>
      <w:pPr>
        <w:pStyle w:val="BodyText"/>
        <w:numPr>
          <w:ilvl w:val="0"/>
          <w:numId w:val="427"/>
        </w:numPr>
        <w:tabs>
          <w:tab w:val="clear" w:pos="709"/>
          <w:tab w:val="left" w:pos="709" w:leader="none"/>
        </w:tabs>
        <w:bidi w:val="0"/>
        <w:ind w:hanging="283" w:start="709"/>
        <w:jc w:val="start"/>
        <w:rPr/>
      </w:pPr>
      <w:sdt>
        <w:sdtPr>
          <w:id w:val="491124392"/>
          <w14:checkbox>
            <w14:checked w14:val="0"/>
            <w14:checkedState w14:val="2612"/>
            <w14:uncheckedState w14:val="2610"/>
          </w14:checkbox>
        </w:sdtPr>
        <w:sdtContent>
          <w:r>
            <w:rPr/>
          </w:r>
          <w:r>
            <w:rPr/>
            <w:t>☐</w:t>
          </w:r>
        </w:sdtContent>
      </w:sdt>
      <w:r>
        <w:rPr/>
        <w:t xml:space="preserve"> </w:t>
      </w:r>
      <w:r>
        <w:rPr/>
        <w:t xml:space="preserve">Identify the actual </w:t>
      </w:r>
      <w:r>
        <w:rPr>
          <w:b/>
        </w:rPr>
        <w:t>growth catalysts</w:t>
      </w:r>
      <w:r>
        <w:rPr/>
        <w:t xml:space="preserve"> (new products, new markets, new outlets, more customers) from annual/quarterly reports and earnings-call transcripts</w:t>
      </w:r>
    </w:p>
    <w:p>
      <w:pPr>
        <w:pStyle w:val="BodyText"/>
        <w:numPr>
          <w:ilvl w:val="0"/>
          <w:numId w:val="427"/>
        </w:numPr>
        <w:tabs>
          <w:tab w:val="clear" w:pos="709"/>
          <w:tab w:val="left" w:pos="709" w:leader="none"/>
        </w:tabs>
        <w:bidi w:val="0"/>
        <w:ind w:hanging="283" w:start="709"/>
        <w:jc w:val="start"/>
        <w:rPr/>
      </w:pPr>
      <w:sdt>
        <w:sdtPr>
          <w:id w:val="1276507366"/>
          <w14:checkbox>
            <w14:checked w14:val="0"/>
            <w14:checkedState w14:val="2612"/>
            <w14:uncheckedState w14:val="2610"/>
          </w14:checkbox>
        </w:sdtPr>
        <w:sdtContent>
          <w:r>
            <w:rPr/>
          </w:r>
          <w:r>
            <w:rPr/>
            <w:t>☐</w:t>
          </w:r>
        </w:sdtContent>
      </w:sdt>
      <w:r>
        <w:rPr/>
        <w:t xml:space="preserve"> ⭐ </w:t>
      </w:r>
      <w:r>
        <w:rPr>
          <w:b/>
        </w:rPr>
        <w:t>Bonus:</w:t>
      </w:r>
      <w:r>
        <w:rPr/>
        <w:t xml:space="preserve"> the company sits in one of the </w:t>
      </w:r>
      <w:r>
        <w:rPr>
          <w:b/>
        </w:rPr>
        <w:t>6 high-growth industries</w:t>
      </w:r>
      <w:r>
        <w:rPr/>
        <w:t xml:space="preserve"> — AI &amp; robotics · AI energy infrastructure · healthcare (aging population) · digital payments · cybersecurity · new space economy</w:t>
      </w:r>
    </w:p>
    <w:p>
      <w:pPr>
        <w:pStyle w:val="BodyText"/>
        <w:bidi w:val="0"/>
        <w:jc w:val="start"/>
        <w:rPr/>
      </w:pPr>
      <w:r>
        <w:rPr>
          <w:b/>
        </w:rPr>
        <w:t>STEP 3 — Sustainable Competitive Advantage / Economic Moat</w:t>
      </w:r>
      <w:r>
        <w:rPr/>
        <w:t xml:space="preserve"> ⭐ MOST IMPORTANT </w:t>
      </w:r>
      <w:r>
        <w:rPr>
          <w:i/>
        </w:rPr>
        <w:t>(StockOracle → Oracle IQ → Oracle Moat / Community Moat / AI Moat; plus 10-year price chart)</w:t>
      </w:r>
    </w:p>
    <w:p>
      <w:pPr>
        <w:pStyle w:val="BodyText"/>
        <w:numPr>
          <w:ilvl w:val="0"/>
          <w:numId w:val="428"/>
        </w:numPr>
        <w:tabs>
          <w:tab w:val="clear" w:pos="709"/>
          <w:tab w:val="left" w:pos="709" w:leader="none"/>
        </w:tabs>
        <w:bidi w:val="0"/>
        <w:spacing w:before="0" w:after="0"/>
        <w:ind w:hanging="283" w:start="709"/>
        <w:jc w:val="start"/>
        <w:rPr/>
      </w:pPr>
      <w:sdt>
        <w:sdtPr>
          <w:id w:val="621040472"/>
          <w14:checkbox>
            <w14:checked w14:val="0"/>
            <w14:checkedState w14:val="2612"/>
            <w14:uncheckedState w14:val="2610"/>
          </w14:checkbox>
        </w:sdtPr>
        <w:sdtContent>
          <w:r>
            <w:rPr/>
          </w:r>
          <w:r>
            <w:rPr/>
            <w:t>☐</w:t>
          </w:r>
        </w:sdtContent>
      </w:sdt>
      <w:r>
        <w:rPr/>
        <w:t xml:space="preserve"> </w:t>
      </w:r>
      <w:r>
        <w:rPr>
          <w:b/>
        </w:rPr>
        <w:t xml:space="preserve">≥ </w:t>
      </w:r>
      <w:r>
        <w:rPr>
          <w:b/>
        </w:rPr>
        <w:t>3 of the 5 moat sources present:</w:t>
      </w:r>
    </w:p>
    <w:p>
      <w:pPr>
        <w:pStyle w:val="BodyText"/>
        <w:numPr>
          <w:ilvl w:val="1"/>
          <w:numId w:val="428"/>
        </w:numPr>
        <w:tabs>
          <w:tab w:val="clear" w:pos="709"/>
          <w:tab w:val="left" w:pos="1418" w:leader="none"/>
        </w:tabs>
        <w:bidi w:val="0"/>
        <w:ind w:hanging="283" w:start="1418"/>
        <w:jc w:val="start"/>
        <w:rPr/>
      </w:pPr>
      <w:sdt>
        <w:sdtPr>
          <w:id w:val="2123485548"/>
          <w14:checkbox>
            <w14:checked w14:val="0"/>
            <w14:checkedState w14:val="2612"/>
            <w14:uncheckedState w14:val="2610"/>
          </w14:checkbox>
        </w:sdtPr>
        <w:sdtContent>
          <w:r>
            <w:rPr/>
          </w:r>
          <w:r>
            <w:rPr/>
            <w:t>☐</w:t>
          </w:r>
        </w:sdtContent>
      </w:sdt>
      <w:r>
        <w:rPr/>
        <w:t xml:space="preserve"> </w:t>
      </w:r>
      <w:r>
        <w:rPr/>
        <w:t xml:space="preserve">1. Strong </w:t>
      </w:r>
      <w:r>
        <w:rPr>
          <w:b/>
        </w:rPr>
        <w:t>brand / brand monopoly</w:t>
      </w:r>
      <w:r>
        <w:rPr/>
        <w:t xml:space="preserve"> (top-of-mind recall)</w:t>
      </w:r>
    </w:p>
    <w:p>
      <w:pPr>
        <w:pStyle w:val="BodyText"/>
        <w:numPr>
          <w:ilvl w:val="1"/>
          <w:numId w:val="428"/>
        </w:numPr>
        <w:tabs>
          <w:tab w:val="clear" w:pos="709"/>
          <w:tab w:val="left" w:pos="1418" w:leader="none"/>
        </w:tabs>
        <w:bidi w:val="0"/>
        <w:ind w:hanging="283" w:start="1418"/>
        <w:jc w:val="start"/>
        <w:rPr/>
      </w:pPr>
      <w:sdt>
        <w:sdtPr>
          <w:id w:val="696036932"/>
          <w14:checkbox>
            <w14:checked w14:val="0"/>
            <w14:checkedState w14:val="2612"/>
            <w14:uncheckedState w14:val="2610"/>
          </w14:checkbox>
        </w:sdtPr>
        <w:sdtContent>
          <w:r>
            <w:rPr/>
          </w:r>
          <w:r>
            <w:rPr/>
            <w:t>☐</w:t>
          </w:r>
        </w:sdtContent>
      </w:sdt>
      <w:r>
        <w:rPr/>
        <w:t xml:space="preserve"> </w:t>
      </w:r>
      <w:r>
        <w:rPr/>
        <w:t xml:space="preserve">2. High </w:t>
      </w:r>
      <w:r>
        <w:rPr>
          <w:b/>
        </w:rPr>
        <w:t>customer switching costs</w:t>
      </w:r>
      <w:r>
        <w:rPr/>
        <w:t xml:space="preserve"> (expensive/inconvenient to leave; usually subscription)</w:t>
      </w:r>
    </w:p>
    <w:p>
      <w:pPr>
        <w:pStyle w:val="BodyText"/>
        <w:numPr>
          <w:ilvl w:val="1"/>
          <w:numId w:val="428"/>
        </w:numPr>
        <w:tabs>
          <w:tab w:val="clear" w:pos="709"/>
          <w:tab w:val="left" w:pos="1418" w:leader="none"/>
        </w:tabs>
        <w:bidi w:val="0"/>
        <w:ind w:hanging="283" w:start="1418"/>
        <w:jc w:val="start"/>
        <w:rPr/>
      </w:pPr>
      <w:sdt>
        <w:sdtPr>
          <w:id w:val="1432739309"/>
          <w14:checkbox>
            <w14:checked w14:val="0"/>
            <w14:checkedState w14:val="2612"/>
            <w14:uncheckedState w14:val="2610"/>
          </w14:checkbox>
        </w:sdtPr>
        <w:sdtContent>
          <w:r>
            <w:rPr/>
          </w:r>
          <w:r>
            <w:rPr/>
            <w:t>☐</w:t>
          </w:r>
        </w:sdtContent>
      </w:sdt>
      <w:r>
        <w:rPr/>
        <w:t xml:space="preserve"> </w:t>
      </w:r>
      <w:r>
        <w:rPr/>
        <w:t xml:space="preserve">3. </w:t>
      </w:r>
      <w:r>
        <w:rPr>
          <w:b/>
        </w:rPr>
        <w:t>Network effect</w:t>
      </w:r>
      <w:r>
        <w:rPr/>
        <w:t xml:space="preserve"> (more users → better product → more users)</w:t>
      </w:r>
    </w:p>
    <w:p>
      <w:pPr>
        <w:pStyle w:val="BodyText"/>
        <w:numPr>
          <w:ilvl w:val="1"/>
          <w:numId w:val="428"/>
        </w:numPr>
        <w:tabs>
          <w:tab w:val="clear" w:pos="709"/>
          <w:tab w:val="left" w:pos="1418" w:leader="none"/>
        </w:tabs>
        <w:bidi w:val="0"/>
        <w:ind w:hanging="283" w:start="1418"/>
        <w:jc w:val="start"/>
        <w:rPr/>
      </w:pPr>
      <w:sdt>
        <w:sdtPr>
          <w:id w:val="332443212"/>
          <w14:checkbox>
            <w14:checked w14:val="0"/>
            <w14:checkedState w14:val="2612"/>
            <w14:uncheckedState w14:val="2610"/>
          </w14:checkbox>
        </w:sdtPr>
        <w:sdtContent>
          <w:r>
            <w:rPr/>
          </w:r>
          <w:r>
            <w:rPr/>
            <w:t>☐</w:t>
          </w:r>
        </w:sdtContent>
      </w:sdt>
      <w:r>
        <w:rPr/>
        <w:t xml:space="preserve"> </w:t>
      </w:r>
      <w:r>
        <w:rPr/>
        <w:t xml:space="preserve">4. High </w:t>
      </w:r>
      <w:r>
        <w:rPr>
          <w:b/>
        </w:rPr>
        <w:t>barriers to entry</w:t>
      </w:r>
      <w:r>
        <w:rPr/>
        <w:t xml:space="preserve"> (patents [20 yrs], regulatory, IP, trademarks)</w:t>
      </w:r>
    </w:p>
    <w:p>
      <w:pPr>
        <w:pStyle w:val="BodyText"/>
        <w:numPr>
          <w:ilvl w:val="1"/>
          <w:numId w:val="428"/>
        </w:numPr>
        <w:tabs>
          <w:tab w:val="clear" w:pos="709"/>
          <w:tab w:val="left" w:pos="1418" w:leader="none"/>
        </w:tabs>
        <w:bidi w:val="0"/>
        <w:ind w:hanging="283" w:start="1418"/>
        <w:jc w:val="start"/>
        <w:rPr/>
      </w:pPr>
      <w:sdt>
        <w:sdtPr>
          <w:id w:val="1919147198"/>
          <w14:checkbox>
            <w14:checked w14:val="0"/>
            <w14:checkedState w14:val="2612"/>
            <w14:uncheckedState w14:val="2610"/>
          </w14:checkbox>
        </w:sdtPr>
        <w:sdtContent>
          <w:r>
            <w:rPr/>
          </w:r>
          <w:r>
            <w:rPr/>
            <w:t>☐</w:t>
          </w:r>
        </w:sdtContent>
      </w:sdt>
      <w:r>
        <w:rPr/>
        <w:t xml:space="preserve"> </w:t>
      </w:r>
      <w:r>
        <w:rPr/>
        <w:t xml:space="preserve">5. </w:t>
      </w:r>
      <w:r>
        <w:rPr>
          <w:b/>
        </w:rPr>
        <w:t>Economies of scale</w:t>
      </w:r>
    </w:p>
    <w:p>
      <w:pPr>
        <w:pStyle w:val="BodyText"/>
        <w:numPr>
          <w:ilvl w:val="0"/>
          <w:numId w:val="428"/>
        </w:numPr>
        <w:tabs>
          <w:tab w:val="clear" w:pos="709"/>
          <w:tab w:val="left" w:pos="709" w:leader="none"/>
        </w:tabs>
        <w:bidi w:val="0"/>
        <w:ind w:hanging="283" w:start="709"/>
        <w:jc w:val="start"/>
        <w:rPr/>
      </w:pPr>
      <w:sdt>
        <w:sdtPr>
          <w:id w:val="1249035226"/>
          <w14:checkbox>
            <w14:checked w14:val="0"/>
            <w14:checkedState w14:val="2612"/>
            <w14:uncheckedState w14:val="2610"/>
          </w14:checkbox>
        </w:sdtPr>
        <w:sdtContent>
          <w:r>
            <w:rPr/>
          </w:r>
          <w:r>
            <w:rPr/>
            <w:t>☐</w:t>
          </w:r>
        </w:sdtContent>
      </w:sdt>
      <w:r>
        <w:rPr/>
        <w:t xml:space="preserve"> </w:t>
      </w:r>
      <w:r>
        <w:rPr>
          <w:b/>
        </w:rPr>
        <w:t>Pricing-power test:</w:t>
      </w:r>
      <w:r>
        <w:rPr/>
        <w:t xml:space="preserve"> can it raise prices every year without losing customers/market share? </w:t>
      </w:r>
      <w:r>
        <w:rPr>
          <w:i/>
        </w:rPr>
        <w:t>(Yes = wide moat; No/must discount = narrow at best)</w:t>
      </w:r>
    </w:p>
    <w:p>
      <w:pPr>
        <w:pStyle w:val="BodyText"/>
        <w:numPr>
          <w:ilvl w:val="0"/>
          <w:numId w:val="428"/>
        </w:numPr>
        <w:tabs>
          <w:tab w:val="clear" w:pos="709"/>
          <w:tab w:val="left" w:pos="709" w:leader="none"/>
        </w:tabs>
        <w:bidi w:val="0"/>
        <w:ind w:hanging="283" w:start="709"/>
        <w:jc w:val="start"/>
        <w:rPr/>
      </w:pPr>
      <w:sdt>
        <w:sdtPr>
          <w:id w:val="534730262"/>
          <w14:checkbox>
            <w14:checked w14:val="0"/>
            <w14:checkedState w14:val="2612"/>
            <w14:uncheckedState w14:val="2610"/>
          </w14:checkbox>
        </w:sdtPr>
        <w:sdtContent>
          <w:r>
            <w:rPr/>
          </w:r>
          <w:r>
            <w:rPr/>
            <w:t>☐</w:t>
          </w:r>
        </w:sdtContent>
      </w:sdt>
      <w:r>
        <w:rPr/>
        <w:t xml:space="preserve"> </w:t>
      </w:r>
      <w:r>
        <w:rPr/>
        <w:t xml:space="preserve">Moat grade = </w:t>
      </w:r>
      <w:r>
        <w:rPr>
          <w:b/>
        </w:rPr>
        <w:t>WIDE</w:t>
      </w:r>
      <w:r>
        <w:rPr/>
        <w:t xml:space="preserve"> (preferred — 70–80% of buys) or </w:t>
      </w:r>
      <w:r>
        <w:rPr>
          <w:b/>
        </w:rPr>
        <w:t>NARROW</w:t>
      </w:r>
      <w:r>
        <w:rPr/>
        <w:t xml:space="preserve"> (acceptable)</w:t>
      </w:r>
    </w:p>
    <w:p>
      <w:pPr>
        <w:pStyle w:val="BodyText"/>
        <w:numPr>
          <w:ilvl w:val="0"/>
          <w:numId w:val="428"/>
        </w:numPr>
        <w:tabs>
          <w:tab w:val="clear" w:pos="709"/>
          <w:tab w:val="left" w:pos="709" w:leader="none"/>
        </w:tabs>
        <w:bidi w:val="0"/>
        <w:ind w:hanging="283" w:start="709"/>
        <w:jc w:val="start"/>
        <w:rPr/>
      </w:pPr>
      <w:sdt>
        <w:sdtPr>
          <w:id w:val="507450209"/>
          <w14:checkbox>
            <w14:checked w14:val="0"/>
            <w14:checkedState w14:val="2612"/>
            <w14:uncheckedState w14:val="2610"/>
          </w14:checkbox>
        </w:sdtPr>
        <w:sdtContent>
          <w:r>
            <w:rPr/>
          </w:r>
          <w:r>
            <w:rPr/>
            <w:t>☐</w:t>
          </w:r>
        </w:sdtContent>
      </w:sdt>
      <w:r>
        <w:rPr/>
        <w:t xml:space="preserve"> ❌ </w:t>
      </w:r>
      <w:r>
        <w:rPr>
          <w:b/>
        </w:rPr>
        <w:t>NEVER BUY A NO-MOAT COMPANY</w:t>
      </w:r>
      <w:r>
        <w:rPr/>
        <w:t xml:space="preserve"> — many competitors, commodity product, customers buy on price alone</w:t>
      </w:r>
    </w:p>
    <w:p>
      <w:pPr>
        <w:pStyle w:val="BodyText"/>
        <w:numPr>
          <w:ilvl w:val="0"/>
          <w:numId w:val="428"/>
        </w:numPr>
        <w:tabs>
          <w:tab w:val="clear" w:pos="709"/>
          <w:tab w:val="left" w:pos="709" w:leader="none"/>
        </w:tabs>
        <w:bidi w:val="0"/>
        <w:ind w:hanging="283" w:start="709"/>
        <w:jc w:val="start"/>
        <w:rPr/>
      </w:pPr>
      <w:sdt>
        <w:sdtPr>
          <w:id w:val="2130531625"/>
          <w14:checkbox>
            <w14:checked w14:val="0"/>
            <w14:checkedState w14:val="2612"/>
            <w14:uncheckedState w14:val="2610"/>
          </w14:checkbox>
        </w:sdtPr>
        <w:sdtContent>
          <w:r>
            <w:rPr/>
          </w:r>
          <w:r>
            <w:rPr/>
            <w:t>☐</w:t>
          </w:r>
        </w:sdtContent>
      </w:sdt>
      <w:r>
        <w:rPr/>
        <w:t xml:space="preserve"> </w:t>
      </w:r>
      <w:r>
        <w:rPr>
          <w:b/>
        </w:rPr>
        <w:t>StockOracle AI Moat score ≥ 7/10</w:t>
      </w:r>
      <w:r>
        <w:rPr/>
        <w:t xml:space="preserve"> (9/10 = very wide; </w:t>
      </w:r>
      <w:r>
        <w:rPr>
          <w:b/>
        </w:rPr>
        <w:t>6/10 = "not strong enough," usually skip</w:t>
      </w:r>
      <w:r>
        <w:rPr/>
        <w:t>; 2/10 = no moat, most dangerous)</w:t>
      </w:r>
    </w:p>
    <w:p>
      <w:pPr>
        <w:pStyle w:val="BodyText"/>
        <w:numPr>
          <w:ilvl w:val="0"/>
          <w:numId w:val="428"/>
        </w:numPr>
        <w:tabs>
          <w:tab w:val="clear" w:pos="709"/>
          <w:tab w:val="left" w:pos="709" w:leader="none"/>
        </w:tabs>
        <w:bidi w:val="0"/>
        <w:ind w:hanging="283" w:start="709"/>
        <w:jc w:val="start"/>
        <w:rPr/>
      </w:pPr>
      <w:sdt>
        <w:sdtPr>
          <w:id w:val="1066191857"/>
          <w14:checkbox>
            <w14:checked w14:val="0"/>
            <w14:checkedState w14:val="2612"/>
            <w14:uncheckedState w14:val="2610"/>
          </w14:checkbox>
        </w:sdtPr>
        <w:sdtContent>
          <w:r>
            <w:rPr/>
          </w:r>
          <w:r>
            <w:rPr/>
            <w:t>☐</w:t>
          </w:r>
        </w:sdtContent>
      </w:sdt>
      <w:r>
        <w:rPr/>
        <w:t xml:space="preserve"> </w:t>
      </w:r>
      <w:r>
        <w:rPr>
          <w:b/>
        </w:rPr>
        <w:t>10-year chart shortcut:</w:t>
      </w:r>
      <w:r>
        <w:rPr/>
        <w:t xml:space="preserve"> clear 10-year uptrend = moat present; 10-year downtrend = no competitive advantage</w:t>
      </w:r>
    </w:p>
    <w:p>
      <w:pPr>
        <w:pStyle w:val="BodyText"/>
        <w:numPr>
          <w:ilvl w:val="0"/>
          <w:numId w:val="428"/>
        </w:numPr>
        <w:tabs>
          <w:tab w:val="clear" w:pos="709"/>
          <w:tab w:val="left" w:pos="709" w:leader="none"/>
        </w:tabs>
        <w:bidi w:val="0"/>
        <w:ind w:hanging="283" w:start="709"/>
        <w:jc w:val="start"/>
        <w:rPr/>
      </w:pPr>
      <w:sdt>
        <w:sdtPr>
          <w:id w:val="96545895"/>
          <w14:checkbox>
            <w14:checked w14:val="0"/>
            <w14:checkedState w14:val="2612"/>
            <w14:uncheckedState w14:val="2610"/>
          </w14:checkbox>
        </w:sdtPr>
        <w:sdtContent>
          <w:r>
            <w:rPr/>
          </w:r>
          <w:r>
            <w:rPr/>
            <w:t>☐</w:t>
          </w:r>
        </w:sdtContent>
      </w:sdt>
      <w:r>
        <w:rPr/>
        <w:t xml:space="preserve"> ❌ </w:t>
      </w:r>
      <w:r>
        <w:rPr/>
        <w:t>Avoid the structurally no-moat industries: commodities, airlines, auto manufacturers, property developers, construction, shipping, oil &amp; gas</w:t>
      </w:r>
    </w:p>
    <w:p>
      <w:pPr>
        <w:pStyle w:val="BodyText"/>
        <w:bidi w:val="0"/>
        <w:jc w:val="start"/>
        <w:rPr/>
      </w:pPr>
      <w:r>
        <w:rPr>
          <w:b/>
        </w:rPr>
        <w:t>STEP 4 — Profitable and Operationally Efficient</w:t>
      </w:r>
      <w:r>
        <w:rPr/>
        <w:t xml:space="preserve"> </w:t>
      </w:r>
      <w:r>
        <w:rPr>
          <w:i/>
        </w:rPr>
        <w:t>(StockOracle → Company Metrics → Profitability Ratios [free]; Morningstar → Key Metrics → Profitability &amp; Efficiency; TradingView → CCC indicator + "Total Revenue vs Accounts Receivables" Piranha Profit script)</w:t>
      </w:r>
    </w:p>
    <w:p>
      <w:pPr>
        <w:pStyle w:val="BodyText"/>
        <w:numPr>
          <w:ilvl w:val="0"/>
          <w:numId w:val="429"/>
        </w:numPr>
        <w:tabs>
          <w:tab w:val="clear" w:pos="709"/>
          <w:tab w:val="left" w:pos="709" w:leader="none"/>
        </w:tabs>
        <w:bidi w:val="0"/>
        <w:ind w:hanging="283" w:start="709"/>
        <w:jc w:val="start"/>
        <w:rPr/>
      </w:pPr>
      <w:sdt>
        <w:sdtPr>
          <w:id w:val="407486358"/>
          <w14:checkbox>
            <w14:checked w14:val="0"/>
            <w14:checkedState w14:val="2612"/>
            <w14:uncheckedState w14:val="2610"/>
          </w14:checkbox>
        </w:sdtPr>
        <w:sdtContent>
          <w:r>
            <w:rPr/>
          </w:r>
          <w:r>
            <w:rPr/>
            <w:t>☐</w:t>
          </w:r>
        </w:sdtContent>
      </w:sdt>
      <w:r>
        <w:rPr/>
        <w:t xml:space="preserve"> </w:t>
      </w:r>
      <w:r>
        <w:rPr>
          <w:b/>
        </w:rPr>
        <w:t>ROE ≥ 12%</w:t>
      </w:r>
      <w:r>
        <w:rPr/>
        <w:t xml:space="preserve"> (very profitable) — </w:t>
      </w:r>
      <w:r>
        <w:rPr>
          <w:b/>
        </w:rPr>
        <w:t>&gt; 15% = super exceptional</w:t>
      </w:r>
    </w:p>
    <w:p>
      <w:pPr>
        <w:pStyle w:val="BodyText"/>
        <w:numPr>
          <w:ilvl w:val="0"/>
          <w:numId w:val="429"/>
        </w:numPr>
        <w:tabs>
          <w:tab w:val="clear" w:pos="709"/>
          <w:tab w:val="left" w:pos="709" w:leader="none"/>
        </w:tabs>
        <w:bidi w:val="0"/>
        <w:ind w:hanging="283" w:start="709"/>
        <w:jc w:val="start"/>
        <w:rPr/>
      </w:pPr>
      <w:sdt>
        <w:sdtPr>
          <w:id w:val="1412745473"/>
          <w14:checkbox>
            <w14:checked w14:val="0"/>
            <w14:checkedState w14:val="2612"/>
            <w14:uncheckedState w14:val="2610"/>
          </w14:checkbox>
        </w:sdtPr>
        <w:sdtContent>
          <w:r>
            <w:rPr/>
          </w:r>
          <w:r>
            <w:rPr/>
            <w:t>☐</w:t>
          </w:r>
        </w:sdtContent>
      </w:sdt>
      <w:r>
        <w:rPr/>
        <w:t xml:space="preserve"> </w:t>
      </w:r>
      <w:r>
        <w:rPr>
          <w:b/>
        </w:rPr>
        <w:t>ROIC ≥ 12%</w:t>
      </w:r>
      <w:r>
        <w:rPr/>
        <w:t xml:space="preserve"> (good) — </w:t>
      </w:r>
      <w:r>
        <w:rPr>
          <w:b/>
        </w:rPr>
        <w:t>≥ 15% = excellent</w:t>
      </w:r>
    </w:p>
    <w:p>
      <w:pPr>
        <w:pStyle w:val="BodyText"/>
        <w:numPr>
          <w:ilvl w:val="0"/>
          <w:numId w:val="429"/>
        </w:numPr>
        <w:tabs>
          <w:tab w:val="clear" w:pos="709"/>
          <w:tab w:val="left" w:pos="709" w:leader="none"/>
        </w:tabs>
        <w:bidi w:val="0"/>
        <w:ind w:hanging="283" w:start="709"/>
        <w:jc w:val="start"/>
        <w:rPr/>
      </w:pPr>
      <w:sdt>
        <w:sdtPr>
          <w:id w:val="531812223"/>
          <w14:checkbox>
            <w14:checked w14:val="0"/>
            <w14:checkedState w14:val="2612"/>
            <w14:uncheckedState w14:val="2610"/>
          </w14:checkbox>
        </w:sdtPr>
        <w:sdtContent>
          <w:r>
            <w:rPr/>
          </w:r>
          <w:r>
            <w:rPr/>
            <w:t>☐</w:t>
          </w:r>
        </w:sdtContent>
      </w:sdt>
      <w:r>
        <w:rPr/>
        <w:t xml:space="preserve"> </w:t>
      </w:r>
      <w:r>
        <w:rPr/>
        <w:t xml:space="preserve">ROE/ROIC trend </w:t>
      </w:r>
      <w:r>
        <w:rPr>
          <w:b/>
        </w:rPr>
        <w:t>consistent or rising</w:t>
      </w:r>
      <w:r>
        <w:rPr/>
        <w:t xml:space="preserve">, and </w:t>
      </w:r>
      <w:r>
        <w:rPr>
          <w:b/>
        </w:rPr>
        <w:t>current ≥ 5-year average</w:t>
      </w:r>
      <w:r>
        <w:rPr/>
        <w:t xml:space="preserve"> (consistently declining = warning)</w:t>
      </w:r>
    </w:p>
    <w:p>
      <w:pPr>
        <w:pStyle w:val="BodyText"/>
        <w:numPr>
          <w:ilvl w:val="0"/>
          <w:numId w:val="429"/>
        </w:numPr>
        <w:tabs>
          <w:tab w:val="clear" w:pos="709"/>
          <w:tab w:val="left" w:pos="709" w:leader="none"/>
        </w:tabs>
        <w:bidi w:val="0"/>
        <w:ind w:hanging="283" w:start="709"/>
        <w:jc w:val="start"/>
        <w:rPr/>
      </w:pPr>
      <w:sdt>
        <w:sdtPr>
          <w:id w:val="1591001802"/>
          <w14:checkbox>
            <w14:checked w14:val="0"/>
            <w14:checkedState w14:val="2612"/>
            <w14:uncheckedState w14:val="2610"/>
          </w14:checkbox>
        </w:sdtPr>
        <w:sdtContent>
          <w:r>
            <w:rPr/>
          </w:r>
          <w:r>
            <w:rPr/>
            <w:t>☐</w:t>
          </w:r>
        </w:sdtContent>
      </w:sdt>
      <w:r>
        <w:rPr/>
        <w:t xml:space="preserve"> </w:t>
      </w:r>
      <w:r>
        <w:rPr>
          <w:b/>
        </w:rPr>
        <w:t>Sales revenue growing FASTER than accounts receivable</w:t>
      </w:r>
    </w:p>
    <w:p>
      <w:pPr>
        <w:pStyle w:val="BodyText"/>
        <w:numPr>
          <w:ilvl w:val="0"/>
          <w:numId w:val="429"/>
        </w:numPr>
        <w:tabs>
          <w:tab w:val="clear" w:pos="709"/>
          <w:tab w:val="left" w:pos="709" w:leader="none"/>
        </w:tabs>
        <w:bidi w:val="0"/>
        <w:ind w:hanging="283" w:start="709"/>
        <w:jc w:val="start"/>
        <w:rPr/>
      </w:pPr>
      <w:sdt>
        <w:sdtPr>
          <w:id w:val="189744341"/>
          <w14:checkbox>
            <w14:checked w14:val="0"/>
            <w14:checkedState w14:val="2612"/>
            <w14:uncheckedState w14:val="2610"/>
          </w14:checkbox>
        </w:sdtPr>
        <w:sdtContent>
          <w:r>
            <w:rPr/>
          </w:r>
          <w:r>
            <w:rPr/>
            <w:t>☐</w:t>
          </w:r>
        </w:sdtContent>
      </w:sdt>
      <w:r>
        <w:rPr/>
        <w:t xml:space="preserve"> </w:t>
      </w:r>
      <w:r>
        <w:rPr>
          <w:b/>
        </w:rPr>
        <w:t>Cash conversion cycle consistent or declining</w:t>
      </w:r>
      <w:r>
        <w:rPr/>
        <w:t xml:space="preserve"> (not sharply rising); </w:t>
      </w:r>
      <w:r>
        <w:rPr>
          <w:b/>
        </w:rPr>
        <w:t>negative CCC = fantastic</w:t>
      </w:r>
    </w:p>
    <w:p>
      <w:pPr>
        <w:pStyle w:val="BodyText"/>
        <w:numPr>
          <w:ilvl w:val="0"/>
          <w:numId w:val="429"/>
        </w:numPr>
        <w:tabs>
          <w:tab w:val="clear" w:pos="709"/>
          <w:tab w:val="left" w:pos="709" w:leader="none"/>
        </w:tabs>
        <w:bidi w:val="0"/>
        <w:ind w:hanging="283" w:start="709"/>
        <w:jc w:val="start"/>
        <w:rPr/>
      </w:pPr>
      <w:r>
        <w:rPr>
          <w:b/>
        </w:rPr>
        <w:t>Exception:</w:t>
      </w:r>
      <w:r>
        <w:rPr/>
        <w:t xml:space="preserve"> </w:t>
      </w:r>
      <w:r>
        <w:rPr>
          <w:b/>
        </w:rPr>
        <w:t>banks, insurance companies, regulated utilities → use ROE only, skip ROIC</w:t>
      </w:r>
      <w:r>
        <w:rPr/>
        <w:t xml:space="preserve"> (they would all fail it)</w:t>
      </w:r>
    </w:p>
    <w:p>
      <w:pPr>
        <w:pStyle w:val="BodyText"/>
        <w:bidi w:val="0"/>
        <w:jc w:val="start"/>
        <w:rPr/>
      </w:pPr>
      <w:r>
        <w:rPr>
          <w:b/>
        </w:rPr>
        <w:t>STEP 5 — Conservative Debt Structure</w:t>
      </w:r>
      <w:r>
        <w:rPr/>
        <w:t xml:space="preserve"> </w:t>
      </w:r>
      <w:r>
        <w:rPr>
          <w:i/>
        </w:rPr>
        <w:t>(StockOracle → Company Metrics → Debt &amp; Liquidity Ratios [free]; StockOracle → Overview → Financial Strength for CET1)</w:t>
      </w:r>
    </w:p>
    <w:p>
      <w:pPr>
        <w:pStyle w:val="BodyText"/>
        <w:numPr>
          <w:ilvl w:val="0"/>
          <w:numId w:val="430"/>
        </w:numPr>
        <w:tabs>
          <w:tab w:val="clear" w:pos="709"/>
          <w:tab w:val="left" w:pos="709" w:leader="none"/>
        </w:tabs>
        <w:bidi w:val="0"/>
        <w:ind w:hanging="283" w:start="709"/>
        <w:jc w:val="start"/>
        <w:rPr/>
      </w:pPr>
      <w:sdt>
        <w:sdtPr>
          <w:id w:val="2052355810"/>
          <w14:checkbox>
            <w14:checked w14:val="0"/>
            <w14:checkedState w14:val="2612"/>
            <w14:uncheckedState w14:val="2610"/>
          </w14:checkbox>
        </w:sdtPr>
        <w:sdtContent>
          <w:r>
            <w:rPr/>
          </w:r>
          <w:r>
            <w:rPr/>
            <w:t>☐</w:t>
          </w:r>
        </w:sdtContent>
      </w:sdt>
      <w:r>
        <w:rPr/>
        <w:t xml:space="preserve"> </w:t>
      </w:r>
      <w:r>
        <w:rPr>
          <w:b/>
        </w:rPr>
        <w:t>Current ratio &gt; 1</w:t>
      </w:r>
      <w:r>
        <w:rPr/>
        <w:t xml:space="preserve"> </w:t>
      </w:r>
      <w:r>
        <w:rPr>
          <w:i/>
        </w:rPr>
        <w:t>(exception: upfront-collecting subscription models — ServiceNow, Apple — where deferred revenue inflates current liabilities; &lt;1 is OK there)</w:t>
      </w:r>
    </w:p>
    <w:p>
      <w:pPr>
        <w:pStyle w:val="BodyText"/>
        <w:numPr>
          <w:ilvl w:val="0"/>
          <w:numId w:val="430"/>
        </w:numPr>
        <w:tabs>
          <w:tab w:val="clear" w:pos="709"/>
          <w:tab w:val="left" w:pos="709" w:leader="none"/>
        </w:tabs>
        <w:bidi w:val="0"/>
        <w:ind w:hanging="283" w:start="709"/>
        <w:jc w:val="start"/>
        <w:rPr/>
      </w:pPr>
      <w:sdt>
        <w:sdtPr>
          <w:id w:val="88208184"/>
          <w14:checkbox>
            <w14:checked w14:val="0"/>
            <w14:checkedState w14:val="2612"/>
            <w14:uncheckedState w14:val="2610"/>
          </w14:checkbox>
        </w:sdtPr>
        <w:sdtContent>
          <w:r>
            <w:rPr/>
          </w:r>
          <w:r>
            <w:rPr/>
            <w:t>☐</w:t>
          </w:r>
        </w:sdtContent>
      </w:sdt>
      <w:r>
        <w:rPr/>
        <w:t xml:space="preserve"> </w:t>
      </w:r>
      <w:r>
        <w:rPr>
          <w:b/>
        </w:rPr>
        <w:t>Debt / EBITDA ≤ 3</w:t>
      </w:r>
      <w:r>
        <w:rPr/>
        <w:t xml:space="preserve"> (all debt repayable from profits within 3 years)</w:t>
      </w:r>
    </w:p>
    <w:p>
      <w:pPr>
        <w:pStyle w:val="BodyText"/>
        <w:numPr>
          <w:ilvl w:val="0"/>
          <w:numId w:val="430"/>
        </w:numPr>
        <w:tabs>
          <w:tab w:val="clear" w:pos="709"/>
          <w:tab w:val="left" w:pos="709" w:leader="none"/>
        </w:tabs>
        <w:bidi w:val="0"/>
        <w:ind w:hanging="283" w:start="709"/>
        <w:jc w:val="start"/>
        <w:rPr/>
      </w:pPr>
      <w:sdt>
        <w:sdtPr>
          <w:id w:val="686611757"/>
          <w14:checkbox>
            <w14:checked w14:val="0"/>
            <w14:checkedState w14:val="2612"/>
            <w14:uncheckedState w14:val="2610"/>
          </w14:checkbox>
        </w:sdtPr>
        <w:sdtContent>
          <w:r>
            <w:rPr/>
          </w:r>
          <w:r>
            <w:rPr/>
            <w:t>☐</w:t>
          </w:r>
        </w:sdtContent>
      </w:sdt>
      <w:r>
        <w:rPr/>
        <w:t xml:space="preserve"> </w:t>
      </w:r>
      <w:r>
        <w:rPr>
          <w:b/>
        </w:rPr>
        <w:t>Debt servicing ratio &lt; 30%</w:t>
      </w:r>
      <w:r>
        <w:rPr/>
        <w:t xml:space="preserve"> = interest expense ÷ cash flow from operations × 100%</w:t>
      </w:r>
    </w:p>
    <w:p>
      <w:pPr>
        <w:pStyle w:val="BodyText"/>
        <w:numPr>
          <w:ilvl w:val="0"/>
          <w:numId w:val="430"/>
        </w:numPr>
        <w:tabs>
          <w:tab w:val="clear" w:pos="709"/>
          <w:tab w:val="left" w:pos="709" w:leader="none"/>
        </w:tabs>
        <w:bidi w:val="0"/>
        <w:ind w:hanging="283" w:start="709"/>
        <w:jc w:val="start"/>
        <w:rPr/>
      </w:pPr>
      <w:sdt>
        <w:sdtPr>
          <w:id w:val="1013032124"/>
          <w14:checkbox>
            <w14:checked w14:val="0"/>
            <w14:checkedState w14:val="2612"/>
            <w14:uncheckedState w14:val="2610"/>
          </w14:checkbox>
        </w:sdtPr>
        <w:sdtContent>
          <w:r>
            <w:rPr/>
          </w:r>
          <w:r>
            <w:rPr/>
            <w:t>☐</w:t>
          </w:r>
        </w:sdtContent>
      </w:sdt>
      <w:r>
        <w:rPr/>
        <w:t xml:space="preserve"> </w:t>
      </w:r>
      <w:r>
        <w:rPr>
          <w:b/>
        </w:rPr>
        <w:t>Interest coverage ratio &gt; 3 (OK) / &gt; 5 (very safe)</w:t>
      </w:r>
    </w:p>
    <w:p>
      <w:pPr>
        <w:pStyle w:val="BodyText"/>
        <w:numPr>
          <w:ilvl w:val="0"/>
          <w:numId w:val="430"/>
        </w:numPr>
        <w:tabs>
          <w:tab w:val="clear" w:pos="709"/>
          <w:tab w:val="left" w:pos="709" w:leader="none"/>
        </w:tabs>
        <w:bidi w:val="0"/>
        <w:ind w:hanging="283" w:start="709"/>
        <w:jc w:val="start"/>
        <w:rPr/>
      </w:pPr>
      <w:r>
        <w:rPr>
          <w:b/>
        </w:rPr>
        <w:t>Exceptions:</w:t>
      </w:r>
      <w:r>
        <w:rPr/>
        <w:t xml:space="preserve"> </w:t>
      </w:r>
      <w:r>
        <w:rPr>
          <w:b/>
        </w:rPr>
        <w:t>Banks → CET1 ratio &gt; 10%.</w:t>
      </w:r>
      <w:r>
        <w:rPr/>
        <w:t xml:space="preserve"> </w:t>
      </w:r>
      <w:r>
        <w:rPr>
          <w:b/>
        </w:rPr>
        <w:t>REITs → gearing ratio (total debt ÷ total assets) ≤ 45%, ideally &lt; 40%.</w:t>
      </w:r>
    </w:p>
    <w:p>
      <w:pPr>
        <w:pStyle w:val="BlockQuotation"/>
        <w:bidi w:val="0"/>
        <w:jc w:val="start"/>
        <w:rPr/>
      </w:pPr>
      <w:r>
        <w:rPr/>
        <w:t xml:space="preserve">✅ </w:t>
      </w:r>
      <w:r>
        <w:rPr>
          <w:b/>
        </w:rPr>
        <w:t>Passed Steps 1–5?</w:t>
      </w:r>
      <w:r>
        <w:rPr/>
        <w:t xml:space="preserve"> → It's a great business → </w:t>
      </w:r>
      <w:r>
        <w:rPr>
          <w:b/>
        </w:rPr>
        <w:t>ADD TO WATCH LIST. DO NOT BUY YET.</w:t>
      </w:r>
    </w:p>
    <w:p>
      <w:pPr>
        <w:pStyle w:val="HorizontalLine"/>
        <w:bidi w:val="0"/>
        <w:jc w:val="start"/>
        <w:rPr/>
      </w:pPr>
      <w:r>
        <w:rPr/>
      </w:r>
    </w:p>
    <w:p>
      <w:pPr>
        <w:pStyle w:val="Heading4"/>
        <w:bidi w:val="0"/>
        <w:ind w:hanging="0" w:start="0"/>
        <w:jc w:val="start"/>
        <w:rPr/>
      </w:pPr>
      <w:r>
        <w:rPr/>
        <w:t>Q2 — IS THIS A GREAT PRICE? (Step 6)</w:t>
      </w:r>
    </w:p>
    <w:p>
      <w:pPr>
        <w:pStyle w:val="BodyText"/>
        <w:bidi w:val="0"/>
        <w:jc w:val="start"/>
        <w:rPr/>
      </w:pPr>
      <w:r>
        <w:rPr>
          <w:b/>
        </w:rPr>
        <w:t>STEP 6 — Undervalued vs Intrinsic Value</w:t>
      </w:r>
      <w:r>
        <w:rPr/>
        <w:t xml:space="preserve"> </w:t>
      </w:r>
      <w:r>
        <w:rPr>
          <w:i/>
        </w:rPr>
        <w:t>(StockOracle → Intrinsic Value tab; StockOracle Pro → Oracle Value [normalizes capex]; manual intrinsic value calculators)</w:t>
      </w:r>
    </w:p>
    <w:p>
      <w:pPr>
        <w:pStyle w:val="BodyText"/>
        <w:numPr>
          <w:ilvl w:val="0"/>
          <w:numId w:val="431"/>
        </w:numPr>
        <w:tabs>
          <w:tab w:val="clear" w:pos="709"/>
          <w:tab w:val="left" w:pos="709" w:leader="none"/>
        </w:tabs>
        <w:bidi w:val="0"/>
        <w:ind w:hanging="283" w:start="709"/>
        <w:jc w:val="start"/>
        <w:rPr/>
      </w:pPr>
      <w:sdt>
        <w:sdtPr>
          <w:id w:val="1889519227"/>
          <w14:checkbox>
            <w14:checked w14:val="0"/>
            <w14:checkedState w14:val="2612"/>
            <w14:uncheckedState w14:val="2610"/>
          </w14:checkbox>
        </w:sdtPr>
        <w:sdtContent>
          <w:r>
            <w:rPr/>
          </w:r>
          <w:r>
            <w:rPr/>
            <w:t>☐</w:t>
          </w:r>
        </w:sdtContent>
      </w:sdt>
      <w:r>
        <w:rPr/>
        <w:t xml:space="preserve"> </w:t>
      </w:r>
      <w:r>
        <w:rPr>
          <w:b/>
        </w:rPr>
        <w:t>Share price &lt; intrinsic value</w:t>
      </w:r>
      <w:r>
        <w:rPr/>
        <w:t xml:space="preserve"> → the bigger the gap, the bigger the margin of safety</w:t>
      </w:r>
    </w:p>
    <w:p>
      <w:pPr>
        <w:pStyle w:val="BodyText"/>
        <w:numPr>
          <w:ilvl w:val="0"/>
          <w:numId w:val="431"/>
        </w:numPr>
        <w:tabs>
          <w:tab w:val="clear" w:pos="709"/>
          <w:tab w:val="left" w:pos="709" w:leader="none"/>
        </w:tabs>
        <w:bidi w:val="0"/>
        <w:spacing w:before="0" w:after="0"/>
        <w:ind w:hanging="283" w:start="709"/>
        <w:jc w:val="start"/>
        <w:rPr/>
      </w:pPr>
      <w:sdt>
        <w:sdtPr>
          <w:id w:val="1360577875"/>
          <w14:checkbox>
            <w14:checked w14:val="0"/>
            <w14:checkedState w14:val="2612"/>
            <w14:uncheckedState w14:val="2610"/>
          </w14:checkbox>
        </w:sdtPr>
        <w:sdtContent>
          <w:r>
            <w:rPr/>
          </w:r>
          <w:r>
            <w:rPr/>
            <w:t>☐</w:t>
          </w:r>
        </w:sdtContent>
      </w:sdt>
      <w:r>
        <w:rPr/>
        <w:t xml:space="preserve"> </w:t>
      </w:r>
      <w:r>
        <w:rPr/>
        <w:t xml:space="preserve">Use the </w:t>
      </w:r>
      <w:r>
        <w:rPr>
          <w:b/>
        </w:rPr>
        <w:t>right method for the business type</w:t>
      </w:r>
      <w:r>
        <w:rPr/>
        <w:t>:</w:t>
      </w:r>
    </w:p>
    <w:p>
      <w:pPr>
        <w:pStyle w:val="BodyText"/>
        <w:numPr>
          <w:ilvl w:val="1"/>
          <w:numId w:val="431"/>
        </w:numPr>
        <w:tabs>
          <w:tab w:val="clear" w:pos="709"/>
          <w:tab w:val="left" w:pos="1418" w:leader="none"/>
        </w:tabs>
        <w:bidi w:val="0"/>
        <w:ind w:hanging="283" w:start="1418"/>
        <w:jc w:val="start"/>
        <w:rPr/>
      </w:pPr>
      <w:sdt>
        <w:sdtPr>
          <w:id w:val="141776075"/>
          <w14:checkbox>
            <w14:checked w14:val="0"/>
            <w14:checkedState w14:val="2612"/>
            <w14:uncheckedState w14:val="2610"/>
          </w14:checkbox>
        </w:sdtPr>
        <w:sdtContent>
          <w:r>
            <w:rPr/>
          </w:r>
          <w:r>
            <w:rPr/>
            <w:t>☐</w:t>
          </w:r>
        </w:sdtContent>
      </w:sdt>
      <w:r>
        <w:rPr/>
        <w:t xml:space="preserve"> </w:t>
      </w:r>
      <w:r>
        <w:rPr>
          <w:b/>
        </w:rPr>
        <w:t>Normal company → DCF</w:t>
      </w:r>
      <w:r>
        <w:rPr/>
        <w:t xml:space="preserve"> (project 20 years of cash, discount to present value). </w:t>
      </w:r>
      <w:r>
        <w:rPr>
          <w:i/>
        </w:rPr>
        <w:t>Requires consistently rising CFO.</w:t>
      </w:r>
    </w:p>
    <w:p>
      <w:pPr>
        <w:pStyle w:val="BodyText"/>
        <w:numPr>
          <w:ilvl w:val="1"/>
          <w:numId w:val="431"/>
        </w:numPr>
        <w:tabs>
          <w:tab w:val="clear" w:pos="709"/>
          <w:tab w:val="left" w:pos="1418" w:leader="none"/>
        </w:tabs>
        <w:bidi w:val="0"/>
        <w:ind w:hanging="283" w:start="1418"/>
        <w:jc w:val="start"/>
        <w:rPr/>
      </w:pPr>
      <w:sdt>
        <w:sdtPr>
          <w:id w:val="1878942645"/>
          <w14:checkbox>
            <w14:checked w14:val="0"/>
            <w14:checkedState w14:val="2612"/>
            <w14:uncheckedState w14:val="2610"/>
          </w14:checkbox>
        </w:sdtPr>
        <w:sdtContent>
          <w:r>
            <w:rPr/>
          </w:r>
          <w:r>
            <w:rPr/>
            <w:t>☐</w:t>
          </w:r>
        </w:sdtContent>
      </w:sdt>
      <w:r>
        <w:rPr/>
        <w:t xml:space="preserve"> </w:t>
      </w:r>
      <w:r>
        <w:rPr>
          <w:i/>
        </w:rPr>
        <w:t>CFO inconsistent, earnings consistent → Discounted Net Income. Requires net income rising consistently for ≥5 years.</w:t>
      </w:r>
    </w:p>
    <w:p>
      <w:pPr>
        <w:pStyle w:val="BodyText"/>
        <w:numPr>
          <w:ilvl w:val="1"/>
          <w:numId w:val="431"/>
        </w:numPr>
        <w:tabs>
          <w:tab w:val="clear" w:pos="709"/>
          <w:tab w:val="left" w:pos="1418" w:leader="none"/>
        </w:tabs>
        <w:bidi w:val="0"/>
        <w:ind w:hanging="283" w:start="1418"/>
        <w:jc w:val="start"/>
        <w:rPr/>
      </w:pPr>
      <w:sdt>
        <w:sdtPr>
          <w:id w:val="607956684"/>
          <w14:checkbox>
            <w14:checked w14:val="0"/>
            <w14:checkedState w14:val="2612"/>
            <w14:uncheckedState w14:val="2610"/>
          </w14:checkbox>
        </w:sdtPr>
        <w:sdtContent>
          <w:r>
            <w:rPr/>
          </w:r>
          <w:r>
            <w:rPr/>
            <w:t>☐</w:t>
          </w:r>
        </w:sdtContent>
      </w:sdt>
      <w:r>
        <w:rPr/>
        <w:t xml:space="preserve"> </w:t>
      </w:r>
      <w:r>
        <w:rPr>
          <w:b/>
        </w:rPr>
        <w:t>Both inconsistent → DO NOT BUY</w:t>
      </w:r>
      <w:r>
        <w:rPr/>
        <w:t xml:space="preserve"> (it should already have failed Step 1)</w:t>
      </w:r>
    </w:p>
    <w:p>
      <w:pPr>
        <w:pStyle w:val="BodyText"/>
        <w:numPr>
          <w:ilvl w:val="1"/>
          <w:numId w:val="431"/>
        </w:numPr>
        <w:tabs>
          <w:tab w:val="clear" w:pos="709"/>
          <w:tab w:val="left" w:pos="1418" w:leader="none"/>
        </w:tabs>
        <w:bidi w:val="0"/>
        <w:ind w:hanging="283" w:start="1418"/>
        <w:jc w:val="start"/>
        <w:rPr/>
      </w:pPr>
      <w:sdt>
        <w:sdtPr>
          <w:id w:val="562183425"/>
          <w14:checkbox>
            <w14:checked w14:val="0"/>
            <w14:checkedState w14:val="2612"/>
            <w14:uncheckedState w14:val="2610"/>
          </w14:checkbox>
        </w:sdtPr>
        <w:sdtContent>
          <w:r>
            <w:rPr/>
          </w:r>
          <w:r>
            <w:rPr/>
            <w:t>☐</w:t>
          </w:r>
        </w:sdtContent>
      </w:sdt>
      <w:r>
        <w:rPr/>
        <w:t xml:space="preserve"> </w:t>
      </w:r>
      <w:r>
        <w:rPr>
          <w:b/>
        </w:rPr>
        <w:t>Bank → 5-year average P/B × current book value per share</w:t>
      </w:r>
    </w:p>
    <w:p>
      <w:pPr>
        <w:pStyle w:val="BodyText"/>
        <w:numPr>
          <w:ilvl w:val="1"/>
          <w:numId w:val="431"/>
        </w:numPr>
        <w:tabs>
          <w:tab w:val="clear" w:pos="709"/>
          <w:tab w:val="left" w:pos="1418" w:leader="none"/>
        </w:tabs>
        <w:bidi w:val="0"/>
        <w:ind w:hanging="283" w:start="1418"/>
        <w:jc w:val="start"/>
        <w:rPr/>
      </w:pPr>
      <w:sdt>
        <w:sdtPr>
          <w:id w:val="1786806212"/>
          <w14:checkbox>
            <w14:checked w14:val="0"/>
            <w14:checkedState w14:val="2612"/>
            <w14:uncheckedState w14:val="2610"/>
          </w14:checkbox>
        </w:sdtPr>
        <w:sdtContent>
          <w:r>
            <w:rPr/>
          </w:r>
          <w:r>
            <w:rPr/>
            <w:t>☐</w:t>
          </w:r>
        </w:sdtContent>
      </w:sdt>
      <w:r>
        <w:rPr/>
        <w:t xml:space="preserve"> </w:t>
      </w:r>
      <w:r>
        <w:rPr>
          <w:b/>
        </w:rPr>
        <w:t>REIT → 5- or 10-year average P/NAV × current NAV per share</w:t>
      </w:r>
      <w:r>
        <w:rPr/>
        <w:t xml:space="preserve">; plus </w:t>
      </w:r>
      <w:r>
        <w:rPr>
          <w:b/>
        </w:rPr>
        <w:t>≥5% dividend yield</w:t>
      </w:r>
      <w:r>
        <w:rPr/>
        <w:t xml:space="preserve"> for Singapore-listed REITs</w:t>
      </w:r>
    </w:p>
    <w:p>
      <w:pPr>
        <w:pStyle w:val="BodyText"/>
        <w:numPr>
          <w:ilvl w:val="1"/>
          <w:numId w:val="431"/>
        </w:numPr>
        <w:tabs>
          <w:tab w:val="clear" w:pos="709"/>
          <w:tab w:val="left" w:pos="1418" w:leader="none"/>
        </w:tabs>
        <w:bidi w:val="0"/>
        <w:ind w:hanging="283" w:start="1418"/>
        <w:jc w:val="start"/>
        <w:rPr/>
      </w:pPr>
      <w:sdt>
        <w:sdtPr>
          <w:id w:val="1906914593"/>
          <w14:checkbox>
            <w14:checked w14:val="0"/>
            <w14:checkedState w14:val="2612"/>
            <w14:uncheckedState w14:val="2610"/>
          </w14:checkbox>
        </w:sdtPr>
        <w:sdtContent>
          <w:r>
            <w:rPr/>
          </w:r>
          <w:r>
            <w:rPr/>
            <w:t>☐</w:t>
          </w:r>
        </w:sdtContent>
      </w:sdt>
      <w:r>
        <w:rPr/>
        <w:t xml:space="preserve"> </w:t>
      </w:r>
      <w:r>
        <w:rPr>
          <w:b/>
        </w:rPr>
        <w:t>Speculative growth → 5-year average P/S × current revenue per share</w:t>
      </w:r>
      <w:r>
        <w:rPr/>
        <w:t xml:space="preserve">, or </w:t>
      </w:r>
      <w:r>
        <w:rPr>
          <w:b/>
        </w:rPr>
        <w:t>P/S ÷ projected revenue growth: &lt;0.2 undervalued · 0.2–0.3 fair · &gt;0.3 overvalued</w:t>
      </w:r>
    </w:p>
    <w:p>
      <w:pPr>
        <w:pStyle w:val="BodyText"/>
        <w:numPr>
          <w:ilvl w:val="0"/>
          <w:numId w:val="431"/>
        </w:numPr>
        <w:tabs>
          <w:tab w:val="clear" w:pos="709"/>
          <w:tab w:val="left" w:pos="709" w:leader="none"/>
        </w:tabs>
        <w:bidi w:val="0"/>
        <w:ind w:hanging="283" w:start="709"/>
        <w:jc w:val="start"/>
        <w:rPr/>
      </w:pPr>
      <w:sdt>
        <w:sdtPr>
          <w:id w:val="1630715152"/>
          <w14:checkbox>
            <w14:checked w14:val="0"/>
            <w14:checkedState w14:val="2612"/>
            <w14:uncheckedState w14:val="2610"/>
          </w14:checkbox>
        </w:sdtPr>
        <w:sdtContent>
          <w:r>
            <w:rPr/>
          </w:r>
          <w:r>
            <w:rPr/>
            <w:t>☐</w:t>
          </w:r>
        </w:sdtContent>
      </w:sdt>
      <w:r>
        <w:rPr/>
        <w:t xml:space="preserve"> ❌ </w:t>
      </w:r>
      <w:r>
        <w:rPr>
          <w:b/>
        </w:rPr>
        <w:t>Do not buy a great business at an overvalued price</w:t>
      </w:r>
      <w:r>
        <w:rPr/>
        <w:t xml:space="preserve"> — break-even can take years</w:t>
      </w:r>
    </w:p>
    <w:p>
      <w:pPr>
        <w:pStyle w:val="HorizontalLine"/>
        <w:bidi w:val="0"/>
        <w:jc w:val="start"/>
        <w:rPr/>
      </w:pPr>
      <w:r>
        <w:rPr/>
      </w:r>
    </w:p>
    <w:p>
      <w:pPr>
        <w:pStyle w:val="Heading4"/>
        <w:bidi w:val="0"/>
        <w:ind w:hanging="0" w:start="0"/>
        <w:jc w:val="start"/>
        <w:rPr/>
      </w:pPr>
      <w:r>
        <w:rPr/>
        <w:t>Q3 — IS THIS A GREAT POINT OF ENTRY? (Step 7)</w:t>
      </w:r>
    </w:p>
    <w:p>
      <w:pPr>
        <w:pStyle w:val="BodyText"/>
        <w:bidi w:val="0"/>
        <w:jc w:val="start"/>
        <w:rPr/>
      </w:pPr>
      <w:r>
        <w:rPr>
          <w:b/>
        </w:rPr>
        <w:t>STEP 7 — Buy the Wave Down into Support, in Tranches</w:t>
      </w:r>
      <w:r>
        <w:rPr/>
        <w:t xml:space="preserve"> </w:t>
      </w:r>
      <w:r>
        <w:rPr>
          <w:i/>
        </w:rPr>
        <w:t>(TradingView charts — daily, weekly, monthly)</w:t>
      </w:r>
    </w:p>
    <w:p>
      <w:pPr>
        <w:pStyle w:val="BodyText"/>
        <w:numPr>
          <w:ilvl w:val="0"/>
          <w:numId w:val="432"/>
        </w:numPr>
        <w:tabs>
          <w:tab w:val="clear" w:pos="709"/>
          <w:tab w:val="left" w:pos="709" w:leader="none"/>
        </w:tabs>
        <w:bidi w:val="0"/>
        <w:ind w:hanging="283" w:start="709"/>
        <w:jc w:val="start"/>
        <w:rPr/>
      </w:pPr>
      <w:sdt>
        <w:sdtPr>
          <w:id w:val="1814931506"/>
          <w14:checkbox>
            <w14:checked w14:val="0"/>
            <w14:checkedState w14:val="2612"/>
            <w14:uncheckedState w14:val="2610"/>
          </w14:checkbox>
        </w:sdtPr>
        <w:sdtContent>
          <w:r>
            <w:rPr/>
          </w:r>
          <w:r>
            <w:rPr/>
            <w:t>☐</w:t>
          </w:r>
        </w:sdtContent>
      </w:sdt>
      <w:r>
        <w:rPr/>
        <w:t xml:space="preserve"> ❌ </w:t>
      </w:r>
      <w:r>
        <w:rPr>
          <w:b/>
        </w:rPr>
        <w:t>NEVER buy during a wave up. Never chase.</w:t>
      </w:r>
      <w:r>
        <w:rPr/>
        <w:t xml:space="preserve"> Wait for the stock to come to you.</w:t>
      </w:r>
    </w:p>
    <w:p>
      <w:pPr>
        <w:pStyle w:val="BodyText"/>
        <w:numPr>
          <w:ilvl w:val="0"/>
          <w:numId w:val="432"/>
        </w:numPr>
        <w:tabs>
          <w:tab w:val="clear" w:pos="709"/>
          <w:tab w:val="left" w:pos="709" w:leader="none"/>
        </w:tabs>
        <w:bidi w:val="0"/>
        <w:spacing w:before="0" w:after="0"/>
        <w:ind w:hanging="283" w:start="709"/>
        <w:jc w:val="start"/>
        <w:rPr/>
      </w:pPr>
      <w:sdt>
        <w:sdtPr>
          <w:id w:val="1126718586"/>
          <w14:checkbox>
            <w14:checked w14:val="0"/>
            <w14:checkedState w14:val="2612"/>
            <w14:uncheckedState w14:val="2610"/>
          </w14:checkbox>
        </w:sdtPr>
        <w:sdtContent>
          <w:r>
            <w:rPr/>
          </w:r>
          <w:r>
            <w:rPr/>
            <w:t>☐</w:t>
          </w:r>
        </w:sdtContent>
      </w:sdt>
      <w:r>
        <w:rPr/>
        <w:t xml:space="preserve"> </w:t>
      </w:r>
      <w:r>
        <w:rPr/>
        <w:t>Identify which scenario the stock is in and use the matching trigger:</w:t>
      </w:r>
    </w:p>
    <w:p>
      <w:pPr>
        <w:pStyle w:val="BodyText"/>
        <w:numPr>
          <w:ilvl w:val="1"/>
          <w:numId w:val="432"/>
        </w:numPr>
        <w:tabs>
          <w:tab w:val="clear" w:pos="709"/>
          <w:tab w:val="left" w:pos="1418" w:leader="none"/>
        </w:tabs>
        <w:bidi w:val="0"/>
        <w:ind w:hanging="283" w:start="1418"/>
        <w:jc w:val="start"/>
        <w:rPr/>
      </w:pPr>
      <w:sdt>
        <w:sdtPr>
          <w:id w:val="1573155721"/>
          <w14:checkbox>
            <w14:checked w14:val="0"/>
            <w14:checkedState w14:val="2612"/>
            <w14:uncheckedState w14:val="2610"/>
          </w14:checkbox>
        </w:sdtPr>
        <w:sdtContent>
          <w:r>
            <w:rPr/>
          </w:r>
          <w:r>
            <w:rPr/>
            <w:t>☐</w:t>
          </w:r>
        </w:sdtContent>
      </w:sdt>
      <w:r>
        <w:rPr/>
        <w:t xml:space="preserve"> </w:t>
      </w:r>
      <w:r>
        <w:rPr>
          <w:b/>
        </w:rPr>
        <w:t>A. Dip on an uptrend</w:t>
      </w:r>
      <w:r>
        <w:rPr/>
        <w:t xml:space="preserve"> — uptrend = higher highs &amp; higher lows, 50 MA &gt; 150 MA both sloping up, price above rising 200 MA. </w:t>
      </w:r>
      <w:r>
        <w:rPr>
          <w:b/>
        </w:rPr>
        <w:t>Buy on the wave down into the 50 / 100 / 150 / 200 MA</w:t>
      </w:r>
      <w:r>
        <w:rPr/>
        <w:t xml:space="preserve"> (whichever MA that specific stock historically respects).</w:t>
      </w:r>
    </w:p>
    <w:p>
      <w:pPr>
        <w:pStyle w:val="BodyText"/>
        <w:numPr>
          <w:ilvl w:val="1"/>
          <w:numId w:val="432"/>
        </w:numPr>
        <w:tabs>
          <w:tab w:val="clear" w:pos="709"/>
          <w:tab w:val="left" w:pos="1418" w:leader="none"/>
        </w:tabs>
        <w:bidi w:val="0"/>
        <w:ind w:hanging="283" w:start="1418"/>
        <w:jc w:val="start"/>
        <w:rPr/>
      </w:pPr>
      <w:sdt>
        <w:sdtPr>
          <w:id w:val="1972249187"/>
          <w14:checkbox>
            <w14:checked w14:val="0"/>
            <w14:checkedState w14:val="2612"/>
            <w14:uncheckedState w14:val="2610"/>
          </w14:checkbox>
        </w:sdtPr>
        <w:sdtContent>
          <w:r>
            <w:rPr/>
          </w:r>
          <w:r>
            <w:rPr/>
            <w:t>☐</w:t>
          </w:r>
        </w:sdtContent>
      </w:sdt>
      <w:r>
        <w:rPr/>
        <w:t xml:space="preserve"> </w:t>
      </w:r>
      <w:r>
        <w:rPr>
          <w:b/>
        </w:rPr>
        <w:t>B. Support of a consolidation</w:t>
      </w:r>
      <w:r>
        <w:rPr/>
        <w:t xml:space="preserve"> — </w:t>
      </w:r>
      <w:r>
        <w:rPr>
          <w:b/>
        </w:rPr>
        <w:t>ignore moving averages, they are useless sideways.</w:t>
      </w:r>
      <w:r>
        <w:rPr/>
        <w:t xml:space="preserve"> Draw horizontal support/resistance from the pattern and </w:t>
      </w:r>
      <w:r>
        <w:rPr>
          <w:b/>
        </w:rPr>
        <w:t>buy each time price returns to support.</w:t>
      </w:r>
    </w:p>
    <w:p>
      <w:pPr>
        <w:pStyle w:val="BodyText"/>
        <w:numPr>
          <w:ilvl w:val="1"/>
          <w:numId w:val="432"/>
        </w:numPr>
        <w:tabs>
          <w:tab w:val="clear" w:pos="709"/>
          <w:tab w:val="left" w:pos="1418" w:leader="none"/>
        </w:tabs>
        <w:bidi w:val="0"/>
        <w:ind w:hanging="283" w:start="1418"/>
        <w:jc w:val="start"/>
        <w:rPr/>
      </w:pPr>
      <w:sdt>
        <w:sdtPr>
          <w:id w:val="2056483903"/>
          <w14:checkbox>
            <w14:checked w14:val="0"/>
            <w14:checkedState w14:val="2612"/>
            <w14:uncheckedState w14:val="2610"/>
          </w14:checkbox>
        </w:sdtPr>
        <w:sdtContent>
          <w:r>
            <w:rPr/>
          </w:r>
          <w:r>
            <w:rPr/>
            <w:t>☐</w:t>
          </w:r>
        </w:sdtContent>
      </w:sdt>
      <w:r>
        <w:rPr/>
        <w:t xml:space="preserve"> </w:t>
      </w:r>
      <w:r>
        <w:rPr>
          <w:b/>
        </w:rPr>
        <w:t>C. Reversal of a downtrend</w:t>
      </w:r>
      <w:r>
        <w:rPr/>
        <w:t xml:space="preserve"> — buy when </w:t>
      </w:r>
      <w:r>
        <w:rPr>
          <w:b/>
        </w:rPr>
        <w:t>50 MA crosses above 150 MA</w:t>
      </w:r>
      <w:r>
        <w:rPr/>
        <w:t xml:space="preserve"> and both slope up, </w:t>
      </w:r>
      <w:r>
        <w:rPr>
          <w:b/>
        </w:rPr>
        <w:t>OR</w:t>
      </w:r>
      <w:r>
        <w:rPr/>
        <w:t xml:space="preserve"> price rises above a rising </w:t>
      </w:r>
      <w:r>
        <w:rPr>
          <w:b/>
        </w:rPr>
        <w:t>200 MA</w:t>
      </w:r>
      <w:r>
        <w:rPr/>
        <w:t xml:space="preserve">, </w:t>
      </w:r>
      <w:r>
        <w:rPr>
          <w:b/>
        </w:rPr>
        <w:t>OR</w:t>
      </w:r>
      <w:r>
        <w:rPr/>
        <w:t xml:space="preserve"> price action makes a </w:t>
      </w:r>
      <w:r>
        <w:rPr>
          <w:b/>
        </w:rPr>
        <w:t>higher high AND higher low</w:t>
      </w:r>
      <w:r>
        <w:rPr/>
        <w:t xml:space="preserve">. </w:t>
      </w:r>
      <w:r>
        <w:rPr>
          <w:i/>
        </w:rPr>
        <w:t>(Pre-emptive entry allowed once higher highs/lows appear and price crosses a flattening 50 MA.)</w:t>
      </w:r>
    </w:p>
    <w:p>
      <w:pPr>
        <w:pStyle w:val="BodyText"/>
        <w:numPr>
          <w:ilvl w:val="0"/>
          <w:numId w:val="432"/>
        </w:numPr>
        <w:tabs>
          <w:tab w:val="clear" w:pos="709"/>
          <w:tab w:val="left" w:pos="709" w:leader="none"/>
        </w:tabs>
        <w:bidi w:val="0"/>
        <w:ind w:hanging="283" w:start="709"/>
        <w:jc w:val="start"/>
        <w:rPr/>
      </w:pPr>
      <w:sdt>
        <w:sdtPr>
          <w:id w:val="1265409921"/>
          <w14:checkbox>
            <w14:checked w14:val="0"/>
            <w14:checkedState w14:val="2612"/>
            <w14:uncheckedState w14:val="2610"/>
          </w14:checkbox>
        </w:sdtPr>
        <w:sdtContent>
          <w:r>
            <w:rPr/>
          </w:r>
          <w:r>
            <w:rPr/>
            <w:t>☐</w:t>
          </w:r>
        </w:sdtContent>
      </w:sdt>
      <w:r>
        <w:rPr/>
        <w:t xml:space="preserve"> </w:t>
      </w:r>
      <w:r>
        <w:rPr>
          <w:b/>
        </w:rPr>
        <w:t>Buying into a still-falling downtrend is allowed ONLY IF BOTH:</w:t>
      </w:r>
      <w:r>
        <w:rPr/>
        <w:t xml:space="preserve"> (1) price is at the </w:t>
      </w:r>
      <w:r>
        <w:rPr>
          <w:b/>
        </w:rPr>
        <w:t>low of the downtrend after a sharp ~90-degree drop</w:t>
      </w:r>
      <w:r>
        <w:rPr/>
        <w:t xml:space="preserve">, AND (2) price is at a </w:t>
      </w:r>
      <w:r>
        <w:rPr>
          <w:b/>
        </w:rPr>
        <w:t>strong support on the weekly or monthly chart</w:t>
      </w:r>
    </w:p>
    <w:p>
      <w:pPr>
        <w:pStyle w:val="BodyText"/>
        <w:numPr>
          <w:ilvl w:val="0"/>
          <w:numId w:val="432"/>
        </w:numPr>
        <w:tabs>
          <w:tab w:val="clear" w:pos="709"/>
          <w:tab w:val="left" w:pos="709" w:leader="none"/>
        </w:tabs>
        <w:bidi w:val="0"/>
        <w:ind w:hanging="283" w:start="709"/>
        <w:jc w:val="start"/>
        <w:rPr/>
      </w:pPr>
      <w:sdt>
        <w:sdtPr>
          <w:id w:val="1979279291"/>
          <w14:checkbox>
            <w14:checked w14:val="0"/>
            <w14:checkedState w14:val="2612"/>
            <w14:uncheckedState w14:val="2610"/>
          </w14:checkbox>
        </w:sdtPr>
        <w:sdtContent>
          <w:r>
            <w:rPr/>
          </w:r>
          <w:r>
            <w:rPr/>
            <w:t>☐</w:t>
          </w:r>
        </w:sdtContent>
      </w:sdt>
      <w:r>
        <w:rPr/>
        <w:t xml:space="preserve"> </w:t>
      </w:r>
      <w:r>
        <w:rPr>
          <w:b/>
        </w:rPr>
        <w:t>Map supports on ALL THREE timeframes — daily, weekly, monthly.</w:t>
      </w:r>
      <w:r>
        <w:rPr/>
        <w:t xml:space="preserve"> Support = a moving average </w:t>
      </w:r>
      <w:r>
        <w:rPr>
          <w:b/>
        </w:rPr>
        <w:t>or</w:t>
      </w:r>
      <w:r>
        <w:rPr/>
        <w:t xml:space="preserve"> a line you draw from previous swing lows.</w:t>
      </w:r>
    </w:p>
    <w:p>
      <w:pPr>
        <w:pStyle w:val="BodyText"/>
        <w:numPr>
          <w:ilvl w:val="0"/>
          <w:numId w:val="432"/>
        </w:numPr>
        <w:tabs>
          <w:tab w:val="clear" w:pos="709"/>
          <w:tab w:val="left" w:pos="709" w:leader="none"/>
        </w:tabs>
        <w:bidi w:val="0"/>
        <w:ind w:hanging="283" w:start="709"/>
        <w:jc w:val="start"/>
        <w:rPr/>
      </w:pPr>
      <w:sdt>
        <w:sdtPr>
          <w:id w:val="763888628"/>
          <w14:checkbox>
            <w14:checked w14:val="0"/>
            <w14:checkedState w14:val="2612"/>
            <w14:uncheckedState w14:val="2610"/>
          </w14:checkbox>
        </w:sdtPr>
        <w:sdtContent>
          <w:r>
            <w:rPr/>
          </w:r>
          <w:r>
            <w:rPr/>
            <w:t>☐</w:t>
          </w:r>
        </w:sdtContent>
      </w:sdt>
      <w:r>
        <w:rPr/>
        <w:t xml:space="preserve"> </w:t>
      </w:r>
      <w:r>
        <w:rPr>
          <w:b/>
        </w:rPr>
        <w:t>Set 3–4 buy levels</w:t>
      </w:r>
      <w:r>
        <w:rPr/>
        <w:t xml:space="preserve"> (that's enough)</w:t>
      </w:r>
    </w:p>
    <w:p>
      <w:pPr>
        <w:pStyle w:val="BodyText"/>
        <w:numPr>
          <w:ilvl w:val="0"/>
          <w:numId w:val="432"/>
        </w:numPr>
        <w:tabs>
          <w:tab w:val="clear" w:pos="709"/>
          <w:tab w:val="left" w:pos="709" w:leader="none"/>
        </w:tabs>
        <w:bidi w:val="0"/>
        <w:ind w:hanging="283" w:start="709"/>
        <w:jc w:val="start"/>
        <w:rPr/>
      </w:pPr>
      <w:sdt>
        <w:sdtPr>
          <w:id w:val="1343615405"/>
          <w14:checkbox>
            <w14:checked w14:val="0"/>
            <w14:checkedState w14:val="2612"/>
            <w14:uncheckedState w14:val="2610"/>
          </w14:checkbox>
        </w:sdtPr>
        <w:sdtContent>
          <w:r>
            <w:rPr/>
          </w:r>
          <w:r>
            <w:rPr/>
            <w:t>☐</w:t>
          </w:r>
        </w:sdtContent>
      </w:sdt>
      <w:r>
        <w:rPr/>
        <w:t xml:space="preserve"> </w:t>
      </w:r>
      <w:r>
        <w:rPr>
          <w:b/>
        </w:rPr>
        <w:t>Buy in 3–4 tranches</w:t>
      </w:r>
      <w:r>
        <w:rPr/>
        <w:t xml:space="preserve"> — e.g. planned 100 shares → </w:t>
      </w:r>
      <w:r>
        <w:rPr>
          <w:b/>
        </w:rPr>
        <w:t>25 shares at each level</w:t>
      </w:r>
      <w:r>
        <w:rPr/>
        <w:t xml:space="preserve">; the lower it goes, the more you buy; </w:t>
      </w:r>
      <w:r>
        <w:rPr>
          <w:b/>
        </w:rPr>
        <w:t>stop once the full allocation is filled</w:t>
      </w:r>
    </w:p>
    <w:p>
      <w:pPr>
        <w:pStyle w:val="BodyText"/>
        <w:numPr>
          <w:ilvl w:val="0"/>
          <w:numId w:val="432"/>
        </w:numPr>
        <w:tabs>
          <w:tab w:val="clear" w:pos="709"/>
          <w:tab w:val="left" w:pos="709" w:leader="none"/>
        </w:tabs>
        <w:bidi w:val="0"/>
        <w:ind w:hanging="283" w:start="709"/>
        <w:jc w:val="start"/>
        <w:rPr/>
      </w:pPr>
      <w:sdt>
        <w:sdtPr>
          <w:id w:val="1366101773"/>
          <w14:checkbox>
            <w14:checked w14:val="0"/>
            <w14:checkedState w14:val="2612"/>
            <w14:uncheckedState w14:val="2610"/>
          </w14:checkbox>
        </w:sdtPr>
        <w:sdtContent>
          <w:r>
            <w:rPr/>
          </w:r>
          <w:r>
            <w:rPr/>
            <w:t>☐</w:t>
          </w:r>
        </w:sdtContent>
      </w:sdt>
      <w:r>
        <w:rPr/>
        <w:t xml:space="preserve"> </w:t>
      </w:r>
      <w:r>
        <w:rPr/>
        <w:t xml:space="preserve">Accept </w:t>
      </w:r>
      <w:r>
        <w:rPr>
          <w:b/>
        </w:rPr>
        <w:t>averaging down</w:t>
      </w:r>
      <w:r>
        <w:rPr/>
        <w:t xml:space="preserve"> (preferred: lower average cost) </w:t>
      </w:r>
      <w:r>
        <w:rPr>
          <w:b/>
        </w:rPr>
        <w:t>or averaging up</w:t>
      </w:r>
      <w:r>
        <w:rPr/>
        <w:t xml:space="preserve"> (also fine while still undervalued)</w:t>
      </w:r>
    </w:p>
    <w:p>
      <w:pPr>
        <w:pStyle w:val="BodyText"/>
        <w:numPr>
          <w:ilvl w:val="0"/>
          <w:numId w:val="432"/>
        </w:numPr>
        <w:tabs>
          <w:tab w:val="clear" w:pos="709"/>
          <w:tab w:val="left" w:pos="709" w:leader="none"/>
        </w:tabs>
        <w:bidi w:val="0"/>
        <w:ind w:hanging="283" w:start="709"/>
        <w:jc w:val="start"/>
        <w:rPr/>
      </w:pPr>
      <w:sdt>
        <w:sdtPr>
          <w:id w:val="956047355"/>
          <w14:checkbox>
            <w14:checked w14:val="0"/>
            <w14:checkedState w14:val="2612"/>
            <w14:uncheckedState w14:val="2610"/>
          </w14:checkbox>
        </w:sdtPr>
        <w:sdtContent>
          <w:r>
            <w:rPr/>
          </w:r>
          <w:r>
            <w:rPr/>
            <w:t>☐</w:t>
          </w:r>
        </w:sdtContent>
      </w:sdt>
      <w:r>
        <w:rPr/>
        <w:t xml:space="preserve"> </w:t>
      </w:r>
      <w:r>
        <w:rPr/>
        <w:t xml:space="preserve">Goal is </w:t>
      </w:r>
      <w:r>
        <w:rPr>
          <w:b/>
        </w:rPr>
        <w:t>near the bottom, not the exact bottom</w:t>
      </w:r>
      <w:r>
        <w:rPr/>
        <w:t xml:space="preserve"> — and above all, </w:t>
      </w:r>
      <w:r>
        <w:rPr>
          <w:b/>
        </w:rPr>
        <w:t>not near the top</w:t>
      </w:r>
    </w:p>
    <w:p>
      <w:pPr>
        <w:pStyle w:val="HorizontalLine"/>
        <w:bidi w:val="0"/>
        <w:jc w:val="start"/>
        <w:rPr/>
      </w:pPr>
      <w:r>
        <w:rPr/>
      </w:r>
    </w:p>
    <w:p>
      <w:pPr>
        <w:pStyle w:val="BodyText"/>
        <w:bidi w:val="0"/>
        <w:jc w:val="start"/>
        <w:rPr/>
      </w:pPr>
      <w:r>
        <w:rPr>
          <w:i/>
        </w:rPr>
        <w:t xml:space="preserve">Related follow-on lessons: 54 – VMI Case Study (GOOGL); 55/56 – VMI Case Study (MSFT); 57/58 – VMI Case Study (AMZN). Adam also notes that subscribers to the </w:t>
      </w:r>
      <w:r>
        <w:rPr>
          <w:b/>
          <w:i/>
        </w:rPr>
        <w:t>UIP (Ultimate Investors Playbook)</w:t>
      </w:r>
      <w:r>
        <w:rPr>
          <w:i/>
        </w:rPr>
        <w:t xml:space="preserve"> receive a monthly deep-dive applying the seven steps to two great companies.</w:t>
      </w:r>
    </w:p>
    <w:p>
      <w:pPr>
        <w:pStyle w:val="HorizontalLine"/>
        <w:bidi w:val="0"/>
        <w:jc w:val="start"/>
        <w:rPr/>
      </w:pPr>
      <w:r>
        <w:rPr/>
      </w:r>
    </w:p>
    <w:p>
      <w:pPr>
        <w:pStyle w:val="Heading1"/>
        <w:bidi w:val="0"/>
        <w:ind w:hanging="0" w:start="0"/>
        <w:jc w:val="start"/>
        <w:rPr/>
      </w:pPr>
      <w:r>
        <w:rPr/>
        <w:t>Part VII — Worked Case Studies: GOOGL, MSFT, AMZN</w:t>
      </w:r>
    </w:p>
    <w:p>
      <w:pPr>
        <w:pStyle w:val="Heading2"/>
        <w:bidi w:val="0"/>
        <w:ind w:hanging="0" w:start="0"/>
        <w:jc w:val="start"/>
        <w:rPr/>
      </w:pPr>
      <w:r>
        <w:rPr/>
        <w:t>07 — VMI Case Studies (Full Worked Applications of the 7-Step Formula)</w:t>
      </w:r>
    </w:p>
    <w:p>
      <w:pPr>
        <w:pStyle w:val="BodyText"/>
        <w:bidi w:val="0"/>
        <w:jc w:val="start"/>
        <w:rPr/>
      </w:pPr>
      <w:r>
        <w:rPr/>
        <w:t>Source lessons:</w:t>
      </w:r>
    </w:p>
    <w:p>
      <w:pPr>
        <w:pStyle w:val="BodyText"/>
        <w:numPr>
          <w:ilvl w:val="0"/>
          <w:numId w:val="433"/>
        </w:numPr>
        <w:tabs>
          <w:tab w:val="clear" w:pos="709"/>
          <w:tab w:val="left" w:pos="709" w:leader="none"/>
        </w:tabs>
        <w:bidi w:val="0"/>
        <w:ind w:hanging="283" w:start="709"/>
        <w:jc w:val="start"/>
        <w:rPr/>
      </w:pPr>
      <w:r>
        <w:rPr/>
        <w:t>Lesson 54 — VMI Case Study (GOOGL) — 37:54</w:t>
      </w:r>
    </w:p>
    <w:p>
      <w:pPr>
        <w:pStyle w:val="BodyText"/>
        <w:numPr>
          <w:ilvl w:val="0"/>
          <w:numId w:val="433"/>
        </w:numPr>
        <w:tabs>
          <w:tab w:val="clear" w:pos="709"/>
          <w:tab w:val="left" w:pos="709" w:leader="none"/>
        </w:tabs>
        <w:bidi w:val="0"/>
        <w:ind w:hanging="283" w:start="709"/>
        <w:jc w:val="start"/>
        <w:rPr/>
      </w:pPr>
      <w:r>
        <w:rPr/>
        <w:t>Lesson 55 — VMI Case Study Part 1 (MSFT) — 23:24</w:t>
      </w:r>
    </w:p>
    <w:p>
      <w:pPr>
        <w:pStyle w:val="BodyText"/>
        <w:numPr>
          <w:ilvl w:val="0"/>
          <w:numId w:val="433"/>
        </w:numPr>
        <w:tabs>
          <w:tab w:val="clear" w:pos="709"/>
          <w:tab w:val="left" w:pos="709" w:leader="none"/>
        </w:tabs>
        <w:bidi w:val="0"/>
        <w:ind w:hanging="283" w:start="709"/>
        <w:jc w:val="start"/>
        <w:rPr/>
      </w:pPr>
      <w:r>
        <w:rPr/>
        <w:t>Lesson 56 — VMI Case Study Part 2 (MSFT) — 33:16</w:t>
      </w:r>
    </w:p>
    <w:p>
      <w:pPr>
        <w:pStyle w:val="BodyText"/>
        <w:numPr>
          <w:ilvl w:val="0"/>
          <w:numId w:val="433"/>
        </w:numPr>
        <w:tabs>
          <w:tab w:val="clear" w:pos="709"/>
          <w:tab w:val="left" w:pos="709" w:leader="none"/>
        </w:tabs>
        <w:bidi w:val="0"/>
        <w:ind w:hanging="283" w:start="709"/>
        <w:jc w:val="start"/>
        <w:rPr/>
      </w:pPr>
      <w:r>
        <w:rPr/>
        <w:t>Lesson 57 — VMI Case Study Part 1 (AMZN) — 21:34</w:t>
      </w:r>
    </w:p>
    <w:p>
      <w:pPr>
        <w:pStyle w:val="BodyText"/>
        <w:numPr>
          <w:ilvl w:val="0"/>
          <w:numId w:val="433"/>
        </w:numPr>
        <w:tabs>
          <w:tab w:val="clear" w:pos="709"/>
          <w:tab w:val="left" w:pos="709" w:leader="none"/>
        </w:tabs>
        <w:bidi w:val="0"/>
        <w:ind w:hanging="283" w:start="709"/>
        <w:jc w:val="start"/>
        <w:rPr/>
      </w:pPr>
      <w:r>
        <w:rPr/>
        <w:t>Lesson 58 — VMI Case Study Part 2 (AMZN) — 24:46</w:t>
      </w:r>
    </w:p>
    <w:p>
      <w:pPr>
        <w:pStyle w:val="BlockQuotation"/>
        <w:bidi w:val="0"/>
        <w:jc w:val="start"/>
        <w:rPr/>
      </w:pPr>
      <w:r>
        <w:rPr>
          <w:b/>
        </w:rPr>
        <w:t>Vintage warning.</w:t>
      </w:r>
      <w:r>
        <w:rPr/>
        <w:t xml:space="preserve"> The three case studies were recorded at different times with different toolsets. The GOOGL study is the newest (StockOracle-era, AI Insights / Oracle IQ, revenue base ~$402B, post-Trump-trade-war chart). The MSFT and AMZN studies are older (Yahoo Finance / GuruFocus / Morningstar / FinViz / Zacks / Simply Wall St era; MSFT priced as of </w:t>
      </w:r>
      <w:r>
        <w:rPr>
          <w:b/>
        </w:rPr>
        <w:t>15 January 2022</w:t>
      </w:r>
      <w:r>
        <w:rPr/>
        <w:t>). Numbers are quoted exactly as spoken in each lesson and are not reconciled across lessons.</w:t>
      </w:r>
    </w:p>
    <w:p>
      <w:pPr>
        <w:pStyle w:val="HorizontalLine"/>
        <w:bidi w:val="0"/>
        <w:jc w:val="start"/>
        <w:rPr/>
      </w:pPr>
      <w:r>
        <w:rPr/>
      </w:r>
    </w:p>
    <w:p>
      <w:pPr>
        <w:pStyle w:val="Heading3"/>
        <w:bidi w:val="0"/>
        <w:ind w:hanging="0" w:start="0"/>
        <w:jc w:val="start"/>
        <w:rPr/>
      </w:pPr>
      <w:r>
        <w:rPr/>
        <w:t>The 7-Step Framework Being Applied</w:t>
      </w:r>
    </w:p>
    <w:p>
      <w:pPr>
        <w:pStyle w:val="BodyText"/>
        <w:bidi w:val="0"/>
        <w:jc w:val="start"/>
        <w:rPr/>
      </w:pPr>
      <w:r>
        <w:rPr/>
        <w:t xml:space="preserve">Every case study runs the same checklist. Steps 1–5 answer </w:t>
      </w:r>
      <w:r>
        <w:rPr>
          <w:i/>
        </w:rPr>
        <w:t>"is it a great business?"</w:t>
      </w:r>
      <w:r>
        <w:rPr/>
        <w:t xml:space="preserve">; step 6 answers </w:t>
      </w:r>
      <w:r>
        <w:rPr>
          <w:i/>
        </w:rPr>
        <w:t>"is it at a great price?"</w:t>
      </w:r>
      <w:r>
        <w:rPr/>
        <w:t xml:space="preserve">; step 7 answers </w:t>
      </w:r>
      <w:r>
        <w:rPr>
          <w:i/>
        </w:rPr>
        <w:t>"is this a great point of entry?"</w:t>
      </w:r>
    </w:p>
    <w:tbl>
      <w:tblPr>
        <w:tblW w:w="5000" w:type="pct"/>
        <w:jc w:val="start"/>
        <w:tblInd w:w="-5" w:type="dxa"/>
        <w:tblLayout w:type="fixed"/>
        <w:tblCellMar>
          <w:top w:w="55" w:type="dxa"/>
          <w:start w:w="55" w:type="dxa"/>
          <w:bottom w:w="55" w:type="dxa"/>
          <w:end w:w="55" w:type="dxa"/>
        </w:tblCellMar>
      </w:tblPr>
      <w:tblGrid>
        <w:gridCol w:w="3212"/>
        <w:gridCol w:w="3213"/>
        <w:gridCol w:w="3213"/>
      </w:tblGrid>
      <w:tr>
        <w:trPr>
          <w:tblHeader w:val="true"/>
        </w:trPr>
        <w:tc>
          <w:tcPr>
            <w:tcW w:w="3212" w:type="dxa"/>
            <w:tcBorders>
              <w:top w:val="single" w:sz="4" w:space="0" w:color="000000"/>
              <w:start w:val="single" w:sz="4" w:space="0" w:color="000000"/>
              <w:bottom w:val="single" w:sz="4" w:space="0" w:color="000000"/>
            </w:tcBorders>
          </w:tcPr>
          <w:p>
            <w:pPr>
              <w:pStyle w:val="TableHeading"/>
              <w:bidi w:val="0"/>
              <w:jc w:val="start"/>
              <w:rPr/>
            </w:pPr>
            <w:r>
              <w:rPr/>
              <w:t>Step</w:t>
            </w:r>
          </w:p>
        </w:tc>
        <w:tc>
          <w:tcPr>
            <w:tcW w:w="3213" w:type="dxa"/>
            <w:tcBorders>
              <w:top w:val="single" w:sz="4" w:space="0" w:color="000000"/>
              <w:start w:val="single" w:sz="4" w:space="0" w:color="000000"/>
              <w:bottom w:val="single" w:sz="4" w:space="0" w:color="000000"/>
            </w:tcBorders>
          </w:tcPr>
          <w:p>
            <w:pPr>
              <w:pStyle w:val="TableHeading"/>
              <w:bidi w:val="0"/>
              <w:jc w:val="start"/>
              <w:rPr/>
            </w:pPr>
            <w:r>
              <w:rPr/>
              <w:t>Question</w:t>
            </w:r>
          </w:p>
        </w:tc>
        <w:tc>
          <w:tcPr>
            <w:tcW w:w="3213"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Evidence used</w:t>
            </w:r>
          </w:p>
        </w:tc>
      </w:tr>
      <w:tr>
        <w:trPr/>
        <w:tc>
          <w:tcPr>
            <w:tcW w:w="3212" w:type="dxa"/>
            <w:tcBorders>
              <w:start w:val="single" w:sz="4" w:space="0" w:color="000000"/>
              <w:bottom w:val="single" w:sz="4" w:space="0" w:color="000000"/>
            </w:tcBorders>
          </w:tcPr>
          <w:p>
            <w:pPr>
              <w:pStyle w:val="TableContents"/>
              <w:bidi w:val="0"/>
              <w:jc w:val="start"/>
              <w:rPr/>
            </w:pPr>
            <w:r>
              <w:rPr/>
              <w:t>1</w:t>
            </w:r>
          </w:p>
        </w:tc>
        <w:tc>
          <w:tcPr>
            <w:tcW w:w="3213" w:type="dxa"/>
            <w:tcBorders>
              <w:start w:val="single" w:sz="4" w:space="0" w:color="000000"/>
              <w:bottom w:val="single" w:sz="4" w:space="0" w:color="000000"/>
            </w:tcBorders>
          </w:tcPr>
          <w:p>
            <w:pPr>
              <w:pStyle w:val="TableContents"/>
              <w:bidi w:val="0"/>
              <w:jc w:val="start"/>
              <w:rPr/>
            </w:pPr>
            <w:r>
              <w:rPr/>
              <w:t>Consistently increasing sales revenue, net income, cash flow from operations (5–10 yrs)? Plus stable/rising gross &amp; net (or operating) margins</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Income statement, cash flow statement, margin history</w:t>
            </w:r>
          </w:p>
        </w:tc>
      </w:tr>
      <w:tr>
        <w:trPr/>
        <w:tc>
          <w:tcPr>
            <w:tcW w:w="3212" w:type="dxa"/>
            <w:tcBorders>
              <w:start w:val="single" w:sz="4" w:space="0" w:color="000000"/>
              <w:bottom w:val="single" w:sz="4" w:space="0" w:color="000000"/>
            </w:tcBorders>
          </w:tcPr>
          <w:p>
            <w:pPr>
              <w:pStyle w:val="TableContents"/>
              <w:bidi w:val="0"/>
              <w:jc w:val="start"/>
              <w:rPr/>
            </w:pPr>
            <w:r>
              <w:rPr/>
              <w:t>2</w:t>
            </w:r>
          </w:p>
        </w:tc>
        <w:tc>
          <w:tcPr>
            <w:tcW w:w="3213" w:type="dxa"/>
            <w:tcBorders>
              <w:start w:val="single" w:sz="4" w:space="0" w:color="000000"/>
              <w:bottom w:val="single" w:sz="4" w:space="0" w:color="000000"/>
            </w:tcBorders>
          </w:tcPr>
          <w:p>
            <w:pPr>
              <w:pStyle w:val="TableContents"/>
              <w:bidi w:val="0"/>
              <w:jc w:val="start"/>
              <w:rPr/>
            </w:pPr>
            <w:r>
              <w:rPr/>
              <w:t>Positive projected growth rate + identifiable growth catalysts?</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2–3 independent growth projections + qualitative growth drivers</w:t>
            </w:r>
          </w:p>
        </w:tc>
      </w:tr>
      <w:tr>
        <w:trPr/>
        <w:tc>
          <w:tcPr>
            <w:tcW w:w="3212" w:type="dxa"/>
            <w:tcBorders>
              <w:start w:val="single" w:sz="4" w:space="0" w:color="000000"/>
              <w:bottom w:val="single" w:sz="4" w:space="0" w:color="000000"/>
            </w:tcBorders>
          </w:tcPr>
          <w:p>
            <w:pPr>
              <w:pStyle w:val="TableContents"/>
              <w:bidi w:val="0"/>
              <w:jc w:val="start"/>
              <w:rPr/>
            </w:pPr>
            <w:r>
              <w:rPr/>
              <w:t>3</w:t>
            </w:r>
          </w:p>
        </w:tc>
        <w:tc>
          <w:tcPr>
            <w:tcW w:w="3213" w:type="dxa"/>
            <w:tcBorders>
              <w:start w:val="single" w:sz="4" w:space="0" w:color="000000"/>
              <w:bottom w:val="single" w:sz="4" w:space="0" w:color="000000"/>
            </w:tcBorders>
          </w:tcPr>
          <w:p>
            <w:pPr>
              <w:pStyle w:val="TableContents"/>
              <w:bidi w:val="0"/>
              <w:jc w:val="start"/>
              <w:rPr/>
            </w:pPr>
            <w:r>
              <w:rPr>
                <w:b/>
              </w:rPr>
              <w:t>Sustainable competitive advantage (economic moat)?</w:t>
            </w:r>
            <w:r>
              <w:rPr/>
              <w:t xml:space="preserve"> — Adam repeatedly calls this "the most important step of all"</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Brand monopoly, switching costs, barriers to entry, economies of scale, network effect</w:t>
            </w:r>
          </w:p>
        </w:tc>
      </w:tr>
      <w:tr>
        <w:trPr/>
        <w:tc>
          <w:tcPr>
            <w:tcW w:w="3212" w:type="dxa"/>
            <w:tcBorders>
              <w:start w:val="single" w:sz="4" w:space="0" w:color="000000"/>
              <w:bottom w:val="single" w:sz="4" w:space="0" w:color="000000"/>
            </w:tcBorders>
          </w:tcPr>
          <w:p>
            <w:pPr>
              <w:pStyle w:val="TableContents"/>
              <w:bidi w:val="0"/>
              <w:jc w:val="start"/>
              <w:rPr/>
            </w:pPr>
            <w:r>
              <w:rPr/>
              <w:t>4</w:t>
            </w:r>
          </w:p>
        </w:tc>
        <w:tc>
          <w:tcPr>
            <w:tcW w:w="3213" w:type="dxa"/>
            <w:tcBorders>
              <w:start w:val="single" w:sz="4" w:space="0" w:color="000000"/>
              <w:bottom w:val="single" w:sz="4" w:space="0" w:color="000000"/>
            </w:tcBorders>
          </w:tcPr>
          <w:p>
            <w:pPr>
              <w:pStyle w:val="TableContents"/>
              <w:bidi w:val="0"/>
              <w:jc w:val="start"/>
              <w:rPr/>
            </w:pPr>
            <w:r>
              <w:rPr/>
              <w:t>Profitable and operationally efficient?</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ROE, ROIC, revenue growth vs accounts-receivable growth, cash conversion cycle</w:t>
            </w:r>
          </w:p>
        </w:tc>
      </w:tr>
      <w:tr>
        <w:trPr/>
        <w:tc>
          <w:tcPr>
            <w:tcW w:w="3212" w:type="dxa"/>
            <w:tcBorders>
              <w:start w:val="single" w:sz="4" w:space="0" w:color="000000"/>
              <w:bottom w:val="single" w:sz="4" w:space="0" w:color="000000"/>
            </w:tcBorders>
          </w:tcPr>
          <w:p>
            <w:pPr>
              <w:pStyle w:val="TableContents"/>
              <w:bidi w:val="0"/>
              <w:jc w:val="start"/>
              <w:rPr/>
            </w:pPr>
            <w:r>
              <w:rPr/>
              <w:t>5</w:t>
            </w:r>
          </w:p>
        </w:tc>
        <w:tc>
          <w:tcPr>
            <w:tcW w:w="3213" w:type="dxa"/>
            <w:tcBorders>
              <w:start w:val="single" w:sz="4" w:space="0" w:color="000000"/>
              <w:bottom w:val="single" w:sz="4" w:space="0" w:color="000000"/>
            </w:tcBorders>
          </w:tcPr>
          <w:p>
            <w:pPr>
              <w:pStyle w:val="TableContents"/>
              <w:bidi w:val="0"/>
              <w:jc w:val="start"/>
              <w:rPr/>
            </w:pPr>
            <w:r>
              <w:rPr/>
              <w:t>Conservative debt?</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Current ratio, debt/EBITDA, debt servicing ratio (and interest coverage)</w:t>
            </w:r>
          </w:p>
        </w:tc>
      </w:tr>
      <w:tr>
        <w:trPr/>
        <w:tc>
          <w:tcPr>
            <w:tcW w:w="3212" w:type="dxa"/>
            <w:tcBorders>
              <w:start w:val="single" w:sz="4" w:space="0" w:color="000000"/>
              <w:bottom w:val="single" w:sz="4" w:space="0" w:color="000000"/>
            </w:tcBorders>
          </w:tcPr>
          <w:p>
            <w:pPr>
              <w:pStyle w:val="TableContents"/>
              <w:bidi w:val="0"/>
              <w:jc w:val="start"/>
              <w:rPr/>
            </w:pPr>
            <w:r>
              <w:rPr/>
              <w:t>6</w:t>
            </w:r>
          </w:p>
        </w:tc>
        <w:tc>
          <w:tcPr>
            <w:tcW w:w="3213" w:type="dxa"/>
            <w:tcBorders>
              <w:start w:val="single" w:sz="4" w:space="0" w:color="000000"/>
              <w:bottom w:val="single" w:sz="4" w:space="0" w:color="000000"/>
            </w:tcBorders>
          </w:tcPr>
          <w:p>
            <w:pPr>
              <w:pStyle w:val="TableContents"/>
              <w:bidi w:val="0"/>
              <w:jc w:val="start"/>
              <w:rPr/>
            </w:pPr>
            <w:r>
              <w:rPr/>
              <w:t>Is the price below intrinsic value (margin of safety)?</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 xml:space="preserve">DCF (cash from operations) or discounted </w:t>
            </w:r>
            <w:r>
              <w:rPr>
                <w:b/>
              </w:rPr>
              <w:t>free</w:t>
            </w:r>
            <w:r>
              <w:rPr/>
              <w:t xml:space="preserve"> cash flow; a valuation </w:t>
            </w:r>
            <w:r>
              <w:rPr>
                <w:i/>
              </w:rPr>
              <w:t>range</w:t>
            </w:r>
            <w:r>
              <w:rPr/>
              <w:t>, not one number</w:t>
            </w:r>
          </w:p>
        </w:tc>
      </w:tr>
      <w:tr>
        <w:trPr/>
        <w:tc>
          <w:tcPr>
            <w:tcW w:w="3212" w:type="dxa"/>
            <w:tcBorders>
              <w:start w:val="single" w:sz="4" w:space="0" w:color="000000"/>
              <w:bottom w:val="single" w:sz="4" w:space="0" w:color="000000"/>
            </w:tcBorders>
          </w:tcPr>
          <w:p>
            <w:pPr>
              <w:pStyle w:val="TableContents"/>
              <w:bidi w:val="0"/>
              <w:jc w:val="start"/>
              <w:rPr/>
            </w:pPr>
            <w:r>
              <w:rPr/>
              <w:t>7</w:t>
            </w:r>
          </w:p>
        </w:tc>
        <w:tc>
          <w:tcPr>
            <w:tcW w:w="3213" w:type="dxa"/>
            <w:tcBorders>
              <w:start w:val="single" w:sz="4" w:space="0" w:color="000000"/>
              <w:bottom w:val="single" w:sz="4" w:space="0" w:color="000000"/>
            </w:tcBorders>
          </w:tcPr>
          <w:p>
            <w:pPr>
              <w:pStyle w:val="TableContents"/>
              <w:bidi w:val="0"/>
              <w:jc w:val="start"/>
              <w:rPr/>
            </w:pPr>
            <w:r>
              <w:rPr/>
              <w:t>Is it a great point of entry?</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 xml:space="preserve">Charts: 10-yr monthly → 5-yr weekly → 1-yr daily; identify 3–5 support levels </w:t>
            </w:r>
            <w:r>
              <w:rPr>
                <w:b/>
              </w:rPr>
              <w:t>below</w:t>
            </w:r>
            <w:r>
              <w:rPr/>
              <w:t xml:space="preserve"> intrinsic value; add in tranches</w:t>
            </w:r>
          </w:p>
        </w:tc>
      </w:tr>
    </w:tbl>
    <w:p>
      <w:pPr>
        <w:pStyle w:val="BodyText"/>
        <w:bidi w:val="0"/>
        <w:jc w:val="start"/>
        <w:rPr/>
      </w:pPr>
      <w:r>
        <w:rPr/>
      </w:r>
    </w:p>
    <w:p>
      <w:pPr>
        <w:pStyle w:val="BodyText"/>
        <w:bidi w:val="0"/>
        <w:jc w:val="start"/>
        <w:rPr/>
      </w:pPr>
      <w:r>
        <w:rPr>
          <w:b/>
        </w:rPr>
        <w:t>Standing rules Adam repeats across all three:</w:t>
      </w:r>
    </w:p>
    <w:p>
      <w:pPr>
        <w:pStyle w:val="BodyText"/>
        <w:numPr>
          <w:ilvl w:val="0"/>
          <w:numId w:val="434"/>
        </w:numPr>
        <w:tabs>
          <w:tab w:val="clear" w:pos="709"/>
          <w:tab w:val="left" w:pos="709" w:leader="none"/>
        </w:tabs>
        <w:bidi w:val="0"/>
        <w:ind w:hanging="283" w:start="709"/>
        <w:jc w:val="start"/>
        <w:rPr/>
      </w:pPr>
      <w:r>
        <w:rPr/>
        <w:t>Only invest in businesses whose products/services you personally use — it is the only way to genuinely judge the moat (Step 3 has no number attached to it).</w:t>
      </w:r>
    </w:p>
    <w:p>
      <w:pPr>
        <w:pStyle w:val="BodyText"/>
        <w:numPr>
          <w:ilvl w:val="0"/>
          <w:numId w:val="434"/>
        </w:numPr>
        <w:tabs>
          <w:tab w:val="clear" w:pos="709"/>
          <w:tab w:val="left" w:pos="709" w:leader="none"/>
        </w:tabs>
        <w:bidi w:val="0"/>
        <w:ind w:hanging="283" w:start="709"/>
        <w:jc w:val="start"/>
        <w:rPr/>
      </w:pPr>
      <w:r>
        <w:rPr/>
        <w:t xml:space="preserve">Passing steps 1–5 ⇒ the stock goes on the </w:t>
      </w:r>
      <w:r>
        <w:rPr>
          <w:b/>
        </w:rPr>
        <w:t>watch list</w:t>
      </w:r>
      <w:r>
        <w:rPr/>
        <w:t>, not into the portfolio. You then "watch it, watch it, watch it" for price.</w:t>
      </w:r>
    </w:p>
    <w:p>
      <w:pPr>
        <w:pStyle w:val="BodyText"/>
        <w:numPr>
          <w:ilvl w:val="0"/>
          <w:numId w:val="434"/>
        </w:numPr>
        <w:tabs>
          <w:tab w:val="clear" w:pos="709"/>
          <w:tab w:val="left" w:pos="709" w:leader="none"/>
        </w:tabs>
        <w:bidi w:val="0"/>
        <w:ind w:hanging="283" w:start="709"/>
        <w:jc w:val="start"/>
        <w:rPr/>
      </w:pPr>
      <w:r>
        <w:rPr/>
        <w:t xml:space="preserve">Valuation is always a </w:t>
      </w:r>
      <w:r>
        <w:rPr>
          <w:b/>
        </w:rPr>
        <w:t>range</w:t>
      </w:r>
      <w:r>
        <w:rPr/>
        <w:t xml:space="preserve"> (optimistic / base / pessimistic), never a single point.</w:t>
      </w:r>
    </w:p>
    <w:p>
      <w:pPr>
        <w:pStyle w:val="BodyText"/>
        <w:numPr>
          <w:ilvl w:val="0"/>
          <w:numId w:val="434"/>
        </w:numPr>
        <w:tabs>
          <w:tab w:val="clear" w:pos="709"/>
          <w:tab w:val="left" w:pos="709" w:leader="none"/>
        </w:tabs>
        <w:bidi w:val="0"/>
        <w:ind w:hanging="283" w:start="709"/>
        <w:jc w:val="start"/>
        <w:rPr/>
      </w:pPr>
      <w:r>
        <w:rPr/>
        <w:t xml:space="preserve">Do the full 5-step business analysis </w:t>
      </w:r>
      <w:r>
        <w:rPr>
          <w:b/>
        </w:rPr>
        <w:t>once a year at most</w:t>
      </w:r>
      <w:r>
        <w:rPr/>
        <w:t xml:space="preserve"> — "once you realise a business is a great business, it doesn't change that easily… it would remain a great business for many, many years, for the next five, six, seven years."</w:t>
      </w:r>
    </w:p>
    <w:p>
      <w:pPr>
        <w:pStyle w:val="BodyText"/>
        <w:numPr>
          <w:ilvl w:val="0"/>
          <w:numId w:val="434"/>
        </w:numPr>
        <w:tabs>
          <w:tab w:val="clear" w:pos="709"/>
          <w:tab w:val="left" w:pos="709" w:leader="none"/>
        </w:tabs>
        <w:bidi w:val="0"/>
        <w:ind w:hanging="283" w:start="709"/>
        <w:jc w:val="start"/>
        <w:rPr/>
      </w:pPr>
      <w:r>
        <w:rPr/>
        <w:t>Buying a stock = buying a business. Compare the diligence to buying a car, a TV, a fridge — or dating someone before you marry them.</w:t>
      </w:r>
    </w:p>
    <w:p>
      <w:pPr>
        <w:pStyle w:val="HorizontalLine"/>
        <w:bidi w:val="0"/>
        <w:jc w:val="start"/>
        <w:rPr/>
      </w:pPr>
      <w:r>
        <w:rPr/>
      </w:r>
    </w:p>
    <w:p>
      <w:pPr>
        <w:pStyle w:val="Heading2"/>
        <w:bidi w:val="0"/>
        <w:ind w:hanging="0" w:start="0"/>
        <w:jc w:val="start"/>
        <w:rPr/>
      </w:pPr>
      <w:r>
        <w:rPr/>
        <w:t>1. ALPHABET (GOOGL) — Lesson 54</w:t>
      </w:r>
    </w:p>
    <w:p>
      <w:pPr>
        <w:pStyle w:val="Heading3"/>
        <w:bidi w:val="0"/>
        <w:ind w:hanging="0" w:start="0"/>
        <w:jc w:val="start"/>
        <w:rPr/>
      </w:pPr>
      <w:r>
        <w:rPr/>
        <w:t>1.0 Idea sourcing and share class</w:t>
      </w:r>
    </w:p>
    <w:p>
      <w:pPr>
        <w:pStyle w:val="BodyText"/>
        <w:bidi w:val="0"/>
        <w:jc w:val="start"/>
        <w:rPr/>
      </w:pPr>
      <w:r>
        <w:rPr/>
        <w:t xml:space="preserve">Adam's origination logic: start from products you use daily. He lists YouTube (he creates videos), Google Search, </w:t>
      </w:r>
      <w:r>
        <w:rPr>
          <w:b/>
        </w:rPr>
        <w:t>Gemini</w:t>
      </w:r>
      <w:r>
        <w:rPr/>
        <w:t>, Google Maps, Gmail — therefore analyse Alphabet.</w:t>
      </w:r>
    </w:p>
    <w:p>
      <w:pPr>
        <w:pStyle w:val="BodyText"/>
        <w:bidi w:val="0"/>
        <w:jc w:val="start"/>
        <w:rPr/>
      </w:pPr>
      <w:r>
        <w:rPr>
          <w:b/>
        </w:rPr>
        <w:t>Two tickers, one company:</w:t>
      </w:r>
    </w:p>
    <w:tbl>
      <w:tblPr>
        <w:tblW w:w="5000" w:type="pct"/>
        <w:jc w:val="start"/>
        <w:tblInd w:w="-5" w:type="dxa"/>
        <w:tblLayout w:type="fixed"/>
        <w:tblCellMar>
          <w:top w:w="55" w:type="dxa"/>
          <w:start w:w="55" w:type="dxa"/>
          <w:bottom w:w="55" w:type="dxa"/>
          <w:end w:w="55" w:type="dxa"/>
        </w:tblCellMar>
      </w:tblPr>
      <w:tblGrid>
        <w:gridCol w:w="3212"/>
        <w:gridCol w:w="3213"/>
        <w:gridCol w:w="3213"/>
      </w:tblGrid>
      <w:tr>
        <w:trPr>
          <w:tblHeader w:val="true"/>
        </w:trPr>
        <w:tc>
          <w:tcPr>
            <w:tcW w:w="3212" w:type="dxa"/>
            <w:tcBorders>
              <w:top w:val="single" w:sz="4" w:space="0" w:color="000000"/>
              <w:start w:val="single" w:sz="4" w:space="0" w:color="000000"/>
              <w:bottom w:val="single" w:sz="4" w:space="0" w:color="000000"/>
            </w:tcBorders>
          </w:tcPr>
          <w:p>
            <w:pPr>
              <w:pStyle w:val="TableHeading"/>
              <w:bidi w:val="0"/>
              <w:jc w:val="start"/>
              <w:rPr/>
            </w:pPr>
            <w:r>
              <w:rPr/>
              <w:t>Ticker</w:t>
            </w:r>
          </w:p>
        </w:tc>
        <w:tc>
          <w:tcPr>
            <w:tcW w:w="3213" w:type="dxa"/>
            <w:tcBorders>
              <w:top w:val="single" w:sz="4" w:space="0" w:color="000000"/>
              <w:start w:val="single" w:sz="4" w:space="0" w:color="000000"/>
              <w:bottom w:val="single" w:sz="4" w:space="0" w:color="000000"/>
            </w:tcBorders>
          </w:tcPr>
          <w:p>
            <w:pPr>
              <w:pStyle w:val="TableHeading"/>
              <w:bidi w:val="0"/>
              <w:jc w:val="start"/>
              <w:rPr/>
            </w:pPr>
            <w:r>
              <w:rPr/>
              <w:t>Class</w:t>
            </w:r>
          </w:p>
        </w:tc>
        <w:tc>
          <w:tcPr>
            <w:tcW w:w="3213"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Voting rights</w:t>
            </w:r>
          </w:p>
        </w:tc>
      </w:tr>
      <w:tr>
        <w:trPr/>
        <w:tc>
          <w:tcPr>
            <w:tcW w:w="3212" w:type="dxa"/>
            <w:tcBorders>
              <w:start w:val="single" w:sz="4" w:space="0" w:color="000000"/>
              <w:bottom w:val="single" w:sz="4" w:space="0" w:color="000000"/>
            </w:tcBorders>
          </w:tcPr>
          <w:p>
            <w:pPr>
              <w:pStyle w:val="TableContents"/>
              <w:bidi w:val="0"/>
              <w:jc w:val="start"/>
              <w:rPr/>
            </w:pPr>
            <w:r>
              <w:rPr/>
              <w:t>GOOGL</w:t>
            </w:r>
          </w:p>
        </w:tc>
        <w:tc>
          <w:tcPr>
            <w:tcW w:w="3213" w:type="dxa"/>
            <w:tcBorders>
              <w:start w:val="single" w:sz="4" w:space="0" w:color="000000"/>
              <w:bottom w:val="single" w:sz="4" w:space="0" w:color="000000"/>
            </w:tcBorders>
          </w:tcPr>
          <w:p>
            <w:pPr>
              <w:pStyle w:val="TableContents"/>
              <w:bidi w:val="0"/>
              <w:jc w:val="start"/>
              <w:rPr/>
            </w:pPr>
            <w:r>
              <w:rPr/>
              <w:t>Class A</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Yes</w:t>
            </w:r>
          </w:p>
        </w:tc>
      </w:tr>
      <w:tr>
        <w:trPr/>
        <w:tc>
          <w:tcPr>
            <w:tcW w:w="3212" w:type="dxa"/>
            <w:tcBorders>
              <w:start w:val="single" w:sz="4" w:space="0" w:color="000000"/>
              <w:bottom w:val="single" w:sz="4" w:space="0" w:color="000000"/>
            </w:tcBorders>
          </w:tcPr>
          <w:p>
            <w:pPr>
              <w:pStyle w:val="TableContents"/>
              <w:bidi w:val="0"/>
              <w:jc w:val="start"/>
              <w:rPr/>
            </w:pPr>
            <w:r>
              <w:rPr/>
              <w:t>GOOG</w:t>
            </w:r>
          </w:p>
        </w:tc>
        <w:tc>
          <w:tcPr>
            <w:tcW w:w="3213" w:type="dxa"/>
            <w:tcBorders>
              <w:start w:val="single" w:sz="4" w:space="0" w:color="000000"/>
              <w:bottom w:val="single" w:sz="4" w:space="0" w:color="000000"/>
            </w:tcBorders>
          </w:tcPr>
          <w:p>
            <w:pPr>
              <w:pStyle w:val="TableContents"/>
              <w:bidi w:val="0"/>
              <w:jc w:val="start"/>
              <w:rPr/>
            </w:pPr>
            <w:r>
              <w:rPr/>
              <w:t>Class C</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No</w:t>
            </w:r>
          </w:p>
        </w:tc>
      </w:tr>
    </w:tbl>
    <w:p>
      <w:pPr>
        <w:pStyle w:val="BodyText"/>
        <w:bidi w:val="0"/>
        <w:jc w:val="start"/>
        <w:rPr/>
      </w:pPr>
      <w:r>
        <w:rPr/>
      </w:r>
    </w:p>
    <w:p>
      <w:pPr>
        <w:pStyle w:val="BodyText"/>
        <w:bidi w:val="0"/>
        <w:jc w:val="start"/>
        <w:rPr/>
      </w:pPr>
      <w:r>
        <w:rPr/>
        <w:t xml:space="preserve">"For most of us, we don't really bother voting, so it really doesn't matter which one you really buy… their share prices are very close anyway." Case study uses the </w:t>
      </w:r>
      <w:r>
        <w:rPr>
          <w:b/>
        </w:rPr>
        <w:t>Class A (GOOGL)</w:t>
      </w:r>
      <w:r>
        <w:rPr/>
        <w:t xml:space="preserve"> shares.</w:t>
      </w:r>
    </w:p>
    <w:p>
      <w:pPr>
        <w:pStyle w:val="BodyText"/>
        <w:bidi w:val="0"/>
        <w:jc w:val="start"/>
        <w:rPr/>
      </w:pPr>
      <w:r>
        <w:rPr/>
        <w:t xml:space="preserve">Primary tool for this case: </w:t>
      </w:r>
      <w:r>
        <w:rPr>
          <w:b/>
        </w:rPr>
        <w:t>StockOracle</w:t>
      </w:r>
      <w:r>
        <w:rPr/>
        <w:t xml:space="preserve"> (data provider: </w:t>
      </w:r>
      <w:r>
        <w:rPr>
          <w:b/>
        </w:rPr>
        <w:t>FactSet</w:t>
      </w:r>
      <w:r>
        <w:rPr/>
        <w:t xml:space="preserve">), plus FinViz, Zacks, and </w:t>
      </w:r>
      <w:r>
        <w:rPr>
          <w:b/>
        </w:rPr>
        <w:t>TradingView</w:t>
      </w:r>
      <w:r>
        <w:rPr/>
        <w:t xml:space="preserve"> for charts.</w:t>
      </w:r>
    </w:p>
    <w:p>
      <w:pPr>
        <w:pStyle w:val="Heading3"/>
        <w:bidi w:val="0"/>
        <w:ind w:hanging="0" w:start="0"/>
        <w:jc w:val="start"/>
        <w:rPr/>
      </w:pPr>
      <w:r>
        <w:rPr/>
        <w:t>1.1 Step 1 — Consistent revenue / net income / operating cash flow</w:t>
      </w:r>
    </w:p>
    <w:p>
      <w:pPr>
        <w:pStyle w:val="BodyText"/>
        <w:bidi w:val="0"/>
        <w:jc w:val="start"/>
        <w:rPr/>
      </w:pPr>
      <w:r>
        <w:rPr/>
        <w:t>Annual figures, in USD billions, oldest → newest (5 years):</w:t>
      </w:r>
    </w:p>
    <w:tbl>
      <w:tblPr>
        <w:tblW w:w="5000" w:type="pct"/>
        <w:jc w:val="start"/>
        <w:tblInd w:w="-5" w:type="dxa"/>
        <w:tblLayout w:type="fixed"/>
        <w:tblCellMar>
          <w:top w:w="55" w:type="dxa"/>
          <w:start w:w="55" w:type="dxa"/>
          <w:bottom w:w="55" w:type="dxa"/>
          <w:end w:w="55" w:type="dxa"/>
        </w:tblCellMar>
      </w:tblPr>
      <w:tblGrid>
        <w:gridCol w:w="1376"/>
        <w:gridCol w:w="1377"/>
        <w:gridCol w:w="1377"/>
        <w:gridCol w:w="1377"/>
        <w:gridCol w:w="1377"/>
        <w:gridCol w:w="1377"/>
        <w:gridCol w:w="1377"/>
      </w:tblGrid>
      <w:tr>
        <w:trPr>
          <w:tblHeader w:val="true"/>
        </w:trPr>
        <w:tc>
          <w:tcPr>
            <w:tcW w:w="1376" w:type="dxa"/>
            <w:tcBorders>
              <w:top w:val="single" w:sz="4" w:space="0" w:color="000000"/>
              <w:start w:val="single" w:sz="4" w:space="0" w:color="000000"/>
              <w:bottom w:val="single" w:sz="4" w:space="0" w:color="000000"/>
            </w:tcBorders>
          </w:tcPr>
          <w:p>
            <w:pPr>
              <w:pStyle w:val="TableHeading"/>
              <w:bidi w:val="0"/>
              <w:jc w:val="start"/>
              <w:rPr/>
            </w:pPr>
            <w:r>
              <w:rPr/>
              <w:t>Metric</w:t>
            </w:r>
          </w:p>
        </w:tc>
        <w:tc>
          <w:tcPr>
            <w:tcW w:w="1377" w:type="dxa"/>
            <w:tcBorders>
              <w:top w:val="single" w:sz="4" w:space="0" w:color="000000"/>
              <w:start w:val="single" w:sz="4" w:space="0" w:color="000000"/>
              <w:bottom w:val="single" w:sz="4" w:space="0" w:color="000000"/>
            </w:tcBorders>
          </w:tcPr>
          <w:p>
            <w:pPr>
              <w:pStyle w:val="TableHeading"/>
              <w:bidi w:val="0"/>
              <w:jc w:val="start"/>
              <w:rPr/>
            </w:pPr>
            <w:r>
              <w:rPr/>
              <w:t>Yr1</w:t>
            </w:r>
          </w:p>
        </w:tc>
        <w:tc>
          <w:tcPr>
            <w:tcW w:w="1377" w:type="dxa"/>
            <w:tcBorders>
              <w:top w:val="single" w:sz="4" w:space="0" w:color="000000"/>
              <w:start w:val="single" w:sz="4" w:space="0" w:color="000000"/>
              <w:bottom w:val="single" w:sz="4" w:space="0" w:color="000000"/>
            </w:tcBorders>
          </w:tcPr>
          <w:p>
            <w:pPr>
              <w:pStyle w:val="TableHeading"/>
              <w:bidi w:val="0"/>
              <w:jc w:val="start"/>
              <w:rPr/>
            </w:pPr>
            <w:r>
              <w:rPr/>
              <w:t>Yr2</w:t>
            </w:r>
          </w:p>
        </w:tc>
        <w:tc>
          <w:tcPr>
            <w:tcW w:w="1377" w:type="dxa"/>
            <w:tcBorders>
              <w:top w:val="single" w:sz="4" w:space="0" w:color="000000"/>
              <w:start w:val="single" w:sz="4" w:space="0" w:color="000000"/>
              <w:bottom w:val="single" w:sz="4" w:space="0" w:color="000000"/>
            </w:tcBorders>
          </w:tcPr>
          <w:p>
            <w:pPr>
              <w:pStyle w:val="TableHeading"/>
              <w:bidi w:val="0"/>
              <w:jc w:val="start"/>
              <w:rPr/>
            </w:pPr>
            <w:r>
              <w:rPr/>
              <w:t>Yr3</w:t>
            </w:r>
          </w:p>
        </w:tc>
        <w:tc>
          <w:tcPr>
            <w:tcW w:w="1377" w:type="dxa"/>
            <w:tcBorders>
              <w:top w:val="single" w:sz="4" w:space="0" w:color="000000"/>
              <w:start w:val="single" w:sz="4" w:space="0" w:color="000000"/>
              <w:bottom w:val="single" w:sz="4" w:space="0" w:color="000000"/>
            </w:tcBorders>
          </w:tcPr>
          <w:p>
            <w:pPr>
              <w:pStyle w:val="TableHeading"/>
              <w:bidi w:val="0"/>
              <w:jc w:val="start"/>
              <w:rPr/>
            </w:pPr>
            <w:r>
              <w:rPr/>
              <w:t>Yr4</w:t>
            </w:r>
          </w:p>
        </w:tc>
        <w:tc>
          <w:tcPr>
            <w:tcW w:w="1377" w:type="dxa"/>
            <w:tcBorders>
              <w:top w:val="single" w:sz="4" w:space="0" w:color="000000"/>
              <w:start w:val="single" w:sz="4" w:space="0" w:color="000000"/>
              <w:bottom w:val="single" w:sz="4" w:space="0" w:color="000000"/>
            </w:tcBorders>
          </w:tcPr>
          <w:p>
            <w:pPr>
              <w:pStyle w:val="TableHeading"/>
              <w:bidi w:val="0"/>
              <w:jc w:val="start"/>
              <w:rPr/>
            </w:pPr>
            <w:r>
              <w:rPr/>
              <w:t>Yr5</w:t>
            </w:r>
          </w:p>
        </w:tc>
        <w:tc>
          <w:tcPr>
            <w:tcW w:w="1377"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Verdict</w:t>
            </w:r>
          </w:p>
        </w:tc>
      </w:tr>
      <w:tr>
        <w:trPr/>
        <w:tc>
          <w:tcPr>
            <w:tcW w:w="1376" w:type="dxa"/>
            <w:tcBorders>
              <w:start w:val="single" w:sz="4" w:space="0" w:color="000000"/>
              <w:bottom w:val="single" w:sz="4" w:space="0" w:color="000000"/>
            </w:tcBorders>
          </w:tcPr>
          <w:p>
            <w:pPr>
              <w:pStyle w:val="TableContents"/>
              <w:bidi w:val="0"/>
              <w:jc w:val="start"/>
              <w:rPr/>
            </w:pPr>
            <w:r>
              <w:rPr/>
              <w:t>Revenue</w:t>
            </w:r>
          </w:p>
        </w:tc>
        <w:tc>
          <w:tcPr>
            <w:tcW w:w="1377" w:type="dxa"/>
            <w:tcBorders>
              <w:start w:val="single" w:sz="4" w:space="0" w:color="000000"/>
              <w:bottom w:val="single" w:sz="4" w:space="0" w:color="000000"/>
            </w:tcBorders>
          </w:tcPr>
          <w:p>
            <w:pPr>
              <w:pStyle w:val="TableContents"/>
              <w:bidi w:val="0"/>
              <w:jc w:val="start"/>
              <w:rPr/>
            </w:pPr>
            <w:r>
              <w:rPr/>
              <w:t>257</w:t>
            </w:r>
          </w:p>
        </w:tc>
        <w:tc>
          <w:tcPr>
            <w:tcW w:w="1377" w:type="dxa"/>
            <w:tcBorders>
              <w:start w:val="single" w:sz="4" w:space="0" w:color="000000"/>
              <w:bottom w:val="single" w:sz="4" w:space="0" w:color="000000"/>
            </w:tcBorders>
          </w:tcPr>
          <w:p>
            <w:pPr>
              <w:pStyle w:val="TableContents"/>
              <w:bidi w:val="0"/>
              <w:jc w:val="start"/>
              <w:rPr/>
            </w:pPr>
            <w:r>
              <w:rPr/>
              <w:t>280</w:t>
            </w:r>
          </w:p>
        </w:tc>
        <w:tc>
          <w:tcPr>
            <w:tcW w:w="1377" w:type="dxa"/>
            <w:tcBorders>
              <w:start w:val="single" w:sz="4" w:space="0" w:color="000000"/>
              <w:bottom w:val="single" w:sz="4" w:space="0" w:color="000000"/>
            </w:tcBorders>
          </w:tcPr>
          <w:p>
            <w:pPr>
              <w:pStyle w:val="TableContents"/>
              <w:bidi w:val="0"/>
              <w:jc w:val="start"/>
              <w:rPr/>
            </w:pPr>
            <w:r>
              <w:rPr/>
              <w:t>307</w:t>
            </w:r>
          </w:p>
        </w:tc>
        <w:tc>
          <w:tcPr>
            <w:tcW w:w="1377" w:type="dxa"/>
            <w:tcBorders>
              <w:start w:val="single" w:sz="4" w:space="0" w:color="000000"/>
              <w:bottom w:val="single" w:sz="4" w:space="0" w:color="000000"/>
            </w:tcBorders>
          </w:tcPr>
          <w:p>
            <w:pPr>
              <w:pStyle w:val="TableContents"/>
              <w:bidi w:val="0"/>
              <w:jc w:val="start"/>
              <w:rPr/>
            </w:pPr>
            <w:r>
              <w:rPr/>
              <w:t>349</w:t>
            </w:r>
          </w:p>
        </w:tc>
        <w:tc>
          <w:tcPr>
            <w:tcW w:w="1377" w:type="dxa"/>
            <w:tcBorders>
              <w:start w:val="single" w:sz="4" w:space="0" w:color="000000"/>
              <w:bottom w:val="single" w:sz="4" w:space="0" w:color="000000"/>
            </w:tcBorders>
          </w:tcPr>
          <w:p>
            <w:pPr>
              <w:pStyle w:val="TableContents"/>
              <w:bidi w:val="0"/>
              <w:jc w:val="start"/>
              <w:rPr/>
            </w:pPr>
            <w:r>
              <w:rPr/>
              <w:t>402</w:t>
            </w:r>
          </w:p>
        </w:tc>
        <w:tc>
          <w:tcPr>
            <w:tcW w:w="1377" w:type="dxa"/>
            <w:tcBorders>
              <w:start w:val="single" w:sz="4" w:space="0" w:color="000000"/>
              <w:bottom w:val="single" w:sz="4" w:space="0" w:color="000000"/>
              <w:end w:val="single" w:sz="4" w:space="0" w:color="000000"/>
            </w:tcBorders>
          </w:tcPr>
          <w:p>
            <w:pPr>
              <w:pStyle w:val="TableContents"/>
              <w:bidi w:val="0"/>
              <w:jc w:val="start"/>
              <w:rPr/>
            </w:pPr>
            <w:r>
              <w:rPr/>
              <w:t>Consistently increasing ✔</w:t>
            </w:r>
          </w:p>
        </w:tc>
      </w:tr>
      <w:tr>
        <w:trPr/>
        <w:tc>
          <w:tcPr>
            <w:tcW w:w="1376" w:type="dxa"/>
            <w:tcBorders>
              <w:start w:val="single" w:sz="4" w:space="0" w:color="000000"/>
              <w:bottom w:val="single" w:sz="4" w:space="0" w:color="000000"/>
            </w:tcBorders>
          </w:tcPr>
          <w:p>
            <w:pPr>
              <w:pStyle w:val="TableContents"/>
              <w:bidi w:val="0"/>
              <w:jc w:val="start"/>
              <w:rPr/>
            </w:pPr>
            <w:r>
              <w:rPr/>
              <w:t>Net income</w:t>
            </w:r>
          </w:p>
        </w:tc>
        <w:tc>
          <w:tcPr>
            <w:tcW w:w="1377" w:type="dxa"/>
            <w:tcBorders>
              <w:start w:val="single" w:sz="4" w:space="0" w:color="000000"/>
              <w:bottom w:val="single" w:sz="4" w:space="0" w:color="000000"/>
            </w:tcBorders>
          </w:tcPr>
          <w:p>
            <w:pPr>
              <w:pStyle w:val="TableContents"/>
              <w:bidi w:val="0"/>
              <w:jc w:val="start"/>
              <w:rPr/>
            </w:pPr>
            <w:r>
              <w:rPr/>
              <w:t>76</w:t>
            </w:r>
          </w:p>
        </w:tc>
        <w:tc>
          <w:tcPr>
            <w:tcW w:w="1377" w:type="dxa"/>
            <w:tcBorders>
              <w:start w:val="single" w:sz="4" w:space="0" w:color="000000"/>
              <w:bottom w:val="single" w:sz="4" w:space="0" w:color="000000"/>
            </w:tcBorders>
          </w:tcPr>
          <w:p>
            <w:pPr>
              <w:pStyle w:val="TableContents"/>
              <w:bidi w:val="0"/>
              <w:jc w:val="start"/>
              <w:rPr/>
            </w:pPr>
            <w:r>
              <w:rPr/>
              <w:t>59</w:t>
            </w:r>
          </w:p>
        </w:tc>
        <w:tc>
          <w:tcPr>
            <w:tcW w:w="1377" w:type="dxa"/>
            <w:tcBorders>
              <w:start w:val="single" w:sz="4" w:space="0" w:color="000000"/>
              <w:bottom w:val="single" w:sz="4" w:space="0" w:color="000000"/>
            </w:tcBorders>
          </w:tcPr>
          <w:p>
            <w:pPr>
              <w:pStyle w:val="TableContents"/>
              <w:bidi w:val="0"/>
              <w:jc w:val="start"/>
              <w:rPr/>
            </w:pPr>
            <w:r>
              <w:rPr/>
              <w:t>73</w:t>
            </w:r>
          </w:p>
        </w:tc>
        <w:tc>
          <w:tcPr>
            <w:tcW w:w="1377" w:type="dxa"/>
            <w:tcBorders>
              <w:start w:val="single" w:sz="4" w:space="0" w:color="000000"/>
              <w:bottom w:val="single" w:sz="4" w:space="0" w:color="000000"/>
            </w:tcBorders>
          </w:tcPr>
          <w:p>
            <w:pPr>
              <w:pStyle w:val="TableContents"/>
              <w:bidi w:val="0"/>
              <w:jc w:val="start"/>
              <w:rPr/>
            </w:pPr>
            <w:r>
              <w:rPr/>
              <w:t>100</w:t>
            </w:r>
          </w:p>
        </w:tc>
        <w:tc>
          <w:tcPr>
            <w:tcW w:w="1377" w:type="dxa"/>
            <w:tcBorders>
              <w:start w:val="single" w:sz="4" w:space="0" w:color="000000"/>
              <w:bottom w:val="single" w:sz="4" w:space="0" w:color="000000"/>
            </w:tcBorders>
          </w:tcPr>
          <w:p>
            <w:pPr>
              <w:pStyle w:val="TableContents"/>
              <w:bidi w:val="0"/>
              <w:jc w:val="start"/>
              <w:rPr/>
            </w:pPr>
            <w:r>
              <w:rPr/>
              <w:t>132</w:t>
            </w:r>
          </w:p>
        </w:tc>
        <w:tc>
          <w:tcPr>
            <w:tcW w:w="1377" w:type="dxa"/>
            <w:tcBorders>
              <w:start w:val="single" w:sz="4" w:space="0" w:color="000000"/>
              <w:bottom w:val="single" w:sz="4" w:space="0" w:color="000000"/>
              <w:end w:val="single" w:sz="4" w:space="0" w:color="000000"/>
            </w:tcBorders>
          </w:tcPr>
          <w:p>
            <w:pPr>
              <w:pStyle w:val="TableContents"/>
              <w:bidi w:val="0"/>
              <w:jc w:val="start"/>
              <w:rPr/>
            </w:pPr>
            <w:r>
              <w:rPr/>
              <w:t>General uptrend (one down year) ✔</w:t>
            </w:r>
          </w:p>
        </w:tc>
      </w:tr>
      <w:tr>
        <w:trPr/>
        <w:tc>
          <w:tcPr>
            <w:tcW w:w="1376" w:type="dxa"/>
            <w:tcBorders>
              <w:start w:val="single" w:sz="4" w:space="0" w:color="000000"/>
              <w:bottom w:val="single" w:sz="4" w:space="0" w:color="000000"/>
            </w:tcBorders>
          </w:tcPr>
          <w:p>
            <w:pPr>
              <w:pStyle w:val="TableContents"/>
              <w:bidi w:val="0"/>
              <w:jc w:val="start"/>
              <w:rPr/>
            </w:pPr>
            <w:r>
              <w:rPr/>
              <w:t>Net operating cash flow</w:t>
            </w:r>
          </w:p>
        </w:tc>
        <w:tc>
          <w:tcPr>
            <w:tcW w:w="1377" w:type="dxa"/>
            <w:tcBorders>
              <w:start w:val="single" w:sz="4" w:space="0" w:color="000000"/>
              <w:bottom w:val="single" w:sz="4" w:space="0" w:color="000000"/>
            </w:tcBorders>
          </w:tcPr>
          <w:p>
            <w:pPr>
              <w:pStyle w:val="TableContents"/>
              <w:bidi w:val="0"/>
              <w:jc w:val="start"/>
              <w:rPr/>
            </w:pPr>
            <w:r>
              <w:rPr/>
              <w:t>65</w:t>
            </w:r>
          </w:p>
        </w:tc>
        <w:tc>
          <w:tcPr>
            <w:tcW w:w="1377" w:type="dxa"/>
            <w:tcBorders>
              <w:start w:val="single" w:sz="4" w:space="0" w:color="000000"/>
              <w:bottom w:val="single" w:sz="4" w:space="0" w:color="000000"/>
            </w:tcBorders>
          </w:tcPr>
          <w:p>
            <w:pPr>
              <w:pStyle w:val="TableContents"/>
              <w:bidi w:val="0"/>
              <w:jc w:val="start"/>
              <w:rPr/>
            </w:pPr>
            <w:r>
              <w:rPr/>
              <w:t>91</w:t>
            </w:r>
          </w:p>
        </w:tc>
        <w:tc>
          <w:tcPr>
            <w:tcW w:w="1377" w:type="dxa"/>
            <w:tcBorders>
              <w:start w:val="single" w:sz="4" w:space="0" w:color="000000"/>
              <w:bottom w:val="single" w:sz="4" w:space="0" w:color="000000"/>
            </w:tcBorders>
          </w:tcPr>
          <w:p>
            <w:pPr>
              <w:pStyle w:val="TableContents"/>
              <w:bidi w:val="0"/>
              <w:jc w:val="start"/>
              <w:rPr/>
            </w:pPr>
            <w:r>
              <w:rPr/>
              <w:t>91</w:t>
            </w:r>
          </w:p>
        </w:tc>
        <w:tc>
          <w:tcPr>
            <w:tcW w:w="1377" w:type="dxa"/>
            <w:tcBorders>
              <w:start w:val="single" w:sz="4" w:space="0" w:color="000000"/>
              <w:bottom w:val="single" w:sz="4" w:space="0" w:color="000000"/>
            </w:tcBorders>
          </w:tcPr>
          <w:p>
            <w:pPr>
              <w:pStyle w:val="TableContents"/>
              <w:bidi w:val="0"/>
              <w:jc w:val="start"/>
              <w:rPr/>
            </w:pPr>
            <w:r>
              <w:rPr/>
              <w:t>101</w:t>
            </w:r>
          </w:p>
        </w:tc>
        <w:tc>
          <w:tcPr>
            <w:tcW w:w="1377" w:type="dxa"/>
            <w:tcBorders>
              <w:start w:val="single" w:sz="4" w:space="0" w:color="000000"/>
              <w:bottom w:val="single" w:sz="4" w:space="0" w:color="000000"/>
            </w:tcBorders>
          </w:tcPr>
          <w:p>
            <w:pPr>
              <w:pStyle w:val="TableContents"/>
              <w:bidi w:val="0"/>
              <w:jc w:val="start"/>
              <w:rPr/>
            </w:pPr>
            <w:r>
              <w:rPr/>
              <w:t>125 → 164*</w:t>
            </w:r>
          </w:p>
        </w:tc>
        <w:tc>
          <w:tcPr>
            <w:tcW w:w="1377" w:type="dxa"/>
            <w:tcBorders>
              <w:start w:val="single" w:sz="4" w:space="0" w:color="000000"/>
              <w:bottom w:val="single" w:sz="4" w:space="0" w:color="000000"/>
              <w:end w:val="single" w:sz="4" w:space="0" w:color="000000"/>
            </w:tcBorders>
          </w:tcPr>
          <w:p>
            <w:pPr>
              <w:pStyle w:val="TableContents"/>
              <w:bidi w:val="0"/>
              <w:jc w:val="start"/>
              <w:rPr/>
            </w:pPr>
            <w:r>
              <w:rPr/>
              <w:t>Generally uptrending ✔</w:t>
            </w:r>
          </w:p>
        </w:tc>
      </w:tr>
    </w:tbl>
    <w:p>
      <w:pPr>
        <w:pStyle w:val="BodyText"/>
        <w:bidi w:val="0"/>
        <w:jc w:val="start"/>
        <w:rPr/>
      </w:pPr>
      <w:r>
        <w:rPr/>
      </w:r>
    </w:p>
    <w:p>
      <w:pPr>
        <w:pStyle w:val="BodyText"/>
        <w:bidi w:val="0"/>
        <w:jc w:val="start"/>
        <w:rPr/>
      </w:pPr>
      <w:r>
        <w:rPr/>
        <w:t xml:space="preserve">* Adam reads the operating cash-flow line as "$65B, $91B, $91B — flat this year — $101, increasing $125, $164." The latest annual operating cash flow used later in the DCF is </w:t>
      </w:r>
      <w:r>
        <w:rPr>
          <w:b/>
        </w:rPr>
        <w:t>$164,713M</w:t>
      </w:r>
      <w:r>
        <w:rPr/>
        <w:t>.</w:t>
      </w:r>
    </w:p>
    <w:p>
      <w:pPr>
        <w:pStyle w:val="BodyText"/>
        <w:bidi w:val="0"/>
        <w:jc w:val="start"/>
        <w:rPr/>
      </w:pPr>
      <w:r>
        <w:rPr/>
        <w:t xml:space="preserve">Key teaching point: </w:t>
      </w:r>
      <w:r>
        <w:rPr>
          <w:b/>
        </w:rPr>
        <w:t>net income does not have to rise every single year.</w:t>
      </w:r>
      <w:r>
        <w:rPr/>
        <w:t xml:space="preserve"> "There's a general uptrend, although there was a year it dropped, doesn't have to go up every single year." Fallback rule: if net income isn't consistent, check that </w:t>
      </w:r>
      <w:r>
        <w:rPr>
          <w:b/>
        </w:rPr>
        <w:t>operating income</w:t>
      </w:r>
      <w:r>
        <w:rPr/>
        <w:t xml:space="preserve"> is consistent (it is).</w:t>
      </w:r>
    </w:p>
    <w:p>
      <w:pPr>
        <w:pStyle w:val="BodyText"/>
        <w:bidi w:val="0"/>
        <w:jc w:val="start"/>
        <w:rPr/>
      </w:pPr>
      <w:r>
        <w:rPr>
          <w:b/>
        </w:rPr>
        <w:t>Margins (Step 1, part 2):</w:t>
      </w:r>
      <w:r>
        <w:rPr/>
        <w:t xml:space="preserve"> checked under StockOracle → </w:t>
      </w:r>
      <w:r>
        <w:rPr>
          <w:i/>
        </w:rPr>
        <w:t>Company Metrics</w:t>
      </w:r>
      <w:r>
        <w:rPr/>
        <w:t xml:space="preserve">. Over the last 5 years, </w:t>
      </w:r>
      <w:r>
        <w:rPr>
          <w:b/>
        </w:rPr>
        <w:t>gross margins have been more or less quite stable</w:t>
      </w:r>
      <w:r>
        <w:rPr/>
        <w:t xml:space="preserve"> and </w:t>
      </w:r>
      <w:r>
        <w:rPr>
          <w:b/>
        </w:rPr>
        <w:t>operating margins have also been pretty stable</w:t>
      </w:r>
      <w:r>
        <w:rPr/>
        <w:t>. ✔</w:t>
      </w:r>
    </w:p>
    <w:p>
      <w:pPr>
        <w:pStyle w:val="BodyText"/>
        <w:bidi w:val="0"/>
        <w:jc w:val="start"/>
        <w:rPr/>
      </w:pPr>
      <w:r>
        <w:rPr/>
        <w:t xml:space="preserve">→ </w:t>
      </w:r>
      <w:r>
        <w:rPr>
          <w:b/>
        </w:rPr>
        <w:t>Step 1 PASSED.</w:t>
      </w:r>
    </w:p>
    <w:p>
      <w:pPr>
        <w:pStyle w:val="Heading3"/>
        <w:bidi w:val="0"/>
        <w:ind w:hanging="0" w:start="0"/>
        <w:jc w:val="start"/>
        <w:rPr/>
      </w:pPr>
      <w:r>
        <w:rPr/>
        <w:t>1.2 Step 2 — Growth rate and growth catalysts</w:t>
      </w:r>
    </w:p>
    <w:p>
      <w:pPr>
        <w:pStyle w:val="BodyText"/>
        <w:bidi w:val="0"/>
        <w:jc w:val="start"/>
        <w:rPr/>
      </w:pPr>
      <w:r>
        <w:rPr/>
        <w:t>Quantitative — three independent projections gathered:</w:t>
      </w:r>
    </w:p>
    <w:tbl>
      <w:tblPr>
        <w:tblW w:w="5000" w:type="pct"/>
        <w:jc w:val="start"/>
        <w:tblInd w:w="-5" w:type="dxa"/>
        <w:tblLayout w:type="fixed"/>
        <w:tblCellMar>
          <w:top w:w="55" w:type="dxa"/>
          <w:start w:w="55" w:type="dxa"/>
          <w:bottom w:w="55" w:type="dxa"/>
          <w:end w:w="55" w:type="dxa"/>
        </w:tblCellMar>
      </w:tblPr>
      <w:tblGrid>
        <w:gridCol w:w="4819"/>
        <w:gridCol w:w="4819"/>
      </w:tblGrid>
      <w:tr>
        <w:trPr>
          <w:tblHeader w:val="true"/>
        </w:trPr>
        <w:tc>
          <w:tcPr>
            <w:tcW w:w="4819" w:type="dxa"/>
            <w:tcBorders>
              <w:top w:val="single" w:sz="4" w:space="0" w:color="000000"/>
              <w:start w:val="single" w:sz="4" w:space="0" w:color="000000"/>
              <w:bottom w:val="single" w:sz="4" w:space="0" w:color="000000"/>
            </w:tcBorders>
          </w:tcPr>
          <w:p>
            <w:pPr>
              <w:pStyle w:val="TableHeading"/>
              <w:bidi w:val="0"/>
              <w:jc w:val="start"/>
              <w:rPr/>
            </w:pPr>
            <w:r>
              <w:rPr/>
              <w:t>Source</w:t>
            </w:r>
          </w:p>
        </w:tc>
        <w:tc>
          <w:tcPr>
            <w:tcW w:w="4819"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Projected growth</w:t>
            </w:r>
          </w:p>
        </w:tc>
      </w:tr>
      <w:tr>
        <w:trPr/>
        <w:tc>
          <w:tcPr>
            <w:tcW w:w="4819" w:type="dxa"/>
            <w:tcBorders>
              <w:start w:val="single" w:sz="4" w:space="0" w:color="000000"/>
              <w:bottom w:val="single" w:sz="4" w:space="0" w:color="000000"/>
            </w:tcBorders>
          </w:tcPr>
          <w:p>
            <w:pPr>
              <w:pStyle w:val="TableContents"/>
              <w:bidi w:val="0"/>
              <w:jc w:val="start"/>
              <w:rPr/>
            </w:pPr>
            <w:r>
              <w:rPr/>
              <w:t>StockOracle / FactSet — 3-to-5-year earnings growth</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b/>
              </w:rPr>
              <w:t>15.3%</w:t>
            </w:r>
          </w:p>
        </w:tc>
      </w:tr>
      <w:tr>
        <w:trPr/>
        <w:tc>
          <w:tcPr>
            <w:tcW w:w="4819" w:type="dxa"/>
            <w:tcBorders>
              <w:start w:val="single" w:sz="4" w:space="0" w:color="000000"/>
              <w:bottom w:val="single" w:sz="4" w:space="0" w:color="000000"/>
            </w:tcBorders>
          </w:tcPr>
          <w:p>
            <w:pPr>
              <w:pStyle w:val="TableContents"/>
              <w:bidi w:val="0"/>
              <w:jc w:val="start"/>
              <w:rPr/>
            </w:pPr>
            <w:r>
              <w:rPr/>
              <w:t>StockOracle / FactSet — long-term growth (beyond 5 yrs)</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b/>
              </w:rPr>
              <w:t>10.13%</w:t>
            </w:r>
          </w:p>
        </w:tc>
      </w:tr>
      <w:tr>
        <w:trPr/>
        <w:tc>
          <w:tcPr>
            <w:tcW w:w="4819" w:type="dxa"/>
            <w:tcBorders>
              <w:start w:val="single" w:sz="4" w:space="0" w:color="000000"/>
              <w:bottom w:val="single" w:sz="4" w:space="0" w:color="000000"/>
            </w:tcBorders>
          </w:tcPr>
          <w:p>
            <w:pPr>
              <w:pStyle w:val="TableContents"/>
              <w:bidi w:val="0"/>
              <w:jc w:val="start"/>
              <w:rPr/>
            </w:pPr>
            <w:r>
              <w:rPr/>
              <w:t>StockOracle / FactSet — cash flow growth rate</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 xml:space="preserve">17% (noted but </w:t>
            </w:r>
            <w:r>
              <w:rPr>
                <w:i/>
              </w:rPr>
              <w:t>not used</w:t>
            </w:r>
            <w:r>
              <w:rPr/>
              <w:t xml:space="preserve"> — Adam takes the two above "to be more conservative")</w:t>
            </w:r>
          </w:p>
        </w:tc>
      </w:tr>
      <w:tr>
        <w:trPr/>
        <w:tc>
          <w:tcPr>
            <w:tcW w:w="4819" w:type="dxa"/>
            <w:tcBorders>
              <w:start w:val="single" w:sz="4" w:space="0" w:color="000000"/>
              <w:bottom w:val="single" w:sz="4" w:space="0" w:color="000000"/>
            </w:tcBorders>
          </w:tcPr>
          <w:p>
            <w:pPr>
              <w:pStyle w:val="TableContents"/>
              <w:bidi w:val="0"/>
              <w:jc w:val="start"/>
              <w:rPr/>
            </w:pPr>
            <w:r>
              <w:rPr/>
              <w:t>FinViz — next 5 years</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b/>
              </w:rPr>
              <w:t>12.88%</w:t>
            </w:r>
          </w:p>
        </w:tc>
      </w:tr>
      <w:tr>
        <w:trPr/>
        <w:tc>
          <w:tcPr>
            <w:tcW w:w="4819" w:type="dxa"/>
            <w:tcBorders>
              <w:start w:val="single" w:sz="4" w:space="0" w:color="000000"/>
              <w:bottom w:val="single" w:sz="4" w:space="0" w:color="000000"/>
            </w:tcBorders>
          </w:tcPr>
          <w:p>
            <w:pPr>
              <w:pStyle w:val="TableContents"/>
              <w:bidi w:val="0"/>
              <w:jc w:val="start"/>
              <w:rPr/>
            </w:pPr>
            <w:r>
              <w:rPr/>
              <w:t>Zacks — projected growth</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b/>
              </w:rPr>
              <w:t>14.72%</w:t>
            </w:r>
          </w:p>
        </w:tc>
      </w:tr>
    </w:tbl>
    <w:p>
      <w:pPr>
        <w:pStyle w:val="BodyText"/>
        <w:bidi w:val="0"/>
        <w:jc w:val="start"/>
        <w:rPr/>
      </w:pPr>
      <w:r>
        <w:rPr/>
      </w:r>
    </w:p>
    <w:p>
      <w:pPr>
        <w:pStyle w:val="BodyText"/>
        <w:bidi w:val="0"/>
        <w:jc w:val="start"/>
        <w:rPr/>
      </w:pPr>
      <w:r>
        <w:rPr/>
        <w:t xml:space="preserve">Average of the three 5-yr figures (15.3 + 12.88 + 14.72) ÷ 3 = </w:t>
      </w:r>
      <w:r>
        <w:rPr>
          <w:b/>
        </w:rPr>
        <w:t>14.3%</w:t>
      </w:r>
      <w:r>
        <w:rPr/>
        <w:t xml:space="preserve"> — used later as the conservative case.</w:t>
      </w:r>
    </w:p>
    <w:p>
      <w:pPr>
        <w:pStyle w:val="BodyText"/>
        <w:bidi w:val="0"/>
        <w:jc w:val="start"/>
        <w:rPr/>
      </w:pPr>
      <w:r>
        <w:rPr/>
        <w:t xml:space="preserve">Navigation note: StockOracle → </w:t>
      </w:r>
      <w:r>
        <w:rPr>
          <w:i/>
        </w:rPr>
        <w:t>Company Metrics</w:t>
      </w:r>
      <w:r>
        <w:rPr/>
        <w:t xml:space="preserve"> → scroll to </w:t>
      </w:r>
      <w:r>
        <w:rPr>
          <w:i/>
        </w:rPr>
        <w:t>Projected Growth</w:t>
      </w:r>
      <w:r>
        <w:rPr/>
        <w:t xml:space="preserve">. Adam keeps these in his 10 "favorites" (customisable via three-dots → Edit Favorites; </w:t>
      </w:r>
      <w:r>
        <w:rPr>
          <w:b/>
        </w:rPr>
        <w:t>479 metrics</w:t>
      </w:r>
      <w:r>
        <w:rPr/>
        <w:t xml:space="preserve"> available).</w:t>
      </w:r>
    </w:p>
    <w:p>
      <w:pPr>
        <w:pStyle w:val="BodyText"/>
        <w:bidi w:val="0"/>
        <w:jc w:val="start"/>
        <w:rPr/>
      </w:pPr>
      <w:r>
        <w:rPr/>
        <w:t xml:space="preserve">Qualitative — growth drivers pulled from StockOracle's </w:t>
      </w:r>
      <w:r>
        <w:rPr>
          <w:b/>
        </w:rPr>
        <w:t>AI Insights</w:t>
      </w:r>
      <w:r>
        <w:rPr/>
        <w:t>:</w:t>
      </w:r>
    </w:p>
    <w:p>
      <w:pPr>
        <w:pStyle w:val="BodyText"/>
        <w:numPr>
          <w:ilvl w:val="0"/>
          <w:numId w:val="435"/>
        </w:numPr>
        <w:tabs>
          <w:tab w:val="clear" w:pos="709"/>
          <w:tab w:val="left" w:pos="709" w:leader="none"/>
        </w:tabs>
        <w:bidi w:val="0"/>
        <w:ind w:hanging="283" w:start="709"/>
        <w:jc w:val="start"/>
        <w:rPr/>
      </w:pPr>
      <w:r>
        <w:rPr/>
        <w:t xml:space="preserve">Explosive </w:t>
      </w:r>
      <w:r>
        <w:rPr>
          <w:b/>
        </w:rPr>
        <w:t>AI and cloud infrastructure</w:t>
      </w:r>
      <w:r>
        <w:rPr/>
        <w:t xml:space="preserve"> expansion</w:t>
      </w:r>
    </w:p>
    <w:p>
      <w:pPr>
        <w:pStyle w:val="BodyText"/>
        <w:numPr>
          <w:ilvl w:val="0"/>
          <w:numId w:val="435"/>
        </w:numPr>
        <w:tabs>
          <w:tab w:val="clear" w:pos="709"/>
          <w:tab w:val="left" w:pos="709" w:leader="none"/>
        </w:tabs>
        <w:bidi w:val="0"/>
        <w:ind w:hanging="283" w:start="709"/>
        <w:jc w:val="start"/>
        <w:rPr/>
      </w:pPr>
      <w:r>
        <w:rPr/>
        <w:t xml:space="preserve">Dominance in </w:t>
      </w:r>
      <w:r>
        <w:rPr>
          <w:b/>
        </w:rPr>
        <w:t>digital advertising and search</w:t>
      </w:r>
      <w:r>
        <w:rPr/>
        <w:t>, with AI monetisation</w:t>
      </w:r>
    </w:p>
    <w:p>
      <w:pPr>
        <w:pStyle w:val="BodyText"/>
        <w:numPr>
          <w:ilvl w:val="0"/>
          <w:numId w:val="435"/>
        </w:numPr>
        <w:tabs>
          <w:tab w:val="clear" w:pos="709"/>
          <w:tab w:val="left" w:pos="709" w:leader="none"/>
        </w:tabs>
        <w:bidi w:val="0"/>
        <w:ind w:hanging="283" w:start="709"/>
        <w:jc w:val="start"/>
        <w:rPr/>
      </w:pPr>
      <w:r>
        <w:rPr>
          <w:b/>
        </w:rPr>
        <w:t>Enterprise AI adoption</w:t>
      </w:r>
      <w:r>
        <w:rPr/>
        <w:t xml:space="preserve"> via the Google Cloud backlog</w:t>
      </w:r>
    </w:p>
    <w:p>
      <w:pPr>
        <w:pStyle w:val="BodyText"/>
        <w:numPr>
          <w:ilvl w:val="0"/>
          <w:numId w:val="435"/>
        </w:numPr>
        <w:tabs>
          <w:tab w:val="clear" w:pos="709"/>
          <w:tab w:val="left" w:pos="709" w:leader="none"/>
        </w:tabs>
        <w:bidi w:val="0"/>
        <w:ind w:hanging="283" w:start="709"/>
        <w:jc w:val="start"/>
        <w:rPr/>
      </w:pPr>
      <w:r>
        <w:rPr>
          <w:b/>
        </w:rPr>
        <w:t>Subscription and YouTube ecosystem</w:t>
      </w:r>
      <w:r>
        <w:rPr/>
        <w:t xml:space="preserve"> expansion</w:t>
      </w:r>
    </w:p>
    <w:p>
      <w:pPr>
        <w:pStyle w:val="BodyText"/>
        <w:numPr>
          <w:ilvl w:val="0"/>
          <w:numId w:val="435"/>
        </w:numPr>
        <w:tabs>
          <w:tab w:val="clear" w:pos="709"/>
          <w:tab w:val="left" w:pos="709" w:leader="none"/>
        </w:tabs>
        <w:bidi w:val="0"/>
        <w:ind w:hanging="283" w:start="709"/>
        <w:jc w:val="start"/>
        <w:rPr/>
      </w:pPr>
      <w:r>
        <w:rPr/>
        <w:t xml:space="preserve">Strong </w:t>
      </w:r>
      <w:r>
        <w:rPr>
          <w:b/>
        </w:rPr>
        <w:t>free cash flow and financial firepower</w:t>
      </w:r>
    </w:p>
    <w:p>
      <w:pPr>
        <w:pStyle w:val="BodyText"/>
        <w:numPr>
          <w:ilvl w:val="0"/>
          <w:numId w:val="435"/>
        </w:numPr>
        <w:tabs>
          <w:tab w:val="clear" w:pos="709"/>
          <w:tab w:val="left" w:pos="709" w:leader="none"/>
        </w:tabs>
        <w:bidi w:val="0"/>
        <w:ind w:hanging="283" w:start="709"/>
        <w:jc w:val="start"/>
        <w:rPr/>
      </w:pPr>
      <w:r>
        <w:rPr/>
        <w:t xml:space="preserve">Global reach and </w:t>
      </w:r>
      <w:r>
        <w:rPr>
          <w:b/>
        </w:rPr>
        <w:t>ecosystem integration</w:t>
      </w:r>
    </w:p>
    <w:p>
      <w:pPr>
        <w:pStyle w:val="BodyText"/>
        <w:numPr>
          <w:ilvl w:val="0"/>
          <w:numId w:val="435"/>
        </w:numPr>
        <w:tabs>
          <w:tab w:val="clear" w:pos="709"/>
          <w:tab w:val="left" w:pos="709" w:leader="none"/>
        </w:tabs>
        <w:bidi w:val="0"/>
        <w:ind w:hanging="283" w:start="709"/>
        <w:jc w:val="start"/>
        <w:rPr/>
      </w:pPr>
      <w:r>
        <w:rPr>
          <w:b/>
        </w:rPr>
        <w:t>Waymo</w:t>
      </w:r>
      <w:r>
        <w:rPr/>
        <w:t xml:space="preserve"> (autonomous-driving market leader) and "other bets" — long-term optionality</w:t>
      </w:r>
    </w:p>
    <w:p>
      <w:pPr>
        <w:pStyle w:val="BodyText"/>
        <w:bidi w:val="0"/>
        <w:jc w:val="start"/>
        <w:rPr/>
      </w:pPr>
      <w:r>
        <w:rPr/>
        <w:t>Rule stated: "As long as it has got a positive growth rate, it passes this step." All figures are positive and double-digit.</w:t>
      </w:r>
    </w:p>
    <w:p>
      <w:pPr>
        <w:pStyle w:val="BodyText"/>
        <w:bidi w:val="0"/>
        <w:jc w:val="start"/>
        <w:rPr/>
      </w:pPr>
      <w:r>
        <w:rPr/>
        <w:t xml:space="preserve">→ </w:t>
      </w:r>
      <w:r>
        <w:rPr>
          <w:b/>
        </w:rPr>
        <w:t>Step 2 PASSED.</w:t>
      </w:r>
    </w:p>
    <w:p>
      <w:pPr>
        <w:pStyle w:val="Heading3"/>
        <w:bidi w:val="0"/>
        <w:ind w:hanging="0" w:start="0"/>
        <w:jc w:val="start"/>
        <w:rPr/>
      </w:pPr>
      <w:r>
        <w:rPr/>
        <w:t>1.3 Step 3 — Economic moat (the most important step)</w:t>
      </w:r>
    </w:p>
    <w:p>
      <w:pPr>
        <w:pStyle w:val="BodyText"/>
        <w:bidi w:val="0"/>
        <w:jc w:val="start"/>
        <w:rPr/>
      </w:pPr>
      <w:r>
        <w:rPr/>
        <w:t xml:space="preserve">Tool: StockOracle → </w:t>
      </w:r>
      <w:r>
        <w:rPr>
          <w:b/>
        </w:rPr>
        <w:t>Oracle IQ</w:t>
      </w:r>
      <w:r>
        <w:rPr/>
        <w:t xml:space="preserve"> → </w:t>
      </w:r>
      <w:r>
        <w:rPr>
          <w:i/>
        </w:rPr>
        <w:t>AI Moat Analysis</w:t>
      </w:r>
      <w:r>
        <w:rPr/>
        <w:t xml:space="preserve">. Standard: invest in </w:t>
      </w:r>
      <w:r>
        <w:rPr>
          <w:b/>
        </w:rPr>
        <w:t>wide moat</w:t>
      </w:r>
      <w:r>
        <w:rPr/>
        <w:t xml:space="preserve"> or </w:t>
      </w:r>
      <w:r>
        <w:rPr>
          <w:b/>
        </w:rPr>
        <w:t>narrow moat</w:t>
      </w:r>
      <w:r>
        <w:rPr/>
        <w:t xml:space="preserve">; </w:t>
      </w:r>
      <w:r>
        <w:rPr>
          <w:b/>
        </w:rPr>
        <w:t>avoid no moat</w:t>
      </w:r>
      <w:r>
        <w:rPr/>
        <w:t>. Adam's caveat: "You may or may not agree with it, you can always do your own research, but this kind of summarizes and brings together all the research that you can find on your own."</w:t>
      </w:r>
    </w:p>
    <w:p>
      <w:pPr>
        <w:pStyle w:val="BodyText"/>
        <w:bidi w:val="0"/>
        <w:jc w:val="start"/>
        <w:rPr/>
      </w:pPr>
      <w:r>
        <w:rPr>
          <w:b/>
        </w:rPr>
        <w:t>Alphabet moat score: 9 / 10</w:t>
      </w:r>
    </w:p>
    <w:tbl>
      <w:tblPr>
        <w:tblW w:w="5000" w:type="pct"/>
        <w:jc w:val="start"/>
        <w:tblInd w:w="-5" w:type="dxa"/>
        <w:tblLayout w:type="fixed"/>
        <w:tblCellMar>
          <w:top w:w="55" w:type="dxa"/>
          <w:start w:w="55" w:type="dxa"/>
          <w:bottom w:w="55" w:type="dxa"/>
          <w:end w:w="55" w:type="dxa"/>
        </w:tblCellMar>
      </w:tblPr>
      <w:tblGrid>
        <w:gridCol w:w="4819"/>
        <w:gridCol w:w="4819"/>
      </w:tblGrid>
      <w:tr>
        <w:trPr>
          <w:tblHeader w:val="true"/>
        </w:trPr>
        <w:tc>
          <w:tcPr>
            <w:tcW w:w="4819" w:type="dxa"/>
            <w:tcBorders>
              <w:top w:val="single" w:sz="4" w:space="0" w:color="000000"/>
              <w:start w:val="single" w:sz="4" w:space="0" w:color="000000"/>
              <w:bottom w:val="single" w:sz="4" w:space="0" w:color="000000"/>
            </w:tcBorders>
          </w:tcPr>
          <w:p>
            <w:pPr>
              <w:pStyle w:val="TableHeading"/>
              <w:bidi w:val="0"/>
              <w:jc w:val="start"/>
              <w:rPr/>
            </w:pPr>
            <w:r>
              <w:rPr/>
              <w:t>Moat source</w:t>
            </w:r>
          </w:p>
        </w:tc>
        <w:tc>
          <w:tcPr>
            <w:tcW w:w="4819"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Score</w:t>
            </w:r>
          </w:p>
        </w:tc>
      </w:tr>
      <w:tr>
        <w:trPr/>
        <w:tc>
          <w:tcPr>
            <w:tcW w:w="4819" w:type="dxa"/>
            <w:tcBorders>
              <w:start w:val="single" w:sz="4" w:space="0" w:color="000000"/>
              <w:bottom w:val="single" w:sz="4" w:space="0" w:color="000000"/>
            </w:tcBorders>
          </w:tcPr>
          <w:p>
            <w:pPr>
              <w:pStyle w:val="TableContents"/>
              <w:bidi w:val="0"/>
              <w:jc w:val="start"/>
              <w:rPr/>
            </w:pPr>
            <w:r>
              <w:rPr/>
              <w:t>Brand power &amp; pricing power</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9 / 10</w:t>
            </w:r>
          </w:p>
        </w:tc>
      </w:tr>
      <w:tr>
        <w:trPr/>
        <w:tc>
          <w:tcPr>
            <w:tcW w:w="4819" w:type="dxa"/>
            <w:tcBorders>
              <w:start w:val="single" w:sz="4" w:space="0" w:color="000000"/>
              <w:bottom w:val="single" w:sz="4" w:space="0" w:color="000000"/>
            </w:tcBorders>
          </w:tcPr>
          <w:p>
            <w:pPr>
              <w:pStyle w:val="TableContents"/>
              <w:bidi w:val="0"/>
              <w:jc w:val="start"/>
              <w:rPr/>
            </w:pPr>
            <w:r>
              <w:rPr/>
              <w:t>Barriers to entry</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10 / 10</w:t>
            </w:r>
          </w:p>
        </w:tc>
      </w:tr>
      <w:tr>
        <w:trPr/>
        <w:tc>
          <w:tcPr>
            <w:tcW w:w="4819" w:type="dxa"/>
            <w:tcBorders>
              <w:start w:val="single" w:sz="4" w:space="0" w:color="000000"/>
              <w:bottom w:val="single" w:sz="4" w:space="0" w:color="000000"/>
            </w:tcBorders>
          </w:tcPr>
          <w:p>
            <w:pPr>
              <w:pStyle w:val="TableContents"/>
              <w:bidi w:val="0"/>
              <w:jc w:val="start"/>
              <w:rPr/>
            </w:pPr>
            <w:r>
              <w:rPr/>
              <w:t>Switching costs</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8 / 10</w:t>
            </w:r>
          </w:p>
        </w:tc>
      </w:tr>
      <w:tr>
        <w:trPr/>
        <w:tc>
          <w:tcPr>
            <w:tcW w:w="4819" w:type="dxa"/>
            <w:tcBorders>
              <w:start w:val="single" w:sz="4" w:space="0" w:color="000000"/>
              <w:bottom w:val="single" w:sz="4" w:space="0" w:color="000000"/>
            </w:tcBorders>
          </w:tcPr>
          <w:p>
            <w:pPr>
              <w:pStyle w:val="TableContents"/>
              <w:bidi w:val="0"/>
              <w:jc w:val="start"/>
              <w:rPr/>
            </w:pPr>
            <w:r>
              <w:rPr/>
              <w:t>Network effect</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10 / 10</w:t>
            </w:r>
          </w:p>
        </w:tc>
      </w:tr>
      <w:tr>
        <w:trPr/>
        <w:tc>
          <w:tcPr>
            <w:tcW w:w="4819" w:type="dxa"/>
            <w:tcBorders>
              <w:start w:val="single" w:sz="4" w:space="0" w:color="000000"/>
              <w:bottom w:val="single" w:sz="4" w:space="0" w:color="000000"/>
            </w:tcBorders>
          </w:tcPr>
          <w:p>
            <w:pPr>
              <w:pStyle w:val="TableContents"/>
              <w:bidi w:val="0"/>
              <w:jc w:val="start"/>
              <w:rPr/>
            </w:pPr>
            <w:r>
              <w:rPr/>
              <w:t>Economies of scale</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9 / 10</w:t>
            </w:r>
          </w:p>
        </w:tc>
      </w:tr>
    </w:tbl>
    <w:p>
      <w:pPr>
        <w:pStyle w:val="BodyText"/>
        <w:bidi w:val="0"/>
        <w:jc w:val="start"/>
        <w:rPr/>
      </w:pPr>
      <w:r>
        <w:rPr/>
      </w:r>
    </w:p>
    <w:p>
      <w:pPr>
        <w:pStyle w:val="BodyText"/>
        <w:bidi w:val="0"/>
        <w:jc w:val="start"/>
        <w:rPr/>
      </w:pPr>
      <w:r>
        <w:rPr/>
        <w:t>Reasoning quoted from the analysis and Adam's commentary:</w:t>
      </w:r>
    </w:p>
    <w:p>
      <w:pPr>
        <w:pStyle w:val="BodyText"/>
        <w:numPr>
          <w:ilvl w:val="0"/>
          <w:numId w:val="436"/>
        </w:numPr>
        <w:tabs>
          <w:tab w:val="clear" w:pos="709"/>
          <w:tab w:val="left" w:pos="709" w:leader="none"/>
        </w:tabs>
        <w:bidi w:val="0"/>
        <w:ind w:hanging="283" w:start="709"/>
        <w:jc w:val="start"/>
        <w:rPr/>
      </w:pPr>
      <w:r>
        <w:rPr>
          <w:b/>
        </w:rPr>
        <w:t>Search</w:t>
      </w:r>
      <w:r>
        <w:rPr/>
        <w:t>: Google holds &gt;90% global market share, "dwarfing rivals like Microsoft Bing at 4%" and Yandex / DuckDuckGo at roughly 1%.</w:t>
      </w:r>
    </w:p>
    <w:p>
      <w:pPr>
        <w:pStyle w:val="BodyText"/>
        <w:numPr>
          <w:ilvl w:val="0"/>
          <w:numId w:val="436"/>
        </w:numPr>
        <w:tabs>
          <w:tab w:val="clear" w:pos="709"/>
          <w:tab w:val="left" w:pos="709" w:leader="none"/>
        </w:tabs>
        <w:bidi w:val="0"/>
        <w:ind w:hanging="283" w:start="709"/>
        <w:jc w:val="start"/>
        <w:rPr/>
      </w:pPr>
      <w:r>
        <w:rPr>
          <w:b/>
        </w:rPr>
        <w:t>Brand loyalty</w:t>
      </w:r>
      <w:r>
        <w:rPr/>
        <w:t xml:space="preserve">: "Google this, Google that" — Google </w:t>
      </w:r>
      <w:r>
        <w:rPr>
          <w:i/>
        </w:rPr>
        <w:t>is</w:t>
      </w:r>
      <w:r>
        <w:rPr/>
        <w:t xml:space="preserve"> the verb for search.</w:t>
      </w:r>
    </w:p>
    <w:p>
      <w:pPr>
        <w:pStyle w:val="BodyText"/>
        <w:numPr>
          <w:ilvl w:val="0"/>
          <w:numId w:val="436"/>
        </w:numPr>
        <w:tabs>
          <w:tab w:val="clear" w:pos="709"/>
          <w:tab w:val="left" w:pos="709" w:leader="none"/>
        </w:tabs>
        <w:bidi w:val="0"/>
        <w:ind w:hanging="283" w:start="709"/>
        <w:jc w:val="start"/>
        <w:rPr/>
      </w:pPr>
      <w:r>
        <w:rPr>
          <w:b/>
        </w:rPr>
        <w:t>Pricing power</w:t>
      </w:r>
      <w:r>
        <w:rPr/>
        <w:t>: advertisers "have to pay top dollar" to advertise on Google and YouTube.</w:t>
      </w:r>
    </w:p>
    <w:p>
      <w:pPr>
        <w:pStyle w:val="BodyText"/>
        <w:numPr>
          <w:ilvl w:val="0"/>
          <w:numId w:val="436"/>
        </w:numPr>
        <w:tabs>
          <w:tab w:val="clear" w:pos="709"/>
          <w:tab w:val="left" w:pos="709" w:leader="none"/>
        </w:tabs>
        <w:bidi w:val="0"/>
        <w:ind w:hanging="283" w:start="709"/>
        <w:jc w:val="start"/>
        <w:rPr/>
      </w:pPr>
      <w:r>
        <w:rPr>
          <w:b/>
        </w:rPr>
        <w:t>Barriers to entry</w:t>
      </w:r>
      <w:r>
        <w:rPr/>
        <w:t>: "It's not easy that anyone else can start a website and compete with Google search, with their kind of history and their data."</w:t>
      </w:r>
    </w:p>
    <w:p>
      <w:pPr>
        <w:pStyle w:val="BodyText"/>
        <w:numPr>
          <w:ilvl w:val="0"/>
          <w:numId w:val="436"/>
        </w:numPr>
        <w:tabs>
          <w:tab w:val="clear" w:pos="709"/>
          <w:tab w:val="left" w:pos="709" w:leader="none"/>
        </w:tabs>
        <w:bidi w:val="0"/>
        <w:ind w:hanging="283" w:start="709"/>
        <w:jc w:val="start"/>
        <w:rPr/>
      </w:pPr>
      <w:r>
        <w:rPr>
          <w:b/>
        </w:rPr>
        <w:t>Cloud</w:t>
      </w:r>
      <w:r>
        <w:rPr/>
        <w:t xml:space="preserve">: Google Cloud is a </w:t>
      </w:r>
      <w:r>
        <w:rPr>
          <w:b/>
        </w:rPr>
        <w:t>fast-growing but distant third</w:t>
      </w:r>
      <w:r>
        <w:rPr/>
        <w:t xml:space="preserve"> behind AWS and Microsoft Azure.</w:t>
      </w:r>
    </w:p>
    <w:p>
      <w:pPr>
        <w:pStyle w:val="BodyText"/>
        <w:numPr>
          <w:ilvl w:val="0"/>
          <w:numId w:val="436"/>
        </w:numPr>
        <w:tabs>
          <w:tab w:val="clear" w:pos="709"/>
          <w:tab w:val="left" w:pos="709" w:leader="none"/>
        </w:tabs>
        <w:bidi w:val="0"/>
        <w:ind w:hanging="283" w:start="709"/>
        <w:jc w:val="start"/>
        <w:rPr/>
      </w:pPr>
      <w:r>
        <w:rPr>
          <w:b/>
        </w:rPr>
        <w:t>AI</w:t>
      </w:r>
      <w:r>
        <w:rPr/>
        <w:t>: Gemini competes with OpenAI's ChatGPT and others, "supported by massive R&amp;D and infrastructure investments."</w:t>
      </w:r>
    </w:p>
    <w:p>
      <w:pPr>
        <w:pStyle w:val="BodyText"/>
        <w:numPr>
          <w:ilvl w:val="0"/>
          <w:numId w:val="436"/>
        </w:numPr>
        <w:tabs>
          <w:tab w:val="clear" w:pos="709"/>
          <w:tab w:val="left" w:pos="709" w:leader="none"/>
        </w:tabs>
        <w:bidi w:val="0"/>
        <w:ind w:hanging="283" w:start="709"/>
        <w:jc w:val="start"/>
        <w:rPr/>
      </w:pPr>
      <w:r>
        <w:rPr/>
        <w:t xml:space="preserve">Moat root cause: a dominant global advertising platform anchored by Search + YouTube, which together generate unparalleled </w:t>
      </w:r>
      <w:r>
        <w:rPr>
          <w:b/>
        </w:rPr>
        <w:t>user intent data</w:t>
      </w:r>
      <w:r>
        <w:rPr/>
        <w:t xml:space="preserve"> and advertiser reach.</w:t>
      </w:r>
    </w:p>
    <w:p>
      <w:pPr>
        <w:pStyle w:val="BodyText"/>
        <w:bidi w:val="0"/>
        <w:jc w:val="start"/>
        <w:rPr/>
      </w:pPr>
      <w:r>
        <w:rPr/>
        <w:t xml:space="preserve">→ </w:t>
      </w:r>
      <w:r>
        <w:rPr>
          <w:b/>
        </w:rPr>
        <w:t>Step 3 PASSED.</w:t>
      </w:r>
    </w:p>
    <w:p>
      <w:pPr>
        <w:pStyle w:val="Heading3"/>
        <w:bidi w:val="0"/>
        <w:ind w:hanging="0" w:start="0"/>
        <w:jc w:val="start"/>
        <w:rPr/>
      </w:pPr>
      <w:r>
        <w:rPr/>
        <w:t>1.4 Step 4 — Profitability and operational efficiency</w:t>
      </w:r>
    </w:p>
    <w:p>
      <w:pPr>
        <w:pStyle w:val="BodyText"/>
        <w:bidi w:val="0"/>
        <w:jc w:val="start"/>
        <w:rPr/>
      </w:pPr>
      <w:r>
        <w:rPr/>
        <w:t xml:space="preserve">Benchmarks restated: ROE/ROIC ≥ </w:t>
      </w:r>
      <w:r>
        <w:rPr>
          <w:b/>
        </w:rPr>
        <w:t>12% = great business</w:t>
      </w:r>
      <w:r>
        <w:rPr/>
        <w:t xml:space="preserve">; </w:t>
      </w:r>
      <w:r>
        <w:rPr>
          <w:b/>
        </w:rPr>
        <w:t>&gt;15% = excellent business</w:t>
      </w:r>
      <w:r>
        <w:rPr/>
        <w:t>; want them stable or increasing.</w:t>
      </w:r>
    </w:p>
    <w:tbl>
      <w:tblPr>
        <w:tblW w:w="5000" w:type="pct"/>
        <w:jc w:val="start"/>
        <w:tblInd w:w="-5" w:type="dxa"/>
        <w:tblLayout w:type="fixed"/>
        <w:tblCellMar>
          <w:top w:w="55" w:type="dxa"/>
          <w:start w:w="55" w:type="dxa"/>
          <w:bottom w:w="55" w:type="dxa"/>
          <w:end w:w="55" w:type="dxa"/>
        </w:tblCellMar>
      </w:tblPr>
      <w:tblGrid>
        <w:gridCol w:w="3212"/>
        <w:gridCol w:w="3213"/>
        <w:gridCol w:w="3213"/>
      </w:tblGrid>
      <w:tr>
        <w:trPr>
          <w:tblHeader w:val="true"/>
        </w:trPr>
        <w:tc>
          <w:tcPr>
            <w:tcW w:w="3212" w:type="dxa"/>
            <w:tcBorders>
              <w:top w:val="single" w:sz="4" w:space="0" w:color="000000"/>
              <w:start w:val="single" w:sz="4" w:space="0" w:color="000000"/>
              <w:bottom w:val="single" w:sz="4" w:space="0" w:color="000000"/>
            </w:tcBorders>
          </w:tcPr>
          <w:p>
            <w:pPr>
              <w:pStyle w:val="TableHeading"/>
              <w:bidi w:val="0"/>
              <w:jc w:val="start"/>
              <w:rPr/>
            </w:pPr>
            <w:r>
              <w:rPr/>
              <w:t>Metric</w:t>
            </w:r>
          </w:p>
        </w:tc>
        <w:tc>
          <w:tcPr>
            <w:tcW w:w="3213" w:type="dxa"/>
            <w:tcBorders>
              <w:top w:val="single" w:sz="4" w:space="0" w:color="000000"/>
              <w:start w:val="single" w:sz="4" w:space="0" w:color="000000"/>
              <w:bottom w:val="single" w:sz="4" w:space="0" w:color="000000"/>
            </w:tcBorders>
          </w:tcPr>
          <w:p>
            <w:pPr>
              <w:pStyle w:val="TableHeading"/>
              <w:bidi w:val="0"/>
              <w:jc w:val="start"/>
              <w:rPr/>
            </w:pPr>
            <w:r>
              <w:rPr/>
              <w:t>Latest</w:t>
            </w:r>
          </w:p>
        </w:tc>
        <w:tc>
          <w:tcPr>
            <w:tcW w:w="3213"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5-year average</w:t>
            </w:r>
          </w:p>
        </w:tc>
      </w:tr>
      <w:tr>
        <w:trPr/>
        <w:tc>
          <w:tcPr>
            <w:tcW w:w="3212" w:type="dxa"/>
            <w:tcBorders>
              <w:start w:val="single" w:sz="4" w:space="0" w:color="000000"/>
              <w:bottom w:val="single" w:sz="4" w:space="0" w:color="000000"/>
            </w:tcBorders>
          </w:tcPr>
          <w:p>
            <w:pPr>
              <w:pStyle w:val="TableContents"/>
              <w:bidi w:val="0"/>
              <w:jc w:val="start"/>
              <w:rPr/>
            </w:pPr>
            <w:r>
              <w:rPr/>
              <w:t>Return on equity (ROE)</w:t>
            </w:r>
          </w:p>
        </w:tc>
        <w:tc>
          <w:tcPr>
            <w:tcW w:w="3213" w:type="dxa"/>
            <w:tcBorders>
              <w:start w:val="single" w:sz="4" w:space="0" w:color="000000"/>
              <w:bottom w:val="single" w:sz="4" w:space="0" w:color="000000"/>
            </w:tcBorders>
          </w:tcPr>
          <w:p>
            <w:pPr>
              <w:pStyle w:val="TableContents"/>
              <w:bidi w:val="0"/>
              <w:jc w:val="start"/>
              <w:rPr/>
            </w:pPr>
            <w:r>
              <w:rPr>
                <w:b/>
              </w:rPr>
              <w:t>35.7%</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30%</w:t>
            </w:r>
          </w:p>
        </w:tc>
      </w:tr>
      <w:tr>
        <w:trPr/>
        <w:tc>
          <w:tcPr>
            <w:tcW w:w="3212" w:type="dxa"/>
            <w:tcBorders>
              <w:start w:val="single" w:sz="4" w:space="0" w:color="000000"/>
              <w:bottom w:val="single" w:sz="4" w:space="0" w:color="000000"/>
            </w:tcBorders>
          </w:tcPr>
          <w:p>
            <w:pPr>
              <w:pStyle w:val="TableContents"/>
              <w:bidi w:val="0"/>
              <w:jc w:val="start"/>
              <w:rPr/>
            </w:pPr>
            <w:r>
              <w:rPr/>
              <w:t>Return on invested capital (ROIC)</w:t>
            </w:r>
          </w:p>
        </w:tc>
        <w:tc>
          <w:tcPr>
            <w:tcW w:w="3213" w:type="dxa"/>
            <w:tcBorders>
              <w:start w:val="single" w:sz="4" w:space="0" w:color="000000"/>
              <w:bottom w:val="single" w:sz="4" w:space="0" w:color="000000"/>
            </w:tcBorders>
          </w:tcPr>
          <w:p>
            <w:pPr>
              <w:pStyle w:val="TableContents"/>
              <w:bidi w:val="0"/>
              <w:jc w:val="start"/>
              <w:rPr/>
            </w:pPr>
            <w:r>
              <w:rPr>
                <w:b/>
              </w:rPr>
              <w:t>32%</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27%</w:t>
            </w:r>
          </w:p>
        </w:tc>
      </w:tr>
    </w:tbl>
    <w:p>
      <w:pPr>
        <w:pStyle w:val="BodyText"/>
        <w:bidi w:val="0"/>
        <w:jc w:val="start"/>
        <w:rPr/>
      </w:pPr>
      <w:r>
        <w:rPr/>
      </w:r>
    </w:p>
    <w:p>
      <w:pPr>
        <w:pStyle w:val="BodyText"/>
        <w:bidi w:val="0"/>
        <w:jc w:val="start"/>
        <w:rPr/>
      </w:pPr>
      <w:r>
        <w:rPr/>
        <w:t>Both are latest &gt; 5-yr average → improving. "High ROE, high ROIC."</w:t>
      </w:r>
    </w:p>
    <w:p>
      <w:pPr>
        <w:pStyle w:val="BodyText"/>
        <w:bidi w:val="0"/>
        <w:jc w:val="start"/>
        <w:rPr/>
      </w:pPr>
      <w:r>
        <w:rPr>
          <w:b/>
        </w:rPr>
        <w:t>Revenue vs accounts receivable</w:t>
      </w:r>
      <w:r>
        <w:rPr/>
        <w:t xml:space="preserve"> (StockOracle → Financials chart): revenue (blue) growing </w:t>
      </w:r>
      <w:r>
        <w:rPr>
          <w:b/>
        </w:rPr>
        <w:t>much faster</w:t>
      </w:r>
      <w:r>
        <w:rPr/>
        <w:t xml:space="preserve"> than accounts receivable ✔. Red-flag rule stated explicitly: "If it was the other way around, where accounts receivables are growing faster than revenue, that's a red flag."</w:t>
      </w:r>
    </w:p>
    <w:p>
      <w:pPr>
        <w:pStyle w:val="BodyText"/>
        <w:bidi w:val="0"/>
        <w:jc w:val="start"/>
        <w:rPr/>
      </w:pPr>
      <w:r>
        <w:rPr>
          <w:b/>
        </w:rPr>
        <w:t>Cash conversion cycle</w:t>
      </w:r>
      <w:r>
        <w:rPr/>
        <w:t xml:space="preserve">: Adam flags this as </w:t>
      </w:r>
      <w:r>
        <w:rPr>
          <w:b/>
        </w:rPr>
        <w:t>not applicable</w:t>
      </w:r>
      <w:r>
        <w:rPr/>
        <w:t xml:space="preserve"> to Alphabet — "Alphabet doesn't sell a physical product." He looks at it anyway; it has been "more or less pretty consistent over the last five to ten years."</w:t>
      </w:r>
    </w:p>
    <w:p>
      <w:pPr>
        <w:pStyle w:val="BodyText"/>
        <w:bidi w:val="0"/>
        <w:jc w:val="start"/>
        <w:rPr/>
      </w:pPr>
      <w:r>
        <w:rPr/>
        <w:t xml:space="preserve">→ </w:t>
      </w:r>
      <w:r>
        <w:rPr>
          <w:b/>
        </w:rPr>
        <w:t>Step 4 PASSED.</w:t>
      </w:r>
    </w:p>
    <w:p>
      <w:pPr>
        <w:pStyle w:val="Heading3"/>
        <w:bidi w:val="0"/>
        <w:ind w:hanging="0" w:start="0"/>
        <w:jc w:val="start"/>
        <w:rPr/>
      </w:pPr>
      <w:r>
        <w:rPr/>
        <w:t>1.5 Step 5 — Conservative debt</w:t>
      </w:r>
    </w:p>
    <w:p>
      <w:pPr>
        <w:pStyle w:val="BodyText"/>
        <w:bidi w:val="0"/>
        <w:jc w:val="start"/>
        <w:rPr/>
      </w:pPr>
      <w:r>
        <w:rPr/>
        <w:t xml:space="preserve">StockOracle → </w:t>
      </w:r>
      <w:r>
        <w:rPr>
          <w:i/>
        </w:rPr>
        <w:t>Company Metrics</w:t>
      </w:r>
      <w:r>
        <w:rPr/>
        <w:t xml:space="preserve"> → </w:t>
      </w:r>
      <w:r>
        <w:rPr>
          <w:i/>
        </w:rPr>
        <w:t>Debt and Liquidity Ratios</w:t>
      </w:r>
      <w:r>
        <w:rPr/>
        <w:t>.</w:t>
      </w:r>
    </w:p>
    <w:tbl>
      <w:tblPr>
        <w:tblW w:w="5000" w:type="pct"/>
        <w:jc w:val="start"/>
        <w:tblInd w:w="-5" w:type="dxa"/>
        <w:tblLayout w:type="fixed"/>
        <w:tblCellMar>
          <w:top w:w="55" w:type="dxa"/>
          <w:start w:w="55" w:type="dxa"/>
          <w:bottom w:w="55" w:type="dxa"/>
          <w:end w:w="55" w:type="dxa"/>
        </w:tblCellMar>
      </w:tblPr>
      <w:tblGrid>
        <w:gridCol w:w="3212"/>
        <w:gridCol w:w="3213"/>
        <w:gridCol w:w="3213"/>
      </w:tblGrid>
      <w:tr>
        <w:trPr>
          <w:tblHeader w:val="true"/>
        </w:trPr>
        <w:tc>
          <w:tcPr>
            <w:tcW w:w="3212" w:type="dxa"/>
            <w:tcBorders>
              <w:top w:val="single" w:sz="4" w:space="0" w:color="000000"/>
              <w:start w:val="single" w:sz="4" w:space="0" w:color="000000"/>
              <w:bottom w:val="single" w:sz="4" w:space="0" w:color="000000"/>
            </w:tcBorders>
          </w:tcPr>
          <w:p>
            <w:pPr>
              <w:pStyle w:val="TableHeading"/>
              <w:bidi w:val="0"/>
              <w:jc w:val="start"/>
              <w:rPr/>
            </w:pPr>
            <w:r>
              <w:rPr/>
              <w:t>Ratio</w:t>
            </w:r>
          </w:p>
        </w:tc>
        <w:tc>
          <w:tcPr>
            <w:tcW w:w="3213" w:type="dxa"/>
            <w:tcBorders>
              <w:top w:val="single" w:sz="4" w:space="0" w:color="000000"/>
              <w:start w:val="single" w:sz="4" w:space="0" w:color="000000"/>
              <w:bottom w:val="single" w:sz="4" w:space="0" w:color="000000"/>
            </w:tcBorders>
          </w:tcPr>
          <w:p>
            <w:pPr>
              <w:pStyle w:val="TableHeading"/>
              <w:bidi w:val="0"/>
              <w:jc w:val="start"/>
              <w:rPr/>
            </w:pPr>
            <w:r>
              <w:rPr/>
              <w:t>Alphabet</w:t>
            </w:r>
          </w:p>
        </w:tc>
        <w:tc>
          <w:tcPr>
            <w:tcW w:w="3213"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Threshold</w:t>
            </w:r>
          </w:p>
        </w:tc>
      </w:tr>
      <w:tr>
        <w:trPr/>
        <w:tc>
          <w:tcPr>
            <w:tcW w:w="3212" w:type="dxa"/>
            <w:tcBorders>
              <w:start w:val="single" w:sz="4" w:space="0" w:color="000000"/>
              <w:bottom w:val="single" w:sz="4" w:space="0" w:color="000000"/>
            </w:tcBorders>
          </w:tcPr>
          <w:p>
            <w:pPr>
              <w:pStyle w:val="TableContents"/>
              <w:bidi w:val="0"/>
              <w:jc w:val="start"/>
              <w:rPr/>
            </w:pPr>
            <w:r>
              <w:rPr/>
              <w:t>Current ratio</w:t>
            </w:r>
          </w:p>
        </w:tc>
        <w:tc>
          <w:tcPr>
            <w:tcW w:w="3213" w:type="dxa"/>
            <w:tcBorders>
              <w:start w:val="single" w:sz="4" w:space="0" w:color="000000"/>
              <w:bottom w:val="single" w:sz="4" w:space="0" w:color="000000"/>
            </w:tcBorders>
          </w:tcPr>
          <w:p>
            <w:pPr>
              <w:pStyle w:val="TableContents"/>
              <w:bidi w:val="0"/>
              <w:jc w:val="start"/>
              <w:rPr/>
            </w:pPr>
            <w:r>
              <w:rPr>
                <w:b/>
              </w:rPr>
              <w:t>2.0</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&gt; 1</w:t>
            </w:r>
          </w:p>
        </w:tc>
      </w:tr>
      <w:tr>
        <w:trPr/>
        <w:tc>
          <w:tcPr>
            <w:tcW w:w="3212" w:type="dxa"/>
            <w:tcBorders>
              <w:start w:val="single" w:sz="4" w:space="0" w:color="000000"/>
              <w:bottom w:val="single" w:sz="4" w:space="0" w:color="000000"/>
            </w:tcBorders>
          </w:tcPr>
          <w:p>
            <w:pPr>
              <w:pStyle w:val="TableContents"/>
              <w:bidi w:val="0"/>
              <w:jc w:val="start"/>
              <w:rPr/>
            </w:pPr>
            <w:r>
              <w:rPr/>
              <w:t>Debt servicing ratio</w:t>
            </w:r>
          </w:p>
        </w:tc>
        <w:tc>
          <w:tcPr>
            <w:tcW w:w="3213" w:type="dxa"/>
            <w:tcBorders>
              <w:start w:val="single" w:sz="4" w:space="0" w:color="000000"/>
              <w:bottom w:val="single" w:sz="4" w:space="0" w:color="000000"/>
            </w:tcBorders>
          </w:tcPr>
          <w:p>
            <w:pPr>
              <w:pStyle w:val="TableContents"/>
              <w:bidi w:val="0"/>
              <w:jc w:val="start"/>
              <w:rPr/>
            </w:pPr>
            <w:r>
              <w:rPr>
                <w:b/>
              </w:rPr>
              <w:t>0%</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&lt; 30%</w:t>
            </w:r>
          </w:p>
        </w:tc>
      </w:tr>
      <w:tr>
        <w:trPr/>
        <w:tc>
          <w:tcPr>
            <w:tcW w:w="3212" w:type="dxa"/>
            <w:tcBorders>
              <w:start w:val="single" w:sz="4" w:space="0" w:color="000000"/>
              <w:bottom w:val="single" w:sz="4" w:space="0" w:color="000000"/>
            </w:tcBorders>
          </w:tcPr>
          <w:p>
            <w:pPr>
              <w:pStyle w:val="TableContents"/>
              <w:bidi w:val="0"/>
              <w:jc w:val="start"/>
              <w:rPr/>
            </w:pPr>
            <w:r>
              <w:rPr/>
              <w:t>Debt / EBITDA</w:t>
            </w:r>
          </w:p>
        </w:tc>
        <w:tc>
          <w:tcPr>
            <w:tcW w:w="3213" w:type="dxa"/>
            <w:tcBorders>
              <w:start w:val="single" w:sz="4" w:space="0" w:color="000000"/>
              <w:bottom w:val="single" w:sz="4" w:space="0" w:color="000000"/>
            </w:tcBorders>
          </w:tcPr>
          <w:p>
            <w:pPr>
              <w:pStyle w:val="TableContents"/>
              <w:bidi w:val="0"/>
              <w:jc w:val="start"/>
              <w:rPr/>
            </w:pPr>
            <w:r>
              <w:rPr>
                <w:b/>
              </w:rPr>
              <w:t>0.33</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 xml:space="preserve">≤ </w:t>
            </w:r>
            <w:r>
              <w:rPr/>
              <w:t>3</w:t>
            </w:r>
          </w:p>
        </w:tc>
      </w:tr>
      <w:tr>
        <w:trPr/>
        <w:tc>
          <w:tcPr>
            <w:tcW w:w="3212" w:type="dxa"/>
            <w:tcBorders>
              <w:start w:val="single" w:sz="4" w:space="0" w:color="000000"/>
              <w:bottom w:val="single" w:sz="4" w:space="0" w:color="000000"/>
            </w:tcBorders>
          </w:tcPr>
          <w:p>
            <w:pPr>
              <w:pStyle w:val="TableContents"/>
              <w:bidi w:val="0"/>
              <w:jc w:val="start"/>
              <w:rPr/>
            </w:pPr>
            <w:r>
              <w:rPr/>
              <w:t>Interest coverage</w:t>
            </w:r>
          </w:p>
        </w:tc>
        <w:tc>
          <w:tcPr>
            <w:tcW w:w="3213" w:type="dxa"/>
            <w:tcBorders>
              <w:start w:val="single" w:sz="4" w:space="0" w:color="000000"/>
              <w:bottom w:val="single" w:sz="4" w:space="0" w:color="000000"/>
            </w:tcBorders>
          </w:tcPr>
          <w:p>
            <w:pPr>
              <w:pStyle w:val="TableContents"/>
              <w:bidi w:val="0"/>
              <w:jc w:val="start"/>
              <w:rPr/>
            </w:pPr>
            <w:r>
              <w:rPr>
                <w:b/>
              </w:rPr>
              <w:t>112×</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at least 3–5×</w:t>
            </w:r>
          </w:p>
        </w:tc>
      </w:tr>
    </w:tbl>
    <w:p>
      <w:pPr>
        <w:pStyle w:val="BodyText"/>
        <w:bidi w:val="0"/>
        <w:jc w:val="start"/>
        <w:rPr/>
      </w:pPr>
      <w:r>
        <w:rPr/>
      </w:r>
    </w:p>
    <w:p>
      <w:pPr>
        <w:pStyle w:val="BodyText"/>
        <w:bidi w:val="0"/>
        <w:jc w:val="start"/>
        <w:rPr/>
      </w:pPr>
      <w:r>
        <w:rPr/>
        <w:t>"On all metrics, Alphabet is a very, very financially strong business."</w:t>
      </w:r>
    </w:p>
    <w:p>
      <w:pPr>
        <w:pStyle w:val="BodyText"/>
        <w:bidi w:val="0"/>
        <w:jc w:val="start"/>
        <w:rPr/>
      </w:pPr>
      <w:r>
        <w:rPr/>
        <w:t xml:space="preserve">→ </w:t>
      </w:r>
      <w:r>
        <w:rPr>
          <w:b/>
        </w:rPr>
        <w:t>Step 5 PASSED.</w:t>
      </w:r>
      <w:r>
        <w:rPr/>
        <w:t xml:space="preserve"> Conclusion: great business, high-quality company → goes on the watch list.</w:t>
      </w:r>
    </w:p>
    <w:p>
      <w:pPr>
        <w:pStyle w:val="Heading3"/>
        <w:bidi w:val="0"/>
        <w:ind w:hanging="0" w:start="0"/>
        <w:jc w:val="start"/>
        <w:rPr/>
      </w:pPr>
      <w:r>
        <w:rPr/>
        <w:t>1.6 Step 6 — Intrinsic value (Discounted Free Cash Flow, with normalised capex)</w:t>
      </w:r>
    </w:p>
    <w:p>
      <w:pPr>
        <w:pStyle w:val="BodyText"/>
        <w:bidi w:val="0"/>
        <w:jc w:val="start"/>
        <w:rPr/>
      </w:pPr>
      <w:r>
        <w:rPr>
          <w:b/>
        </w:rPr>
        <w:t>Method choice.</w:t>
      </w:r>
      <w:r>
        <w:rPr/>
        <w:t xml:space="preserve"> Default method = </w:t>
      </w:r>
      <w:r>
        <w:rPr>
          <w:b/>
        </w:rPr>
        <w:t>DCF</w:t>
      </w:r>
      <w:r>
        <w:rPr/>
        <w:t xml:space="preserve">. Precondition: cash from operations must be increasing consistently — it is, so DCF is permitted. Adam runs the </w:t>
      </w:r>
      <w:r>
        <w:rPr>
          <w:b/>
        </w:rPr>
        <w:t>discounted free cash flow</w:t>
      </w:r>
      <w:r>
        <w:rPr/>
        <w:t xml:space="preserve"> variant using StockOracle's automated calculator (StockOracle → </w:t>
      </w:r>
      <w:r>
        <w:rPr>
          <w:i/>
        </w:rPr>
        <w:t>Intrinsic Value</w:t>
      </w:r>
      <w:r>
        <w:rPr/>
        <w:t xml:space="preserve"> → scroll to automated calculator), which auto-pulls latest FCF, total debt, cash &amp; investments, discount rate, shares outstanding, and projected growth rates.</w:t>
      </w:r>
    </w:p>
    <w:p>
      <w:pPr>
        <w:pStyle w:val="BodyText"/>
        <w:bidi w:val="0"/>
        <w:jc w:val="start"/>
        <w:rPr/>
      </w:pPr>
      <w:r>
        <w:rPr>
          <w:b/>
        </w:rPr>
        <w:t>Raw output first:</w:t>
      </w:r>
      <w:r>
        <w:rPr/>
        <w:t xml:space="preserve"> the calculator's untouched answer is </w:t>
      </w:r>
      <w:r>
        <w:rPr>
          <w:b/>
        </w:rPr>
        <w:t>$190.89</w:t>
      </w:r>
      <w:r>
        <w:rPr/>
        <w:t xml:space="preserve"> intrinsic value.</w:t>
      </w:r>
    </w:p>
    <w:p>
      <w:pPr>
        <w:pStyle w:val="BodyText"/>
        <w:bidi w:val="0"/>
        <w:jc w:val="start"/>
        <w:rPr/>
      </w:pPr>
      <w:r>
        <w:rPr>
          <w:b/>
        </w:rPr>
        <w:t>Why Adam refuses the raw number — the capex normalisation adjustment (the key lesson of this case study):</w:t>
      </w:r>
    </w:p>
    <w:p>
      <w:pPr>
        <w:pStyle w:val="BodyText"/>
        <w:numPr>
          <w:ilvl w:val="0"/>
          <w:numId w:val="437"/>
        </w:numPr>
        <w:tabs>
          <w:tab w:val="clear" w:pos="709"/>
          <w:tab w:val="left" w:pos="709" w:leader="none"/>
        </w:tabs>
        <w:bidi w:val="0"/>
        <w:ind w:hanging="283" w:start="709"/>
        <w:jc w:val="start"/>
        <w:rPr/>
      </w:pPr>
      <w:r>
        <w:rPr/>
        <w:t xml:space="preserve">Free cash flow = </w:t>
      </w:r>
      <w:r>
        <w:rPr>
          <w:b/>
        </w:rPr>
        <w:t>cash flow from operations − capex</w:t>
      </w:r>
      <w:r>
        <w:rPr/>
        <w:t>.</w:t>
      </w:r>
    </w:p>
    <w:p>
      <w:pPr>
        <w:pStyle w:val="BodyText"/>
        <w:numPr>
          <w:ilvl w:val="0"/>
          <w:numId w:val="437"/>
        </w:numPr>
        <w:tabs>
          <w:tab w:val="clear" w:pos="709"/>
          <w:tab w:val="left" w:pos="709" w:leader="none"/>
        </w:tabs>
        <w:bidi w:val="0"/>
        <w:ind w:hanging="283" w:start="709"/>
        <w:jc w:val="start"/>
        <w:rPr/>
      </w:pPr>
      <w:r>
        <w:rPr/>
        <w:t xml:space="preserve">The calculator uses the </w:t>
      </w:r>
      <w:r>
        <w:rPr>
          <w:i/>
        </w:rPr>
        <w:t>latest</w:t>
      </w:r>
      <w:r>
        <w:rPr/>
        <w:t xml:space="preserve"> free cash flow with no adjustment.</w:t>
      </w:r>
    </w:p>
    <w:p>
      <w:pPr>
        <w:pStyle w:val="BodyText"/>
        <w:numPr>
          <w:ilvl w:val="0"/>
          <w:numId w:val="437"/>
        </w:numPr>
        <w:tabs>
          <w:tab w:val="clear" w:pos="709"/>
          <w:tab w:val="left" w:pos="709" w:leader="none"/>
        </w:tabs>
        <w:bidi w:val="0"/>
        <w:ind w:hanging="283" w:start="709"/>
        <w:jc w:val="start"/>
        <w:rPr/>
      </w:pPr>
      <w:r>
        <w:rPr/>
        <w:t xml:space="preserve">The hyperscalers — "Meta, Microsoft, Amazon, and Google" — have recently poured money into </w:t>
      </w:r>
      <w:r>
        <w:rPr>
          <w:b/>
        </w:rPr>
        <w:t>AI infrastructure</w:t>
      </w:r>
      <w:r>
        <w:rPr/>
        <w:t>, so capex spiked and free cash flow collapsed.</w:t>
      </w:r>
    </w:p>
    <w:p>
      <w:pPr>
        <w:pStyle w:val="BodyText"/>
        <w:numPr>
          <w:ilvl w:val="0"/>
          <w:numId w:val="437"/>
        </w:numPr>
        <w:tabs>
          <w:tab w:val="clear" w:pos="709"/>
          <w:tab w:val="left" w:pos="709" w:leader="none"/>
        </w:tabs>
        <w:bidi w:val="0"/>
        <w:ind w:hanging="283" w:start="709"/>
        <w:jc w:val="start"/>
        <w:rPr/>
      </w:pPr>
      <w:r>
        <w:rPr/>
        <w:t>"But will this last forever? No, it's temporary." Taking the depressed latest FCF "will underestimate the intrinsic value."</w:t>
      </w:r>
    </w:p>
    <w:p>
      <w:pPr>
        <w:pStyle w:val="BodyText"/>
        <w:numPr>
          <w:ilvl w:val="0"/>
          <w:numId w:val="437"/>
        </w:numPr>
        <w:tabs>
          <w:tab w:val="clear" w:pos="709"/>
          <w:tab w:val="left" w:pos="709" w:leader="none"/>
        </w:tabs>
        <w:bidi w:val="0"/>
        <w:ind w:hanging="283" w:start="709"/>
        <w:jc w:val="start"/>
        <w:rPr/>
      </w:pPr>
      <w:r>
        <w:rPr/>
        <w:t xml:space="preserve">Fix: </w:t>
      </w:r>
      <w:r>
        <w:rPr>
          <w:b/>
        </w:rPr>
        <w:t>take the average capex of the last five years</w:t>
      </w:r>
      <w:r>
        <w:rPr/>
        <w:t xml:space="preserve"> to normalise.</w:t>
      </w:r>
    </w:p>
    <w:p>
      <w:pPr>
        <w:pStyle w:val="BodyText"/>
        <w:bidi w:val="0"/>
        <w:jc w:val="start"/>
        <w:rPr/>
      </w:pPr>
      <w:r>
        <w:rPr/>
        <w:t>Latest-year derivation (StockOracle → Financials → Cash Flow Statement → Annual):</w:t>
      </w:r>
    </w:p>
    <w:tbl>
      <w:tblPr>
        <w:tblW w:w="5000" w:type="pct"/>
        <w:jc w:val="start"/>
        <w:tblInd w:w="-5" w:type="dxa"/>
        <w:tblLayout w:type="fixed"/>
        <w:tblCellMar>
          <w:top w:w="55" w:type="dxa"/>
          <w:start w:w="55" w:type="dxa"/>
          <w:bottom w:w="55" w:type="dxa"/>
          <w:end w:w="55" w:type="dxa"/>
        </w:tblCellMar>
      </w:tblPr>
      <w:tblGrid>
        <w:gridCol w:w="4819"/>
        <w:gridCol w:w="4819"/>
      </w:tblGrid>
      <w:tr>
        <w:trPr>
          <w:tblHeader w:val="true"/>
        </w:trPr>
        <w:tc>
          <w:tcPr>
            <w:tcW w:w="4819" w:type="dxa"/>
            <w:tcBorders>
              <w:top w:val="single" w:sz="4" w:space="0" w:color="000000"/>
              <w:start w:val="single" w:sz="4" w:space="0" w:color="000000"/>
              <w:bottom w:val="single" w:sz="4" w:space="0" w:color="000000"/>
            </w:tcBorders>
          </w:tcPr>
          <w:p>
            <w:pPr>
              <w:pStyle w:val="TableHeading"/>
              <w:bidi w:val="0"/>
              <w:jc w:val="start"/>
              <w:rPr/>
            </w:pPr>
            <w:r>
              <w:rPr/>
              <w:t>Item</w:t>
            </w:r>
          </w:p>
        </w:tc>
        <w:tc>
          <w:tcPr>
            <w:tcW w:w="4819"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USD millions</w:t>
            </w:r>
          </w:p>
        </w:tc>
      </w:tr>
      <w:tr>
        <w:trPr/>
        <w:tc>
          <w:tcPr>
            <w:tcW w:w="4819" w:type="dxa"/>
            <w:tcBorders>
              <w:start w:val="single" w:sz="4" w:space="0" w:color="000000"/>
              <w:bottom w:val="single" w:sz="4" w:space="0" w:color="000000"/>
            </w:tcBorders>
          </w:tcPr>
          <w:p>
            <w:pPr>
              <w:pStyle w:val="TableContents"/>
              <w:bidi w:val="0"/>
              <w:jc w:val="start"/>
              <w:rPr/>
            </w:pPr>
            <w:r>
              <w:rPr/>
              <w:t>Cash from operations (latest)</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164,713</w:t>
            </w:r>
          </w:p>
        </w:tc>
      </w:tr>
      <w:tr>
        <w:trPr/>
        <w:tc>
          <w:tcPr>
            <w:tcW w:w="4819" w:type="dxa"/>
            <w:tcBorders>
              <w:start w:val="single" w:sz="4" w:space="0" w:color="000000"/>
              <w:bottom w:val="single" w:sz="4" w:space="0" w:color="000000"/>
            </w:tcBorders>
          </w:tcPr>
          <w:p>
            <w:pPr>
              <w:pStyle w:val="TableContents"/>
              <w:bidi w:val="0"/>
              <w:jc w:val="start"/>
              <w:rPr/>
            </w:pPr>
            <w:r>
              <w:rPr/>
              <w:t>Capex (latest)</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91,447</w:t>
            </w:r>
          </w:p>
        </w:tc>
      </w:tr>
      <w:tr>
        <w:trPr/>
        <w:tc>
          <w:tcPr>
            <w:tcW w:w="4819" w:type="dxa"/>
            <w:tcBorders>
              <w:start w:val="single" w:sz="4" w:space="0" w:color="000000"/>
              <w:bottom w:val="single" w:sz="4" w:space="0" w:color="000000"/>
            </w:tcBorders>
          </w:tcPr>
          <w:p>
            <w:pPr>
              <w:pStyle w:val="TableContents"/>
              <w:bidi w:val="0"/>
              <w:jc w:val="start"/>
              <w:rPr/>
            </w:pPr>
            <w:r>
              <w:rPr>
                <w:b/>
              </w:rPr>
              <w:t>Latest free cash flow</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b/>
              </w:rPr>
              <w:t>73,266</w:t>
            </w:r>
            <w:r>
              <w:rPr/>
              <w:t xml:space="preserve"> ← what the calculator used</w:t>
            </w:r>
          </w:p>
        </w:tc>
      </w:tr>
    </w:tbl>
    <w:p>
      <w:pPr>
        <w:pStyle w:val="BodyText"/>
        <w:bidi w:val="0"/>
        <w:jc w:val="start"/>
        <w:rPr/>
      </w:pPr>
      <w:r>
        <w:rPr/>
      </w:r>
    </w:p>
    <w:p>
      <w:pPr>
        <w:pStyle w:val="BodyText"/>
        <w:bidi w:val="0"/>
        <w:jc w:val="start"/>
        <w:rPr/>
      </w:pPr>
      <w:r>
        <w:rPr/>
        <w:t xml:space="preserve">Five-year capex, oldest → newest (USD millions): </w:t>
      </w:r>
      <w:r>
        <w:rPr>
          <w:b/>
        </w:rPr>
        <w:t>24,640 → 31,485 → 32,251 → 52,535 → 91,447</w:t>
      </w:r>
      <w:r>
        <w:rPr/>
        <w:t>. Adam highlights "a big jump over here" between years 4 and 5, plus the earlier step-up at 52,535.</w:t>
      </w:r>
    </w:p>
    <w:p>
      <w:pPr>
        <w:pStyle w:val="BodyText"/>
        <w:bidi w:val="0"/>
        <w:jc w:val="start"/>
        <w:rPr/>
      </w:pPr>
      <w:r>
        <w:rPr/>
        <w:t xml:space="preserve">Average capex = (24,640 + 31,485 + 32,251 + 52,535 + 91,447) ÷ 5 = </w:t>
      </w:r>
      <w:r>
        <w:rPr>
          <w:b/>
        </w:rPr>
        <w:t>46,471.6</w:t>
      </w:r>
    </w:p>
    <w:p>
      <w:pPr>
        <w:pStyle w:val="BodyText"/>
        <w:bidi w:val="0"/>
        <w:jc w:val="start"/>
        <w:rPr/>
      </w:pPr>
      <w:r>
        <w:rPr>
          <w:b/>
        </w:rPr>
        <w:t>Normalised free cash flow</w:t>
      </w:r>
      <w:r>
        <w:rPr/>
        <w:t xml:space="preserve"> = 164,713 − 46,471.6 = </w:t>
      </w:r>
      <w:r>
        <w:rPr>
          <w:b/>
        </w:rPr>
        <w:t>118,241.4</w:t>
      </w:r>
      <w:r>
        <w:rPr/>
        <w:t xml:space="preserve"> (USD millions)</w:t>
      </w:r>
    </w:p>
    <w:p>
      <w:pPr>
        <w:pStyle w:val="BodyText"/>
        <w:bidi w:val="0"/>
        <w:jc w:val="start"/>
        <w:rPr/>
      </w:pPr>
      <w:r>
        <w:rPr>
          <w:b/>
        </w:rPr>
        <w:t>Base case result.</w:t>
      </w:r>
      <w:r>
        <w:rPr/>
        <w:t xml:space="preserve"> Plugging 118,241.4 into the calculator and recalculating:</w:t>
      </w:r>
    </w:p>
    <w:p>
      <w:pPr>
        <w:pStyle w:val="BlockQuotation"/>
        <w:bidi w:val="0"/>
        <w:jc w:val="start"/>
        <w:rPr/>
      </w:pPr>
      <w:r>
        <w:rPr>
          <w:b/>
        </w:rPr>
        <w:t>Base case intrinsic value = $304.13</w:t>
      </w:r>
    </w:p>
    <w:p>
      <w:pPr>
        <w:pStyle w:val="BodyText"/>
        <w:bidi w:val="0"/>
        <w:jc w:val="start"/>
        <w:rPr/>
      </w:pPr>
      <w:r>
        <w:rPr/>
        <w:t xml:space="preserve">Growth inputs behind the base case: </w:t>
      </w:r>
      <w:r>
        <w:rPr>
          <w:b/>
        </w:rPr>
        <w:t>15.3%</w:t>
      </w:r>
      <w:r>
        <w:rPr/>
        <w:t xml:space="preserve"> (first 5 yrs) / </w:t>
      </w:r>
      <w:r>
        <w:rPr>
          <w:b/>
        </w:rPr>
        <w:t>10.13%</w:t>
      </w:r>
      <w:r>
        <w:rPr/>
        <w:t xml:space="preserve"> (next period) / </w:t>
      </w:r>
      <w:r>
        <w:rPr>
          <w:b/>
        </w:rPr>
        <w:t>4%</w:t>
      </w:r>
      <w:r>
        <w:rPr/>
        <w:t xml:space="preserve"> (terminal).</w:t>
      </w:r>
    </w:p>
    <w:p>
      <w:pPr>
        <w:pStyle w:val="BodyText"/>
        <w:bidi w:val="0"/>
        <w:jc w:val="start"/>
        <w:rPr/>
      </w:pPr>
      <w:r>
        <w:rPr>
          <w:b/>
        </w:rPr>
        <w:t>Conservative case.</w:t>
      </w:r>
      <w:r>
        <w:rPr/>
        <w:t xml:space="preserve"> Replace the 15.3% FactSet figure with the </w:t>
      </w:r>
      <w:r>
        <w:rPr>
          <w:b/>
        </w:rPr>
        <w:t>14.3%</w:t>
      </w:r>
      <w:r>
        <w:rPr/>
        <w:t xml:space="preserve"> three-source average (FactSet 15.3, FinViz 12.88, Zacks 14.72), leaving everything else identical:</w:t>
      </w:r>
    </w:p>
    <w:p>
      <w:pPr>
        <w:pStyle w:val="BlockQuotation"/>
        <w:bidi w:val="0"/>
        <w:jc w:val="start"/>
        <w:rPr/>
      </w:pPr>
      <w:r>
        <w:rPr>
          <w:b/>
        </w:rPr>
        <w:t>Conservative intrinsic value = $292.41</w:t>
      </w:r>
    </w:p>
    <w:p>
      <w:pPr>
        <w:pStyle w:val="BodyText"/>
        <w:bidi w:val="0"/>
        <w:jc w:val="start"/>
        <w:rPr/>
      </w:pPr>
      <w:r>
        <w:rPr>
          <w:b/>
        </w:rPr>
        <w:t>Valuation range: $292 – $304.</w:t>
      </w:r>
    </w:p>
    <w:p>
      <w:pPr>
        <w:pStyle w:val="BodyText"/>
        <w:bidi w:val="0"/>
        <w:jc w:val="start"/>
        <w:rPr/>
      </w:pPr>
      <w:r>
        <w:rPr>
          <w:b/>
        </w:rPr>
        <w:t>The lazy alternative.</w:t>
      </w:r>
      <w:r>
        <w:rPr/>
        <w:t xml:space="preserve"> "If you're very lazy, then just look at the Oracle Value." StockOracle's own </w:t>
      </w:r>
      <w:r>
        <w:rPr>
          <w:b/>
        </w:rPr>
        <w:t>Oracle Value = $294</w:t>
      </w:r>
      <w:r>
        <w:rPr/>
        <w:t>, which Adam notes falls as "kind of like a median between this range that I just did for you." So a user can either do the manual capex normalisation or simply accept the Oracle Value.</w:t>
      </w:r>
    </w:p>
    <w:tbl>
      <w:tblPr>
        <w:tblW w:w="5000" w:type="pct"/>
        <w:jc w:val="start"/>
        <w:tblInd w:w="-5" w:type="dxa"/>
        <w:tblLayout w:type="fixed"/>
        <w:tblCellMar>
          <w:top w:w="55" w:type="dxa"/>
          <w:start w:w="55" w:type="dxa"/>
          <w:bottom w:w="55" w:type="dxa"/>
          <w:end w:w="55" w:type="dxa"/>
        </w:tblCellMar>
      </w:tblPr>
      <w:tblGrid>
        <w:gridCol w:w="3212"/>
        <w:gridCol w:w="3213"/>
        <w:gridCol w:w="3213"/>
      </w:tblGrid>
      <w:tr>
        <w:trPr>
          <w:tblHeader w:val="true"/>
        </w:trPr>
        <w:tc>
          <w:tcPr>
            <w:tcW w:w="3212" w:type="dxa"/>
            <w:tcBorders>
              <w:top w:val="single" w:sz="4" w:space="0" w:color="000000"/>
              <w:start w:val="single" w:sz="4" w:space="0" w:color="000000"/>
              <w:bottom w:val="single" w:sz="4" w:space="0" w:color="000000"/>
            </w:tcBorders>
          </w:tcPr>
          <w:p>
            <w:pPr>
              <w:pStyle w:val="TableHeading"/>
              <w:bidi w:val="0"/>
              <w:jc w:val="start"/>
              <w:rPr/>
            </w:pPr>
            <w:r>
              <w:rPr/>
              <w:t>Scenario</w:t>
            </w:r>
          </w:p>
        </w:tc>
        <w:tc>
          <w:tcPr>
            <w:tcW w:w="3213" w:type="dxa"/>
            <w:tcBorders>
              <w:top w:val="single" w:sz="4" w:space="0" w:color="000000"/>
              <w:start w:val="single" w:sz="4" w:space="0" w:color="000000"/>
              <w:bottom w:val="single" w:sz="4" w:space="0" w:color="000000"/>
            </w:tcBorders>
          </w:tcPr>
          <w:p>
            <w:pPr>
              <w:pStyle w:val="TableHeading"/>
              <w:bidi w:val="0"/>
              <w:jc w:val="start"/>
              <w:rPr/>
            </w:pPr>
            <w:r>
              <w:rPr/>
              <w:t>5-yr growth input</w:t>
            </w:r>
          </w:p>
        </w:tc>
        <w:tc>
          <w:tcPr>
            <w:tcW w:w="3213"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Intrinsic value</w:t>
            </w:r>
          </w:p>
        </w:tc>
      </w:tr>
      <w:tr>
        <w:trPr/>
        <w:tc>
          <w:tcPr>
            <w:tcW w:w="3212" w:type="dxa"/>
            <w:tcBorders>
              <w:start w:val="single" w:sz="4" w:space="0" w:color="000000"/>
              <w:bottom w:val="single" w:sz="4" w:space="0" w:color="000000"/>
            </w:tcBorders>
          </w:tcPr>
          <w:p>
            <w:pPr>
              <w:pStyle w:val="TableContents"/>
              <w:bidi w:val="0"/>
              <w:jc w:val="start"/>
              <w:rPr/>
            </w:pPr>
            <w:r>
              <w:rPr/>
              <w:t>Calculator raw (unadjusted FCF of 73,266)</w:t>
            </w:r>
          </w:p>
        </w:tc>
        <w:tc>
          <w:tcPr>
            <w:tcW w:w="3213" w:type="dxa"/>
            <w:tcBorders>
              <w:start w:val="single" w:sz="4" w:space="0" w:color="000000"/>
              <w:bottom w:val="single" w:sz="4" w:space="0" w:color="000000"/>
            </w:tcBorders>
          </w:tcPr>
          <w:p>
            <w:pPr>
              <w:pStyle w:val="TableContents"/>
              <w:bidi w:val="0"/>
              <w:jc w:val="start"/>
              <w:rPr/>
            </w:pPr>
            <w:r>
              <w:rPr/>
              <w:t>15.3%</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$190.89</w:t>
            </w:r>
          </w:p>
        </w:tc>
      </w:tr>
      <w:tr>
        <w:trPr/>
        <w:tc>
          <w:tcPr>
            <w:tcW w:w="3212" w:type="dxa"/>
            <w:tcBorders>
              <w:start w:val="single" w:sz="4" w:space="0" w:color="000000"/>
              <w:bottom w:val="single" w:sz="4" w:space="0" w:color="000000"/>
            </w:tcBorders>
          </w:tcPr>
          <w:p>
            <w:pPr>
              <w:pStyle w:val="TableContents"/>
              <w:bidi w:val="0"/>
              <w:jc w:val="start"/>
              <w:rPr/>
            </w:pPr>
            <w:r>
              <w:rPr>
                <w:b/>
              </w:rPr>
              <w:t>Base case</w:t>
            </w:r>
            <w:r>
              <w:rPr/>
              <w:t xml:space="preserve"> (normalised FCF 118,241.4)</w:t>
            </w:r>
          </w:p>
        </w:tc>
        <w:tc>
          <w:tcPr>
            <w:tcW w:w="3213" w:type="dxa"/>
            <w:tcBorders>
              <w:start w:val="single" w:sz="4" w:space="0" w:color="000000"/>
              <w:bottom w:val="single" w:sz="4" w:space="0" w:color="000000"/>
            </w:tcBorders>
          </w:tcPr>
          <w:p>
            <w:pPr>
              <w:pStyle w:val="TableContents"/>
              <w:bidi w:val="0"/>
              <w:jc w:val="start"/>
              <w:rPr/>
            </w:pPr>
            <w:r>
              <w:rPr/>
              <w:t>15.3%</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b/>
              </w:rPr>
              <w:t>$304.13</w:t>
            </w:r>
          </w:p>
        </w:tc>
      </w:tr>
      <w:tr>
        <w:trPr/>
        <w:tc>
          <w:tcPr>
            <w:tcW w:w="3212" w:type="dxa"/>
            <w:tcBorders>
              <w:start w:val="single" w:sz="4" w:space="0" w:color="000000"/>
              <w:bottom w:val="single" w:sz="4" w:space="0" w:color="000000"/>
            </w:tcBorders>
          </w:tcPr>
          <w:p>
            <w:pPr>
              <w:pStyle w:val="TableContents"/>
              <w:bidi w:val="0"/>
              <w:jc w:val="start"/>
              <w:rPr/>
            </w:pPr>
            <w:r>
              <w:rPr>
                <w:b/>
              </w:rPr>
              <w:t>Conservative</w:t>
            </w:r>
            <w:r>
              <w:rPr/>
              <w:t xml:space="preserve"> (normalised FCF 118,241.4)</w:t>
            </w:r>
          </w:p>
        </w:tc>
        <w:tc>
          <w:tcPr>
            <w:tcW w:w="3213" w:type="dxa"/>
            <w:tcBorders>
              <w:start w:val="single" w:sz="4" w:space="0" w:color="000000"/>
              <w:bottom w:val="single" w:sz="4" w:space="0" w:color="000000"/>
            </w:tcBorders>
          </w:tcPr>
          <w:p>
            <w:pPr>
              <w:pStyle w:val="TableContents"/>
              <w:bidi w:val="0"/>
              <w:jc w:val="start"/>
              <w:rPr/>
            </w:pPr>
            <w:r>
              <w:rPr/>
              <w:t>14.3%</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b/>
              </w:rPr>
              <w:t>$292.41</w:t>
            </w:r>
          </w:p>
        </w:tc>
      </w:tr>
      <w:tr>
        <w:trPr/>
        <w:tc>
          <w:tcPr>
            <w:tcW w:w="3212" w:type="dxa"/>
            <w:tcBorders>
              <w:start w:val="single" w:sz="4" w:space="0" w:color="000000"/>
              <w:bottom w:val="single" w:sz="4" w:space="0" w:color="000000"/>
            </w:tcBorders>
          </w:tcPr>
          <w:p>
            <w:pPr>
              <w:pStyle w:val="TableContents"/>
              <w:bidi w:val="0"/>
              <w:jc w:val="start"/>
              <w:rPr/>
            </w:pPr>
            <w:r>
              <w:rPr/>
              <w:t>StockOracle "Oracle Value" shortcut</w:t>
            </w:r>
          </w:p>
        </w:tc>
        <w:tc>
          <w:tcPr>
            <w:tcW w:w="3213" w:type="dxa"/>
            <w:tcBorders>
              <w:start w:val="single" w:sz="4" w:space="0" w:color="000000"/>
              <w:bottom w:val="single" w:sz="4" w:space="0" w:color="000000"/>
            </w:tcBorders>
          </w:tcPr>
          <w:p>
            <w:pPr>
              <w:pStyle w:val="TableContents"/>
              <w:bidi w:val="0"/>
              <w:jc w:val="start"/>
              <w:rPr/>
            </w:pPr>
            <w:r>
              <w:rPr/>
              <w:t>—</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$294</w:t>
            </w:r>
          </w:p>
        </w:tc>
      </w:tr>
    </w:tbl>
    <w:p>
      <w:pPr>
        <w:pStyle w:val="BodyText"/>
        <w:bidi w:val="0"/>
        <w:jc w:val="start"/>
        <w:rPr/>
      </w:pPr>
      <w:r>
        <w:rPr/>
      </w:r>
    </w:p>
    <w:p>
      <w:pPr>
        <w:pStyle w:val="Heading3"/>
        <w:bidi w:val="0"/>
        <w:ind w:hanging="0" w:start="0"/>
        <w:jc w:val="start"/>
        <w:rPr/>
      </w:pPr>
      <w:r>
        <w:rPr/>
        <w:t>1.7 Step 7 — Technical analysis and entry plan</w:t>
      </w:r>
    </w:p>
    <w:p>
      <w:pPr>
        <w:pStyle w:val="BodyText"/>
        <w:bidi w:val="0"/>
        <w:jc w:val="start"/>
        <w:rPr/>
      </w:pPr>
      <w:r>
        <w:rPr/>
        <w:t xml:space="preserve">Charting software: </w:t>
      </w:r>
      <w:r>
        <w:rPr>
          <w:b/>
        </w:rPr>
        <w:t>TradingView</w:t>
      </w:r>
      <w:r>
        <w:rPr/>
        <w:t xml:space="preserve">. Workflow is always </w:t>
      </w:r>
      <w:r>
        <w:rPr>
          <w:b/>
        </w:rPr>
        <w:t>10-yr monthly → 5-yr weekly → 1-yr daily</w:t>
      </w:r>
      <w:r>
        <w:rPr/>
        <w:t>.</w:t>
      </w:r>
    </w:p>
    <w:p>
      <w:pPr>
        <w:pStyle w:val="BodyText"/>
        <w:bidi w:val="0"/>
        <w:jc w:val="start"/>
        <w:rPr/>
      </w:pPr>
      <w:r>
        <w:rPr>
          <w:b/>
        </w:rPr>
        <w:t>Chart hygiene notes:</w:t>
      </w:r>
    </w:p>
    <w:p>
      <w:pPr>
        <w:pStyle w:val="BodyText"/>
        <w:numPr>
          <w:ilvl w:val="0"/>
          <w:numId w:val="438"/>
        </w:numPr>
        <w:tabs>
          <w:tab w:val="clear" w:pos="709"/>
          <w:tab w:val="left" w:pos="709" w:leader="none"/>
        </w:tabs>
        <w:bidi w:val="0"/>
        <w:ind w:hanging="283" w:start="709"/>
        <w:jc w:val="start"/>
        <w:rPr/>
      </w:pPr>
      <w:r>
        <w:rPr/>
        <w:t xml:space="preserve">Click </w:t>
      </w:r>
      <w:r>
        <w:rPr>
          <w:b/>
        </w:rPr>
        <w:t>L</w:t>
      </w:r>
      <w:r>
        <w:rPr/>
        <w:t xml:space="preserve"> for logarithmic scale; </w:t>
      </w:r>
      <w:r>
        <w:rPr>
          <w:b/>
        </w:rPr>
        <w:t>A</w:t>
      </w:r>
      <w:r>
        <w:rPr/>
        <w:t xml:space="preserve"> to auto-readjust.</w:t>
      </w:r>
    </w:p>
    <w:p>
      <w:pPr>
        <w:pStyle w:val="BodyText"/>
        <w:numPr>
          <w:ilvl w:val="0"/>
          <w:numId w:val="438"/>
        </w:numPr>
        <w:tabs>
          <w:tab w:val="clear" w:pos="709"/>
          <w:tab w:val="left" w:pos="709" w:leader="none"/>
        </w:tabs>
        <w:bidi w:val="0"/>
        <w:ind w:hanging="283" w:start="709"/>
        <w:jc w:val="start"/>
        <w:rPr/>
      </w:pPr>
      <w:r>
        <w:rPr>
          <w:b/>
        </w:rPr>
        <w:t>Do NOT enable ADJ (adjust for dividends)</w:t>
      </w:r>
      <w:r>
        <w:rPr/>
        <w:t xml:space="preserve"> when drawing support levels. "I only adjust for dividends when I'm comparing the performance of a few stocks, but if I'm looking at just one stock, I do not adjust for dividends."</w:t>
      </w:r>
    </w:p>
    <w:p>
      <w:pPr>
        <w:pStyle w:val="BodyText"/>
        <w:bidi w:val="0"/>
        <w:jc w:val="start"/>
        <w:rPr/>
      </w:pPr>
      <w:r>
        <w:rPr>
          <w:b/>
        </w:rPr>
        <w:t>(a) 10-year monthly.</w:t>
      </w:r>
      <w:r>
        <w:rPr/>
        <w:t xml:space="preserve"> Requirement: "If it's a great company, you should see a long-term up trend. If you see a long-term down trend, then think twice." Alphabet shows a clear long-term uptrend of wave-up/wave-down. The big drawdowns identified on the chart: the </w:t>
      </w:r>
      <w:r>
        <w:rPr>
          <w:b/>
        </w:rPr>
        <w:t>COVID crash</w:t>
      </w:r>
      <w:r>
        <w:rPr/>
        <w:t xml:space="preserve">, the </w:t>
      </w:r>
      <w:r>
        <w:rPr>
          <w:b/>
        </w:rPr>
        <w:t>2022 bear market</w:t>
      </w:r>
      <w:r>
        <w:rPr/>
        <w:t>, and "the trade war unleashed by Trump," each followed by a wave up.</w:t>
      </w:r>
    </w:p>
    <w:p>
      <w:pPr>
        <w:pStyle w:val="BodyText"/>
        <w:bidi w:val="0"/>
        <w:jc w:val="start"/>
        <w:rPr/>
      </w:pPr>
      <w:r>
        <w:rPr/>
        <w:t xml:space="preserve">First action: draw the intrinsic value as a </w:t>
      </w:r>
      <w:r>
        <w:rPr>
          <w:b/>
        </w:rPr>
        <w:t>horizontal ray, dotted, green</w:t>
      </w:r>
      <w:r>
        <w:rPr/>
        <w:t xml:space="preserve"> at the conservative figure </w:t>
      </w:r>
      <w:r>
        <w:rPr>
          <w:b/>
        </w:rPr>
        <w:t>292</w:t>
      </w:r>
      <w:r>
        <w:rPr/>
        <w:t>. Rule: "I want to make sure that I only buy when the price goes below this green line."</w:t>
      </w:r>
    </w:p>
    <w:p>
      <w:pPr>
        <w:pStyle w:val="BodyText"/>
        <w:bidi w:val="0"/>
        <w:jc w:val="start"/>
        <w:rPr/>
      </w:pPr>
      <w:r>
        <w:rPr/>
        <w:t>Supports identified on the monthly:</w:t>
      </w:r>
    </w:p>
    <w:p>
      <w:pPr>
        <w:pStyle w:val="BodyText"/>
        <w:numPr>
          <w:ilvl w:val="0"/>
          <w:numId w:val="439"/>
        </w:numPr>
        <w:tabs>
          <w:tab w:val="clear" w:pos="709"/>
          <w:tab w:val="left" w:pos="709" w:leader="none"/>
        </w:tabs>
        <w:bidi w:val="0"/>
        <w:ind w:hanging="283" w:start="709"/>
        <w:jc w:val="start"/>
        <w:rPr/>
      </w:pPr>
      <w:r>
        <w:rPr>
          <w:b/>
        </w:rPr>
        <w:t>50 MA (blue line) = $163.94</w:t>
      </w:r>
      <w:r>
        <w:rPr/>
        <w:t xml:space="preserve"> — historically a very strong support during bear markets/crashes. Caveat stated plainly: "Am I predicting that the price is gonna drop to 163.94? Of course not… In fact, the price may never drop to that level." The reason to draw it is probability, not prediction.</w:t>
      </w:r>
    </w:p>
    <w:p>
      <w:pPr>
        <w:pStyle w:val="BodyText"/>
        <w:numPr>
          <w:ilvl w:val="0"/>
          <w:numId w:val="439"/>
        </w:numPr>
        <w:tabs>
          <w:tab w:val="clear" w:pos="709"/>
          <w:tab w:val="left" w:pos="709" w:leader="none"/>
        </w:tabs>
        <w:bidi w:val="0"/>
        <w:ind w:hanging="283" w:start="709"/>
        <w:jc w:val="start"/>
        <w:rPr/>
      </w:pPr>
      <w:r>
        <w:rPr>
          <w:b/>
        </w:rPr>
        <w:t>20 EMA (red line)</w:t>
      </w:r>
      <w:r>
        <w:rPr/>
        <w:t xml:space="preserve"> — acts as support during </w:t>
      </w:r>
      <w:r>
        <w:rPr>
          <w:i/>
        </w:rPr>
        <w:t>normal</w:t>
      </w:r>
      <w:r>
        <w:rPr/>
        <w:t xml:space="preserve"> wave-downs ("toing, toing, toing").</w:t>
      </w:r>
    </w:p>
    <w:p>
      <w:pPr>
        <w:pStyle w:val="BodyText"/>
        <w:bidi w:val="0"/>
        <w:jc w:val="start"/>
        <w:rPr/>
      </w:pPr>
      <w:r>
        <w:rPr>
          <w:b/>
        </w:rPr>
        <w:t>(b) 5-year weekly.</w:t>
      </w:r>
      <w:r>
        <w:rPr/>
        <w:t xml:space="preserve"> Structure read: uptrend → downtrend (2022 bear market) → uptrend → sharp correction → uptrend again.</w:t>
      </w:r>
    </w:p>
    <w:p>
      <w:pPr>
        <w:pStyle w:val="BodyText"/>
        <w:numPr>
          <w:ilvl w:val="0"/>
          <w:numId w:val="440"/>
        </w:numPr>
        <w:tabs>
          <w:tab w:val="clear" w:pos="709"/>
          <w:tab w:val="left" w:pos="709" w:leader="none"/>
        </w:tabs>
        <w:bidi w:val="0"/>
        <w:ind w:hanging="283" w:start="709"/>
        <w:jc w:val="start"/>
        <w:rPr/>
      </w:pPr>
      <w:r>
        <w:rPr/>
        <w:t xml:space="preserve">The </w:t>
      </w:r>
      <w:r>
        <w:rPr>
          <w:b/>
        </w:rPr>
        <w:t>50 MA on weekly</w:t>
      </w:r>
      <w:r>
        <w:rPr/>
        <w:t xml:space="preserve"> provides support and </w:t>
      </w:r>
      <w:r>
        <w:rPr>
          <w:b/>
        </w:rPr>
        <w:t>coincides with the 20 EMA on monthly</w:t>
      </w:r>
      <w:r>
        <w:rPr/>
        <w:t xml:space="preserve"> — "the 50 moving average on the weekly candles is equivalent to the 20 EMA on the monthly candles. They actually coincide." Double confirmation of that level.</w:t>
      </w:r>
    </w:p>
    <w:p>
      <w:pPr>
        <w:pStyle w:val="BodyText"/>
        <w:numPr>
          <w:ilvl w:val="0"/>
          <w:numId w:val="440"/>
        </w:numPr>
        <w:tabs>
          <w:tab w:val="clear" w:pos="709"/>
          <w:tab w:val="left" w:pos="709" w:leader="none"/>
        </w:tabs>
        <w:bidi w:val="0"/>
        <w:ind w:hanging="283" w:start="709"/>
        <w:jc w:val="start"/>
        <w:rPr/>
      </w:pPr>
      <w:r>
        <w:rPr/>
        <w:t xml:space="preserve">The </w:t>
      </w:r>
      <w:r>
        <w:rPr>
          <w:b/>
        </w:rPr>
        <w:t>100 MA on weekly (orange line) ≈ $207</w:t>
      </w:r>
      <w:r>
        <w:rPr/>
        <w:t xml:space="preserve"> has previously acted as support </w:t>
      </w:r>
      <w:r>
        <w:rPr>
          <w:b/>
        </w:rPr>
        <w:t>and</w:t>
      </w:r>
      <w:r>
        <w:rPr/>
        <w:t xml:space="preserve"> coincides with a previous swing high → two points of confirmation. Support drawn at </w:t>
      </w:r>
      <w:r>
        <w:rPr>
          <w:b/>
        </w:rPr>
        <w:t>207</w:t>
      </w:r>
      <w:r>
        <w:rPr/>
        <w:t>.</w:t>
      </w:r>
    </w:p>
    <w:p>
      <w:pPr>
        <w:pStyle w:val="BodyText"/>
        <w:bidi w:val="0"/>
        <w:jc w:val="start"/>
        <w:rPr/>
      </w:pPr>
      <w:r>
        <w:rPr/>
        <w:t>Caveat: "Support levels can be subjective. You can have two different investors looking at the charts and they identify different support levels."</w:t>
      </w:r>
    </w:p>
    <w:p>
      <w:pPr>
        <w:pStyle w:val="BodyText"/>
        <w:bidi w:val="0"/>
        <w:jc w:val="start"/>
        <w:rPr/>
      </w:pPr>
      <w:r>
        <w:rPr>
          <w:b/>
        </w:rPr>
        <w:t>(c) 1-year daily.</w:t>
      </w:r>
      <w:r>
        <w:rPr/>
        <w:t xml:space="preserve"> The stock had been in a sustained uptrend, but "recently you can see that it waved down and then waved up and waved down and waved up. So it looks like it's at the </w:t>
      </w:r>
      <w:r>
        <w:rPr>
          <w:b/>
        </w:rPr>
        <w:t>early stages of a short-term downtrend</w:t>
      </w:r>
      <w:r>
        <w:rPr/>
        <w:t>." No one can predict how long a downtrend lasts.</w:t>
      </w:r>
    </w:p>
    <w:p>
      <w:pPr>
        <w:pStyle w:val="BodyText"/>
        <w:bidi w:val="0"/>
        <w:jc w:val="start"/>
        <w:rPr/>
      </w:pPr>
      <w:r>
        <w:rPr>
          <w:b/>
        </w:rPr>
        <w:t>Adam's own position and behaviour:</w:t>
      </w:r>
      <w:r>
        <w:rPr/>
        <w:t xml:space="preserve"> he is already invested in Alphabet, has been "for quite a number of years." Is the short-term downtrend a reason to sell? "No, of course not… It's a great company. In the long run, it will always go higher… In the short term, it can go on a short-term downtrend, but eventually the trend will reverse back up." He doesn't sell — he adds.</w:t>
      </w:r>
    </w:p>
    <w:p>
      <w:pPr>
        <w:pStyle w:val="BodyText"/>
        <w:bidi w:val="0"/>
        <w:jc w:val="start"/>
        <w:rPr/>
      </w:pPr>
      <w:r>
        <w:rPr>
          <w:b/>
        </w:rPr>
        <w:t>The nearest support that he rejects.</w:t>
      </w:r>
      <w:r>
        <w:rPr/>
        <w:t xml:space="preserve"> There is a visible support level on the daily chart where price has bounced repeatedly, but it sits </w:t>
      </w:r>
      <w:r>
        <w:rPr>
          <w:b/>
        </w:rPr>
        <w:t>above</w:t>
      </w:r>
      <w:r>
        <w:rPr/>
        <w:t xml:space="preserve"> the $292 intrinsic value. He will not buy there: "while it's a support level and it could bounce off, this support level is </w:t>
      </w:r>
      <w:r>
        <w:rPr>
          <w:b/>
        </w:rPr>
        <w:t>not below the intrinsic value</w:t>
      </w:r>
      <w:r>
        <w:rPr/>
        <w:t>. So I'm not buying when it's undervalued with a margin of safety, I'm paying the fair price… there's nothing wrong with that, but for me, I'm very conservative. I like to buy at least below the intrinsic value." He therefore pulls the level down to the next swing low.</w:t>
      </w:r>
    </w:p>
    <w:p>
      <w:pPr>
        <w:pStyle w:val="Heading4"/>
        <w:bidi w:val="0"/>
        <w:ind w:hanging="0" w:start="0"/>
        <w:jc w:val="start"/>
        <w:rPr/>
      </w:pPr>
      <w:r>
        <w:rPr/>
        <w:t>GOOGL final verdict and entry ladder</w:t>
      </w:r>
    </w:p>
    <w:p>
      <w:pPr>
        <w:pStyle w:val="BodyText"/>
        <w:numPr>
          <w:ilvl w:val="0"/>
          <w:numId w:val="441"/>
        </w:numPr>
        <w:tabs>
          <w:tab w:val="clear" w:pos="709"/>
          <w:tab w:val="left" w:pos="709" w:leader="none"/>
        </w:tabs>
        <w:bidi w:val="0"/>
        <w:ind w:hanging="283" w:start="709"/>
        <w:jc w:val="start"/>
        <w:rPr/>
      </w:pPr>
      <w:r>
        <w:rPr>
          <w:b/>
        </w:rPr>
        <w:t>Business verdict:</w:t>
      </w:r>
      <w:r>
        <w:rPr/>
        <w:t xml:space="preserve"> great business, passes all 5 quality steps.</w:t>
      </w:r>
    </w:p>
    <w:p>
      <w:pPr>
        <w:pStyle w:val="BodyText"/>
        <w:numPr>
          <w:ilvl w:val="0"/>
          <w:numId w:val="441"/>
        </w:numPr>
        <w:tabs>
          <w:tab w:val="clear" w:pos="709"/>
          <w:tab w:val="left" w:pos="709" w:leader="none"/>
        </w:tabs>
        <w:bidi w:val="0"/>
        <w:ind w:hanging="283" w:start="709"/>
        <w:jc w:val="start"/>
        <w:rPr/>
      </w:pPr>
      <w:r>
        <w:rPr>
          <w:b/>
        </w:rPr>
        <w:t>Value verdict:</w:t>
      </w:r>
      <w:r>
        <w:rPr/>
        <w:t xml:space="preserve"> worth </w:t>
      </w:r>
      <w:r>
        <w:rPr>
          <w:b/>
        </w:rPr>
        <w:t>$292 – $304</w:t>
      </w:r>
      <w:r>
        <w:rPr/>
        <w:t xml:space="preserve">; only buy </w:t>
      </w:r>
      <w:r>
        <w:rPr>
          <w:b/>
        </w:rPr>
        <w:t>below the green $292 line</w:t>
      </w:r>
      <w:r>
        <w:rPr/>
        <w:t>.</w:t>
      </w:r>
    </w:p>
    <w:p>
      <w:pPr>
        <w:pStyle w:val="BodyText"/>
        <w:numPr>
          <w:ilvl w:val="0"/>
          <w:numId w:val="441"/>
        </w:numPr>
        <w:tabs>
          <w:tab w:val="clear" w:pos="709"/>
          <w:tab w:val="left" w:pos="709" w:leader="none"/>
        </w:tabs>
        <w:bidi w:val="0"/>
        <w:ind w:hanging="283" w:start="709"/>
        <w:jc w:val="start"/>
        <w:rPr/>
      </w:pPr>
      <w:r>
        <w:rPr>
          <w:b/>
        </w:rPr>
        <w:t>Entry plan:</w:t>
      </w:r>
      <w:r>
        <w:rPr/>
        <w:t xml:space="preserve"> ~</w:t>
      </w:r>
      <w:r>
        <w:rPr>
          <w:b/>
        </w:rPr>
        <w:t>$270</w:t>
      </w:r>
      <w:r>
        <w:rPr/>
        <w:t xml:space="preserve"> (next swing low below intrinsic value), then the mentioned </w:t>
      </w:r>
      <w:r>
        <w:rPr>
          <w:b/>
        </w:rPr>
        <w:t>$237</w:t>
      </w:r>
      <w:r>
        <w:rPr/>
        <w:t xml:space="preserve"> level, then the weekly-100MA/swing-high level at </w:t>
      </w:r>
      <w:r>
        <w:rPr>
          <w:b/>
        </w:rPr>
        <w:t>$207</w:t>
      </w:r>
      <w:r>
        <w:rPr/>
        <w:t xml:space="preserve">, then the monthly-50MA level at </w:t>
      </w:r>
      <w:r>
        <w:rPr>
          <w:b/>
        </w:rPr>
        <w:t>$163.94</w:t>
      </w:r>
      <w:r>
        <w:rPr/>
        <w:t>.</w:t>
      </w:r>
    </w:p>
    <w:p>
      <w:pPr>
        <w:pStyle w:val="BodyText"/>
        <w:numPr>
          <w:ilvl w:val="0"/>
          <w:numId w:val="441"/>
        </w:numPr>
        <w:tabs>
          <w:tab w:val="clear" w:pos="709"/>
          <w:tab w:val="left" w:pos="709" w:leader="none"/>
        </w:tabs>
        <w:bidi w:val="0"/>
        <w:ind w:hanging="283" w:start="709"/>
        <w:jc w:val="start"/>
        <w:rPr/>
      </w:pPr>
      <w:r>
        <w:rPr>
          <w:b/>
        </w:rPr>
        <w:t>Doctrine:</w:t>
      </w:r>
      <w:r>
        <w:rPr/>
        <w:t xml:space="preserve"> "For every stock that I think is a great company, I identify the intrinsic value, and then below that, I will add at least </w:t>
      </w:r>
      <w:r>
        <w:rPr>
          <w:b/>
        </w:rPr>
        <w:t>four to five support levels</w:t>
      </w:r>
      <w:r>
        <w:rPr/>
        <w:t xml:space="preserve">. And this is where I will add shares if the price drops to that level. And I'll keep adding until I have got a </w:t>
      </w:r>
      <w:r>
        <w:rPr>
          <w:b/>
        </w:rPr>
        <w:t>full position</w:t>
      </w:r>
      <w:r>
        <w:rPr/>
        <w:t>. Once I've got a full position, I won't add more. But I'll let the position grow organically."</w:t>
      </w:r>
    </w:p>
    <w:p>
      <w:pPr>
        <w:pStyle w:val="BodyText"/>
        <w:numPr>
          <w:ilvl w:val="0"/>
          <w:numId w:val="441"/>
        </w:numPr>
        <w:tabs>
          <w:tab w:val="clear" w:pos="709"/>
          <w:tab w:val="left" w:pos="709" w:leader="none"/>
        </w:tabs>
        <w:bidi w:val="0"/>
        <w:ind w:hanging="283" w:start="709"/>
        <w:jc w:val="start"/>
        <w:rPr/>
      </w:pPr>
      <w:r>
        <w:rPr/>
        <w:t>Full-position sizing / portfolio allocation is deferred to the portfolio-construction lesson.</w:t>
      </w:r>
    </w:p>
    <w:p>
      <w:pPr>
        <w:pStyle w:val="HorizontalLine"/>
        <w:bidi w:val="0"/>
        <w:jc w:val="start"/>
        <w:rPr/>
      </w:pPr>
      <w:r>
        <w:rPr/>
      </w:r>
    </w:p>
    <w:p>
      <w:pPr>
        <w:pStyle w:val="Heading2"/>
        <w:bidi w:val="0"/>
        <w:ind w:hanging="0" w:start="0"/>
        <w:jc w:val="start"/>
        <w:rPr/>
      </w:pPr>
      <w:r>
        <w:rPr/>
        <w:t>2. MICROSOFT (MSFT) — Lessons 55 &amp; 56</w:t>
      </w:r>
    </w:p>
    <w:p>
      <w:pPr>
        <w:pStyle w:val="BodyText"/>
        <w:bidi w:val="0"/>
        <w:jc w:val="start"/>
        <w:rPr/>
      </w:pPr>
      <w:r>
        <w:rPr/>
        <w:t xml:space="preserve">Listed: </w:t>
      </w:r>
      <w:r>
        <w:rPr>
          <w:b/>
        </w:rPr>
        <w:t>NASDAQ</w:t>
      </w:r>
      <w:r>
        <w:rPr/>
        <w:t xml:space="preserve">. Sector: </w:t>
      </w:r>
      <w:r>
        <w:rPr>
          <w:b/>
        </w:rPr>
        <w:t>Technology</w:t>
      </w:r>
      <w:r>
        <w:rPr/>
        <w:t xml:space="preserve">. Industry: </w:t>
      </w:r>
      <w:r>
        <w:rPr>
          <w:b/>
        </w:rPr>
        <w:t>Software</w:t>
      </w:r>
      <w:r>
        <w:rPr/>
        <w:t>.</w:t>
      </w:r>
    </w:p>
    <w:p>
      <w:pPr>
        <w:pStyle w:val="Heading3"/>
        <w:bidi w:val="0"/>
        <w:ind w:hanging="0" w:start="0"/>
        <w:jc w:val="start"/>
        <w:rPr/>
      </w:pPr>
      <w:r>
        <w:rPr/>
        <w:t>2.0 Investment thesis first</w:t>
      </w:r>
    </w:p>
    <w:p>
      <w:pPr>
        <w:pStyle w:val="BodyText"/>
        <w:bidi w:val="0"/>
        <w:jc w:val="start"/>
        <w:rPr/>
      </w:pPr>
      <w:r>
        <w:rPr/>
        <w:t xml:space="preserve">Before analysing anything, define </w:t>
      </w:r>
      <w:r>
        <w:rPr>
          <w:b/>
        </w:rPr>
        <w:t>why</w:t>
      </w:r>
      <w:r>
        <w:rPr/>
        <w:t xml:space="preserve"> you are buying: growth, predictability, defensiveness, dividends, etc. (There are eight investment categories, covered in a later lesson.)</w:t>
      </w:r>
    </w:p>
    <w:p>
      <w:pPr>
        <w:pStyle w:val="BlockQuotation"/>
        <w:bidi w:val="0"/>
        <w:jc w:val="start"/>
        <w:rPr/>
      </w:pPr>
      <w:r>
        <w:rPr>
          <w:b/>
        </w:rPr>
        <w:t>MSFT thesis: growth AND predictability.</w:t>
      </w:r>
      <w:r>
        <w:rPr/>
        <w:t xml:space="preserve"> "It is both a growth stock, it grows at high double digits, at the same time it is a very predictable company. It's </w:t>
      </w:r>
      <w:r>
        <w:rPr>
          <w:b/>
        </w:rPr>
        <w:t>recession-proof and pandemic-proof</w:t>
      </w:r>
      <w:r>
        <w:rPr/>
        <w:t>."</w:t>
      </w:r>
    </w:p>
    <w:p>
      <w:pPr>
        <w:pStyle w:val="BodyText"/>
        <w:bidi w:val="0"/>
        <w:jc w:val="start"/>
        <w:rPr/>
      </w:pPr>
      <w:r>
        <w:rPr/>
        <w:t>Understand the business by being a customer: Adam uses Microsoft Office for home and office computing, LinkedIn, Microsoft Teams ("a more sophisticated version of Skype") at his office, and plays Xbox with his kids. Supplement with the annual report, the company website, and an online business description.</w:t>
      </w:r>
    </w:p>
    <w:p>
      <w:pPr>
        <w:pStyle w:val="Heading3"/>
        <w:bidi w:val="0"/>
        <w:ind w:hanging="0" w:start="0"/>
        <w:jc w:val="start"/>
        <w:rPr/>
      </w:pPr>
      <w:r>
        <w:rPr/>
        <w:t>2.1 Business overview and segments</w:t>
      </w:r>
    </w:p>
    <w:p>
      <w:pPr>
        <w:pStyle w:val="BodyText"/>
        <w:bidi w:val="0"/>
        <w:jc w:val="start"/>
        <w:rPr/>
      </w:pPr>
      <w:r>
        <w:rPr/>
        <w:t>Microsoft "develops, licenses, and supports software, services and solutions worldwide" — productivity software, cloud computing, advertising campaigns.</w:t>
      </w:r>
    </w:p>
    <w:p>
      <w:pPr>
        <w:pStyle w:val="BodyText"/>
        <w:bidi w:val="0"/>
        <w:jc w:val="start"/>
        <w:rPr/>
      </w:pPr>
      <w:r>
        <w:rPr>
          <w:b/>
        </w:rPr>
        <w:t>Three reporting segments:</w:t>
      </w:r>
    </w:p>
    <w:tbl>
      <w:tblPr>
        <w:tblW w:w="5000" w:type="pct"/>
        <w:jc w:val="start"/>
        <w:tblInd w:w="-5" w:type="dxa"/>
        <w:tblLayout w:type="fixed"/>
        <w:tblCellMar>
          <w:top w:w="55" w:type="dxa"/>
          <w:start w:w="55" w:type="dxa"/>
          <w:bottom w:w="55" w:type="dxa"/>
          <w:end w:w="55" w:type="dxa"/>
        </w:tblCellMar>
      </w:tblPr>
      <w:tblGrid>
        <w:gridCol w:w="3212"/>
        <w:gridCol w:w="3213"/>
        <w:gridCol w:w="3213"/>
      </w:tblGrid>
      <w:tr>
        <w:trPr>
          <w:tblHeader w:val="true"/>
        </w:trPr>
        <w:tc>
          <w:tcPr>
            <w:tcW w:w="3212" w:type="dxa"/>
            <w:tcBorders>
              <w:top w:val="single" w:sz="4" w:space="0" w:color="000000"/>
              <w:start w:val="single" w:sz="4" w:space="0" w:color="000000"/>
              <w:bottom w:val="single" w:sz="4" w:space="0" w:color="000000"/>
            </w:tcBorders>
          </w:tcPr>
          <w:p>
            <w:pPr>
              <w:pStyle w:val="TableHeading"/>
              <w:bidi w:val="0"/>
              <w:jc w:val="start"/>
              <w:rPr/>
            </w:pPr>
            <w:r>
              <w:rPr/>
              <w:t>Segment</w:t>
            </w:r>
          </w:p>
        </w:tc>
        <w:tc>
          <w:tcPr>
            <w:tcW w:w="3213" w:type="dxa"/>
            <w:tcBorders>
              <w:top w:val="single" w:sz="4" w:space="0" w:color="000000"/>
              <w:start w:val="single" w:sz="4" w:space="0" w:color="000000"/>
              <w:bottom w:val="single" w:sz="4" w:space="0" w:color="000000"/>
            </w:tcBorders>
          </w:tcPr>
          <w:p>
            <w:pPr>
              <w:pStyle w:val="TableHeading"/>
              <w:bidi w:val="0"/>
              <w:jc w:val="start"/>
              <w:rPr/>
            </w:pPr>
            <w:r>
              <w:rPr/>
              <w:t>Contents</w:t>
            </w:r>
          </w:p>
        </w:tc>
        <w:tc>
          <w:tcPr>
            <w:tcW w:w="3213"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Competitive position</w:t>
            </w:r>
          </w:p>
        </w:tc>
      </w:tr>
      <w:tr>
        <w:trPr/>
        <w:tc>
          <w:tcPr>
            <w:tcW w:w="3212" w:type="dxa"/>
            <w:tcBorders>
              <w:start w:val="single" w:sz="4" w:space="0" w:color="000000"/>
              <w:bottom w:val="single" w:sz="4" w:space="0" w:color="000000"/>
            </w:tcBorders>
          </w:tcPr>
          <w:p>
            <w:pPr>
              <w:pStyle w:val="TableContents"/>
              <w:bidi w:val="0"/>
              <w:jc w:val="start"/>
              <w:rPr/>
            </w:pPr>
            <w:r>
              <w:rPr>
                <w:b/>
              </w:rPr>
              <w:t>Intelligent Cloud</w:t>
            </w:r>
          </w:p>
        </w:tc>
        <w:tc>
          <w:tcPr>
            <w:tcW w:w="3213" w:type="dxa"/>
            <w:tcBorders>
              <w:start w:val="single" w:sz="4" w:space="0" w:color="000000"/>
              <w:bottom w:val="single" w:sz="4" w:space="0" w:color="000000"/>
            </w:tcBorders>
          </w:tcPr>
          <w:p>
            <w:pPr>
              <w:pStyle w:val="TableContents"/>
              <w:bidi w:val="0"/>
              <w:jc w:val="start"/>
              <w:rPr/>
            </w:pPr>
            <w:r>
              <w:rPr/>
              <w:t>Azure, Visual Studio, Windows Server</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b/>
              </w:rPr>
              <w:t>#2</w:t>
            </w:r>
            <w:r>
              <w:rPr/>
              <w:t xml:space="preserve"> in enterprise cloud behind Amazon; "Azure is fast catching up"</w:t>
            </w:r>
          </w:p>
        </w:tc>
      </w:tr>
      <w:tr>
        <w:trPr/>
        <w:tc>
          <w:tcPr>
            <w:tcW w:w="3212" w:type="dxa"/>
            <w:tcBorders>
              <w:start w:val="single" w:sz="4" w:space="0" w:color="000000"/>
              <w:bottom w:val="single" w:sz="4" w:space="0" w:color="000000"/>
            </w:tcBorders>
          </w:tcPr>
          <w:p>
            <w:pPr>
              <w:pStyle w:val="TableContents"/>
              <w:bidi w:val="0"/>
              <w:jc w:val="start"/>
              <w:rPr/>
            </w:pPr>
            <w:r>
              <w:rPr>
                <w:b/>
              </w:rPr>
              <w:t>Productivity &amp; Business Processes</w:t>
            </w:r>
          </w:p>
        </w:tc>
        <w:tc>
          <w:tcPr>
            <w:tcW w:w="3213" w:type="dxa"/>
            <w:tcBorders>
              <w:start w:val="single" w:sz="4" w:space="0" w:color="000000"/>
              <w:bottom w:val="single" w:sz="4" w:space="0" w:color="000000"/>
            </w:tcBorders>
          </w:tcPr>
          <w:p>
            <w:pPr>
              <w:pStyle w:val="TableContents"/>
              <w:bidi w:val="0"/>
              <w:jc w:val="start"/>
              <w:rPr/>
            </w:pPr>
            <w:r>
              <w:rPr/>
              <w:t>Office 365 (Excel, PowerPoint, Word), LinkedIn, Microsoft Teams</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Dominant; enterprises use Teams over Zoom</w:t>
            </w:r>
          </w:p>
        </w:tc>
      </w:tr>
      <w:tr>
        <w:trPr/>
        <w:tc>
          <w:tcPr>
            <w:tcW w:w="3212" w:type="dxa"/>
            <w:tcBorders>
              <w:start w:val="single" w:sz="4" w:space="0" w:color="000000"/>
              <w:bottom w:val="single" w:sz="4" w:space="0" w:color="000000"/>
            </w:tcBorders>
          </w:tcPr>
          <w:p>
            <w:pPr>
              <w:pStyle w:val="TableContents"/>
              <w:bidi w:val="0"/>
              <w:jc w:val="start"/>
              <w:rPr/>
            </w:pPr>
            <w:r>
              <w:rPr>
                <w:b/>
              </w:rPr>
              <w:t>More Personal Computing</w:t>
            </w:r>
          </w:p>
        </w:tc>
        <w:tc>
          <w:tcPr>
            <w:tcW w:w="3213" w:type="dxa"/>
            <w:tcBorders>
              <w:start w:val="single" w:sz="4" w:space="0" w:color="000000"/>
              <w:bottom w:val="single" w:sz="4" w:space="0" w:color="000000"/>
            </w:tcBorders>
          </w:tcPr>
          <w:p>
            <w:pPr>
              <w:pStyle w:val="TableContents"/>
              <w:bidi w:val="0"/>
              <w:jc w:val="start"/>
              <w:rPr/>
            </w:pPr>
            <w:r>
              <w:rPr/>
              <w:t>Windows, Xbox, HoloLens (VR/AR — "huge potential in the upcoming metaverse")</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Windows ~86% desktop OS share</w:t>
            </w:r>
          </w:p>
        </w:tc>
      </w:tr>
    </w:tbl>
    <w:p>
      <w:pPr>
        <w:pStyle w:val="BodyText"/>
        <w:bidi w:val="0"/>
        <w:jc w:val="start"/>
        <w:rPr/>
      </w:pPr>
      <w:r>
        <w:rPr/>
      </w:r>
    </w:p>
    <w:p>
      <w:pPr>
        <w:pStyle w:val="BodyText"/>
        <w:bidi w:val="0"/>
        <w:jc w:val="start"/>
        <w:rPr/>
      </w:pPr>
      <w:r>
        <w:rPr>
          <w:b/>
        </w:rPr>
        <w:t>Revenue breakdown:</w:t>
      </w:r>
    </w:p>
    <w:tbl>
      <w:tblPr>
        <w:tblW w:w="5000" w:type="pct"/>
        <w:jc w:val="start"/>
        <w:tblInd w:w="-5" w:type="dxa"/>
        <w:tblLayout w:type="fixed"/>
        <w:tblCellMar>
          <w:top w:w="55" w:type="dxa"/>
          <w:start w:w="55" w:type="dxa"/>
          <w:bottom w:w="55" w:type="dxa"/>
          <w:end w:w="55" w:type="dxa"/>
        </w:tblCellMar>
      </w:tblPr>
      <w:tblGrid>
        <w:gridCol w:w="4819"/>
        <w:gridCol w:w="4819"/>
      </w:tblGrid>
      <w:tr>
        <w:trPr>
          <w:tblHeader w:val="true"/>
        </w:trPr>
        <w:tc>
          <w:tcPr>
            <w:tcW w:w="4819" w:type="dxa"/>
            <w:tcBorders>
              <w:top w:val="single" w:sz="4" w:space="0" w:color="000000"/>
              <w:start w:val="single" w:sz="4" w:space="0" w:color="000000"/>
              <w:bottom w:val="single" w:sz="4" w:space="0" w:color="000000"/>
            </w:tcBorders>
          </w:tcPr>
          <w:p>
            <w:pPr>
              <w:pStyle w:val="TableHeading"/>
              <w:bidi w:val="0"/>
              <w:jc w:val="start"/>
              <w:rPr/>
            </w:pPr>
            <w:r>
              <w:rPr/>
              <w:t>Segment</w:t>
            </w:r>
          </w:p>
        </w:tc>
        <w:tc>
          <w:tcPr>
            <w:tcW w:w="4819"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Share of revenue</w:t>
            </w:r>
          </w:p>
        </w:tc>
      </w:tr>
      <w:tr>
        <w:trPr/>
        <w:tc>
          <w:tcPr>
            <w:tcW w:w="4819" w:type="dxa"/>
            <w:tcBorders>
              <w:start w:val="single" w:sz="4" w:space="0" w:color="000000"/>
              <w:bottom w:val="single" w:sz="4" w:space="0" w:color="000000"/>
            </w:tcBorders>
          </w:tcPr>
          <w:p>
            <w:pPr>
              <w:pStyle w:val="TableContents"/>
              <w:bidi w:val="0"/>
              <w:jc w:val="start"/>
              <w:rPr/>
            </w:pPr>
            <w:r>
              <w:rPr/>
              <w:t>Personal computing</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~34%</w:t>
            </w:r>
          </w:p>
        </w:tc>
      </w:tr>
      <w:tr>
        <w:trPr/>
        <w:tc>
          <w:tcPr>
            <w:tcW w:w="4819" w:type="dxa"/>
            <w:tcBorders>
              <w:start w:val="single" w:sz="4" w:space="0" w:color="000000"/>
              <w:bottom w:val="single" w:sz="4" w:space="0" w:color="000000"/>
            </w:tcBorders>
          </w:tcPr>
          <w:p>
            <w:pPr>
              <w:pStyle w:val="TableContents"/>
              <w:bidi w:val="0"/>
              <w:jc w:val="start"/>
              <w:rPr/>
            </w:pPr>
            <w:r>
              <w:rPr/>
              <w:t>Cloud (enterprise)</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~30%</w:t>
            </w:r>
          </w:p>
        </w:tc>
      </w:tr>
      <w:tr>
        <w:trPr/>
        <w:tc>
          <w:tcPr>
            <w:tcW w:w="4819" w:type="dxa"/>
            <w:tcBorders>
              <w:start w:val="single" w:sz="4" w:space="0" w:color="000000"/>
              <w:bottom w:val="single" w:sz="4" w:space="0" w:color="000000"/>
            </w:tcBorders>
          </w:tcPr>
          <w:p>
            <w:pPr>
              <w:pStyle w:val="TableContents"/>
              <w:bidi w:val="0"/>
              <w:jc w:val="start"/>
              <w:rPr/>
            </w:pPr>
            <w:r>
              <w:rPr/>
              <w:t>Enterprise productivity &amp; business processes</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~35%</w:t>
            </w:r>
          </w:p>
        </w:tc>
      </w:tr>
    </w:tbl>
    <w:p>
      <w:pPr>
        <w:pStyle w:val="BodyText"/>
        <w:bidi w:val="0"/>
        <w:jc w:val="start"/>
        <w:rPr/>
      </w:pPr>
      <w:r>
        <w:rPr/>
      </w:r>
    </w:p>
    <w:p>
      <w:pPr>
        <w:pStyle w:val="Heading3"/>
        <w:bidi w:val="0"/>
        <w:ind w:hanging="0" w:start="0"/>
        <w:jc w:val="start"/>
        <w:rPr/>
      </w:pPr>
      <w:r>
        <w:rPr/>
        <w:t>2.2 Step 1 — Consistent revenue / net income / operating cash flow</w:t>
      </w:r>
    </w:p>
    <w:p>
      <w:pPr>
        <w:pStyle w:val="BodyText"/>
        <w:bidi w:val="0"/>
        <w:jc w:val="start"/>
        <w:rPr/>
      </w:pPr>
      <w:r>
        <w:rPr/>
        <w:t xml:space="preserve">Tools: </w:t>
      </w:r>
      <w:r>
        <w:rPr>
          <w:b/>
        </w:rPr>
        <w:t>Yahoo Finance</w:t>
      </w:r>
      <w:r>
        <w:rPr/>
        <w:t xml:space="preserve"> (4 years + TTM), then </w:t>
      </w:r>
      <w:r>
        <w:rPr>
          <w:b/>
        </w:rPr>
        <w:t>GuruFocus</w:t>
      </w:r>
      <w:r>
        <w:rPr/>
        <w:t xml:space="preserve"> for the longer history, then </w:t>
      </w:r>
      <w:r>
        <w:rPr>
          <w:b/>
        </w:rPr>
        <w:t>Morningstar</w:t>
      </w:r>
      <w:r>
        <w:rPr/>
        <w:t xml:space="preserve"> for margins.</w:t>
      </w:r>
    </w:p>
    <w:p>
      <w:pPr>
        <w:pStyle w:val="BodyText"/>
        <w:bidi w:val="0"/>
        <w:jc w:val="start"/>
        <w:rPr/>
      </w:pPr>
      <w:r>
        <w:rPr/>
        <w:t>Yahoo Finance annual figures (FY2018, 2019, 2020, 2021, plus TTM), USD billions:</w:t>
      </w:r>
    </w:p>
    <w:tbl>
      <w:tblPr>
        <w:tblW w:w="5000" w:type="pct"/>
        <w:jc w:val="start"/>
        <w:tblInd w:w="-5" w:type="dxa"/>
        <w:tblLayout w:type="fixed"/>
        <w:tblCellMar>
          <w:top w:w="55" w:type="dxa"/>
          <w:start w:w="55" w:type="dxa"/>
          <w:bottom w:w="55" w:type="dxa"/>
          <w:end w:w="55" w:type="dxa"/>
        </w:tblCellMar>
      </w:tblPr>
      <w:tblGrid>
        <w:gridCol w:w="1606"/>
        <w:gridCol w:w="1606"/>
        <w:gridCol w:w="1607"/>
        <w:gridCol w:w="1606"/>
        <w:gridCol w:w="1606"/>
        <w:gridCol w:w="1607"/>
      </w:tblGrid>
      <w:tr>
        <w:trPr>
          <w:tblHeader w:val="true"/>
        </w:trPr>
        <w:tc>
          <w:tcPr>
            <w:tcW w:w="1606" w:type="dxa"/>
            <w:tcBorders>
              <w:top w:val="single" w:sz="4" w:space="0" w:color="000000"/>
              <w:start w:val="single" w:sz="4" w:space="0" w:color="000000"/>
              <w:bottom w:val="single" w:sz="4" w:space="0" w:color="000000"/>
            </w:tcBorders>
          </w:tcPr>
          <w:p>
            <w:pPr>
              <w:pStyle w:val="TableHeading"/>
              <w:bidi w:val="0"/>
              <w:jc w:val="start"/>
              <w:rPr/>
            </w:pPr>
            <w:r>
              <w:rPr/>
              <w:t>Metric</w:t>
            </w:r>
          </w:p>
        </w:tc>
        <w:tc>
          <w:tcPr>
            <w:tcW w:w="1606" w:type="dxa"/>
            <w:tcBorders>
              <w:top w:val="single" w:sz="4" w:space="0" w:color="000000"/>
              <w:start w:val="single" w:sz="4" w:space="0" w:color="000000"/>
              <w:bottom w:val="single" w:sz="4" w:space="0" w:color="000000"/>
            </w:tcBorders>
          </w:tcPr>
          <w:p>
            <w:pPr>
              <w:pStyle w:val="TableHeading"/>
              <w:bidi w:val="0"/>
              <w:jc w:val="start"/>
              <w:rPr/>
            </w:pPr>
            <w:r>
              <w:rPr/>
              <w:t>2018</w:t>
            </w:r>
          </w:p>
        </w:tc>
        <w:tc>
          <w:tcPr>
            <w:tcW w:w="1607" w:type="dxa"/>
            <w:tcBorders>
              <w:top w:val="single" w:sz="4" w:space="0" w:color="000000"/>
              <w:start w:val="single" w:sz="4" w:space="0" w:color="000000"/>
              <w:bottom w:val="single" w:sz="4" w:space="0" w:color="000000"/>
            </w:tcBorders>
          </w:tcPr>
          <w:p>
            <w:pPr>
              <w:pStyle w:val="TableHeading"/>
              <w:bidi w:val="0"/>
              <w:jc w:val="start"/>
              <w:rPr/>
            </w:pPr>
            <w:r>
              <w:rPr/>
              <w:t>2019</w:t>
            </w:r>
          </w:p>
        </w:tc>
        <w:tc>
          <w:tcPr>
            <w:tcW w:w="1606" w:type="dxa"/>
            <w:tcBorders>
              <w:top w:val="single" w:sz="4" w:space="0" w:color="000000"/>
              <w:start w:val="single" w:sz="4" w:space="0" w:color="000000"/>
              <w:bottom w:val="single" w:sz="4" w:space="0" w:color="000000"/>
            </w:tcBorders>
          </w:tcPr>
          <w:p>
            <w:pPr>
              <w:pStyle w:val="TableHeading"/>
              <w:bidi w:val="0"/>
              <w:jc w:val="start"/>
              <w:rPr/>
            </w:pPr>
            <w:r>
              <w:rPr/>
              <w:t>2020</w:t>
            </w:r>
          </w:p>
        </w:tc>
        <w:tc>
          <w:tcPr>
            <w:tcW w:w="1606" w:type="dxa"/>
            <w:tcBorders>
              <w:top w:val="single" w:sz="4" w:space="0" w:color="000000"/>
              <w:start w:val="single" w:sz="4" w:space="0" w:color="000000"/>
              <w:bottom w:val="single" w:sz="4" w:space="0" w:color="000000"/>
            </w:tcBorders>
          </w:tcPr>
          <w:p>
            <w:pPr>
              <w:pStyle w:val="TableHeading"/>
              <w:bidi w:val="0"/>
              <w:jc w:val="start"/>
              <w:rPr/>
            </w:pPr>
            <w:r>
              <w:rPr/>
              <w:t>2021</w:t>
            </w:r>
          </w:p>
        </w:tc>
        <w:tc>
          <w:tcPr>
            <w:tcW w:w="1607"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TTM</w:t>
            </w:r>
          </w:p>
        </w:tc>
      </w:tr>
      <w:tr>
        <w:trPr/>
        <w:tc>
          <w:tcPr>
            <w:tcW w:w="1606" w:type="dxa"/>
            <w:tcBorders>
              <w:start w:val="single" w:sz="4" w:space="0" w:color="000000"/>
              <w:bottom w:val="single" w:sz="4" w:space="0" w:color="000000"/>
            </w:tcBorders>
          </w:tcPr>
          <w:p>
            <w:pPr>
              <w:pStyle w:val="TableContents"/>
              <w:bidi w:val="0"/>
              <w:jc w:val="start"/>
              <w:rPr/>
            </w:pPr>
            <w:r>
              <w:rPr/>
              <w:t>Revenue</w:t>
            </w:r>
          </w:p>
        </w:tc>
        <w:tc>
          <w:tcPr>
            <w:tcW w:w="1606" w:type="dxa"/>
            <w:tcBorders>
              <w:start w:val="single" w:sz="4" w:space="0" w:color="000000"/>
              <w:bottom w:val="single" w:sz="4" w:space="0" w:color="000000"/>
            </w:tcBorders>
          </w:tcPr>
          <w:p>
            <w:pPr>
              <w:pStyle w:val="TableContents"/>
              <w:bidi w:val="0"/>
              <w:jc w:val="start"/>
              <w:rPr/>
            </w:pPr>
            <w:r>
              <w:rPr/>
              <w:t>110</w:t>
            </w:r>
          </w:p>
        </w:tc>
        <w:tc>
          <w:tcPr>
            <w:tcW w:w="1607" w:type="dxa"/>
            <w:tcBorders>
              <w:start w:val="single" w:sz="4" w:space="0" w:color="000000"/>
              <w:bottom w:val="single" w:sz="4" w:space="0" w:color="000000"/>
            </w:tcBorders>
          </w:tcPr>
          <w:p>
            <w:pPr>
              <w:pStyle w:val="TableContents"/>
              <w:bidi w:val="0"/>
              <w:jc w:val="start"/>
              <w:rPr/>
            </w:pPr>
            <w:r>
              <w:rPr/>
              <w:t>125</w:t>
            </w:r>
          </w:p>
        </w:tc>
        <w:tc>
          <w:tcPr>
            <w:tcW w:w="1606" w:type="dxa"/>
            <w:tcBorders>
              <w:start w:val="single" w:sz="4" w:space="0" w:color="000000"/>
              <w:bottom w:val="single" w:sz="4" w:space="0" w:color="000000"/>
            </w:tcBorders>
          </w:tcPr>
          <w:p>
            <w:pPr>
              <w:pStyle w:val="TableContents"/>
              <w:bidi w:val="0"/>
              <w:jc w:val="start"/>
              <w:rPr/>
            </w:pPr>
            <w:r>
              <w:rPr/>
              <w:t>143</w:t>
            </w:r>
          </w:p>
        </w:tc>
        <w:tc>
          <w:tcPr>
            <w:tcW w:w="1606" w:type="dxa"/>
            <w:tcBorders>
              <w:start w:val="single" w:sz="4" w:space="0" w:color="000000"/>
              <w:bottom w:val="single" w:sz="4" w:space="0" w:color="000000"/>
            </w:tcBorders>
          </w:tcPr>
          <w:p>
            <w:pPr>
              <w:pStyle w:val="TableContents"/>
              <w:bidi w:val="0"/>
              <w:jc w:val="start"/>
              <w:rPr/>
            </w:pPr>
            <w:r>
              <w:rPr/>
              <w:t>168</w:t>
            </w:r>
          </w:p>
        </w:tc>
        <w:tc>
          <w:tcPr>
            <w:tcW w:w="1607" w:type="dxa"/>
            <w:tcBorders>
              <w:start w:val="single" w:sz="4" w:space="0" w:color="000000"/>
              <w:bottom w:val="single" w:sz="4" w:space="0" w:color="000000"/>
              <w:end w:val="single" w:sz="4" w:space="0" w:color="000000"/>
            </w:tcBorders>
          </w:tcPr>
          <w:p>
            <w:pPr>
              <w:pStyle w:val="TableContents"/>
              <w:bidi w:val="0"/>
              <w:jc w:val="start"/>
              <w:rPr/>
            </w:pPr>
            <w:r>
              <w:rPr/>
              <w:t>176</w:t>
            </w:r>
          </w:p>
        </w:tc>
      </w:tr>
      <w:tr>
        <w:trPr/>
        <w:tc>
          <w:tcPr>
            <w:tcW w:w="1606" w:type="dxa"/>
            <w:tcBorders>
              <w:start w:val="single" w:sz="4" w:space="0" w:color="000000"/>
              <w:bottom w:val="single" w:sz="4" w:space="0" w:color="000000"/>
            </w:tcBorders>
          </w:tcPr>
          <w:p>
            <w:pPr>
              <w:pStyle w:val="TableContents"/>
              <w:bidi w:val="0"/>
              <w:jc w:val="start"/>
              <w:rPr/>
            </w:pPr>
            <w:r>
              <w:rPr/>
              <w:t>Net income</w:t>
            </w:r>
          </w:p>
        </w:tc>
        <w:tc>
          <w:tcPr>
            <w:tcW w:w="1606" w:type="dxa"/>
            <w:tcBorders>
              <w:start w:val="single" w:sz="4" w:space="0" w:color="000000"/>
              <w:bottom w:val="single" w:sz="4" w:space="0" w:color="000000"/>
            </w:tcBorders>
          </w:tcPr>
          <w:p>
            <w:pPr>
              <w:pStyle w:val="TableContents"/>
              <w:bidi w:val="0"/>
              <w:jc w:val="start"/>
              <w:rPr/>
            </w:pPr>
            <w:r>
              <w:rPr/>
              <w:t>16</w:t>
            </w:r>
          </w:p>
        </w:tc>
        <w:tc>
          <w:tcPr>
            <w:tcW w:w="1607" w:type="dxa"/>
            <w:tcBorders>
              <w:start w:val="single" w:sz="4" w:space="0" w:color="000000"/>
              <w:bottom w:val="single" w:sz="4" w:space="0" w:color="000000"/>
            </w:tcBorders>
          </w:tcPr>
          <w:p>
            <w:pPr>
              <w:pStyle w:val="TableContents"/>
              <w:bidi w:val="0"/>
              <w:jc w:val="start"/>
              <w:rPr/>
            </w:pPr>
            <w:r>
              <w:rPr/>
              <w:t>39</w:t>
            </w:r>
          </w:p>
        </w:tc>
        <w:tc>
          <w:tcPr>
            <w:tcW w:w="1606" w:type="dxa"/>
            <w:tcBorders>
              <w:start w:val="single" w:sz="4" w:space="0" w:color="000000"/>
              <w:bottom w:val="single" w:sz="4" w:space="0" w:color="000000"/>
            </w:tcBorders>
          </w:tcPr>
          <w:p>
            <w:pPr>
              <w:pStyle w:val="TableContents"/>
              <w:bidi w:val="0"/>
              <w:jc w:val="start"/>
              <w:rPr/>
            </w:pPr>
            <w:r>
              <w:rPr/>
              <w:t>44</w:t>
            </w:r>
          </w:p>
        </w:tc>
        <w:tc>
          <w:tcPr>
            <w:tcW w:w="1606" w:type="dxa"/>
            <w:tcBorders>
              <w:start w:val="single" w:sz="4" w:space="0" w:color="000000"/>
              <w:bottom w:val="single" w:sz="4" w:space="0" w:color="000000"/>
            </w:tcBorders>
          </w:tcPr>
          <w:p>
            <w:pPr>
              <w:pStyle w:val="TableContents"/>
              <w:bidi w:val="0"/>
              <w:jc w:val="start"/>
              <w:rPr/>
            </w:pPr>
            <w:r>
              <w:rPr/>
              <w:t>61</w:t>
            </w:r>
          </w:p>
        </w:tc>
        <w:tc>
          <w:tcPr>
            <w:tcW w:w="1607" w:type="dxa"/>
            <w:tcBorders>
              <w:start w:val="single" w:sz="4" w:space="0" w:color="000000"/>
              <w:bottom w:val="single" w:sz="4" w:space="0" w:color="000000"/>
              <w:end w:val="single" w:sz="4" w:space="0" w:color="000000"/>
            </w:tcBorders>
          </w:tcPr>
          <w:p>
            <w:pPr>
              <w:pStyle w:val="TableContents"/>
              <w:bidi w:val="0"/>
              <w:jc w:val="start"/>
              <w:rPr/>
            </w:pPr>
            <w:r>
              <w:rPr/>
              <w:t>67</w:t>
            </w:r>
          </w:p>
        </w:tc>
      </w:tr>
      <w:tr>
        <w:trPr/>
        <w:tc>
          <w:tcPr>
            <w:tcW w:w="1606" w:type="dxa"/>
            <w:tcBorders>
              <w:start w:val="single" w:sz="4" w:space="0" w:color="000000"/>
              <w:bottom w:val="single" w:sz="4" w:space="0" w:color="000000"/>
            </w:tcBorders>
          </w:tcPr>
          <w:p>
            <w:pPr>
              <w:pStyle w:val="TableContents"/>
              <w:bidi w:val="0"/>
              <w:jc w:val="start"/>
              <w:rPr/>
            </w:pPr>
            <w:r>
              <w:rPr/>
              <w:t>Cash flow from operations</w:t>
            </w:r>
          </w:p>
        </w:tc>
        <w:tc>
          <w:tcPr>
            <w:tcW w:w="1606" w:type="dxa"/>
            <w:tcBorders>
              <w:start w:val="single" w:sz="4" w:space="0" w:color="000000"/>
              <w:bottom w:val="single" w:sz="4" w:space="0" w:color="000000"/>
            </w:tcBorders>
          </w:tcPr>
          <w:p>
            <w:pPr>
              <w:pStyle w:val="TableContents"/>
              <w:bidi w:val="0"/>
              <w:jc w:val="start"/>
              <w:rPr/>
            </w:pPr>
            <w:r>
              <w:rPr/>
              <w:t>43</w:t>
            </w:r>
          </w:p>
        </w:tc>
        <w:tc>
          <w:tcPr>
            <w:tcW w:w="1607" w:type="dxa"/>
            <w:tcBorders>
              <w:start w:val="single" w:sz="4" w:space="0" w:color="000000"/>
              <w:bottom w:val="single" w:sz="4" w:space="0" w:color="000000"/>
            </w:tcBorders>
          </w:tcPr>
          <w:p>
            <w:pPr>
              <w:pStyle w:val="TableContents"/>
              <w:bidi w:val="0"/>
              <w:jc w:val="start"/>
              <w:rPr/>
            </w:pPr>
            <w:r>
              <w:rPr/>
              <w:t>52</w:t>
            </w:r>
          </w:p>
        </w:tc>
        <w:tc>
          <w:tcPr>
            <w:tcW w:w="1606" w:type="dxa"/>
            <w:tcBorders>
              <w:start w:val="single" w:sz="4" w:space="0" w:color="000000"/>
              <w:bottom w:val="single" w:sz="4" w:space="0" w:color="000000"/>
            </w:tcBorders>
          </w:tcPr>
          <w:p>
            <w:pPr>
              <w:pStyle w:val="TableContents"/>
              <w:bidi w:val="0"/>
              <w:jc w:val="start"/>
              <w:rPr/>
            </w:pPr>
            <w:r>
              <w:rPr/>
              <w:t>60</w:t>
            </w:r>
          </w:p>
        </w:tc>
        <w:tc>
          <w:tcPr>
            <w:tcW w:w="1606" w:type="dxa"/>
            <w:tcBorders>
              <w:start w:val="single" w:sz="4" w:space="0" w:color="000000"/>
              <w:bottom w:val="single" w:sz="4" w:space="0" w:color="000000"/>
            </w:tcBorders>
          </w:tcPr>
          <w:p>
            <w:pPr>
              <w:pStyle w:val="TableContents"/>
              <w:bidi w:val="0"/>
              <w:jc w:val="start"/>
              <w:rPr/>
            </w:pPr>
            <w:r>
              <w:rPr/>
              <w:t>76</w:t>
            </w:r>
          </w:p>
        </w:tc>
        <w:tc>
          <w:tcPr>
            <w:tcW w:w="1607" w:type="dxa"/>
            <w:tcBorders>
              <w:start w:val="single" w:sz="4" w:space="0" w:color="000000"/>
              <w:bottom w:val="single" w:sz="4" w:space="0" w:color="000000"/>
              <w:end w:val="single" w:sz="4" w:space="0" w:color="000000"/>
            </w:tcBorders>
          </w:tcPr>
          <w:p>
            <w:pPr>
              <w:pStyle w:val="TableContents"/>
              <w:bidi w:val="0"/>
              <w:jc w:val="start"/>
              <w:rPr/>
            </w:pPr>
            <w:r>
              <w:rPr>
                <w:b/>
              </w:rPr>
              <w:t>81</w:t>
            </w:r>
            <w:r>
              <w:rPr/>
              <w:t xml:space="preserve"> (81,945 M)</w:t>
            </w:r>
          </w:p>
        </w:tc>
      </w:tr>
      <w:tr>
        <w:trPr/>
        <w:tc>
          <w:tcPr>
            <w:tcW w:w="1606" w:type="dxa"/>
            <w:tcBorders>
              <w:start w:val="single" w:sz="4" w:space="0" w:color="000000"/>
              <w:bottom w:val="single" w:sz="4" w:space="0" w:color="000000"/>
            </w:tcBorders>
          </w:tcPr>
          <w:p>
            <w:pPr>
              <w:pStyle w:val="TableContents"/>
              <w:bidi w:val="0"/>
              <w:jc w:val="start"/>
              <w:rPr/>
            </w:pPr>
            <w:r>
              <w:rPr/>
              <w:t>Free cash flow</w:t>
            </w:r>
          </w:p>
        </w:tc>
        <w:tc>
          <w:tcPr>
            <w:tcW w:w="1606" w:type="dxa"/>
            <w:tcBorders>
              <w:start w:val="single" w:sz="4" w:space="0" w:color="000000"/>
              <w:bottom w:val="single" w:sz="4" w:space="0" w:color="000000"/>
            </w:tcBorders>
          </w:tcPr>
          <w:p>
            <w:pPr>
              <w:pStyle w:val="TableContents"/>
              <w:bidi w:val="0"/>
              <w:jc w:val="start"/>
              <w:rPr/>
            </w:pPr>
            <w:r>
              <w:rPr/>
              <w:t>positive</w:t>
            </w:r>
          </w:p>
        </w:tc>
        <w:tc>
          <w:tcPr>
            <w:tcW w:w="1607" w:type="dxa"/>
            <w:tcBorders>
              <w:start w:val="single" w:sz="4" w:space="0" w:color="000000"/>
              <w:bottom w:val="single" w:sz="4" w:space="0" w:color="000000"/>
            </w:tcBorders>
          </w:tcPr>
          <w:p>
            <w:pPr>
              <w:pStyle w:val="TableContents"/>
              <w:bidi w:val="0"/>
              <w:jc w:val="start"/>
              <w:rPr/>
            </w:pPr>
            <w:r>
              <w:rPr/>
              <w:t>positive</w:t>
            </w:r>
          </w:p>
        </w:tc>
        <w:tc>
          <w:tcPr>
            <w:tcW w:w="1606" w:type="dxa"/>
            <w:tcBorders>
              <w:start w:val="single" w:sz="4" w:space="0" w:color="000000"/>
              <w:bottom w:val="single" w:sz="4" w:space="0" w:color="000000"/>
            </w:tcBorders>
          </w:tcPr>
          <w:p>
            <w:pPr>
              <w:pStyle w:val="TableContents"/>
              <w:bidi w:val="0"/>
              <w:jc w:val="start"/>
              <w:rPr/>
            </w:pPr>
            <w:r>
              <w:rPr/>
              <w:t>positive</w:t>
            </w:r>
          </w:p>
        </w:tc>
        <w:tc>
          <w:tcPr>
            <w:tcW w:w="1606" w:type="dxa"/>
            <w:tcBorders>
              <w:start w:val="single" w:sz="4" w:space="0" w:color="000000"/>
              <w:bottom w:val="single" w:sz="4" w:space="0" w:color="000000"/>
            </w:tcBorders>
          </w:tcPr>
          <w:p>
            <w:pPr>
              <w:pStyle w:val="TableContents"/>
              <w:bidi w:val="0"/>
              <w:jc w:val="start"/>
              <w:rPr/>
            </w:pPr>
            <w:r>
              <w:rPr/>
              <w:t>positive</w:t>
            </w:r>
          </w:p>
        </w:tc>
        <w:tc>
          <w:tcPr>
            <w:tcW w:w="1607" w:type="dxa"/>
            <w:tcBorders>
              <w:start w:val="single" w:sz="4" w:space="0" w:color="000000"/>
              <w:bottom w:val="single" w:sz="4" w:space="0" w:color="000000"/>
              <w:end w:val="single" w:sz="4" w:space="0" w:color="000000"/>
            </w:tcBorders>
          </w:tcPr>
          <w:p>
            <w:pPr>
              <w:pStyle w:val="TableContents"/>
              <w:bidi w:val="0"/>
              <w:jc w:val="start"/>
              <w:rPr/>
            </w:pPr>
            <w:r>
              <w:rPr/>
              <w:t>positive ✔</w:t>
            </w:r>
          </w:p>
        </w:tc>
      </w:tr>
    </w:tbl>
    <w:p>
      <w:pPr>
        <w:pStyle w:val="BodyText"/>
        <w:bidi w:val="0"/>
        <w:jc w:val="start"/>
        <w:rPr/>
      </w:pPr>
      <w:r>
        <w:rPr/>
      </w:r>
    </w:p>
    <w:p>
      <w:pPr>
        <w:pStyle w:val="BodyText"/>
        <w:bidi w:val="0"/>
        <w:jc w:val="start"/>
        <w:rPr/>
      </w:pPr>
      <w:r>
        <w:rPr/>
        <w:t>All three lines increase consistently. Free cash flow is "positive all the way."</w:t>
      </w:r>
    </w:p>
    <w:p>
      <w:pPr>
        <w:pStyle w:val="BodyText"/>
        <w:bidi w:val="0"/>
        <w:jc w:val="start"/>
        <w:rPr/>
      </w:pPr>
      <w:r>
        <w:rPr>
          <w:b/>
        </w:rPr>
        <w:t>GuruFocus long-history check.</w:t>
      </w:r>
      <w:r>
        <w:rPr/>
        <w:t xml:space="preserve"> Revenue grows nicely long-run; net income also grows long-run with one dip ~7 years back. Adam's method for a dip: </w:t>
      </w:r>
      <w:r>
        <w:rPr>
          <w:b/>
        </w:rPr>
        <w:t>go to the annual report and read the income statement to find the cause.</w:t>
      </w:r>
      <w:r>
        <w:rPr/>
        <w:t xml:space="preserve"> In this case the drop was due to </w:t>
      </w:r>
      <w:r>
        <w:rPr>
          <w:b/>
        </w:rPr>
        <w:t>changes in taxation</w:t>
      </w:r>
      <w:r>
        <w:rPr/>
        <w:t xml:space="preserve"> — "which is fine because it is not a core business expense that caused the drop, it is a non-core operating expense. So the actual business itself was still growing." Operating cash flow (grey) rises consistently; free cash flow (green) positive.</w:t>
      </w:r>
    </w:p>
    <w:p>
      <w:pPr>
        <w:pStyle w:val="BodyText"/>
        <w:bidi w:val="0"/>
        <w:jc w:val="start"/>
        <w:rPr/>
      </w:pPr>
      <w:r>
        <w:rPr>
          <w:b/>
        </w:rPr>
        <w:t>Margins (Morningstar → Operating Performance):</w:t>
      </w:r>
    </w:p>
    <w:tbl>
      <w:tblPr>
        <w:tblW w:w="5000" w:type="pct"/>
        <w:jc w:val="start"/>
        <w:tblInd w:w="-5" w:type="dxa"/>
        <w:tblLayout w:type="fixed"/>
        <w:tblCellMar>
          <w:top w:w="55" w:type="dxa"/>
          <w:start w:w="55" w:type="dxa"/>
          <w:bottom w:w="55" w:type="dxa"/>
          <w:end w:w="55" w:type="dxa"/>
        </w:tblCellMar>
      </w:tblPr>
      <w:tblGrid>
        <w:gridCol w:w="3212"/>
        <w:gridCol w:w="3213"/>
        <w:gridCol w:w="3213"/>
      </w:tblGrid>
      <w:tr>
        <w:trPr>
          <w:tblHeader w:val="true"/>
        </w:trPr>
        <w:tc>
          <w:tcPr>
            <w:tcW w:w="3212" w:type="dxa"/>
            <w:tcBorders>
              <w:top w:val="single" w:sz="4" w:space="0" w:color="000000"/>
              <w:start w:val="single" w:sz="4" w:space="0" w:color="000000"/>
              <w:bottom w:val="single" w:sz="4" w:space="0" w:color="000000"/>
            </w:tcBorders>
          </w:tcPr>
          <w:p>
            <w:pPr>
              <w:pStyle w:val="TableHeading"/>
              <w:bidi w:val="0"/>
              <w:jc w:val="start"/>
              <w:rPr/>
            </w:pPr>
            <w:r>
              <w:rPr/>
              <w:t>Margin</w:t>
            </w:r>
          </w:p>
        </w:tc>
        <w:tc>
          <w:tcPr>
            <w:tcW w:w="3213" w:type="dxa"/>
            <w:tcBorders>
              <w:top w:val="single" w:sz="4" w:space="0" w:color="000000"/>
              <w:start w:val="single" w:sz="4" w:space="0" w:color="000000"/>
              <w:bottom w:val="single" w:sz="4" w:space="0" w:color="000000"/>
            </w:tcBorders>
          </w:tcPr>
          <w:p>
            <w:pPr>
              <w:pStyle w:val="TableHeading"/>
              <w:bidi w:val="0"/>
              <w:jc w:val="start"/>
              <w:rPr/>
            </w:pPr>
            <w:r>
              <w:rPr/>
              <w:t>5-yr average</w:t>
            </w:r>
          </w:p>
        </w:tc>
        <w:tc>
          <w:tcPr>
            <w:tcW w:w="3213"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Recent years</w:t>
            </w:r>
          </w:p>
        </w:tc>
      </w:tr>
      <w:tr>
        <w:trPr/>
        <w:tc>
          <w:tcPr>
            <w:tcW w:w="3212" w:type="dxa"/>
            <w:tcBorders>
              <w:start w:val="single" w:sz="4" w:space="0" w:color="000000"/>
              <w:bottom w:val="single" w:sz="4" w:space="0" w:color="000000"/>
            </w:tcBorders>
          </w:tcPr>
          <w:p>
            <w:pPr>
              <w:pStyle w:val="TableContents"/>
              <w:bidi w:val="0"/>
              <w:jc w:val="start"/>
              <w:rPr/>
            </w:pPr>
            <w:r>
              <w:rPr/>
              <w:t>Gross profit margin</w:t>
            </w:r>
          </w:p>
        </w:tc>
        <w:tc>
          <w:tcPr>
            <w:tcW w:w="3213" w:type="dxa"/>
            <w:tcBorders>
              <w:start w:val="single" w:sz="4" w:space="0" w:color="000000"/>
              <w:bottom w:val="single" w:sz="4" w:space="0" w:color="000000"/>
            </w:tcBorders>
          </w:tcPr>
          <w:p>
            <w:pPr>
              <w:pStyle w:val="TableContents"/>
              <w:bidi w:val="0"/>
              <w:jc w:val="start"/>
              <w:rPr/>
            </w:pPr>
            <w:r>
              <w:rPr>
                <w:b/>
              </w:rPr>
              <w:t>65%</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65 → 67 → 68 → 68 (recent &gt; 5-yr avg ✔)</w:t>
            </w:r>
          </w:p>
        </w:tc>
      </w:tr>
      <w:tr>
        <w:trPr/>
        <w:tc>
          <w:tcPr>
            <w:tcW w:w="3212" w:type="dxa"/>
            <w:tcBorders>
              <w:start w:val="single" w:sz="4" w:space="0" w:color="000000"/>
              <w:bottom w:val="single" w:sz="4" w:space="0" w:color="000000"/>
            </w:tcBorders>
          </w:tcPr>
          <w:p>
            <w:pPr>
              <w:pStyle w:val="TableContents"/>
              <w:bidi w:val="0"/>
              <w:jc w:val="start"/>
              <w:rPr/>
            </w:pPr>
            <w:r>
              <w:rPr/>
              <w:t>Net profit margin</w:t>
            </w:r>
          </w:p>
        </w:tc>
        <w:tc>
          <w:tcPr>
            <w:tcW w:w="3213" w:type="dxa"/>
            <w:tcBorders>
              <w:start w:val="single" w:sz="4" w:space="0" w:color="000000"/>
              <w:bottom w:val="single" w:sz="4" w:space="0" w:color="000000"/>
            </w:tcBorders>
          </w:tcPr>
          <w:p>
            <w:pPr>
              <w:pStyle w:val="TableContents"/>
              <w:bidi w:val="0"/>
              <w:jc w:val="start"/>
              <w:rPr/>
            </w:pPr>
            <w:r>
              <w:rPr>
                <w:b/>
              </w:rPr>
              <w:t>26%</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30 → 36 → 38 (rising ✔)</w:t>
            </w:r>
          </w:p>
        </w:tc>
      </w:tr>
    </w:tbl>
    <w:p>
      <w:pPr>
        <w:pStyle w:val="BodyText"/>
        <w:bidi w:val="0"/>
        <w:jc w:val="start"/>
        <w:rPr/>
      </w:pPr>
      <w:r>
        <w:rPr/>
      </w:r>
    </w:p>
    <w:p>
      <w:pPr>
        <w:pStyle w:val="BodyText"/>
        <w:bidi w:val="0"/>
        <w:jc w:val="start"/>
        <w:rPr/>
      </w:pPr>
      <w:r>
        <w:rPr/>
        <w:t>Rule restated: "As long as it's consistent or rising, that's great. As long as it's not falling."</w:t>
      </w:r>
    </w:p>
    <w:p>
      <w:pPr>
        <w:pStyle w:val="BodyText"/>
        <w:bidi w:val="0"/>
        <w:jc w:val="start"/>
        <w:rPr/>
      </w:pPr>
      <w:r>
        <w:rPr/>
        <w:t xml:space="preserve">→ </w:t>
      </w:r>
      <w:r>
        <w:rPr>
          <w:b/>
        </w:rPr>
        <w:t>Step 1 PASSED.</w:t>
      </w:r>
    </w:p>
    <w:p>
      <w:pPr>
        <w:pStyle w:val="Heading3"/>
        <w:bidi w:val="0"/>
        <w:ind w:hanging="0" w:start="0"/>
        <w:jc w:val="start"/>
        <w:rPr/>
      </w:pPr>
      <w:r>
        <w:rPr/>
        <w:t>2.3 Step 2 — Growth projections</w:t>
      </w:r>
    </w:p>
    <w:tbl>
      <w:tblPr>
        <w:tblW w:w="5000" w:type="pct"/>
        <w:jc w:val="start"/>
        <w:tblInd w:w="-5" w:type="dxa"/>
        <w:tblLayout w:type="fixed"/>
        <w:tblCellMar>
          <w:top w:w="55" w:type="dxa"/>
          <w:start w:w="55" w:type="dxa"/>
          <w:bottom w:w="55" w:type="dxa"/>
          <w:end w:w="55" w:type="dxa"/>
        </w:tblCellMar>
      </w:tblPr>
      <w:tblGrid>
        <w:gridCol w:w="4819"/>
        <w:gridCol w:w="4819"/>
      </w:tblGrid>
      <w:tr>
        <w:trPr>
          <w:tblHeader w:val="true"/>
        </w:trPr>
        <w:tc>
          <w:tcPr>
            <w:tcW w:w="4819" w:type="dxa"/>
            <w:tcBorders>
              <w:top w:val="single" w:sz="4" w:space="0" w:color="000000"/>
              <w:start w:val="single" w:sz="4" w:space="0" w:color="000000"/>
              <w:bottom w:val="single" w:sz="4" w:space="0" w:color="000000"/>
            </w:tcBorders>
          </w:tcPr>
          <w:p>
            <w:pPr>
              <w:pStyle w:val="TableHeading"/>
              <w:bidi w:val="0"/>
              <w:jc w:val="start"/>
              <w:rPr/>
            </w:pPr>
            <w:r>
              <w:rPr/>
              <w:t>Source</w:t>
            </w:r>
          </w:p>
        </w:tc>
        <w:tc>
          <w:tcPr>
            <w:tcW w:w="4819"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Projection</w:t>
            </w:r>
          </w:p>
        </w:tc>
      </w:tr>
      <w:tr>
        <w:trPr/>
        <w:tc>
          <w:tcPr>
            <w:tcW w:w="4819" w:type="dxa"/>
            <w:tcBorders>
              <w:start w:val="single" w:sz="4" w:space="0" w:color="000000"/>
              <w:bottom w:val="single" w:sz="4" w:space="0" w:color="000000"/>
            </w:tcBorders>
          </w:tcPr>
          <w:p>
            <w:pPr>
              <w:pStyle w:val="TableContents"/>
              <w:bidi w:val="0"/>
              <w:jc w:val="start"/>
              <w:rPr/>
            </w:pPr>
            <w:r>
              <w:rPr/>
              <w:t>FinViz — past 5 years actual</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b/>
              </w:rPr>
              <w:t>25.7% p.a.</w:t>
            </w:r>
          </w:p>
        </w:tc>
      </w:tr>
      <w:tr>
        <w:trPr/>
        <w:tc>
          <w:tcPr>
            <w:tcW w:w="4819" w:type="dxa"/>
            <w:tcBorders>
              <w:start w:val="single" w:sz="4" w:space="0" w:color="000000"/>
              <w:bottom w:val="single" w:sz="4" w:space="0" w:color="000000"/>
            </w:tcBorders>
          </w:tcPr>
          <w:p>
            <w:pPr>
              <w:pStyle w:val="TableContents"/>
              <w:bidi w:val="0"/>
              <w:jc w:val="start"/>
              <w:rPr/>
            </w:pPr>
            <w:r>
              <w:rPr/>
              <w:t>FinViz — next 5 years</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b/>
              </w:rPr>
              <w:t>16.53%</w:t>
            </w:r>
          </w:p>
        </w:tc>
      </w:tr>
      <w:tr>
        <w:trPr/>
        <w:tc>
          <w:tcPr>
            <w:tcW w:w="4819" w:type="dxa"/>
            <w:tcBorders>
              <w:start w:val="single" w:sz="4" w:space="0" w:color="000000"/>
              <w:bottom w:val="single" w:sz="4" w:space="0" w:color="000000"/>
            </w:tcBorders>
          </w:tcPr>
          <w:p>
            <w:pPr>
              <w:pStyle w:val="TableContents"/>
              <w:bidi w:val="0"/>
              <w:jc w:val="start"/>
              <w:rPr/>
            </w:pPr>
            <w:r>
              <w:rPr/>
              <w:t>Zacks — next 3–5 years</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b/>
              </w:rPr>
              <w:t>12.04%</w:t>
            </w:r>
          </w:p>
        </w:tc>
      </w:tr>
      <w:tr>
        <w:trPr/>
        <w:tc>
          <w:tcPr>
            <w:tcW w:w="4819" w:type="dxa"/>
            <w:tcBorders>
              <w:start w:val="single" w:sz="4" w:space="0" w:color="000000"/>
              <w:bottom w:val="single" w:sz="4" w:space="0" w:color="000000"/>
            </w:tcBorders>
          </w:tcPr>
          <w:p>
            <w:pPr>
              <w:pStyle w:val="TableContents"/>
              <w:bidi w:val="0"/>
              <w:jc w:val="start"/>
              <w:rPr/>
            </w:pPr>
            <w:r>
              <w:rPr/>
              <w:t>Simply Wall St</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b/>
              </w:rPr>
              <w:t>10.8%</w:t>
            </w:r>
          </w:p>
        </w:tc>
      </w:tr>
      <w:tr>
        <w:trPr/>
        <w:tc>
          <w:tcPr>
            <w:tcW w:w="4819" w:type="dxa"/>
            <w:tcBorders>
              <w:start w:val="single" w:sz="4" w:space="0" w:color="000000"/>
              <w:bottom w:val="single" w:sz="4" w:space="0" w:color="000000"/>
            </w:tcBorders>
          </w:tcPr>
          <w:p>
            <w:pPr>
              <w:pStyle w:val="TableContents"/>
              <w:bidi w:val="0"/>
              <w:jc w:val="start"/>
              <w:rPr/>
            </w:pPr>
            <w:r>
              <w:rPr>
                <w:b/>
              </w:rPr>
              <w:t>Average of the three forward figures</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b/>
              </w:rPr>
              <w:t>13.12%</w:t>
            </w:r>
            <w:r>
              <w:rPr/>
              <w:t xml:space="preserve"> ("13%")</w:t>
            </w:r>
          </w:p>
        </w:tc>
      </w:tr>
    </w:tbl>
    <w:p>
      <w:pPr>
        <w:pStyle w:val="BodyText"/>
        <w:bidi w:val="0"/>
        <w:jc w:val="start"/>
        <w:rPr/>
      </w:pPr>
      <w:r>
        <w:rPr/>
      </w:r>
    </w:p>
    <w:p>
      <w:pPr>
        <w:pStyle w:val="BodyText"/>
        <w:bidi w:val="0"/>
        <w:jc w:val="start"/>
        <w:rPr/>
      </w:pPr>
      <w:r>
        <w:rPr/>
        <w:t>Adam notes FinViz also confirms the sector (Technology) and industry (Software).</w:t>
      </w:r>
    </w:p>
    <w:p>
      <w:pPr>
        <w:pStyle w:val="BodyText"/>
        <w:bidi w:val="0"/>
        <w:jc w:val="start"/>
        <w:rPr/>
      </w:pPr>
      <w:r>
        <w:rPr>
          <w:b/>
        </w:rPr>
        <w:t>Outlier rule:</w:t>
      </w:r>
      <w:r>
        <w:rPr/>
        <w:t xml:space="preserve"> "Sometimes if one website gives a very different figure — for example 16% and 14% and 3%, and 3% is like way out there — then I would ignore it. So either it's ridiculously low or ridiculously high, I'll ignore that. It's an outlier. I'll take the average of the different websites [that] have more or less the same growth projections."</w:t>
      </w:r>
    </w:p>
    <w:p>
      <w:pPr>
        <w:pStyle w:val="BodyText"/>
        <w:bidi w:val="0"/>
        <w:jc w:val="start"/>
        <w:rPr/>
      </w:pPr>
      <w:r>
        <w:rPr/>
        <w:t xml:space="preserve">Pass criterion is simply that growth is </w:t>
      </w:r>
      <w:r>
        <w:rPr>
          <w:b/>
        </w:rPr>
        <w:t>positive</w:t>
      </w:r>
      <w:r>
        <w:rPr/>
        <w:t>. Optimistic → take the highest; pessimistic → take the lowest; unsure → average.</w:t>
      </w:r>
    </w:p>
    <w:p>
      <w:pPr>
        <w:pStyle w:val="BodyText"/>
        <w:bidi w:val="0"/>
        <w:jc w:val="start"/>
        <w:rPr/>
      </w:pPr>
      <w:r>
        <w:rPr/>
        <w:t xml:space="preserve">→ </w:t>
      </w:r>
      <w:r>
        <w:rPr>
          <w:b/>
        </w:rPr>
        <w:t>Step 2 PASSED.</w:t>
      </w:r>
    </w:p>
    <w:p>
      <w:pPr>
        <w:pStyle w:val="Heading3"/>
        <w:bidi w:val="0"/>
        <w:ind w:hanging="0" w:start="0"/>
        <w:jc w:val="start"/>
        <w:rPr/>
      </w:pPr>
      <w:r>
        <w:rPr/>
        <w:t>2.4 Step 3 — Economic moat (qualitative only)</w:t>
      </w:r>
    </w:p>
    <w:p>
      <w:pPr>
        <w:pStyle w:val="BodyText"/>
        <w:bidi w:val="0"/>
        <w:jc w:val="start"/>
        <w:rPr/>
      </w:pPr>
      <w:r>
        <w:rPr/>
        <w:t>"Step three is more qualitative. In other words, there's no number to look at." The problem with owning stocks whose products you don't use: "it's really hard to understand the company's competitive advantage."</w:t>
      </w:r>
    </w:p>
    <w:p>
      <w:pPr>
        <w:pStyle w:val="BodyText"/>
        <w:bidi w:val="0"/>
        <w:jc w:val="start"/>
        <w:rPr/>
      </w:pPr>
      <w:r>
        <w:rPr/>
        <w:t>Checklist of moat sources run against Microsoft:</w:t>
      </w:r>
    </w:p>
    <w:tbl>
      <w:tblPr>
        <w:tblW w:w="5000" w:type="pct"/>
        <w:jc w:val="start"/>
        <w:tblInd w:w="-5" w:type="dxa"/>
        <w:tblLayout w:type="fixed"/>
        <w:tblCellMar>
          <w:top w:w="55" w:type="dxa"/>
          <w:start w:w="55" w:type="dxa"/>
          <w:bottom w:w="55" w:type="dxa"/>
          <w:end w:w="55" w:type="dxa"/>
        </w:tblCellMar>
      </w:tblPr>
      <w:tblGrid>
        <w:gridCol w:w="3212"/>
        <w:gridCol w:w="3213"/>
        <w:gridCol w:w="3213"/>
      </w:tblGrid>
      <w:tr>
        <w:trPr>
          <w:tblHeader w:val="true"/>
        </w:trPr>
        <w:tc>
          <w:tcPr>
            <w:tcW w:w="3212" w:type="dxa"/>
            <w:tcBorders>
              <w:top w:val="single" w:sz="4" w:space="0" w:color="000000"/>
              <w:start w:val="single" w:sz="4" w:space="0" w:color="000000"/>
              <w:bottom w:val="single" w:sz="4" w:space="0" w:color="000000"/>
            </w:tcBorders>
          </w:tcPr>
          <w:p>
            <w:pPr>
              <w:pStyle w:val="TableHeading"/>
              <w:bidi w:val="0"/>
              <w:jc w:val="start"/>
              <w:rPr/>
            </w:pPr>
            <w:r>
              <w:rPr/>
              <w:t>Moat source</w:t>
            </w:r>
          </w:p>
        </w:tc>
        <w:tc>
          <w:tcPr>
            <w:tcW w:w="3213" w:type="dxa"/>
            <w:tcBorders>
              <w:top w:val="single" w:sz="4" w:space="0" w:color="000000"/>
              <w:start w:val="single" w:sz="4" w:space="0" w:color="000000"/>
              <w:bottom w:val="single" w:sz="4" w:space="0" w:color="000000"/>
            </w:tcBorders>
          </w:tcPr>
          <w:p>
            <w:pPr>
              <w:pStyle w:val="TableHeading"/>
              <w:bidi w:val="0"/>
              <w:jc w:val="start"/>
              <w:rPr/>
            </w:pPr>
            <w:r>
              <w:rPr/>
              <w:t>Microsoft?</w:t>
            </w:r>
          </w:p>
        </w:tc>
        <w:tc>
          <w:tcPr>
            <w:tcW w:w="3213"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Evidence</w:t>
            </w:r>
          </w:p>
        </w:tc>
      </w:tr>
      <w:tr>
        <w:trPr/>
        <w:tc>
          <w:tcPr>
            <w:tcW w:w="3212" w:type="dxa"/>
            <w:tcBorders>
              <w:start w:val="single" w:sz="4" w:space="0" w:color="000000"/>
              <w:bottom w:val="single" w:sz="4" w:space="0" w:color="000000"/>
            </w:tcBorders>
          </w:tcPr>
          <w:p>
            <w:pPr>
              <w:pStyle w:val="TableContents"/>
              <w:bidi w:val="0"/>
              <w:jc w:val="start"/>
              <w:rPr/>
            </w:pPr>
            <w:r>
              <w:rPr>
                <w:b/>
              </w:rPr>
              <w:t>Brand monopoly</w:t>
            </w:r>
          </w:p>
        </w:tc>
        <w:tc>
          <w:tcPr>
            <w:tcW w:w="3213" w:type="dxa"/>
            <w:tcBorders>
              <w:start w:val="single" w:sz="4" w:space="0" w:color="000000"/>
              <w:bottom w:val="single" w:sz="4" w:space="0" w:color="000000"/>
            </w:tcBorders>
          </w:tcPr>
          <w:p>
            <w:pPr>
              <w:pStyle w:val="TableContents"/>
              <w:bidi w:val="0"/>
              <w:jc w:val="start"/>
              <w:rPr/>
            </w:pPr>
            <w:r>
              <w:rPr/>
              <w:t xml:space="preserve">✔ </w:t>
            </w:r>
            <w:r>
              <w:rPr/>
              <w:t>Yes</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Top-of-mind recall: word processing → Word; spreadsheets → Excel; presentations → PowerPoint; operating system → Windows</w:t>
            </w:r>
          </w:p>
        </w:tc>
      </w:tr>
      <w:tr>
        <w:trPr/>
        <w:tc>
          <w:tcPr>
            <w:tcW w:w="3212" w:type="dxa"/>
            <w:tcBorders>
              <w:start w:val="single" w:sz="4" w:space="0" w:color="000000"/>
              <w:bottom w:val="single" w:sz="4" w:space="0" w:color="000000"/>
            </w:tcBorders>
          </w:tcPr>
          <w:p>
            <w:pPr>
              <w:pStyle w:val="TableContents"/>
              <w:bidi w:val="0"/>
              <w:jc w:val="start"/>
              <w:rPr/>
            </w:pPr>
            <w:r>
              <w:rPr>
                <w:b/>
              </w:rPr>
              <w:t>High switching costs</w:t>
            </w:r>
          </w:p>
        </w:tc>
        <w:tc>
          <w:tcPr>
            <w:tcW w:w="3213" w:type="dxa"/>
            <w:tcBorders>
              <w:start w:val="single" w:sz="4" w:space="0" w:color="000000"/>
              <w:bottom w:val="single" w:sz="4" w:space="0" w:color="000000"/>
            </w:tcBorders>
          </w:tcPr>
          <w:p>
            <w:pPr>
              <w:pStyle w:val="TableContents"/>
              <w:bidi w:val="0"/>
              <w:jc w:val="start"/>
              <w:rPr/>
            </w:pPr>
            <w:r>
              <w:rPr/>
              <w:t xml:space="preserve">✔ </w:t>
            </w:r>
            <w:r>
              <w:rPr/>
              <w:t>Yes</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i/>
              </w:rPr>
              <w:t>Individuals</w:t>
            </w:r>
            <w:r>
              <w:rPr/>
              <w:t xml:space="preserve">: "I'm so used to using PowerPoint, Excel, and Microsoft Word… I've learned it all my life since I was a kid." </w:t>
            </w:r>
            <w:r>
              <w:rPr>
                <w:i/>
              </w:rPr>
              <w:t>Companies</w:t>
            </w:r>
            <w:r>
              <w:rPr/>
              <w:t>: switching off Azure to another cloud is "costly and expensive and frustrating… once you're locked in"</w:t>
            </w:r>
          </w:p>
        </w:tc>
      </w:tr>
      <w:tr>
        <w:trPr/>
        <w:tc>
          <w:tcPr>
            <w:tcW w:w="3212" w:type="dxa"/>
            <w:tcBorders>
              <w:start w:val="single" w:sz="4" w:space="0" w:color="000000"/>
              <w:bottom w:val="single" w:sz="4" w:space="0" w:color="000000"/>
            </w:tcBorders>
          </w:tcPr>
          <w:p>
            <w:pPr>
              <w:pStyle w:val="TableContents"/>
              <w:bidi w:val="0"/>
              <w:jc w:val="start"/>
              <w:rPr/>
            </w:pPr>
            <w:r>
              <w:rPr>
                <w:b/>
              </w:rPr>
              <w:t>Network effect</w:t>
            </w:r>
          </w:p>
        </w:tc>
        <w:tc>
          <w:tcPr>
            <w:tcW w:w="3213" w:type="dxa"/>
            <w:tcBorders>
              <w:start w:val="single" w:sz="4" w:space="0" w:color="000000"/>
              <w:bottom w:val="single" w:sz="4" w:space="0" w:color="000000"/>
            </w:tcBorders>
          </w:tcPr>
          <w:p>
            <w:pPr>
              <w:pStyle w:val="TableContents"/>
              <w:bidi w:val="0"/>
              <w:jc w:val="start"/>
              <w:rPr/>
            </w:pPr>
            <w:r>
              <w:rPr/>
              <w:t xml:space="preserve">✔ </w:t>
            </w:r>
            <w:r>
              <w:rPr/>
              <w:t>Yes</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 xml:space="preserve">Adam works in Keynote on a Mac but "still have to convert to PowerPoint to share with my colleagues… because everyone is using it, you gotta use it." Also </w:t>
            </w:r>
            <w:r>
              <w:rPr>
                <w:b/>
              </w:rPr>
              <w:t>LinkedIn</w:t>
            </w:r>
          </w:p>
        </w:tc>
      </w:tr>
      <w:tr>
        <w:trPr/>
        <w:tc>
          <w:tcPr>
            <w:tcW w:w="3212" w:type="dxa"/>
            <w:tcBorders>
              <w:start w:val="single" w:sz="4" w:space="0" w:color="000000"/>
              <w:bottom w:val="single" w:sz="4" w:space="0" w:color="000000"/>
            </w:tcBorders>
          </w:tcPr>
          <w:p>
            <w:pPr>
              <w:pStyle w:val="TableContents"/>
              <w:bidi w:val="0"/>
              <w:jc w:val="start"/>
              <w:rPr/>
            </w:pPr>
            <w:r>
              <w:rPr/>
              <w:t>Barriers to entry</w:t>
            </w:r>
          </w:p>
        </w:tc>
        <w:tc>
          <w:tcPr>
            <w:tcW w:w="3213" w:type="dxa"/>
            <w:tcBorders>
              <w:start w:val="single" w:sz="4" w:space="0" w:color="000000"/>
              <w:bottom w:val="single" w:sz="4" w:space="0" w:color="000000"/>
            </w:tcBorders>
          </w:tcPr>
          <w:p>
            <w:pPr>
              <w:pStyle w:val="TableContents"/>
              <w:bidi w:val="0"/>
              <w:jc w:val="start"/>
              <w:rPr/>
            </w:pPr>
            <w:r>
              <w:rPr/>
              <w:t>(listed as a source; not separately scored)</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w:t>
            </w:r>
          </w:p>
        </w:tc>
      </w:tr>
      <w:tr>
        <w:trPr/>
        <w:tc>
          <w:tcPr>
            <w:tcW w:w="3212" w:type="dxa"/>
            <w:tcBorders>
              <w:start w:val="single" w:sz="4" w:space="0" w:color="000000"/>
              <w:bottom w:val="single" w:sz="4" w:space="0" w:color="000000"/>
            </w:tcBorders>
          </w:tcPr>
          <w:p>
            <w:pPr>
              <w:pStyle w:val="TableContents"/>
              <w:bidi w:val="0"/>
              <w:jc w:val="start"/>
              <w:rPr/>
            </w:pPr>
            <w:r>
              <w:rPr/>
              <w:t>Economies of scale</w:t>
            </w:r>
          </w:p>
        </w:tc>
        <w:tc>
          <w:tcPr>
            <w:tcW w:w="3213" w:type="dxa"/>
            <w:tcBorders>
              <w:start w:val="single" w:sz="4" w:space="0" w:color="000000"/>
              <w:bottom w:val="single" w:sz="4" w:space="0" w:color="000000"/>
            </w:tcBorders>
          </w:tcPr>
          <w:p>
            <w:pPr>
              <w:pStyle w:val="TableContents"/>
              <w:bidi w:val="0"/>
              <w:jc w:val="start"/>
              <w:rPr/>
            </w:pPr>
            <w:r>
              <w:rPr/>
              <w:t>(listed as a source; not separately scored)</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w:t>
            </w:r>
          </w:p>
        </w:tc>
      </w:tr>
    </w:tbl>
    <w:p>
      <w:pPr>
        <w:pStyle w:val="BodyText"/>
        <w:bidi w:val="0"/>
        <w:jc w:val="start"/>
        <w:rPr/>
      </w:pPr>
      <w:r>
        <w:rPr/>
      </w:r>
    </w:p>
    <w:p>
      <w:pPr>
        <w:pStyle w:val="BodyText"/>
        <w:bidi w:val="0"/>
        <w:jc w:val="start"/>
        <w:rPr/>
      </w:pPr>
      <w:r>
        <w:rPr/>
        <w:t>Verdict: "Microsoft definitely has three of the economic moat sources… it definitely has a sustainable competitive advantage."</w:t>
      </w:r>
    </w:p>
    <w:p>
      <w:pPr>
        <w:pStyle w:val="BodyText"/>
        <w:bidi w:val="0"/>
        <w:jc w:val="start"/>
        <w:rPr/>
      </w:pPr>
      <w:r>
        <w:rPr>
          <w:b/>
        </w:rPr>
        <w:t>The chart-as-moat-proxy shortcut:</w:t>
      </w:r>
      <w:r>
        <w:rPr/>
        <w:t xml:space="preserve"> "Usually a company with a wide economic moat has a long-term uptrend in the stock price… if you see that the price goes up like that in 10 years, it usually has a wide economic moat because </w:t>
      </w:r>
      <w:r>
        <w:rPr>
          <w:b/>
        </w:rPr>
        <w:t>only companies that have got no close competition are able to perform so well</w:t>
      </w:r>
      <w:r>
        <w:rPr/>
        <w:t>. So that's a clue." Microsoft's 10-year monthly chart is a clear uptrend.</w:t>
      </w:r>
    </w:p>
    <w:p>
      <w:pPr>
        <w:pStyle w:val="BodyText"/>
        <w:bidi w:val="0"/>
        <w:jc w:val="start"/>
        <w:rPr/>
      </w:pPr>
      <w:r>
        <w:rPr>
          <w:b/>
        </w:rPr>
        <w:t>Competitor mapping</w:t>
      </w:r>
      <w:r>
        <w:rPr/>
        <w:t xml:space="preserve"> (search "Microsoft's competitors" online — and note that published lists can be stale; the article Adam opens omits Amazon and still lists IBM):</w:t>
      </w:r>
    </w:p>
    <w:tbl>
      <w:tblPr>
        <w:tblW w:w="5000" w:type="pct"/>
        <w:jc w:val="start"/>
        <w:tblInd w:w="-5" w:type="dxa"/>
        <w:tblLayout w:type="fixed"/>
        <w:tblCellMar>
          <w:top w:w="55" w:type="dxa"/>
          <w:start w:w="55" w:type="dxa"/>
          <w:bottom w:w="55" w:type="dxa"/>
          <w:end w:w="55" w:type="dxa"/>
        </w:tblCellMar>
      </w:tblPr>
      <w:tblGrid>
        <w:gridCol w:w="4819"/>
        <w:gridCol w:w="4819"/>
      </w:tblGrid>
      <w:tr>
        <w:trPr>
          <w:tblHeader w:val="true"/>
        </w:trPr>
        <w:tc>
          <w:tcPr>
            <w:tcW w:w="4819" w:type="dxa"/>
            <w:tcBorders>
              <w:top w:val="single" w:sz="4" w:space="0" w:color="000000"/>
              <w:start w:val="single" w:sz="4" w:space="0" w:color="000000"/>
              <w:bottom w:val="single" w:sz="4" w:space="0" w:color="000000"/>
            </w:tcBorders>
          </w:tcPr>
          <w:p>
            <w:pPr>
              <w:pStyle w:val="TableHeading"/>
              <w:bidi w:val="0"/>
              <w:jc w:val="start"/>
              <w:rPr/>
            </w:pPr>
            <w:r>
              <w:rPr/>
              <w:t>Segment</w:t>
            </w:r>
          </w:p>
        </w:tc>
        <w:tc>
          <w:tcPr>
            <w:tcW w:w="4819"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Competitors</w:t>
            </w:r>
          </w:p>
        </w:tc>
      </w:tr>
      <w:tr>
        <w:trPr/>
        <w:tc>
          <w:tcPr>
            <w:tcW w:w="4819" w:type="dxa"/>
            <w:tcBorders>
              <w:start w:val="single" w:sz="4" w:space="0" w:color="000000"/>
              <w:bottom w:val="single" w:sz="4" w:space="0" w:color="000000"/>
            </w:tcBorders>
          </w:tcPr>
          <w:p>
            <w:pPr>
              <w:pStyle w:val="TableContents"/>
              <w:bidi w:val="0"/>
              <w:jc w:val="start"/>
              <w:rPr/>
            </w:pPr>
            <w:r>
              <w:rPr/>
              <w:t>Cloud</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Amazon (AWS), Alphabet (Google Cloud)</w:t>
            </w:r>
          </w:p>
        </w:tc>
      </w:tr>
      <w:tr>
        <w:trPr/>
        <w:tc>
          <w:tcPr>
            <w:tcW w:w="4819" w:type="dxa"/>
            <w:tcBorders>
              <w:start w:val="single" w:sz="4" w:space="0" w:color="000000"/>
              <w:bottom w:val="single" w:sz="4" w:space="0" w:color="000000"/>
            </w:tcBorders>
          </w:tcPr>
          <w:p>
            <w:pPr>
              <w:pStyle w:val="TableContents"/>
              <w:bidi w:val="0"/>
              <w:jc w:val="start"/>
              <w:rPr/>
            </w:pPr>
            <w:r>
              <w:rPr/>
              <w:t>Enterprise IT solutions</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Oracle, SAP</w:t>
            </w:r>
          </w:p>
        </w:tc>
      </w:tr>
      <w:tr>
        <w:trPr/>
        <w:tc>
          <w:tcPr>
            <w:tcW w:w="4819" w:type="dxa"/>
            <w:tcBorders>
              <w:start w:val="single" w:sz="4" w:space="0" w:color="000000"/>
              <w:bottom w:val="single" w:sz="4" w:space="0" w:color="000000"/>
            </w:tcBorders>
          </w:tcPr>
          <w:p>
            <w:pPr>
              <w:pStyle w:val="TableContents"/>
              <w:bidi w:val="0"/>
              <w:jc w:val="start"/>
              <w:rPr/>
            </w:pPr>
            <w:r>
              <w:rPr/>
              <w:t>Personal / application software, desktop OS</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 xml:space="preserve">Apple — but </w:t>
            </w:r>
            <w:r>
              <w:rPr>
                <w:b/>
              </w:rPr>
              <w:t>Apple has 14% desktop OS share vs Windows 86%</w:t>
            </w:r>
          </w:p>
        </w:tc>
      </w:tr>
    </w:tbl>
    <w:p>
      <w:pPr>
        <w:pStyle w:val="BodyText"/>
        <w:bidi w:val="0"/>
        <w:jc w:val="start"/>
        <w:rPr/>
      </w:pPr>
      <w:r>
        <w:rPr/>
      </w:r>
    </w:p>
    <w:p>
      <w:pPr>
        <w:pStyle w:val="BodyText"/>
        <w:bidi w:val="0"/>
        <w:jc w:val="start"/>
        <w:rPr/>
      </w:pPr>
      <w:r>
        <w:rPr>
          <w:b/>
        </w:rPr>
        <w:t>Relative-strength test on TradingView</w:t>
      </w:r>
      <w:r>
        <w:rPr/>
        <w:t xml:space="preserve"> (5-year comparison overlay):</w:t>
      </w:r>
    </w:p>
    <w:p>
      <w:pPr>
        <w:pStyle w:val="BodyText"/>
        <w:numPr>
          <w:ilvl w:val="0"/>
          <w:numId w:val="442"/>
        </w:numPr>
        <w:tabs>
          <w:tab w:val="clear" w:pos="709"/>
          <w:tab w:val="left" w:pos="709" w:leader="none"/>
        </w:tabs>
        <w:bidi w:val="0"/>
        <w:ind w:hanging="283" w:start="709"/>
        <w:jc w:val="start"/>
        <w:rPr/>
      </w:pPr>
      <w:r>
        <w:rPr/>
        <w:t xml:space="preserve">vs </w:t>
      </w:r>
      <w:r>
        <w:rPr>
          <w:b/>
        </w:rPr>
        <w:t>Oracle and SAP</w:t>
      </w:r>
      <w:r>
        <w:rPr/>
        <w:t xml:space="preserve"> — "Microsoft of course performs a lot better." Principle: "obviously you want to invest in the strongest performer."</w:t>
      </w:r>
    </w:p>
    <w:p>
      <w:pPr>
        <w:pStyle w:val="BodyText"/>
        <w:numPr>
          <w:ilvl w:val="0"/>
          <w:numId w:val="442"/>
        </w:numPr>
        <w:tabs>
          <w:tab w:val="clear" w:pos="709"/>
          <w:tab w:val="left" w:pos="709" w:leader="none"/>
        </w:tabs>
        <w:bidi w:val="0"/>
        <w:ind w:hanging="283" w:start="709"/>
        <w:jc w:val="start"/>
        <w:rPr/>
      </w:pPr>
      <w:r>
        <w:rPr/>
        <w:t xml:space="preserve">vs </w:t>
      </w:r>
      <w:r>
        <w:rPr>
          <w:b/>
        </w:rPr>
        <w:t>Amazon and Alphabet</w:t>
      </w:r>
      <w:r>
        <w:rPr/>
        <w:t xml:space="preserve"> — not a clean comparison (Amazon also does e-commerce; Alphabet also does search advertising and YouTube), "they compete in only one part of the business, but not in all parts." Even so, </w:t>
      </w:r>
      <w:r>
        <w:rPr>
          <w:b/>
        </w:rPr>
        <w:t>Microsoft outperformed both over the last 5 years.</w:t>
      </w:r>
      <w:r>
        <w:rPr/>
        <w:t xml:space="preserve"> Adam adds: "I own all three companies anyway. So I don't care which one wins, because I own all three."</w:t>
      </w:r>
    </w:p>
    <w:p>
      <w:pPr>
        <w:pStyle w:val="BodyText"/>
        <w:numPr>
          <w:ilvl w:val="0"/>
          <w:numId w:val="442"/>
        </w:numPr>
        <w:tabs>
          <w:tab w:val="clear" w:pos="709"/>
          <w:tab w:val="left" w:pos="709" w:leader="none"/>
        </w:tabs>
        <w:bidi w:val="0"/>
        <w:ind w:hanging="283" w:start="709"/>
        <w:jc w:val="start"/>
        <w:rPr/>
      </w:pPr>
      <w:r>
        <w:rPr/>
        <w:t xml:space="preserve">vs </w:t>
      </w:r>
      <w:r>
        <w:rPr>
          <w:b/>
        </w:rPr>
        <w:t>Apple</w:t>
      </w:r>
      <w:r>
        <w:rPr/>
        <w:t xml:space="preserve"> — "pretty much neck to neck, very, very close, with Apple slightly above Microsoft." Not a direct competitor across most segments since "Microsoft doesn't really make much hardware."</w:t>
      </w:r>
    </w:p>
    <w:p>
      <w:pPr>
        <w:pStyle w:val="BodyText"/>
        <w:bidi w:val="0"/>
        <w:jc w:val="start"/>
        <w:rPr/>
      </w:pPr>
      <w:r>
        <w:rPr/>
        <w:t xml:space="preserve">→ </w:t>
      </w:r>
      <w:r>
        <w:rPr>
          <w:b/>
        </w:rPr>
        <w:t>Step 3 PASSED.</w:t>
      </w:r>
    </w:p>
    <w:p>
      <w:pPr>
        <w:pStyle w:val="Heading3"/>
        <w:bidi w:val="0"/>
        <w:ind w:hanging="0" w:start="0"/>
        <w:jc w:val="start"/>
        <w:rPr/>
      </w:pPr>
      <w:r>
        <w:rPr/>
        <w:t>2.5 Step 4 — Profitability and operational efficiency</w:t>
      </w:r>
    </w:p>
    <w:p>
      <w:pPr>
        <w:pStyle w:val="BodyText"/>
        <w:bidi w:val="0"/>
        <w:jc w:val="start"/>
        <w:rPr/>
      </w:pPr>
      <w:r>
        <w:rPr/>
        <w:t xml:space="preserve">Four metrics: ROE, ROIC, revenue vs accounts receivable, cash conversion cycle. ROE/ROIC source: </w:t>
      </w:r>
      <w:r>
        <w:rPr>
          <w:b/>
        </w:rPr>
        <w:t>Morningstar → Operating Performance</w:t>
      </w:r>
      <w:r>
        <w:rPr/>
        <w:t xml:space="preserve">. Threshold: </w:t>
      </w:r>
      <w:r>
        <w:rPr>
          <w:b/>
        </w:rPr>
        <w:t>above 12%</w:t>
      </w:r>
      <w:r>
        <w:rPr/>
        <w:t>.</w:t>
      </w:r>
    </w:p>
    <w:tbl>
      <w:tblPr>
        <w:tblW w:w="5000" w:type="pct"/>
        <w:jc w:val="start"/>
        <w:tblInd w:w="-5" w:type="dxa"/>
        <w:tblLayout w:type="fixed"/>
        <w:tblCellMar>
          <w:top w:w="55" w:type="dxa"/>
          <w:start w:w="55" w:type="dxa"/>
          <w:bottom w:w="55" w:type="dxa"/>
          <w:end w:w="55" w:type="dxa"/>
        </w:tblCellMar>
      </w:tblPr>
      <w:tblGrid>
        <w:gridCol w:w="3212"/>
        <w:gridCol w:w="3213"/>
        <w:gridCol w:w="3213"/>
      </w:tblGrid>
      <w:tr>
        <w:trPr>
          <w:tblHeader w:val="true"/>
        </w:trPr>
        <w:tc>
          <w:tcPr>
            <w:tcW w:w="3212" w:type="dxa"/>
            <w:tcBorders>
              <w:top w:val="single" w:sz="4" w:space="0" w:color="000000"/>
              <w:start w:val="single" w:sz="4" w:space="0" w:color="000000"/>
              <w:bottom w:val="single" w:sz="4" w:space="0" w:color="000000"/>
            </w:tcBorders>
          </w:tcPr>
          <w:p>
            <w:pPr>
              <w:pStyle w:val="TableHeading"/>
              <w:bidi w:val="0"/>
              <w:jc w:val="start"/>
              <w:rPr/>
            </w:pPr>
            <w:r>
              <w:rPr/>
              <w:t>Metric</w:t>
            </w:r>
          </w:p>
        </w:tc>
        <w:tc>
          <w:tcPr>
            <w:tcW w:w="3213" w:type="dxa"/>
            <w:tcBorders>
              <w:top w:val="single" w:sz="4" w:space="0" w:color="000000"/>
              <w:start w:val="single" w:sz="4" w:space="0" w:color="000000"/>
              <w:bottom w:val="single" w:sz="4" w:space="0" w:color="000000"/>
            </w:tcBorders>
          </w:tcPr>
          <w:p>
            <w:pPr>
              <w:pStyle w:val="TableHeading"/>
              <w:bidi w:val="0"/>
              <w:jc w:val="start"/>
              <w:rPr/>
            </w:pPr>
            <w:r>
              <w:rPr/>
              <w:t>Last 12 months</w:t>
            </w:r>
          </w:p>
        </w:tc>
        <w:tc>
          <w:tcPr>
            <w:tcW w:w="3213"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5-year average</w:t>
            </w:r>
          </w:p>
        </w:tc>
      </w:tr>
      <w:tr>
        <w:trPr/>
        <w:tc>
          <w:tcPr>
            <w:tcW w:w="3212" w:type="dxa"/>
            <w:tcBorders>
              <w:start w:val="single" w:sz="4" w:space="0" w:color="000000"/>
              <w:bottom w:val="single" w:sz="4" w:space="0" w:color="000000"/>
            </w:tcBorders>
          </w:tcPr>
          <w:p>
            <w:pPr>
              <w:pStyle w:val="TableContents"/>
              <w:bidi w:val="0"/>
              <w:jc w:val="start"/>
              <w:rPr/>
            </w:pPr>
            <w:r>
              <w:rPr/>
              <w:t>ROE</w:t>
            </w:r>
          </w:p>
        </w:tc>
        <w:tc>
          <w:tcPr>
            <w:tcW w:w="3213" w:type="dxa"/>
            <w:tcBorders>
              <w:start w:val="single" w:sz="4" w:space="0" w:color="000000"/>
              <w:bottom w:val="single" w:sz="4" w:space="0" w:color="000000"/>
            </w:tcBorders>
          </w:tcPr>
          <w:p>
            <w:pPr>
              <w:pStyle w:val="TableContents"/>
              <w:bidi w:val="0"/>
              <w:jc w:val="start"/>
              <w:rPr/>
            </w:pPr>
            <w:r>
              <w:rPr>
                <w:b/>
              </w:rPr>
              <w:t>49%</w:t>
            </w:r>
            <w:r>
              <w:rPr/>
              <w:t xml:space="preserve"> ("wow")</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34%</w:t>
            </w:r>
          </w:p>
        </w:tc>
      </w:tr>
      <w:tr>
        <w:trPr/>
        <w:tc>
          <w:tcPr>
            <w:tcW w:w="3212" w:type="dxa"/>
            <w:tcBorders>
              <w:start w:val="single" w:sz="4" w:space="0" w:color="000000"/>
              <w:bottom w:val="single" w:sz="4" w:space="0" w:color="000000"/>
            </w:tcBorders>
          </w:tcPr>
          <w:p>
            <w:pPr>
              <w:pStyle w:val="TableContents"/>
              <w:bidi w:val="0"/>
              <w:jc w:val="start"/>
              <w:rPr/>
            </w:pPr>
            <w:r>
              <w:rPr/>
              <w:t>ROIC</w:t>
            </w:r>
          </w:p>
        </w:tc>
        <w:tc>
          <w:tcPr>
            <w:tcW w:w="3213" w:type="dxa"/>
            <w:tcBorders>
              <w:start w:val="single" w:sz="4" w:space="0" w:color="000000"/>
              <w:bottom w:val="single" w:sz="4" w:space="0" w:color="000000"/>
            </w:tcBorders>
          </w:tcPr>
          <w:p>
            <w:pPr>
              <w:pStyle w:val="TableContents"/>
              <w:bidi w:val="0"/>
              <w:jc w:val="start"/>
              <w:rPr/>
            </w:pPr>
            <w:r>
              <w:rPr>
                <w:b/>
              </w:rPr>
              <w:t>33%</w:t>
            </w:r>
            <w:r>
              <w:rPr/>
              <w:t xml:space="preserve"> ("double wow")</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20%</w:t>
            </w:r>
          </w:p>
        </w:tc>
      </w:tr>
    </w:tbl>
    <w:p>
      <w:pPr>
        <w:pStyle w:val="BodyText"/>
        <w:bidi w:val="0"/>
        <w:jc w:val="start"/>
        <w:rPr/>
      </w:pPr>
      <w:r>
        <w:rPr/>
      </w:r>
    </w:p>
    <w:p>
      <w:pPr>
        <w:pStyle w:val="BodyText"/>
        <w:bidi w:val="0"/>
        <w:jc w:val="start"/>
        <w:rPr/>
      </w:pPr>
      <w:r>
        <w:rPr>
          <w:b/>
        </w:rPr>
        <w:t>Revenue vs accounts receivable — TradingView build instructions (given step by step):</w:t>
      </w:r>
    </w:p>
    <w:p>
      <w:pPr>
        <w:pStyle w:val="BodyText"/>
        <w:numPr>
          <w:ilvl w:val="0"/>
          <w:numId w:val="443"/>
        </w:numPr>
        <w:tabs>
          <w:tab w:val="clear" w:pos="709"/>
          <w:tab w:val="left" w:pos="709" w:leader="none"/>
        </w:tabs>
        <w:bidi w:val="0"/>
        <w:ind w:hanging="283" w:start="709"/>
        <w:jc w:val="start"/>
        <w:rPr/>
      </w:pPr>
      <w:r>
        <w:rPr/>
        <w:t xml:space="preserve">Financials → Revenue → </w:t>
      </w:r>
      <w:r>
        <w:rPr>
          <w:b/>
        </w:rPr>
        <w:t>Total Revenue, Annual</w:t>
      </w:r>
    </w:p>
    <w:p>
      <w:pPr>
        <w:pStyle w:val="BodyText"/>
        <w:numPr>
          <w:ilvl w:val="0"/>
          <w:numId w:val="443"/>
        </w:numPr>
        <w:tabs>
          <w:tab w:val="clear" w:pos="709"/>
          <w:tab w:val="left" w:pos="709" w:leader="none"/>
        </w:tabs>
        <w:bidi w:val="0"/>
        <w:ind w:hanging="283" w:start="709"/>
        <w:jc w:val="start"/>
        <w:rPr/>
      </w:pPr>
      <w:r>
        <w:rPr/>
        <w:t xml:space="preserve">Indicators → search </w:t>
      </w:r>
      <w:r>
        <w:rPr>
          <w:b/>
        </w:rPr>
        <w:t>Accounts Receivables</w:t>
      </w:r>
      <w:r>
        <w:rPr/>
        <w:t xml:space="preserve"> → </w:t>
      </w:r>
      <w:r>
        <w:rPr>
          <w:b/>
        </w:rPr>
        <w:t>Annual</w:t>
      </w:r>
    </w:p>
    <w:p>
      <w:pPr>
        <w:pStyle w:val="BodyText"/>
        <w:numPr>
          <w:ilvl w:val="0"/>
          <w:numId w:val="443"/>
        </w:numPr>
        <w:tabs>
          <w:tab w:val="clear" w:pos="709"/>
          <w:tab w:val="left" w:pos="709" w:leader="none"/>
        </w:tabs>
        <w:bidi w:val="0"/>
        <w:ind w:hanging="283" w:start="709"/>
        <w:jc w:val="start"/>
        <w:rPr/>
      </w:pPr>
      <w:r>
        <w:rPr/>
        <w:t>On one pane, click the three dots (</w:t>
      </w:r>
      <w:r>
        <w:rPr>
          <w:i/>
        </w:rPr>
        <w:t>More</w:t>
      </w:r>
      <w:r>
        <w:rPr/>
        <w:t xml:space="preserve">) → </w:t>
      </w:r>
      <w:r>
        <w:rPr>
          <w:b/>
        </w:rPr>
        <w:t>Move to existing pane above</w:t>
      </w:r>
      <w:r>
        <w:rPr/>
        <w:t xml:space="preserve"> (merges the two panes)</w:t>
      </w:r>
    </w:p>
    <w:p>
      <w:pPr>
        <w:pStyle w:val="BodyText"/>
        <w:numPr>
          <w:ilvl w:val="0"/>
          <w:numId w:val="443"/>
        </w:numPr>
        <w:tabs>
          <w:tab w:val="clear" w:pos="709"/>
          <w:tab w:val="left" w:pos="709" w:leader="none"/>
        </w:tabs>
        <w:bidi w:val="0"/>
        <w:ind w:hanging="283" w:start="709"/>
        <w:jc w:val="start"/>
        <w:rPr/>
      </w:pPr>
      <w:r>
        <w:rPr/>
        <w:t xml:space="preserve">Right-click the price axis (or two-finger click on a Mac trackpad) → </w:t>
      </w:r>
      <w:r>
        <w:rPr>
          <w:b/>
        </w:rPr>
        <w:t>Merge all scales into one on the right</w:t>
      </w:r>
    </w:p>
    <w:p>
      <w:pPr>
        <w:pStyle w:val="BodyText"/>
        <w:bidi w:val="0"/>
        <w:jc w:val="start"/>
        <w:rPr/>
      </w:pPr>
      <w:r>
        <w:rPr/>
        <w:t>Result: revenue (blue) rising strongly, accounts receivable (magenta) rising more slowly ✔.</w:t>
      </w:r>
    </w:p>
    <w:p>
      <w:pPr>
        <w:pStyle w:val="BodyText"/>
        <w:bidi w:val="0"/>
        <w:jc w:val="start"/>
        <w:rPr/>
      </w:pPr>
      <w:r>
        <w:rPr>
          <w:b/>
        </w:rPr>
        <w:t>Cash conversion cycle:</w:t>
      </w:r>
      <w:r>
        <w:rPr/>
        <w:t xml:space="preserve"> "mainly applies to retail companies that sell physical goods, that have physical inventory. So it doesn't really apply to Microsoft that much, because Microsoft sells software and services" — checked anyway "for practice purposes." It is </w:t>
      </w:r>
      <w:r>
        <w:rPr>
          <w:b/>
        </w:rPr>
        <w:t>declining</w:t>
      </w:r>
      <w:r>
        <w:rPr/>
        <w:t xml:space="preserve"> ✔. Rule: want it declining or consistent; "the shorter the cash conversion cycle, the faster the company makes its money back. But if it is rising, then that's a bad sign."</w:t>
      </w:r>
    </w:p>
    <w:p>
      <w:pPr>
        <w:pStyle w:val="BodyText"/>
        <w:bidi w:val="0"/>
        <w:jc w:val="start"/>
        <w:rPr/>
      </w:pPr>
      <w:r>
        <w:rPr/>
        <w:t xml:space="preserve">→ </w:t>
      </w:r>
      <w:r>
        <w:rPr>
          <w:b/>
        </w:rPr>
        <w:t>Step 4 PASSED.</w:t>
      </w:r>
    </w:p>
    <w:p>
      <w:pPr>
        <w:pStyle w:val="Heading3"/>
        <w:bidi w:val="0"/>
        <w:ind w:hanging="0" w:start="0"/>
        <w:jc w:val="start"/>
        <w:rPr/>
      </w:pPr>
      <w:r>
        <w:rPr/>
        <w:t>2.6 Step 5 — Conservative debt</w:t>
      </w:r>
    </w:p>
    <w:tbl>
      <w:tblPr>
        <w:tblW w:w="5000" w:type="pct"/>
        <w:jc w:val="start"/>
        <w:tblInd w:w="-5" w:type="dxa"/>
        <w:tblLayout w:type="fixed"/>
        <w:tblCellMar>
          <w:top w:w="55" w:type="dxa"/>
          <w:start w:w="55" w:type="dxa"/>
          <w:bottom w:w="55" w:type="dxa"/>
          <w:end w:w="55" w:type="dxa"/>
        </w:tblCellMar>
      </w:tblPr>
      <w:tblGrid>
        <w:gridCol w:w="2409"/>
        <w:gridCol w:w="2410"/>
        <w:gridCol w:w="2409"/>
        <w:gridCol w:w="2410"/>
      </w:tblGrid>
      <w:tr>
        <w:trPr>
          <w:tblHeader w:val="true"/>
        </w:trPr>
        <w:tc>
          <w:tcPr>
            <w:tcW w:w="2409" w:type="dxa"/>
            <w:tcBorders>
              <w:top w:val="single" w:sz="4" w:space="0" w:color="000000"/>
              <w:start w:val="single" w:sz="4" w:space="0" w:color="000000"/>
              <w:bottom w:val="single" w:sz="4" w:space="0" w:color="000000"/>
            </w:tcBorders>
          </w:tcPr>
          <w:p>
            <w:pPr>
              <w:pStyle w:val="TableHeading"/>
              <w:bidi w:val="0"/>
              <w:jc w:val="start"/>
              <w:rPr/>
            </w:pPr>
            <w:r>
              <w:rPr/>
              <w:t>Ratio</w:t>
            </w:r>
          </w:p>
        </w:tc>
        <w:tc>
          <w:tcPr>
            <w:tcW w:w="2410" w:type="dxa"/>
            <w:tcBorders>
              <w:top w:val="single" w:sz="4" w:space="0" w:color="000000"/>
              <w:start w:val="single" w:sz="4" w:space="0" w:color="000000"/>
              <w:bottom w:val="single" w:sz="4" w:space="0" w:color="000000"/>
            </w:tcBorders>
          </w:tcPr>
          <w:p>
            <w:pPr>
              <w:pStyle w:val="TableHeading"/>
              <w:bidi w:val="0"/>
              <w:jc w:val="start"/>
              <w:rPr/>
            </w:pPr>
            <w:r>
              <w:rPr/>
              <w:t>Microsoft</w:t>
            </w:r>
          </w:p>
        </w:tc>
        <w:tc>
          <w:tcPr>
            <w:tcW w:w="2409" w:type="dxa"/>
            <w:tcBorders>
              <w:top w:val="single" w:sz="4" w:space="0" w:color="000000"/>
              <w:start w:val="single" w:sz="4" w:space="0" w:color="000000"/>
              <w:bottom w:val="single" w:sz="4" w:space="0" w:color="000000"/>
            </w:tcBorders>
          </w:tcPr>
          <w:p>
            <w:pPr>
              <w:pStyle w:val="TableHeading"/>
              <w:bidi w:val="0"/>
              <w:jc w:val="start"/>
              <w:rPr/>
            </w:pPr>
            <w:r>
              <w:rPr/>
              <w:t>Threshold</w:t>
            </w:r>
          </w:p>
        </w:tc>
        <w:tc>
          <w:tcPr>
            <w:tcW w:w="2410"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Source</w:t>
            </w:r>
          </w:p>
        </w:tc>
      </w:tr>
      <w:tr>
        <w:trPr/>
        <w:tc>
          <w:tcPr>
            <w:tcW w:w="2409" w:type="dxa"/>
            <w:tcBorders>
              <w:start w:val="single" w:sz="4" w:space="0" w:color="000000"/>
              <w:bottom w:val="single" w:sz="4" w:space="0" w:color="000000"/>
            </w:tcBorders>
          </w:tcPr>
          <w:p>
            <w:pPr>
              <w:pStyle w:val="TableContents"/>
              <w:bidi w:val="0"/>
              <w:jc w:val="start"/>
              <w:rPr/>
            </w:pPr>
            <w:r>
              <w:rPr/>
              <w:t>Current ratio</w:t>
            </w:r>
          </w:p>
        </w:tc>
        <w:tc>
          <w:tcPr>
            <w:tcW w:w="2410" w:type="dxa"/>
            <w:tcBorders>
              <w:start w:val="single" w:sz="4" w:space="0" w:color="000000"/>
              <w:bottom w:val="single" w:sz="4" w:space="0" w:color="000000"/>
            </w:tcBorders>
          </w:tcPr>
          <w:p>
            <w:pPr>
              <w:pStyle w:val="TableContents"/>
              <w:bidi w:val="0"/>
              <w:jc w:val="start"/>
              <w:rPr/>
            </w:pPr>
            <w:r>
              <w:rPr>
                <w:b/>
              </w:rPr>
              <w:t>2.16</w:t>
            </w:r>
          </w:p>
        </w:tc>
        <w:tc>
          <w:tcPr>
            <w:tcW w:w="2409" w:type="dxa"/>
            <w:tcBorders>
              <w:start w:val="single" w:sz="4" w:space="0" w:color="000000"/>
              <w:bottom w:val="single" w:sz="4" w:space="0" w:color="000000"/>
            </w:tcBorders>
          </w:tcPr>
          <w:p>
            <w:pPr>
              <w:pStyle w:val="TableContents"/>
              <w:bidi w:val="0"/>
              <w:jc w:val="start"/>
              <w:rPr/>
            </w:pPr>
            <w:r>
              <w:rPr/>
              <w:t>&gt; 1</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GuruFocus</w:t>
            </w:r>
          </w:p>
        </w:tc>
      </w:tr>
      <w:tr>
        <w:trPr/>
        <w:tc>
          <w:tcPr>
            <w:tcW w:w="2409" w:type="dxa"/>
            <w:tcBorders>
              <w:start w:val="single" w:sz="4" w:space="0" w:color="000000"/>
              <w:bottom w:val="single" w:sz="4" w:space="0" w:color="000000"/>
            </w:tcBorders>
          </w:tcPr>
          <w:p>
            <w:pPr>
              <w:pStyle w:val="TableContents"/>
              <w:bidi w:val="0"/>
              <w:jc w:val="start"/>
              <w:rPr/>
            </w:pPr>
            <w:r>
              <w:rPr/>
              <w:t>Debt / EBITDA</w:t>
            </w:r>
          </w:p>
        </w:tc>
        <w:tc>
          <w:tcPr>
            <w:tcW w:w="2410" w:type="dxa"/>
            <w:tcBorders>
              <w:start w:val="single" w:sz="4" w:space="0" w:color="000000"/>
              <w:bottom w:val="single" w:sz="4" w:space="0" w:color="000000"/>
            </w:tcBorders>
          </w:tcPr>
          <w:p>
            <w:pPr>
              <w:pStyle w:val="TableContents"/>
              <w:bidi w:val="0"/>
              <w:jc w:val="start"/>
              <w:rPr/>
            </w:pPr>
            <w:r>
              <w:rPr>
                <w:b/>
              </w:rPr>
              <w:t>0.7</w:t>
            </w:r>
          </w:p>
        </w:tc>
        <w:tc>
          <w:tcPr>
            <w:tcW w:w="2409" w:type="dxa"/>
            <w:tcBorders>
              <w:start w:val="single" w:sz="4" w:space="0" w:color="000000"/>
              <w:bottom w:val="single" w:sz="4" w:space="0" w:color="000000"/>
            </w:tcBorders>
          </w:tcPr>
          <w:p>
            <w:pPr>
              <w:pStyle w:val="TableContents"/>
              <w:bidi w:val="0"/>
              <w:jc w:val="start"/>
              <w:rPr/>
            </w:pPr>
            <w:r>
              <w:rPr/>
              <w:t xml:space="preserve">≤ </w:t>
            </w:r>
            <w:r>
              <w:rPr/>
              <w:t>3</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GuruFocus</w:t>
            </w:r>
          </w:p>
        </w:tc>
      </w:tr>
      <w:tr>
        <w:trPr/>
        <w:tc>
          <w:tcPr>
            <w:tcW w:w="2409" w:type="dxa"/>
            <w:tcBorders>
              <w:start w:val="single" w:sz="4" w:space="0" w:color="000000"/>
              <w:bottom w:val="single" w:sz="4" w:space="0" w:color="000000"/>
            </w:tcBorders>
          </w:tcPr>
          <w:p>
            <w:pPr>
              <w:pStyle w:val="TableContents"/>
              <w:bidi w:val="0"/>
              <w:jc w:val="start"/>
              <w:rPr/>
            </w:pPr>
            <w:r>
              <w:rPr/>
              <w:t>Debt servicing ratio</w:t>
            </w:r>
          </w:p>
        </w:tc>
        <w:tc>
          <w:tcPr>
            <w:tcW w:w="2410" w:type="dxa"/>
            <w:tcBorders>
              <w:start w:val="single" w:sz="4" w:space="0" w:color="000000"/>
              <w:bottom w:val="single" w:sz="4" w:space="0" w:color="000000"/>
            </w:tcBorders>
          </w:tcPr>
          <w:p>
            <w:pPr>
              <w:pStyle w:val="TableContents"/>
              <w:bidi w:val="0"/>
              <w:jc w:val="start"/>
              <w:rPr/>
            </w:pPr>
            <w:r>
              <w:rPr>
                <w:b/>
              </w:rPr>
              <w:t>2.8%</w:t>
            </w:r>
          </w:p>
        </w:tc>
        <w:tc>
          <w:tcPr>
            <w:tcW w:w="2409" w:type="dxa"/>
            <w:tcBorders>
              <w:start w:val="single" w:sz="4" w:space="0" w:color="000000"/>
              <w:bottom w:val="single" w:sz="4" w:space="0" w:color="000000"/>
            </w:tcBorders>
          </w:tcPr>
          <w:p>
            <w:pPr>
              <w:pStyle w:val="TableContents"/>
              <w:bidi w:val="0"/>
              <w:jc w:val="start"/>
              <w:rPr/>
            </w:pPr>
            <w:r>
              <w:rPr/>
              <w:t>&lt; 30%</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calculated manually</w:t>
            </w:r>
          </w:p>
        </w:tc>
      </w:tr>
    </w:tbl>
    <w:p>
      <w:pPr>
        <w:pStyle w:val="BodyText"/>
        <w:bidi w:val="0"/>
        <w:jc w:val="start"/>
        <w:rPr/>
      </w:pPr>
      <w:r>
        <w:rPr/>
      </w:r>
    </w:p>
    <w:p>
      <w:pPr>
        <w:pStyle w:val="BodyText"/>
        <w:bidi w:val="0"/>
        <w:jc w:val="start"/>
        <w:rPr/>
      </w:pPr>
      <w:r>
        <w:rPr>
          <w:b/>
        </w:rPr>
        <w:t>Debt servicing ratio — worked by hand</w:t>
      </w:r>
      <w:r>
        <w:rPr/>
        <w:t xml:space="preserve"> (Adam: "something which you have to calculate yourself because I don't find it on any website"):</w:t>
      </w:r>
    </w:p>
    <w:p>
      <w:pPr>
        <w:pStyle w:val="PreformattedText"/>
        <w:shd w:fill="E1E1E1" w:val="clear"/>
        <w:bidi w:val="0"/>
        <w:spacing w:before="0" w:after="283"/>
        <w:jc w:val="start"/>
        <w:rPr/>
      </w:pPr>
      <w:r>
        <w:rPr/>
        <w:t>Debt servicing ratio = (Net interest expenses ÷ Cash flow from operations) × 100%</w:t>
      </w:r>
    </w:p>
    <w:p>
      <w:pPr>
        <w:pStyle w:val="BodyText"/>
        <w:numPr>
          <w:ilvl w:val="0"/>
          <w:numId w:val="444"/>
        </w:numPr>
        <w:tabs>
          <w:tab w:val="clear" w:pos="709"/>
          <w:tab w:val="left" w:pos="709" w:leader="none"/>
        </w:tabs>
        <w:bidi w:val="0"/>
        <w:ind w:hanging="283" w:start="709"/>
        <w:jc w:val="start"/>
        <w:rPr/>
      </w:pPr>
      <w:r>
        <w:rPr/>
        <w:t xml:space="preserve">Net interest expense (income statement, annual/TTM): </w:t>
      </w:r>
      <w:r>
        <w:rPr>
          <w:b/>
        </w:rPr>
        <w:t>$2,296 million</w:t>
      </w:r>
      <w:r>
        <w:rPr/>
        <w:t xml:space="preserve"> (displayed as 2,296,000 in thousands)</w:t>
      </w:r>
    </w:p>
    <w:p>
      <w:pPr>
        <w:pStyle w:val="BodyText"/>
        <w:numPr>
          <w:ilvl w:val="0"/>
          <w:numId w:val="444"/>
        </w:numPr>
        <w:tabs>
          <w:tab w:val="clear" w:pos="709"/>
          <w:tab w:val="left" w:pos="709" w:leader="none"/>
        </w:tabs>
        <w:bidi w:val="0"/>
        <w:ind w:hanging="283" w:start="709"/>
        <w:jc w:val="start"/>
        <w:rPr/>
      </w:pPr>
      <w:r>
        <w:rPr/>
        <w:t xml:space="preserve">Cash from operations (cash flow statement, TTM): </w:t>
      </w:r>
      <w:r>
        <w:rPr>
          <w:b/>
        </w:rPr>
        <w:t>$81,945 million</w:t>
      </w:r>
    </w:p>
    <w:p>
      <w:pPr>
        <w:pStyle w:val="BodyText"/>
        <w:numPr>
          <w:ilvl w:val="0"/>
          <w:numId w:val="444"/>
        </w:numPr>
        <w:tabs>
          <w:tab w:val="clear" w:pos="709"/>
          <w:tab w:val="left" w:pos="709" w:leader="none"/>
        </w:tabs>
        <w:bidi w:val="0"/>
        <w:ind w:hanging="283" w:start="709"/>
        <w:jc w:val="start"/>
        <w:rPr/>
      </w:pPr>
      <w:r>
        <w:rPr/>
        <w:t xml:space="preserve">2,296 ÷ 81,945 × 100 = </w:t>
      </w:r>
      <w:r>
        <w:rPr>
          <w:b/>
        </w:rPr>
        <w:t>2.8%</w:t>
      </w:r>
      <w:r>
        <w:rPr/>
        <w:t xml:space="preserve"> → far below the 30% ceiling ✔</w:t>
      </w:r>
    </w:p>
    <w:p>
      <w:pPr>
        <w:pStyle w:val="BodyText"/>
        <w:bidi w:val="0"/>
        <w:jc w:val="start"/>
        <w:rPr/>
      </w:pPr>
      <w:r>
        <w:rPr/>
        <w:t xml:space="preserve">→ </w:t>
      </w:r>
      <w:r>
        <w:rPr>
          <w:b/>
        </w:rPr>
        <w:t>Step 5 PASSED.</w:t>
      </w:r>
      <w:r>
        <w:rPr/>
        <w:t xml:space="preserve"> Great business → watch list.</w:t>
      </w:r>
    </w:p>
    <w:p>
      <w:pPr>
        <w:pStyle w:val="Heading3"/>
        <w:bidi w:val="0"/>
        <w:ind w:hanging="0" w:start="0"/>
        <w:jc w:val="start"/>
        <w:rPr/>
      </w:pPr>
      <w:r>
        <w:rPr/>
        <w:t>2.7 Step 6 — Intrinsic value (Discounted Cash Flow from operations)</w:t>
      </w:r>
    </w:p>
    <w:p>
      <w:pPr>
        <w:pStyle w:val="BodyText"/>
        <w:bidi w:val="0"/>
        <w:jc w:val="start"/>
        <w:rPr/>
      </w:pPr>
      <w:r>
        <w:rPr>
          <w:b/>
        </w:rPr>
        <w:t>Method choice:</w:t>
      </w:r>
      <w:r>
        <w:rPr/>
        <w:t xml:space="preserve"> primary method = </w:t>
      </w:r>
      <w:r>
        <w:rPr>
          <w:b/>
        </w:rPr>
        <w:t>discounted cash flow</w:t>
      </w:r>
      <w:r>
        <w:rPr/>
        <w:t xml:space="preserve"> using </w:t>
      </w:r>
      <w:r>
        <w:rPr>
          <w:b/>
        </w:rPr>
        <w:t>cash flow from operations</w:t>
      </w:r>
      <w:r>
        <w:rPr/>
        <w:t>. Precondition — operating cash flow must be increasing consistently: 43 → 52 → 60 → 76 → 81 billion. Yes. Method permitted.</w:t>
      </w:r>
    </w:p>
    <w:p>
      <w:pPr>
        <w:pStyle w:val="BodyText"/>
        <w:bidi w:val="0"/>
        <w:jc w:val="start"/>
        <w:rPr/>
      </w:pPr>
      <w:r>
        <w:rPr>
          <w:b/>
        </w:rPr>
        <w:t>Calculator hygiene:</w:t>
      </w:r>
      <w:r>
        <w:rPr/>
        <w:t xml:space="preserve"> key in only the </w:t>
      </w:r>
      <w:r>
        <w:rPr>
          <w:b/>
        </w:rPr>
        <w:t>white boxes</w:t>
      </w:r>
      <w:r>
        <w:rPr/>
        <w:t>; shaded/coloured boxes contain built-in formulas — "if you change the coloured boxes, it will change the formula."</w:t>
      </w:r>
    </w:p>
    <w:p>
      <w:pPr>
        <w:pStyle w:val="Heading4"/>
        <w:bidi w:val="0"/>
        <w:ind w:hanging="0" w:start="0"/>
        <w:jc w:val="start"/>
        <w:rPr/>
      </w:pPr>
      <w:r>
        <w:rPr/>
        <w:t>Full input set</w:t>
      </w:r>
    </w:p>
    <w:tbl>
      <w:tblPr>
        <w:tblW w:w="5000" w:type="pct"/>
        <w:jc w:val="start"/>
        <w:tblInd w:w="-5" w:type="dxa"/>
        <w:tblLayout w:type="fixed"/>
        <w:tblCellMar>
          <w:top w:w="55" w:type="dxa"/>
          <w:start w:w="55" w:type="dxa"/>
          <w:bottom w:w="55" w:type="dxa"/>
          <w:end w:w="55" w:type="dxa"/>
        </w:tblCellMar>
      </w:tblPr>
      <w:tblGrid>
        <w:gridCol w:w="3212"/>
        <w:gridCol w:w="3213"/>
        <w:gridCol w:w="3213"/>
      </w:tblGrid>
      <w:tr>
        <w:trPr>
          <w:tblHeader w:val="true"/>
        </w:trPr>
        <w:tc>
          <w:tcPr>
            <w:tcW w:w="3212" w:type="dxa"/>
            <w:tcBorders>
              <w:top w:val="single" w:sz="4" w:space="0" w:color="000000"/>
              <w:start w:val="single" w:sz="4" w:space="0" w:color="000000"/>
              <w:bottom w:val="single" w:sz="4" w:space="0" w:color="000000"/>
            </w:tcBorders>
          </w:tcPr>
          <w:p>
            <w:pPr>
              <w:pStyle w:val="TableHeading"/>
              <w:bidi w:val="0"/>
              <w:jc w:val="start"/>
              <w:rPr/>
            </w:pPr>
            <w:r>
              <w:rPr/>
              <w:t>Input</w:t>
            </w:r>
          </w:p>
        </w:tc>
        <w:tc>
          <w:tcPr>
            <w:tcW w:w="3213" w:type="dxa"/>
            <w:tcBorders>
              <w:top w:val="single" w:sz="4" w:space="0" w:color="000000"/>
              <w:start w:val="single" w:sz="4" w:space="0" w:color="000000"/>
              <w:bottom w:val="single" w:sz="4" w:space="0" w:color="000000"/>
            </w:tcBorders>
          </w:tcPr>
          <w:p>
            <w:pPr>
              <w:pStyle w:val="TableHeading"/>
              <w:bidi w:val="0"/>
              <w:jc w:val="start"/>
              <w:rPr/>
            </w:pPr>
            <w:r>
              <w:rPr/>
              <w:t>Value</w:t>
            </w:r>
          </w:p>
        </w:tc>
        <w:tc>
          <w:tcPr>
            <w:tcW w:w="3213"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Where it comes from</w:t>
            </w:r>
          </w:p>
        </w:tc>
      </w:tr>
      <w:tr>
        <w:trPr/>
        <w:tc>
          <w:tcPr>
            <w:tcW w:w="3212" w:type="dxa"/>
            <w:tcBorders>
              <w:start w:val="single" w:sz="4" w:space="0" w:color="000000"/>
              <w:bottom w:val="single" w:sz="4" w:space="0" w:color="000000"/>
            </w:tcBorders>
          </w:tcPr>
          <w:p>
            <w:pPr>
              <w:pStyle w:val="TableContents"/>
              <w:bidi w:val="0"/>
              <w:jc w:val="start"/>
              <w:rPr/>
            </w:pPr>
            <w:r>
              <w:rPr/>
              <w:t>Name / symbol</w:t>
            </w:r>
          </w:p>
        </w:tc>
        <w:tc>
          <w:tcPr>
            <w:tcW w:w="3213" w:type="dxa"/>
            <w:tcBorders>
              <w:start w:val="single" w:sz="4" w:space="0" w:color="000000"/>
              <w:bottom w:val="single" w:sz="4" w:space="0" w:color="000000"/>
            </w:tcBorders>
          </w:tcPr>
          <w:p>
            <w:pPr>
              <w:pStyle w:val="TableContents"/>
              <w:bidi w:val="0"/>
              <w:jc w:val="start"/>
              <w:rPr/>
            </w:pPr>
            <w:r>
              <w:rPr/>
              <w:t>Microsoft / MSFT</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w:t>
            </w:r>
          </w:p>
        </w:tc>
      </w:tr>
      <w:tr>
        <w:trPr/>
        <w:tc>
          <w:tcPr>
            <w:tcW w:w="3212" w:type="dxa"/>
            <w:tcBorders>
              <w:start w:val="single" w:sz="4" w:space="0" w:color="000000"/>
              <w:bottom w:val="single" w:sz="4" w:space="0" w:color="000000"/>
            </w:tcBorders>
          </w:tcPr>
          <w:p>
            <w:pPr>
              <w:pStyle w:val="TableContents"/>
              <w:bidi w:val="0"/>
              <w:jc w:val="start"/>
              <w:rPr/>
            </w:pPr>
            <w:r>
              <w:rPr/>
              <w:t>Valuation method</w:t>
            </w:r>
          </w:p>
        </w:tc>
        <w:tc>
          <w:tcPr>
            <w:tcW w:w="3213" w:type="dxa"/>
            <w:tcBorders>
              <w:start w:val="single" w:sz="4" w:space="0" w:color="000000"/>
              <w:bottom w:val="single" w:sz="4" w:space="0" w:color="000000"/>
            </w:tcBorders>
          </w:tcPr>
          <w:p>
            <w:pPr>
              <w:pStyle w:val="TableContents"/>
              <w:bidi w:val="0"/>
              <w:jc w:val="start"/>
              <w:rPr/>
            </w:pPr>
            <w:r>
              <w:rPr>
                <w:b/>
              </w:rPr>
              <w:t>Discounted cash flow</w:t>
            </w:r>
            <w:r>
              <w:rPr/>
              <w:t xml:space="preserve"> (from operations)</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w:t>
            </w:r>
          </w:p>
        </w:tc>
      </w:tr>
      <w:tr>
        <w:trPr/>
        <w:tc>
          <w:tcPr>
            <w:tcW w:w="3212" w:type="dxa"/>
            <w:tcBorders>
              <w:start w:val="single" w:sz="4" w:space="0" w:color="000000"/>
              <w:bottom w:val="single" w:sz="4" w:space="0" w:color="000000"/>
            </w:tcBorders>
          </w:tcPr>
          <w:p>
            <w:pPr>
              <w:pStyle w:val="TableContents"/>
              <w:bidi w:val="0"/>
              <w:jc w:val="start"/>
              <w:rPr/>
            </w:pPr>
            <w:r>
              <w:rPr/>
              <w:t>Statement currency</w:t>
            </w:r>
          </w:p>
        </w:tc>
        <w:tc>
          <w:tcPr>
            <w:tcW w:w="3213" w:type="dxa"/>
            <w:tcBorders>
              <w:start w:val="single" w:sz="4" w:space="0" w:color="000000"/>
              <w:bottom w:val="single" w:sz="4" w:space="0" w:color="000000"/>
            </w:tcBorders>
          </w:tcPr>
          <w:p>
            <w:pPr>
              <w:pStyle w:val="TableContents"/>
              <w:bidi w:val="0"/>
              <w:jc w:val="start"/>
              <w:rPr/>
            </w:pPr>
            <w:r>
              <w:rPr/>
              <w:t>USD</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Financial statements</w:t>
            </w:r>
          </w:p>
        </w:tc>
      </w:tr>
      <w:tr>
        <w:trPr/>
        <w:tc>
          <w:tcPr>
            <w:tcW w:w="3212" w:type="dxa"/>
            <w:tcBorders>
              <w:start w:val="single" w:sz="4" w:space="0" w:color="000000"/>
              <w:bottom w:val="single" w:sz="4" w:space="0" w:color="000000"/>
            </w:tcBorders>
          </w:tcPr>
          <w:p>
            <w:pPr>
              <w:pStyle w:val="TableContents"/>
              <w:bidi w:val="0"/>
              <w:jc w:val="start"/>
              <w:rPr/>
            </w:pPr>
            <w:r>
              <w:rPr/>
              <w:t>Stock listing currency</w:t>
            </w:r>
          </w:p>
        </w:tc>
        <w:tc>
          <w:tcPr>
            <w:tcW w:w="3213" w:type="dxa"/>
            <w:tcBorders>
              <w:start w:val="single" w:sz="4" w:space="0" w:color="000000"/>
              <w:bottom w:val="single" w:sz="4" w:space="0" w:color="000000"/>
            </w:tcBorders>
          </w:tcPr>
          <w:p>
            <w:pPr>
              <w:pStyle w:val="TableContents"/>
              <w:bidi w:val="0"/>
              <w:jc w:val="start"/>
              <w:rPr/>
            </w:pPr>
            <w:r>
              <w:rPr/>
              <w:t>USD</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Exchange listing</w:t>
            </w:r>
          </w:p>
        </w:tc>
      </w:tr>
      <w:tr>
        <w:trPr/>
        <w:tc>
          <w:tcPr>
            <w:tcW w:w="3212" w:type="dxa"/>
            <w:tcBorders>
              <w:start w:val="single" w:sz="4" w:space="0" w:color="000000"/>
              <w:bottom w:val="single" w:sz="4" w:space="0" w:color="000000"/>
            </w:tcBorders>
          </w:tcPr>
          <w:p>
            <w:pPr>
              <w:pStyle w:val="TableContents"/>
              <w:bidi w:val="0"/>
              <w:jc w:val="start"/>
              <w:rPr/>
            </w:pPr>
            <w:r>
              <w:rPr/>
              <w:t>Exchange rate</w:t>
            </w:r>
          </w:p>
        </w:tc>
        <w:tc>
          <w:tcPr>
            <w:tcW w:w="3213" w:type="dxa"/>
            <w:tcBorders>
              <w:start w:val="single" w:sz="4" w:space="0" w:color="000000"/>
              <w:bottom w:val="single" w:sz="4" w:space="0" w:color="000000"/>
            </w:tcBorders>
          </w:tcPr>
          <w:p>
            <w:pPr>
              <w:pStyle w:val="TableContents"/>
              <w:bidi w:val="0"/>
              <w:jc w:val="start"/>
              <w:rPr/>
            </w:pPr>
            <w:r>
              <w:rPr/>
              <w:t>1.00</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USD:USD</w:t>
            </w:r>
          </w:p>
        </w:tc>
      </w:tr>
      <w:tr>
        <w:trPr/>
        <w:tc>
          <w:tcPr>
            <w:tcW w:w="3212" w:type="dxa"/>
            <w:tcBorders>
              <w:start w:val="single" w:sz="4" w:space="0" w:color="000000"/>
              <w:bottom w:val="single" w:sz="4" w:space="0" w:color="000000"/>
            </w:tcBorders>
          </w:tcPr>
          <w:p>
            <w:pPr>
              <w:pStyle w:val="TableContents"/>
              <w:bidi w:val="0"/>
              <w:jc w:val="start"/>
              <w:rPr/>
            </w:pPr>
            <w:r>
              <w:rPr/>
              <w:t>Most recent cash flow from operations</w:t>
            </w:r>
          </w:p>
        </w:tc>
        <w:tc>
          <w:tcPr>
            <w:tcW w:w="3213" w:type="dxa"/>
            <w:tcBorders>
              <w:start w:val="single" w:sz="4" w:space="0" w:color="000000"/>
              <w:bottom w:val="single" w:sz="4" w:space="0" w:color="000000"/>
            </w:tcBorders>
          </w:tcPr>
          <w:p>
            <w:pPr>
              <w:pStyle w:val="TableContents"/>
              <w:bidi w:val="0"/>
              <w:jc w:val="start"/>
              <w:rPr/>
            </w:pPr>
            <w:r>
              <w:rPr>
                <w:b/>
              </w:rPr>
              <w:t>$81,945 million</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Cash flow statement, TTM</w:t>
            </w:r>
          </w:p>
        </w:tc>
      </w:tr>
      <w:tr>
        <w:trPr/>
        <w:tc>
          <w:tcPr>
            <w:tcW w:w="3212" w:type="dxa"/>
            <w:tcBorders>
              <w:start w:val="single" w:sz="4" w:space="0" w:color="000000"/>
              <w:bottom w:val="single" w:sz="4" w:space="0" w:color="000000"/>
            </w:tcBorders>
          </w:tcPr>
          <w:p>
            <w:pPr>
              <w:pStyle w:val="TableContents"/>
              <w:bidi w:val="0"/>
              <w:jc w:val="start"/>
              <w:rPr/>
            </w:pPr>
            <w:r>
              <w:rPr/>
              <w:t>Total debt (short-term + long-term)</w:t>
            </w:r>
          </w:p>
        </w:tc>
        <w:tc>
          <w:tcPr>
            <w:tcW w:w="3213" w:type="dxa"/>
            <w:tcBorders>
              <w:start w:val="single" w:sz="4" w:space="0" w:color="000000"/>
              <w:bottom w:val="single" w:sz="4" w:space="0" w:color="000000"/>
            </w:tcBorders>
          </w:tcPr>
          <w:p>
            <w:pPr>
              <w:pStyle w:val="TableContents"/>
              <w:bidi w:val="0"/>
              <w:jc w:val="start"/>
              <w:rPr/>
            </w:pPr>
            <w:r>
              <w:rPr>
                <w:b/>
              </w:rPr>
              <w:t>$53,288 million</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 xml:space="preserve">Balance sheet, </w:t>
            </w:r>
            <w:r>
              <w:rPr>
                <w:b/>
              </w:rPr>
              <w:t>latest quarter</w:t>
            </w:r>
            <w:r>
              <w:rPr/>
              <w:t>: current debt 3,249 + long-term debt 50,039</w:t>
            </w:r>
          </w:p>
        </w:tc>
      </w:tr>
      <w:tr>
        <w:trPr/>
        <w:tc>
          <w:tcPr>
            <w:tcW w:w="3212" w:type="dxa"/>
            <w:tcBorders>
              <w:start w:val="single" w:sz="4" w:space="0" w:color="000000"/>
              <w:bottom w:val="single" w:sz="4" w:space="0" w:color="000000"/>
            </w:tcBorders>
          </w:tcPr>
          <w:p>
            <w:pPr>
              <w:pStyle w:val="TableContents"/>
              <w:bidi w:val="0"/>
              <w:jc w:val="start"/>
              <w:rPr/>
            </w:pPr>
            <w:r>
              <w:rPr/>
              <w:t>Cash and short-term investments</w:t>
            </w:r>
          </w:p>
        </w:tc>
        <w:tc>
          <w:tcPr>
            <w:tcW w:w="3213" w:type="dxa"/>
            <w:tcBorders>
              <w:start w:val="single" w:sz="4" w:space="0" w:color="000000"/>
              <w:bottom w:val="single" w:sz="4" w:space="0" w:color="000000"/>
            </w:tcBorders>
          </w:tcPr>
          <w:p>
            <w:pPr>
              <w:pStyle w:val="TableContents"/>
              <w:bidi w:val="0"/>
              <w:jc w:val="start"/>
              <w:rPr/>
            </w:pPr>
            <w:r>
              <w:rPr>
                <w:b/>
              </w:rPr>
              <w:t>$130,584 million</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Balance sheet, latest quarter: cash &amp; equivalents + short-term investments</w:t>
            </w:r>
          </w:p>
        </w:tc>
      </w:tr>
      <w:tr>
        <w:trPr/>
        <w:tc>
          <w:tcPr>
            <w:tcW w:w="3212" w:type="dxa"/>
            <w:tcBorders>
              <w:start w:val="single" w:sz="4" w:space="0" w:color="000000"/>
              <w:bottom w:val="single" w:sz="4" w:space="0" w:color="000000"/>
            </w:tcBorders>
          </w:tcPr>
          <w:p>
            <w:pPr>
              <w:pStyle w:val="TableContents"/>
              <w:bidi w:val="0"/>
              <w:jc w:val="start"/>
              <w:rPr/>
            </w:pPr>
            <w:r>
              <w:rPr/>
              <w:t>Growth rate, first 5 years</w:t>
            </w:r>
          </w:p>
        </w:tc>
        <w:tc>
          <w:tcPr>
            <w:tcW w:w="3213" w:type="dxa"/>
            <w:tcBorders>
              <w:start w:val="single" w:sz="4" w:space="0" w:color="000000"/>
              <w:bottom w:val="single" w:sz="4" w:space="0" w:color="000000"/>
            </w:tcBorders>
          </w:tcPr>
          <w:p>
            <w:pPr>
              <w:pStyle w:val="TableContents"/>
              <w:bidi w:val="0"/>
              <w:jc w:val="start"/>
              <w:rPr/>
            </w:pPr>
            <w:r>
              <w:rPr>
                <w:b/>
              </w:rPr>
              <w:t>13.12%</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Average of FinViz 16.53 / Zacks 12.04 / Simply Wall St 10.8</w:t>
            </w:r>
          </w:p>
        </w:tc>
      </w:tr>
      <w:tr>
        <w:trPr/>
        <w:tc>
          <w:tcPr>
            <w:tcW w:w="3212" w:type="dxa"/>
            <w:tcBorders>
              <w:start w:val="single" w:sz="4" w:space="0" w:color="000000"/>
              <w:bottom w:val="single" w:sz="4" w:space="0" w:color="000000"/>
            </w:tcBorders>
          </w:tcPr>
          <w:p>
            <w:pPr>
              <w:pStyle w:val="TableContents"/>
              <w:bidi w:val="0"/>
              <w:jc w:val="start"/>
              <w:rPr/>
            </w:pPr>
            <w:r>
              <w:rPr/>
              <w:t>Growth rate, next 5 years</w:t>
            </w:r>
          </w:p>
        </w:tc>
        <w:tc>
          <w:tcPr>
            <w:tcW w:w="3213" w:type="dxa"/>
            <w:tcBorders>
              <w:start w:val="single" w:sz="4" w:space="0" w:color="000000"/>
              <w:bottom w:val="single" w:sz="4" w:space="0" w:color="000000"/>
            </w:tcBorders>
          </w:tcPr>
          <w:p>
            <w:pPr>
              <w:pStyle w:val="TableContents"/>
              <w:bidi w:val="0"/>
              <w:jc w:val="start"/>
              <w:rPr/>
            </w:pPr>
            <w:r>
              <w:rPr>
                <w:b/>
              </w:rPr>
              <w:t>13.12%</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 xml:space="preserve">Same as first 5 years, </w:t>
            </w:r>
            <w:r>
              <w:rPr>
                <w:b/>
              </w:rPr>
              <w:t>subject to a maximum of 15%</w:t>
            </w:r>
          </w:p>
        </w:tc>
      </w:tr>
      <w:tr>
        <w:trPr/>
        <w:tc>
          <w:tcPr>
            <w:tcW w:w="3212" w:type="dxa"/>
            <w:tcBorders>
              <w:start w:val="single" w:sz="4" w:space="0" w:color="000000"/>
              <w:bottom w:val="single" w:sz="4" w:space="0" w:color="000000"/>
            </w:tcBorders>
          </w:tcPr>
          <w:p>
            <w:pPr>
              <w:pStyle w:val="TableContents"/>
              <w:bidi w:val="0"/>
              <w:jc w:val="start"/>
              <w:rPr/>
            </w:pPr>
            <w:r>
              <w:rPr/>
              <w:t>Growth rate, final 10 years (terminal)</w:t>
            </w:r>
          </w:p>
        </w:tc>
        <w:tc>
          <w:tcPr>
            <w:tcW w:w="3213" w:type="dxa"/>
            <w:tcBorders>
              <w:start w:val="single" w:sz="4" w:space="0" w:color="000000"/>
              <w:bottom w:val="single" w:sz="4" w:space="0" w:color="000000"/>
            </w:tcBorders>
          </w:tcPr>
          <w:p>
            <w:pPr>
              <w:pStyle w:val="TableContents"/>
              <w:bidi w:val="0"/>
              <w:jc w:val="start"/>
              <w:rPr/>
            </w:pPr>
            <w:r>
              <w:rPr>
                <w:b/>
              </w:rPr>
              <w:t>4%</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US average GDP growth + 1% ("last I checked it's 4.18%… just fix it at 4%, it's fine")</w:t>
            </w:r>
          </w:p>
        </w:tc>
      </w:tr>
      <w:tr>
        <w:trPr/>
        <w:tc>
          <w:tcPr>
            <w:tcW w:w="3212" w:type="dxa"/>
            <w:tcBorders>
              <w:start w:val="single" w:sz="4" w:space="0" w:color="000000"/>
              <w:bottom w:val="single" w:sz="4" w:space="0" w:color="000000"/>
            </w:tcBorders>
          </w:tcPr>
          <w:p>
            <w:pPr>
              <w:pStyle w:val="TableContents"/>
              <w:bidi w:val="0"/>
              <w:jc w:val="start"/>
              <w:rPr/>
            </w:pPr>
            <w:r>
              <w:rPr/>
              <w:t>Shares outstanding</w:t>
            </w:r>
          </w:p>
        </w:tc>
        <w:tc>
          <w:tcPr>
            <w:tcW w:w="3213" w:type="dxa"/>
            <w:tcBorders>
              <w:start w:val="single" w:sz="4" w:space="0" w:color="000000"/>
              <w:bottom w:val="single" w:sz="4" w:space="0" w:color="000000"/>
            </w:tcBorders>
          </w:tcPr>
          <w:p>
            <w:pPr>
              <w:pStyle w:val="TableContents"/>
              <w:bidi w:val="0"/>
              <w:jc w:val="start"/>
              <w:rPr/>
            </w:pPr>
            <w:r>
              <w:rPr>
                <w:b/>
              </w:rPr>
              <w:t>7,510 million</w:t>
            </w:r>
            <w:r>
              <w:rPr/>
              <w:t xml:space="preserve"> (7.51 billion)</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 xml:space="preserve">FinViz — note the calculator wants </w:t>
            </w:r>
            <w:r>
              <w:rPr>
                <w:b/>
              </w:rPr>
              <w:t>millions</w:t>
            </w:r>
            <w:r>
              <w:rPr/>
              <w:t>, so 7.51 bn × 1,000</w:t>
            </w:r>
          </w:p>
        </w:tc>
      </w:tr>
      <w:tr>
        <w:trPr/>
        <w:tc>
          <w:tcPr>
            <w:tcW w:w="3212" w:type="dxa"/>
            <w:tcBorders>
              <w:start w:val="single" w:sz="4" w:space="0" w:color="000000"/>
              <w:bottom w:val="single" w:sz="4" w:space="0" w:color="000000"/>
            </w:tcBorders>
          </w:tcPr>
          <w:p>
            <w:pPr>
              <w:pStyle w:val="TableContents"/>
              <w:bidi w:val="0"/>
              <w:jc w:val="start"/>
              <w:rPr/>
            </w:pPr>
            <w:r>
              <w:rPr/>
              <w:t>Beta</w:t>
            </w:r>
          </w:p>
        </w:tc>
        <w:tc>
          <w:tcPr>
            <w:tcW w:w="3213" w:type="dxa"/>
            <w:tcBorders>
              <w:start w:val="single" w:sz="4" w:space="0" w:color="000000"/>
              <w:bottom w:val="single" w:sz="4" w:space="0" w:color="000000"/>
            </w:tcBorders>
          </w:tcPr>
          <w:p>
            <w:pPr>
              <w:pStyle w:val="TableContents"/>
              <w:bidi w:val="0"/>
              <w:jc w:val="start"/>
              <w:rPr/>
            </w:pPr>
            <w:r>
              <w:rPr>
                <w:b/>
              </w:rPr>
              <w:t>0.88</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FinViz</w:t>
            </w:r>
          </w:p>
        </w:tc>
      </w:tr>
      <w:tr>
        <w:trPr/>
        <w:tc>
          <w:tcPr>
            <w:tcW w:w="3212" w:type="dxa"/>
            <w:tcBorders>
              <w:start w:val="single" w:sz="4" w:space="0" w:color="000000"/>
              <w:bottom w:val="single" w:sz="4" w:space="0" w:color="000000"/>
            </w:tcBorders>
          </w:tcPr>
          <w:p>
            <w:pPr>
              <w:pStyle w:val="TableContents"/>
              <w:bidi w:val="0"/>
              <w:jc w:val="start"/>
              <w:rPr/>
            </w:pPr>
            <w:r>
              <w:rPr/>
              <w:t>Discount rate</w:t>
            </w:r>
          </w:p>
        </w:tc>
        <w:tc>
          <w:tcPr>
            <w:tcW w:w="3213" w:type="dxa"/>
            <w:tcBorders>
              <w:start w:val="single" w:sz="4" w:space="0" w:color="000000"/>
              <w:bottom w:val="single" w:sz="4" w:space="0" w:color="000000"/>
            </w:tcBorders>
          </w:tcPr>
          <w:p>
            <w:pPr>
              <w:pStyle w:val="TableContents"/>
              <w:bidi w:val="0"/>
              <w:jc w:val="start"/>
              <w:rPr/>
            </w:pPr>
            <w:r>
              <w:rPr>
                <w:b/>
              </w:rPr>
              <w:t>5%</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Discount-rate table keyed off beta (see below)</w:t>
            </w:r>
          </w:p>
        </w:tc>
      </w:tr>
    </w:tbl>
    <w:p>
      <w:pPr>
        <w:pStyle w:val="BodyText"/>
        <w:bidi w:val="0"/>
        <w:jc w:val="start"/>
        <w:rPr/>
      </w:pPr>
      <w:r>
        <w:rPr/>
      </w:r>
    </w:p>
    <w:p>
      <w:pPr>
        <w:pStyle w:val="BodyText"/>
        <w:bidi w:val="0"/>
        <w:jc w:val="start"/>
        <w:rPr/>
      </w:pPr>
      <w:r>
        <w:rPr>
          <w:b/>
        </w:rPr>
        <w:t>Currency discipline (a general lesson taught inside the MSFT case):</w:t>
      </w:r>
      <w:r>
        <w:rPr/>
        <w:t xml:space="preserve"> the statement currency and the stock listing currency can differ. For </w:t>
      </w:r>
      <w:r>
        <w:rPr>
          <w:b/>
        </w:rPr>
        <w:t>Alibaba</w:t>
      </w:r>
      <w:r>
        <w:rPr/>
        <w:t xml:space="preserve">, statements are in </w:t>
      </w:r>
      <w:r>
        <w:rPr>
          <w:b/>
        </w:rPr>
        <w:t>RMB</w:t>
      </w:r>
      <w:r>
        <w:rPr/>
        <w:t xml:space="preserve">; the listing currency is </w:t>
      </w:r>
      <w:r>
        <w:rPr>
          <w:b/>
        </w:rPr>
        <w:t>USD</w:t>
      </w:r>
      <w:r>
        <w:rPr/>
        <w:t xml:space="preserve"> if bought on the US exchange or </w:t>
      </w:r>
      <w:r>
        <w:rPr>
          <w:b/>
        </w:rPr>
        <w:t>HKD</w:t>
      </w:r>
      <w:r>
        <w:rPr/>
        <w:t xml:space="preserve"> if bought in Hong Kong — you must then enter the correct exchange rate. Covered further in an Alibaba/Tencent case study.</w:t>
      </w:r>
    </w:p>
    <w:p>
      <w:pPr>
        <w:pStyle w:val="BodyText"/>
        <w:bidi w:val="0"/>
        <w:jc w:val="start"/>
        <w:rPr/>
      </w:pPr>
      <w:r>
        <w:rPr>
          <w:b/>
        </w:rPr>
        <w:t>Cash-flow normalisation rules taught here (applied later to AMZN and GOOGL):</w:t>
      </w:r>
    </w:p>
    <w:p>
      <w:pPr>
        <w:pStyle w:val="BodyText"/>
        <w:numPr>
          <w:ilvl w:val="0"/>
          <w:numId w:val="445"/>
        </w:numPr>
        <w:tabs>
          <w:tab w:val="clear" w:pos="709"/>
          <w:tab w:val="left" w:pos="709" w:leader="none"/>
        </w:tabs>
        <w:bidi w:val="0"/>
        <w:ind w:hanging="283" w:start="709"/>
        <w:jc w:val="start"/>
        <w:rPr/>
      </w:pPr>
      <w:r>
        <w:rPr/>
        <w:t>Check that the latest figure "is similar or higher than previous years" — you want a gradual increase to project forward.</w:t>
      </w:r>
    </w:p>
    <w:p>
      <w:pPr>
        <w:pStyle w:val="BodyText"/>
        <w:numPr>
          <w:ilvl w:val="0"/>
          <w:numId w:val="445"/>
        </w:numPr>
        <w:tabs>
          <w:tab w:val="clear" w:pos="709"/>
          <w:tab w:val="left" w:pos="709" w:leader="none"/>
        </w:tabs>
        <w:bidi w:val="0"/>
        <w:ind w:hanging="283" w:start="709"/>
        <w:jc w:val="start"/>
        <w:rPr/>
      </w:pPr>
      <w:r>
        <w:rPr>
          <w:b/>
        </w:rPr>
        <w:t>Sudden big jump</w:t>
      </w:r>
      <w:r>
        <w:rPr/>
        <w:t xml:space="preserve"> in the last 12 months → do </w:t>
      </w:r>
      <w:r>
        <w:rPr>
          <w:b/>
        </w:rPr>
        <w:t>not</w:t>
      </w:r>
      <w:r>
        <w:rPr/>
        <w:t xml:space="preserve"> use it; it may not be sustainable. Use the prior year, or an average of the last 3–4 years.</w:t>
      </w:r>
    </w:p>
    <w:p>
      <w:pPr>
        <w:pStyle w:val="BodyText"/>
        <w:numPr>
          <w:ilvl w:val="0"/>
          <w:numId w:val="445"/>
        </w:numPr>
        <w:tabs>
          <w:tab w:val="clear" w:pos="709"/>
          <w:tab w:val="left" w:pos="709" w:leader="none"/>
        </w:tabs>
        <w:bidi w:val="0"/>
        <w:ind w:hanging="283" w:start="709"/>
        <w:jc w:val="start"/>
        <w:rPr/>
      </w:pPr>
      <w:r>
        <w:rPr>
          <w:b/>
        </w:rPr>
        <w:t>Sudden big plunge</w:t>
      </w:r>
      <w:r>
        <w:rPr/>
        <w:t xml:space="preserve"> (e.g. pandemic-driven) → do </w:t>
      </w:r>
      <w:r>
        <w:rPr>
          <w:b/>
        </w:rPr>
        <w:t>not</w:t>
      </w:r>
      <w:r>
        <w:rPr/>
        <w:t xml:space="preserve"> use it either; it won't last. Use a 3–4-year average for a "more normal cash flow."</w:t>
      </w:r>
    </w:p>
    <w:p>
      <w:pPr>
        <w:pStyle w:val="BodyText"/>
        <w:numPr>
          <w:ilvl w:val="0"/>
          <w:numId w:val="445"/>
        </w:numPr>
        <w:tabs>
          <w:tab w:val="clear" w:pos="709"/>
          <w:tab w:val="left" w:pos="709" w:leader="none"/>
        </w:tabs>
        <w:bidi w:val="0"/>
        <w:ind w:hanging="283" w:start="709"/>
        <w:jc w:val="start"/>
        <w:rPr/>
      </w:pPr>
      <w:r>
        <w:rPr/>
        <w:t>Microsoft grows "very, very consistently," so the latest figure is used as-is.</w:t>
      </w:r>
    </w:p>
    <w:p>
      <w:pPr>
        <w:pStyle w:val="BodyText"/>
        <w:bidi w:val="0"/>
        <w:jc w:val="start"/>
        <w:rPr/>
      </w:pPr>
      <w:r>
        <w:rPr>
          <w:b/>
        </w:rPr>
        <w:t>Debt definition:</w:t>
      </w:r>
      <w:r>
        <w:rPr/>
        <w:t xml:space="preserve"> "Total debt is </w:t>
      </w:r>
      <w:r>
        <w:rPr>
          <w:b/>
        </w:rPr>
        <w:t>not</w:t>
      </w:r>
      <w:r>
        <w:rPr/>
        <w:t xml:space="preserve"> total liabilities. It is short-term debt plus long-term debt." Current debt = short-term debt (same thing). Balance-sheet items are always taken from the </w:t>
      </w:r>
      <w:r>
        <w:rPr>
          <w:b/>
        </w:rPr>
        <w:t>latest quarter</w:t>
      </w:r>
      <w:r>
        <w:rPr/>
        <w:t>, never annual.</w:t>
      </w:r>
    </w:p>
    <w:p>
      <w:pPr>
        <w:pStyle w:val="BodyText"/>
        <w:bidi w:val="0"/>
        <w:jc w:val="start"/>
        <w:rPr/>
      </w:pPr>
      <w:r>
        <w:rPr>
          <w:b/>
        </w:rPr>
        <w:t>Discount rate table:</w:t>
      </w:r>
      <w:r>
        <w:rPr/>
        <w:t xml:space="preserve"> driven by </w:t>
      </w:r>
      <w:r>
        <w:rPr>
          <w:b/>
        </w:rPr>
        <w:t>beta</w:t>
      </w:r>
      <w:r>
        <w:rPr/>
        <w:t xml:space="preserve">; separate tables exist for US stocks and China stocks. Beta 0.88 sits between the "&lt;0.8 → 4.6%" and "1.0 → 5.6%" rows. Adam first says 5.6%, then reasons "0.88 is closer to 0.8, so why don't you use 5" and settles on </w:t>
      </w:r>
      <w:r>
        <w:rPr>
          <w:b/>
        </w:rPr>
        <w:t>5%</w:t>
      </w:r>
      <w:r>
        <w:rPr/>
        <w:t xml:space="preserve"> — "Doesn't have to be exact."</w:t>
      </w:r>
    </w:p>
    <w:p>
      <w:pPr>
        <w:pStyle w:val="Heading4"/>
        <w:bidi w:val="0"/>
        <w:ind w:hanging="0" w:start="0"/>
        <w:jc w:val="start"/>
        <w:rPr/>
      </w:pPr>
      <w:r>
        <w:rPr/>
        <w:t>Results</w:t>
      </w:r>
    </w:p>
    <w:p>
      <w:pPr>
        <w:pStyle w:val="BlockQuotation"/>
        <w:bidi w:val="0"/>
        <w:jc w:val="start"/>
        <w:rPr/>
      </w:pPr>
      <w:r>
        <w:rPr>
          <w:b/>
        </w:rPr>
        <w:t>Base case intrinsic value = $398</w:t>
      </w:r>
      <w:r>
        <w:rPr/>
        <w:t xml:space="preserve"> (growth 13.12%)</w:t>
      </w:r>
    </w:p>
    <w:p>
      <w:pPr>
        <w:pStyle w:val="BodyText"/>
        <w:bidi w:val="0"/>
        <w:jc w:val="start"/>
        <w:rPr/>
      </w:pPr>
      <w:r>
        <w:rPr/>
        <w:t xml:space="preserve">Current share price as of </w:t>
      </w:r>
      <w:r>
        <w:rPr>
          <w:b/>
        </w:rPr>
        <w:t>15 January 2022 = $310</w:t>
      </w:r>
      <w:r>
        <w:rPr/>
        <w:t xml:space="preserve"> → the stock is </w:t>
      </w:r>
      <w:r>
        <w:rPr>
          <w:b/>
        </w:rPr>
        <w:t>undervalued by 22%</w:t>
      </w:r>
      <w:r>
        <w:rPr/>
        <w:t>.</w:t>
      </w:r>
    </w:p>
    <w:p>
      <w:pPr>
        <w:pStyle w:val="BodyText"/>
        <w:bidi w:val="0"/>
        <w:jc w:val="start"/>
        <w:rPr/>
      </w:pPr>
      <w:r>
        <w:rPr>
          <w:b/>
        </w:rPr>
        <w:t>Pessimistic scenario 1 — use the lowest growth projection.</w:t>
      </w:r>
      <w:r>
        <w:rPr/>
        <w:t xml:space="preserve"> Replace 13.12% with Simply Wall St's </w:t>
      </w:r>
      <w:r>
        <w:rPr>
          <w:b/>
        </w:rPr>
        <w:t>10.8%</w:t>
      </w:r>
      <w:r>
        <w:rPr/>
        <w:t>:</w:t>
      </w:r>
    </w:p>
    <w:p>
      <w:pPr>
        <w:pStyle w:val="BlockQuotation"/>
        <w:bidi w:val="0"/>
        <w:jc w:val="start"/>
        <w:rPr/>
      </w:pPr>
      <w:r>
        <w:rPr>
          <w:b/>
        </w:rPr>
        <w:t>Pessimistic value = $337</w:t>
      </w:r>
      <w:r>
        <w:rPr/>
        <w:t xml:space="preserve"> → at $310, still an </w:t>
      </w:r>
      <w:r>
        <w:rPr>
          <w:b/>
        </w:rPr>
        <w:t>8% discount</w:t>
      </w:r>
      <w:r>
        <w:rPr/>
        <w:t xml:space="preserve"> ("which is still not bad")</w:t>
      </w:r>
    </w:p>
    <w:p>
      <w:pPr>
        <w:pStyle w:val="BodyText"/>
        <w:bidi w:val="0"/>
        <w:jc w:val="start"/>
        <w:rPr/>
      </w:pPr>
      <w:r>
        <w:rPr>
          <w:b/>
        </w:rPr>
        <w:t>Pessimistic scenario 2 — halve the growth after year 5.</w:t>
      </w:r>
      <w:r>
        <w:rPr/>
        <w:t xml:space="preserve"> Keep the first 5 years at 13.12% but set the next-5-year rate to </w:t>
      </w:r>
      <w:r>
        <w:rPr>
          <w:b/>
        </w:rPr>
        <w:t>6.56%</w:t>
      </w:r>
      <w:r>
        <w:rPr/>
        <w:t xml:space="preserve"> (13.12 ÷ 2):</w:t>
      </w:r>
    </w:p>
    <w:p>
      <w:pPr>
        <w:pStyle w:val="BlockQuotation"/>
        <w:bidi w:val="0"/>
        <w:jc w:val="start"/>
        <w:rPr/>
      </w:pPr>
      <w:r>
        <w:rPr>
          <w:b/>
        </w:rPr>
        <w:t>Pessimistic value = $324.99 ≈ $325</w:t>
      </w:r>
      <w:r>
        <w:rPr/>
        <w:t xml:space="preserve"> → still undervalued</w:t>
      </w:r>
    </w:p>
    <w:tbl>
      <w:tblPr>
        <w:tblW w:w="5000" w:type="pct"/>
        <w:jc w:val="start"/>
        <w:tblInd w:w="-5" w:type="dxa"/>
        <w:tblLayout w:type="fixed"/>
        <w:tblCellMar>
          <w:top w:w="55" w:type="dxa"/>
          <w:start w:w="55" w:type="dxa"/>
          <w:bottom w:w="55" w:type="dxa"/>
          <w:end w:w="55" w:type="dxa"/>
        </w:tblCellMar>
      </w:tblPr>
      <w:tblGrid>
        <w:gridCol w:w="2409"/>
        <w:gridCol w:w="2410"/>
        <w:gridCol w:w="2409"/>
        <w:gridCol w:w="2410"/>
      </w:tblGrid>
      <w:tr>
        <w:trPr>
          <w:tblHeader w:val="true"/>
        </w:trPr>
        <w:tc>
          <w:tcPr>
            <w:tcW w:w="2409" w:type="dxa"/>
            <w:tcBorders>
              <w:top w:val="single" w:sz="4" w:space="0" w:color="000000"/>
              <w:start w:val="single" w:sz="4" w:space="0" w:color="000000"/>
              <w:bottom w:val="single" w:sz="4" w:space="0" w:color="000000"/>
            </w:tcBorders>
          </w:tcPr>
          <w:p>
            <w:pPr>
              <w:pStyle w:val="TableHeading"/>
              <w:bidi w:val="0"/>
              <w:jc w:val="start"/>
              <w:rPr/>
            </w:pPr>
            <w:r>
              <w:rPr/>
              <w:t>Scenario</w:t>
            </w:r>
          </w:p>
        </w:tc>
        <w:tc>
          <w:tcPr>
            <w:tcW w:w="2410" w:type="dxa"/>
            <w:tcBorders>
              <w:top w:val="single" w:sz="4" w:space="0" w:color="000000"/>
              <w:start w:val="single" w:sz="4" w:space="0" w:color="000000"/>
              <w:bottom w:val="single" w:sz="4" w:space="0" w:color="000000"/>
            </w:tcBorders>
          </w:tcPr>
          <w:p>
            <w:pPr>
              <w:pStyle w:val="TableHeading"/>
              <w:bidi w:val="0"/>
              <w:jc w:val="start"/>
              <w:rPr/>
            </w:pPr>
            <w:r>
              <w:rPr/>
              <w:t>1st-5-yr growth</w:t>
            </w:r>
          </w:p>
        </w:tc>
        <w:tc>
          <w:tcPr>
            <w:tcW w:w="2409" w:type="dxa"/>
            <w:tcBorders>
              <w:top w:val="single" w:sz="4" w:space="0" w:color="000000"/>
              <w:start w:val="single" w:sz="4" w:space="0" w:color="000000"/>
              <w:bottom w:val="single" w:sz="4" w:space="0" w:color="000000"/>
            </w:tcBorders>
          </w:tcPr>
          <w:p>
            <w:pPr>
              <w:pStyle w:val="TableHeading"/>
              <w:bidi w:val="0"/>
              <w:jc w:val="start"/>
              <w:rPr/>
            </w:pPr>
            <w:r>
              <w:rPr/>
              <w:t>Next-5-yr growth</w:t>
            </w:r>
          </w:p>
        </w:tc>
        <w:tc>
          <w:tcPr>
            <w:tcW w:w="2410"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Intrinsic value</w:t>
            </w:r>
          </w:p>
        </w:tc>
      </w:tr>
      <w:tr>
        <w:trPr/>
        <w:tc>
          <w:tcPr>
            <w:tcW w:w="2409" w:type="dxa"/>
            <w:tcBorders>
              <w:start w:val="single" w:sz="4" w:space="0" w:color="000000"/>
              <w:bottom w:val="single" w:sz="4" w:space="0" w:color="000000"/>
            </w:tcBorders>
          </w:tcPr>
          <w:p>
            <w:pPr>
              <w:pStyle w:val="TableContents"/>
              <w:bidi w:val="0"/>
              <w:jc w:val="start"/>
              <w:rPr/>
            </w:pPr>
            <w:r>
              <w:rPr>
                <w:b/>
              </w:rPr>
              <w:t>Base case</w:t>
            </w:r>
          </w:p>
        </w:tc>
        <w:tc>
          <w:tcPr>
            <w:tcW w:w="2410" w:type="dxa"/>
            <w:tcBorders>
              <w:start w:val="single" w:sz="4" w:space="0" w:color="000000"/>
              <w:bottom w:val="single" w:sz="4" w:space="0" w:color="000000"/>
            </w:tcBorders>
          </w:tcPr>
          <w:p>
            <w:pPr>
              <w:pStyle w:val="TableContents"/>
              <w:bidi w:val="0"/>
              <w:jc w:val="start"/>
              <w:rPr/>
            </w:pPr>
            <w:r>
              <w:rPr/>
              <w:t>13.12%</w:t>
            </w:r>
          </w:p>
        </w:tc>
        <w:tc>
          <w:tcPr>
            <w:tcW w:w="2409" w:type="dxa"/>
            <w:tcBorders>
              <w:start w:val="single" w:sz="4" w:space="0" w:color="000000"/>
              <w:bottom w:val="single" w:sz="4" w:space="0" w:color="000000"/>
            </w:tcBorders>
          </w:tcPr>
          <w:p>
            <w:pPr>
              <w:pStyle w:val="TableContents"/>
              <w:bidi w:val="0"/>
              <w:jc w:val="start"/>
              <w:rPr/>
            </w:pPr>
            <w:r>
              <w:rPr/>
              <w:t>13.12%</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b/>
              </w:rPr>
              <w:t>$398</w:t>
            </w:r>
          </w:p>
        </w:tc>
      </w:tr>
      <w:tr>
        <w:trPr/>
        <w:tc>
          <w:tcPr>
            <w:tcW w:w="2409" w:type="dxa"/>
            <w:tcBorders>
              <w:start w:val="single" w:sz="4" w:space="0" w:color="000000"/>
              <w:bottom w:val="single" w:sz="4" w:space="0" w:color="000000"/>
            </w:tcBorders>
          </w:tcPr>
          <w:p>
            <w:pPr>
              <w:pStyle w:val="TableContents"/>
              <w:bidi w:val="0"/>
              <w:jc w:val="start"/>
              <w:rPr/>
            </w:pPr>
            <w:r>
              <w:rPr/>
              <w:t>Pessimistic 1 (lowest projection)</w:t>
            </w:r>
          </w:p>
        </w:tc>
        <w:tc>
          <w:tcPr>
            <w:tcW w:w="2410" w:type="dxa"/>
            <w:tcBorders>
              <w:start w:val="single" w:sz="4" w:space="0" w:color="000000"/>
              <w:bottom w:val="single" w:sz="4" w:space="0" w:color="000000"/>
            </w:tcBorders>
          </w:tcPr>
          <w:p>
            <w:pPr>
              <w:pStyle w:val="TableContents"/>
              <w:bidi w:val="0"/>
              <w:jc w:val="start"/>
              <w:rPr/>
            </w:pPr>
            <w:r>
              <w:rPr/>
              <w:t>10.8%</w:t>
            </w:r>
          </w:p>
        </w:tc>
        <w:tc>
          <w:tcPr>
            <w:tcW w:w="2409" w:type="dxa"/>
            <w:tcBorders>
              <w:start w:val="single" w:sz="4" w:space="0" w:color="000000"/>
              <w:bottom w:val="single" w:sz="4" w:space="0" w:color="000000"/>
            </w:tcBorders>
          </w:tcPr>
          <w:p>
            <w:pPr>
              <w:pStyle w:val="TableContents"/>
              <w:bidi w:val="0"/>
              <w:jc w:val="start"/>
              <w:rPr/>
            </w:pPr>
            <w:r>
              <w:rPr/>
              <w:t>10.8%</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b/>
              </w:rPr>
              <w:t>$337</w:t>
            </w:r>
          </w:p>
        </w:tc>
      </w:tr>
      <w:tr>
        <w:trPr/>
        <w:tc>
          <w:tcPr>
            <w:tcW w:w="2409" w:type="dxa"/>
            <w:tcBorders>
              <w:start w:val="single" w:sz="4" w:space="0" w:color="000000"/>
              <w:bottom w:val="single" w:sz="4" w:space="0" w:color="000000"/>
            </w:tcBorders>
          </w:tcPr>
          <w:p>
            <w:pPr>
              <w:pStyle w:val="TableContents"/>
              <w:bidi w:val="0"/>
              <w:jc w:val="start"/>
              <w:rPr/>
            </w:pPr>
            <w:r>
              <w:rPr/>
              <w:t>Pessimistic 2 (growth halves after yr 5)</w:t>
            </w:r>
          </w:p>
        </w:tc>
        <w:tc>
          <w:tcPr>
            <w:tcW w:w="2410" w:type="dxa"/>
            <w:tcBorders>
              <w:start w:val="single" w:sz="4" w:space="0" w:color="000000"/>
              <w:bottom w:val="single" w:sz="4" w:space="0" w:color="000000"/>
            </w:tcBorders>
          </w:tcPr>
          <w:p>
            <w:pPr>
              <w:pStyle w:val="TableContents"/>
              <w:bidi w:val="0"/>
              <w:jc w:val="start"/>
              <w:rPr/>
            </w:pPr>
            <w:r>
              <w:rPr/>
              <w:t>13.12%</w:t>
            </w:r>
          </w:p>
        </w:tc>
        <w:tc>
          <w:tcPr>
            <w:tcW w:w="2409" w:type="dxa"/>
            <w:tcBorders>
              <w:start w:val="single" w:sz="4" w:space="0" w:color="000000"/>
              <w:bottom w:val="single" w:sz="4" w:space="0" w:color="000000"/>
            </w:tcBorders>
          </w:tcPr>
          <w:p>
            <w:pPr>
              <w:pStyle w:val="TableContents"/>
              <w:bidi w:val="0"/>
              <w:jc w:val="start"/>
              <w:rPr/>
            </w:pPr>
            <w:r>
              <w:rPr/>
              <w:t>6.56%</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b/>
              </w:rPr>
              <w:t>$325</w:t>
            </w:r>
          </w:p>
        </w:tc>
      </w:tr>
    </w:tbl>
    <w:p>
      <w:pPr>
        <w:pStyle w:val="BodyText"/>
        <w:bidi w:val="0"/>
        <w:jc w:val="start"/>
        <w:rPr/>
      </w:pPr>
      <w:r>
        <w:rPr/>
      </w:r>
    </w:p>
    <w:p>
      <w:pPr>
        <w:pStyle w:val="BodyText"/>
        <w:bidi w:val="0"/>
        <w:jc w:val="start"/>
        <w:rPr/>
      </w:pPr>
      <w:r>
        <w:rPr>
          <w:b/>
        </w:rPr>
        <w:t>Valuation range: $325 – $398</w:t>
      </w:r>
      <w:r>
        <w:rPr/>
        <w:t xml:space="preserve">, against a share price of </w:t>
      </w:r>
      <w:r>
        <w:rPr>
          <w:b/>
        </w:rPr>
        <w:t>$310</w:t>
      </w:r>
      <w:r>
        <w:rPr/>
        <w:t>.</w:t>
      </w:r>
    </w:p>
    <w:p>
      <w:pPr>
        <w:pStyle w:val="BlockQuotation"/>
        <w:bidi w:val="0"/>
        <w:jc w:val="start"/>
        <w:rPr/>
      </w:pPr>
      <w:r>
        <w:rPr/>
        <w:t>"Do you feel pretty safe buying at this price knowing that the company's worth anywhere between $325 to $398? Yeah, I am."</w:t>
      </w:r>
    </w:p>
    <w:p>
      <w:pPr>
        <w:pStyle w:val="BodyText"/>
        <w:bidi w:val="0"/>
        <w:jc w:val="start"/>
        <w:rPr/>
      </w:pPr>
      <w:r>
        <w:rPr/>
        <w:t xml:space="preserve">Principle: "If the current share price is below </w:t>
      </w:r>
      <w:r>
        <w:rPr>
          <w:b/>
        </w:rPr>
        <w:t>even the pessimistic one</w:t>
      </w:r>
      <w:r>
        <w:rPr/>
        <w:t>, that gives you a great margin of safety."</w:t>
      </w:r>
    </w:p>
    <w:p>
      <w:pPr>
        <w:pStyle w:val="Heading3"/>
        <w:bidi w:val="0"/>
        <w:ind w:hanging="0" w:start="0"/>
        <w:jc w:val="start"/>
        <w:rPr/>
      </w:pPr>
      <w:r>
        <w:rPr/>
        <w:t>2.8 Step 7 — Technical analysis and entry plan</w:t>
      </w:r>
    </w:p>
    <w:p>
      <w:pPr>
        <w:pStyle w:val="BodyText"/>
        <w:bidi w:val="0"/>
        <w:jc w:val="start"/>
        <w:rPr/>
      </w:pPr>
      <w:r>
        <w:rPr/>
        <w:t xml:space="preserve">Entry triggers (stated as the three valid setups): buy on </w:t>
      </w:r>
      <w:r>
        <w:rPr>
          <w:b/>
        </w:rPr>
        <w:t>a dip within an uptrend</w:t>
      </w:r>
      <w:r>
        <w:rPr/>
        <w:t xml:space="preserve">, at the </w:t>
      </w:r>
      <w:r>
        <w:rPr>
          <w:b/>
        </w:rPr>
        <w:t>support level of a consolidation</w:t>
      </w:r>
      <w:r>
        <w:rPr/>
        <w:t xml:space="preserve">, or when price </w:t>
      </w:r>
      <w:r>
        <w:rPr>
          <w:b/>
        </w:rPr>
        <w:t>reverses into a new uptrend</w:t>
      </w:r>
      <w:r>
        <w:rPr/>
        <w:t>.</w:t>
      </w:r>
    </w:p>
    <w:p>
      <w:pPr>
        <w:pStyle w:val="BodyText"/>
        <w:bidi w:val="0"/>
        <w:jc w:val="start"/>
        <w:rPr/>
      </w:pPr>
      <w:r>
        <w:rPr/>
        <w:t xml:space="preserve">The </w:t>
      </w:r>
      <w:r>
        <w:rPr>
          <w:b/>
        </w:rPr>
        <w:t>green intrinsic-value line is drawn at $325</w:t>
      </w:r>
      <w:r>
        <w:rPr/>
        <w:t xml:space="preserve"> — i.e. deliberately at the </w:t>
      </w:r>
      <w:r>
        <w:rPr>
          <w:i/>
        </w:rPr>
        <w:t>most pessimistic</w:t>
      </w:r>
      <w:r>
        <w:rPr/>
        <w:t xml:space="preserve"> value, "but of course you can put the more optimistic one as well."</w:t>
      </w:r>
    </w:p>
    <w:p>
      <w:pPr>
        <w:pStyle w:val="BodyText"/>
        <w:bidi w:val="0"/>
        <w:jc w:val="start"/>
        <w:rPr/>
      </w:pPr>
      <w:r>
        <w:rPr>
          <w:b/>
        </w:rPr>
        <w:t>(a) 10-year monthly.</w:t>
      </w:r>
      <w:r>
        <w:rPr/>
        <w:t xml:space="preserve"> "I want to see a clear uptrend like that. If I don't get a clear uptrend, I'm not interested in the stock in the first place." ✔ Then: where does price land whenever there's a crash? Repeatedly at the </w:t>
      </w:r>
      <w:r>
        <w:rPr>
          <w:b/>
        </w:rPr>
        <w:t>20 MA (red dotted line)</w:t>
      </w:r>
      <w:r>
        <w:rPr/>
        <w:t xml:space="preserve"> — multiple historical touches. → Support drawn at </w:t>
      </w:r>
      <w:r>
        <w:rPr>
          <w:b/>
        </w:rPr>
        <w:t>$262</w:t>
      </w:r>
      <w:r>
        <w:rPr/>
        <w:t>. "If Microsoft crashes because of whatever reason — bear market or nuclear war or whatever it is — then you can be sure that it's going to hit this support level and you want to be a buy at 262."</w:t>
      </w:r>
    </w:p>
    <w:p>
      <w:pPr>
        <w:pStyle w:val="BodyText"/>
        <w:bidi w:val="0"/>
        <w:jc w:val="start"/>
        <w:rPr/>
      </w:pPr>
      <w:r>
        <w:rPr/>
        <w:t xml:space="preserve">Important qualifier: this does </w:t>
      </w:r>
      <w:r>
        <w:rPr>
          <w:b/>
        </w:rPr>
        <w:t>not</w:t>
      </w:r>
      <w:r>
        <w:rPr/>
        <w:t xml:space="preserve"> mean waiting only for 262. "We can start buying now because it's already undervalued… you never know when it's going to hit that. It may hit that this year, next year, three years from now… So if you want to wait only when it reaches there, then you may buy maybe once every few years."</w:t>
      </w:r>
    </w:p>
    <w:p>
      <w:pPr>
        <w:pStyle w:val="BodyText"/>
        <w:bidi w:val="0"/>
        <w:jc w:val="start"/>
        <w:rPr/>
      </w:pPr>
      <w:r>
        <w:rPr>
          <w:b/>
        </w:rPr>
        <w:t>(b) 5-year weekly.</w:t>
      </w:r>
      <w:r>
        <w:rPr/>
        <w:t xml:space="preserve"> Price hit the </w:t>
      </w:r>
      <w:r>
        <w:rPr>
          <w:b/>
        </w:rPr>
        <w:t>50 MA (blue line)</w:t>
      </w:r>
      <w:r>
        <w:rPr/>
        <w:t xml:space="preserve"> — a strong historical support that also coincides with a </w:t>
      </w:r>
      <w:r>
        <w:rPr>
          <w:b/>
        </w:rPr>
        <w:t>previous swing low</w:t>
      </w:r>
      <w:r>
        <w:rPr/>
        <w:t xml:space="preserve">. → Support drawn at </w:t>
      </w:r>
      <w:r>
        <w:rPr>
          <w:b/>
        </w:rPr>
        <w:t>$283</w:t>
      </w:r>
      <w:r>
        <w:rPr/>
        <w:t xml:space="preserve">. Also, the </w:t>
      </w:r>
      <w:r>
        <w:rPr>
          <w:b/>
        </w:rPr>
        <w:t>20 MA on weekly</w:t>
      </w:r>
      <w:r>
        <w:rPr/>
        <w:t xml:space="preserve"> is a strong support. → Support drawn at </w:t>
      </w:r>
      <w:r>
        <w:rPr>
          <w:b/>
        </w:rPr>
        <w:t>$305</w:t>
      </w:r>
      <w:r>
        <w:rPr/>
        <w:t>.</w:t>
      </w:r>
    </w:p>
    <w:p>
      <w:pPr>
        <w:pStyle w:val="BodyText"/>
        <w:bidi w:val="0"/>
        <w:jc w:val="start"/>
        <w:rPr/>
      </w:pPr>
      <w:r>
        <w:rPr>
          <w:b/>
        </w:rPr>
        <w:t>(c) 1-year daily.</w:t>
      </w:r>
      <w:r>
        <w:rPr/>
        <w:t xml:space="preserve"> Clear wave pattern; price is currently waving down and has found support at the </w:t>
      </w:r>
      <w:r>
        <w:rPr>
          <w:b/>
        </w:rPr>
        <w:t>green line = 150 MA</w:t>
      </w:r>
      <w:r>
        <w:rPr/>
        <w:t xml:space="preserve">, which coincides with </w:t>
      </w:r>
      <w:r>
        <w:rPr>
          <w:b/>
        </w:rPr>
        <w:t>previous resistance turning into support</w:t>
      </w:r>
      <w:r>
        <w:rPr/>
        <w:t xml:space="preserve">. → Support drawn at </w:t>
      </w:r>
      <w:r>
        <w:rPr>
          <w:b/>
        </w:rPr>
        <w:t>$316</w:t>
      </w:r>
      <w:r>
        <w:rPr/>
        <w:t>. "Resistance becomes a support. Beautiful, right?"</w:t>
      </w:r>
    </w:p>
    <w:p>
      <w:pPr>
        <w:pStyle w:val="Heading4"/>
        <w:bidi w:val="0"/>
        <w:ind w:hanging="0" w:start="0"/>
        <w:jc w:val="start"/>
        <w:rPr/>
      </w:pPr>
      <w:r>
        <w:rPr/>
        <w:t>MSFT final verdict and entry ladder</w:t>
      </w:r>
    </w:p>
    <w:tbl>
      <w:tblPr>
        <w:tblW w:w="5000" w:type="pct"/>
        <w:jc w:val="start"/>
        <w:tblInd w:w="-5" w:type="dxa"/>
        <w:tblLayout w:type="fixed"/>
        <w:tblCellMar>
          <w:top w:w="55" w:type="dxa"/>
          <w:start w:w="55" w:type="dxa"/>
          <w:bottom w:w="55" w:type="dxa"/>
          <w:end w:w="55" w:type="dxa"/>
        </w:tblCellMar>
      </w:tblPr>
      <w:tblGrid>
        <w:gridCol w:w="4819"/>
        <w:gridCol w:w="4819"/>
      </w:tblGrid>
      <w:tr>
        <w:trPr>
          <w:tblHeader w:val="true"/>
        </w:trPr>
        <w:tc>
          <w:tcPr>
            <w:tcW w:w="4819" w:type="dxa"/>
            <w:tcBorders>
              <w:top w:val="single" w:sz="4" w:space="0" w:color="000000"/>
              <w:start w:val="single" w:sz="4" w:space="0" w:color="000000"/>
              <w:bottom w:val="single" w:sz="4" w:space="0" w:color="000000"/>
            </w:tcBorders>
          </w:tcPr>
          <w:p>
            <w:pPr>
              <w:pStyle w:val="TableHeading"/>
              <w:bidi w:val="0"/>
              <w:jc w:val="start"/>
              <w:rPr/>
            </w:pPr>
            <w:r>
              <w:rPr/>
              <w:t>Support level</w:t>
            </w:r>
          </w:p>
        </w:tc>
        <w:tc>
          <w:tcPr>
            <w:tcW w:w="4819"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Where it comes from</w:t>
            </w:r>
          </w:p>
        </w:tc>
      </w:tr>
      <w:tr>
        <w:trPr/>
        <w:tc>
          <w:tcPr>
            <w:tcW w:w="4819" w:type="dxa"/>
            <w:tcBorders>
              <w:start w:val="single" w:sz="4" w:space="0" w:color="000000"/>
              <w:bottom w:val="single" w:sz="4" w:space="0" w:color="000000"/>
            </w:tcBorders>
          </w:tcPr>
          <w:p>
            <w:pPr>
              <w:pStyle w:val="TableContents"/>
              <w:bidi w:val="0"/>
              <w:jc w:val="start"/>
              <w:rPr/>
            </w:pPr>
            <w:r>
              <w:rPr>
                <w:b/>
              </w:rPr>
              <w:t>$316</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Daily 150 MA + previous resistance turned support</w:t>
            </w:r>
          </w:p>
        </w:tc>
      </w:tr>
      <w:tr>
        <w:trPr/>
        <w:tc>
          <w:tcPr>
            <w:tcW w:w="4819" w:type="dxa"/>
            <w:tcBorders>
              <w:start w:val="single" w:sz="4" w:space="0" w:color="000000"/>
              <w:bottom w:val="single" w:sz="4" w:space="0" w:color="000000"/>
            </w:tcBorders>
          </w:tcPr>
          <w:p>
            <w:pPr>
              <w:pStyle w:val="TableContents"/>
              <w:bidi w:val="0"/>
              <w:jc w:val="start"/>
              <w:rPr/>
            </w:pPr>
            <w:r>
              <w:rPr>
                <w:b/>
              </w:rPr>
              <w:t>$305</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Weekly 20 MA</w:t>
            </w:r>
          </w:p>
        </w:tc>
      </w:tr>
      <w:tr>
        <w:trPr/>
        <w:tc>
          <w:tcPr>
            <w:tcW w:w="4819" w:type="dxa"/>
            <w:tcBorders>
              <w:start w:val="single" w:sz="4" w:space="0" w:color="000000"/>
              <w:bottom w:val="single" w:sz="4" w:space="0" w:color="000000"/>
            </w:tcBorders>
          </w:tcPr>
          <w:p>
            <w:pPr>
              <w:pStyle w:val="TableContents"/>
              <w:bidi w:val="0"/>
              <w:jc w:val="start"/>
              <w:rPr/>
            </w:pPr>
            <w:r>
              <w:rPr>
                <w:b/>
              </w:rPr>
              <w:t>$283</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Weekly 50 MA + previous swing low</w:t>
            </w:r>
          </w:p>
        </w:tc>
      </w:tr>
      <w:tr>
        <w:trPr/>
        <w:tc>
          <w:tcPr>
            <w:tcW w:w="4819" w:type="dxa"/>
            <w:tcBorders>
              <w:start w:val="single" w:sz="4" w:space="0" w:color="000000"/>
              <w:bottom w:val="single" w:sz="4" w:space="0" w:color="000000"/>
            </w:tcBorders>
          </w:tcPr>
          <w:p>
            <w:pPr>
              <w:pStyle w:val="TableContents"/>
              <w:bidi w:val="0"/>
              <w:jc w:val="start"/>
              <w:rPr/>
            </w:pPr>
            <w:r>
              <w:rPr>
                <w:b/>
              </w:rPr>
              <w:t>$262</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Monthly 20 MA (crash-level support)</w:t>
            </w:r>
          </w:p>
        </w:tc>
      </w:tr>
    </w:tbl>
    <w:p>
      <w:pPr>
        <w:pStyle w:val="BodyText"/>
        <w:bidi w:val="0"/>
        <w:jc w:val="start"/>
        <w:rPr/>
      </w:pPr>
      <w:r>
        <w:rPr/>
      </w:r>
    </w:p>
    <w:p>
      <w:pPr>
        <w:pStyle w:val="BodyText"/>
        <w:bidi w:val="0"/>
        <w:jc w:val="start"/>
        <w:rPr/>
      </w:pPr>
      <w:r>
        <w:rPr/>
        <w:t xml:space="preserve">Green intrinsic-value line: </w:t>
      </w:r>
      <w:r>
        <w:rPr>
          <w:b/>
        </w:rPr>
        <w:t>$325</w:t>
      </w:r>
      <w:r>
        <w:rPr/>
        <w:t xml:space="preserve">. Price: </w:t>
      </w:r>
      <w:r>
        <w:rPr>
          <w:b/>
        </w:rPr>
        <w:t>$310</w:t>
      </w:r>
      <w:r>
        <w:rPr/>
        <w:t xml:space="preserve"> (already below the pessimistic value).</w:t>
      </w:r>
    </w:p>
    <w:p>
      <w:pPr>
        <w:pStyle w:val="BodyText"/>
        <w:bidi w:val="0"/>
        <w:jc w:val="start"/>
        <w:rPr/>
      </w:pPr>
      <w:r>
        <w:rPr>
          <w:b/>
        </w:rPr>
        <w:t>Tranche execution as described:</w:t>
      </w:r>
      <w:r>
        <w:rPr/>
        <w:t xml:space="preserve"> "After this wave up, it's now wave down, it hit the first level, and it's undervalued — I could have bought </w:t>
      </w:r>
      <w:r>
        <w:rPr>
          <w:b/>
        </w:rPr>
        <w:t>one quarter of my planned allocation</w:t>
      </w:r>
      <w:r>
        <w:rPr/>
        <w:t xml:space="preserve"> here. Now it hit the second level, I buy another one quarter, so I could have bought </w:t>
      </w:r>
      <w:r>
        <w:rPr>
          <w:b/>
        </w:rPr>
        <w:t>half</w:t>
      </w:r>
      <w:r>
        <w:rPr/>
        <w:t xml:space="preserve"> of the intended Microsoft shares I want to buy in my portfolio… and of course if it drops even further, then I would add even more until I have a </w:t>
      </w:r>
      <w:r>
        <w:rPr>
          <w:b/>
        </w:rPr>
        <w:t>full position</w:t>
      </w:r>
      <w:r>
        <w:rPr/>
        <w:t>." If it never reaches the lower levels and instead waves back up and down again, you simply buy the next time it returns to a level.</w:t>
      </w:r>
    </w:p>
    <w:p>
      <w:pPr>
        <w:pStyle w:val="BodyText"/>
        <w:bidi w:val="0"/>
        <w:jc w:val="start"/>
        <w:rPr/>
      </w:pPr>
      <w:r>
        <w:rPr>
          <w:b/>
        </w:rPr>
        <w:t>Verdict: great business, undervalued, and at a valid entry point — buy in quarters at $316 / $305 / $283 / $262.</w:t>
      </w:r>
    </w:p>
    <w:p>
      <w:pPr>
        <w:pStyle w:val="HorizontalLine"/>
        <w:bidi w:val="0"/>
        <w:jc w:val="start"/>
        <w:rPr/>
      </w:pPr>
      <w:r>
        <w:rPr/>
      </w:r>
    </w:p>
    <w:p>
      <w:pPr>
        <w:pStyle w:val="Heading2"/>
        <w:bidi w:val="0"/>
        <w:ind w:hanging="0" w:start="0"/>
        <w:jc w:val="start"/>
        <w:rPr/>
      </w:pPr>
      <w:r>
        <w:rPr/>
        <w:t>3. AMAZON (AMZN) — Lessons 57 &amp; 58</w:t>
      </w:r>
    </w:p>
    <w:p>
      <w:pPr>
        <w:pStyle w:val="BodyText"/>
        <w:bidi w:val="0"/>
        <w:jc w:val="start"/>
        <w:rPr/>
      </w:pPr>
      <w:r>
        <w:rPr/>
        <w:t xml:space="preserve">Listed: </w:t>
      </w:r>
      <w:r>
        <w:rPr>
          <w:b/>
        </w:rPr>
        <w:t>NASDAQ</w:t>
      </w:r>
      <w:r>
        <w:rPr/>
        <w:t>.</w:t>
      </w:r>
    </w:p>
    <w:p>
      <w:pPr>
        <w:pStyle w:val="Heading3"/>
        <w:bidi w:val="0"/>
        <w:ind w:hanging="0" w:start="0"/>
        <w:jc w:val="start"/>
        <w:rPr/>
      </w:pPr>
      <w:r>
        <w:rPr/>
        <w:t>3.0 Thesis and classification</w:t>
      </w:r>
    </w:p>
    <w:p>
      <w:pPr>
        <w:pStyle w:val="BlockQuotation"/>
        <w:bidi w:val="0"/>
        <w:jc w:val="start"/>
        <w:rPr/>
      </w:pPr>
      <w:r>
        <w:rPr>
          <w:b/>
        </w:rPr>
        <w:t>Thesis: large-cap GROWTH.</w:t>
      </w:r>
      <w:r>
        <w:rPr/>
        <w:t xml:space="preserve"> "When a company grows more than 20%, we classify it as a growth company."</w:t>
      </w:r>
    </w:p>
    <w:p>
      <w:pPr>
        <w:pStyle w:val="BodyText"/>
        <w:bidi w:val="0"/>
        <w:jc w:val="start"/>
        <w:rPr/>
      </w:pPr>
      <w:r>
        <w:rPr>
          <w:b/>
        </w:rPr>
        <w:t>Sector correction Adam insists on:</w:t>
      </w:r>
      <w:r>
        <w:rPr/>
        <w:t xml:space="preserve"> "Some people think that Amazon's a technology stock. </w:t>
      </w:r>
      <w:r>
        <w:rPr>
          <w:b/>
        </w:rPr>
        <w:t>No it's not.</w:t>
      </w:r>
      <w:r>
        <w:rPr/>
        <w:t xml:space="preserve"> It is a </w:t>
      </w:r>
      <w:r>
        <w:rPr>
          <w:b/>
        </w:rPr>
        <w:t>retail company</w:t>
      </w:r>
      <w:r>
        <w:rPr/>
        <w:t xml:space="preserve"> that is within the </w:t>
      </w:r>
      <w:r>
        <w:rPr>
          <w:b/>
        </w:rPr>
        <w:t>consumer discretionary sector</w:t>
      </w:r>
      <w:r>
        <w:rPr/>
        <w:t xml:space="preserve">," in the </w:t>
      </w:r>
      <w:r>
        <w:rPr>
          <w:b/>
        </w:rPr>
        <w:t>retail industry</w:t>
      </w:r>
      <w:r>
        <w:rPr/>
        <w:t>.</w:t>
      </w:r>
    </w:p>
    <w:p>
      <w:pPr>
        <w:pStyle w:val="BodyText"/>
        <w:bidi w:val="0"/>
        <w:jc w:val="start"/>
        <w:rPr/>
      </w:pPr>
      <w:r>
        <w:rPr/>
        <w:t>Understand the business as a customer — Adam is an Amazon Prime member.</w:t>
      </w:r>
    </w:p>
    <w:p>
      <w:pPr>
        <w:pStyle w:val="Heading3"/>
        <w:bidi w:val="0"/>
        <w:ind w:hanging="0" w:start="0"/>
        <w:jc w:val="start"/>
        <w:rPr/>
      </w:pPr>
      <w:r>
        <w:rPr/>
        <w:t>3.1 Business overview, segments and competitors</w:t>
      </w:r>
    </w:p>
    <w:tbl>
      <w:tblPr>
        <w:tblW w:w="5000" w:type="pct"/>
        <w:jc w:val="start"/>
        <w:tblInd w:w="-5" w:type="dxa"/>
        <w:tblLayout w:type="fixed"/>
        <w:tblCellMar>
          <w:top w:w="55" w:type="dxa"/>
          <w:start w:w="55" w:type="dxa"/>
          <w:bottom w:w="55" w:type="dxa"/>
          <w:end w:w="55" w:type="dxa"/>
        </w:tblCellMar>
      </w:tblPr>
      <w:tblGrid>
        <w:gridCol w:w="3212"/>
        <w:gridCol w:w="3213"/>
        <w:gridCol w:w="3213"/>
      </w:tblGrid>
      <w:tr>
        <w:trPr>
          <w:tblHeader w:val="true"/>
        </w:trPr>
        <w:tc>
          <w:tcPr>
            <w:tcW w:w="3212" w:type="dxa"/>
            <w:tcBorders>
              <w:top w:val="single" w:sz="4" w:space="0" w:color="000000"/>
              <w:start w:val="single" w:sz="4" w:space="0" w:color="000000"/>
              <w:bottom w:val="single" w:sz="4" w:space="0" w:color="000000"/>
            </w:tcBorders>
          </w:tcPr>
          <w:p>
            <w:pPr>
              <w:pStyle w:val="TableHeading"/>
              <w:bidi w:val="0"/>
              <w:jc w:val="start"/>
              <w:rPr/>
            </w:pPr>
            <w:r>
              <w:rPr/>
              <w:t>Business</w:t>
            </w:r>
          </w:p>
        </w:tc>
        <w:tc>
          <w:tcPr>
            <w:tcW w:w="3213" w:type="dxa"/>
            <w:tcBorders>
              <w:top w:val="single" w:sz="4" w:space="0" w:color="000000"/>
              <w:start w:val="single" w:sz="4" w:space="0" w:color="000000"/>
              <w:bottom w:val="single" w:sz="4" w:space="0" w:color="000000"/>
            </w:tcBorders>
          </w:tcPr>
          <w:p>
            <w:pPr>
              <w:pStyle w:val="TableHeading"/>
              <w:bidi w:val="0"/>
              <w:jc w:val="start"/>
              <w:rPr/>
            </w:pPr>
            <w:r>
              <w:rPr/>
              <w:t>Description</w:t>
            </w:r>
          </w:p>
        </w:tc>
        <w:tc>
          <w:tcPr>
            <w:tcW w:w="3213"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Competitors</w:t>
            </w:r>
          </w:p>
        </w:tc>
      </w:tr>
      <w:tr>
        <w:trPr/>
        <w:tc>
          <w:tcPr>
            <w:tcW w:w="3212" w:type="dxa"/>
            <w:tcBorders>
              <w:start w:val="single" w:sz="4" w:space="0" w:color="000000"/>
              <w:bottom w:val="single" w:sz="4" w:space="0" w:color="000000"/>
            </w:tcBorders>
          </w:tcPr>
          <w:p>
            <w:pPr>
              <w:pStyle w:val="TableContents"/>
              <w:bidi w:val="0"/>
              <w:jc w:val="start"/>
              <w:rPr/>
            </w:pPr>
            <w:r>
              <w:rPr>
                <w:b/>
              </w:rPr>
              <w:t>Retail / e-commerce</w:t>
            </w:r>
            <w:r>
              <w:rPr/>
              <w:t xml:space="preserve"> (Amazon, Amazon Go)</w:t>
            </w:r>
          </w:p>
        </w:tc>
        <w:tc>
          <w:tcPr>
            <w:tcW w:w="3213" w:type="dxa"/>
            <w:tcBorders>
              <w:start w:val="single" w:sz="4" w:space="0" w:color="000000"/>
              <w:bottom w:val="single" w:sz="4" w:space="0" w:color="000000"/>
            </w:tcBorders>
          </w:tcPr>
          <w:p>
            <w:pPr>
              <w:pStyle w:val="TableContents"/>
              <w:bidi w:val="0"/>
              <w:jc w:val="start"/>
              <w:rPr/>
            </w:pPr>
            <w:r>
              <w:rPr/>
              <w:t xml:space="preserve">"One of the highest-grossing e-commerce retailers in the world" — deliberately </w:t>
            </w:r>
            <w:r>
              <w:rPr>
                <w:i/>
              </w:rPr>
              <w:t>not</w:t>
            </w:r>
            <w:r>
              <w:rPr/>
              <w:t xml:space="preserve"> "the highest": </w:t>
            </w:r>
            <w:r>
              <w:rPr>
                <w:b/>
              </w:rPr>
              <w:t>Alibaba is the biggest by gross merchandise value.</w:t>
            </w:r>
            <w:r>
              <w:rPr/>
              <w:t xml:space="preserve"> Amazon is "smaller than Alibaba in terms of GMV" but "a lot more profitable… much higher margins because of its cloud business"</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Alibaba, Walmart, Target, eBay</w:t>
            </w:r>
          </w:p>
        </w:tc>
      </w:tr>
      <w:tr>
        <w:trPr/>
        <w:tc>
          <w:tcPr>
            <w:tcW w:w="3212" w:type="dxa"/>
            <w:tcBorders>
              <w:start w:val="single" w:sz="4" w:space="0" w:color="000000"/>
              <w:bottom w:val="single" w:sz="4" w:space="0" w:color="000000"/>
            </w:tcBorders>
          </w:tcPr>
          <w:p>
            <w:pPr>
              <w:pStyle w:val="TableContents"/>
              <w:bidi w:val="0"/>
              <w:jc w:val="start"/>
              <w:rPr/>
            </w:pPr>
            <w:r>
              <w:rPr>
                <w:b/>
              </w:rPr>
              <w:t>Whole Foods</w:t>
            </w:r>
          </w:p>
        </w:tc>
        <w:tc>
          <w:tcPr>
            <w:tcW w:w="3213" w:type="dxa"/>
            <w:tcBorders>
              <w:start w:val="single" w:sz="4" w:space="0" w:color="000000"/>
              <w:bottom w:val="single" w:sz="4" w:space="0" w:color="000000"/>
            </w:tcBorders>
          </w:tcPr>
          <w:p>
            <w:pPr>
              <w:pStyle w:val="TableContents"/>
              <w:bidi w:val="0"/>
              <w:jc w:val="start"/>
              <w:rPr/>
            </w:pPr>
            <w:r>
              <w:rPr/>
              <w:t>Supermarket, healthy foods</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(grocery)</w:t>
            </w:r>
          </w:p>
        </w:tc>
      </w:tr>
      <w:tr>
        <w:trPr/>
        <w:tc>
          <w:tcPr>
            <w:tcW w:w="3212" w:type="dxa"/>
            <w:tcBorders>
              <w:start w:val="single" w:sz="4" w:space="0" w:color="000000"/>
              <w:bottom w:val="single" w:sz="4" w:space="0" w:color="000000"/>
            </w:tcBorders>
          </w:tcPr>
          <w:p>
            <w:pPr>
              <w:pStyle w:val="TableContents"/>
              <w:bidi w:val="0"/>
              <w:jc w:val="start"/>
              <w:rPr/>
            </w:pPr>
            <w:r>
              <w:rPr>
                <w:b/>
              </w:rPr>
              <w:t>Cloud — AWS</w:t>
            </w:r>
          </w:p>
        </w:tc>
        <w:tc>
          <w:tcPr>
            <w:tcW w:w="3213" w:type="dxa"/>
            <w:tcBorders>
              <w:start w:val="single" w:sz="4" w:space="0" w:color="000000"/>
              <w:bottom w:val="single" w:sz="4" w:space="0" w:color="000000"/>
            </w:tcBorders>
          </w:tcPr>
          <w:p>
            <w:pPr>
              <w:pStyle w:val="TableContents"/>
              <w:bidi w:val="0"/>
              <w:jc w:val="start"/>
              <w:rPr/>
            </w:pPr>
            <w:r>
              <w:rPr>
                <w:b/>
              </w:rPr>
              <w:t>The most profitable business, not retail.</w:t>
            </w:r>
            <w:r>
              <w:rPr/>
              <w:t xml:space="preserve"> "In cloud, Amazon is the market leader" — </w:t>
            </w:r>
            <w:r>
              <w:rPr>
                <w:b/>
              </w:rPr>
              <w:t>33% market share of the cloud market as of Q2 2020</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Microsoft Azure, Alibaba Cloud, Google Cloud</w:t>
            </w:r>
          </w:p>
        </w:tc>
      </w:tr>
      <w:tr>
        <w:trPr/>
        <w:tc>
          <w:tcPr>
            <w:tcW w:w="3212" w:type="dxa"/>
            <w:tcBorders>
              <w:start w:val="single" w:sz="4" w:space="0" w:color="000000"/>
              <w:bottom w:val="single" w:sz="4" w:space="0" w:color="000000"/>
            </w:tcBorders>
          </w:tcPr>
          <w:p>
            <w:pPr>
              <w:pStyle w:val="TableContents"/>
              <w:bidi w:val="0"/>
              <w:jc w:val="start"/>
              <w:rPr/>
            </w:pPr>
            <w:r>
              <w:rPr>
                <w:b/>
              </w:rPr>
              <w:t>Game streaming — Twitch</w:t>
            </w:r>
          </w:p>
        </w:tc>
        <w:tc>
          <w:tcPr>
            <w:tcW w:w="3213" w:type="dxa"/>
            <w:tcBorders>
              <w:start w:val="single" w:sz="4" w:space="0" w:color="000000"/>
              <w:bottom w:val="single" w:sz="4" w:space="0" w:color="000000"/>
            </w:tcBorders>
          </w:tcPr>
          <w:p>
            <w:pPr>
              <w:pStyle w:val="TableContents"/>
              <w:bidi w:val="0"/>
              <w:jc w:val="start"/>
              <w:rPr/>
            </w:pPr>
            <w:r>
              <w:rPr/>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YouTube Gaming, Mixer</w:t>
            </w:r>
          </w:p>
        </w:tc>
      </w:tr>
      <w:tr>
        <w:trPr/>
        <w:tc>
          <w:tcPr>
            <w:tcW w:w="3212" w:type="dxa"/>
            <w:tcBorders>
              <w:start w:val="single" w:sz="4" w:space="0" w:color="000000"/>
              <w:bottom w:val="single" w:sz="4" w:space="0" w:color="000000"/>
            </w:tcBorders>
          </w:tcPr>
          <w:p>
            <w:pPr>
              <w:pStyle w:val="TableContents"/>
              <w:bidi w:val="0"/>
              <w:jc w:val="start"/>
              <w:rPr/>
            </w:pPr>
            <w:r>
              <w:rPr>
                <w:b/>
              </w:rPr>
              <w:t>Amazon Prime Music</w:t>
            </w:r>
          </w:p>
        </w:tc>
        <w:tc>
          <w:tcPr>
            <w:tcW w:w="3213" w:type="dxa"/>
            <w:tcBorders>
              <w:start w:val="single" w:sz="4" w:space="0" w:color="000000"/>
              <w:bottom w:val="single" w:sz="4" w:space="0" w:color="000000"/>
            </w:tcBorders>
          </w:tcPr>
          <w:p>
            <w:pPr>
              <w:pStyle w:val="TableContents"/>
              <w:bidi w:val="0"/>
              <w:jc w:val="start"/>
              <w:rPr/>
            </w:pPr>
            <w:r>
              <w:rPr/>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Spotify, Apple Music</w:t>
            </w:r>
          </w:p>
        </w:tc>
      </w:tr>
      <w:tr>
        <w:trPr/>
        <w:tc>
          <w:tcPr>
            <w:tcW w:w="3212" w:type="dxa"/>
            <w:tcBorders>
              <w:start w:val="single" w:sz="4" w:space="0" w:color="000000"/>
              <w:bottom w:val="single" w:sz="4" w:space="0" w:color="000000"/>
            </w:tcBorders>
          </w:tcPr>
          <w:p>
            <w:pPr>
              <w:pStyle w:val="TableContents"/>
              <w:bidi w:val="0"/>
              <w:jc w:val="start"/>
              <w:rPr/>
            </w:pPr>
            <w:r>
              <w:rPr>
                <w:b/>
              </w:rPr>
              <w:t>Amazon Alexa</w:t>
            </w:r>
          </w:p>
        </w:tc>
        <w:tc>
          <w:tcPr>
            <w:tcW w:w="3213" w:type="dxa"/>
            <w:tcBorders>
              <w:start w:val="single" w:sz="4" w:space="0" w:color="000000"/>
              <w:bottom w:val="single" w:sz="4" w:space="0" w:color="000000"/>
            </w:tcBorders>
          </w:tcPr>
          <w:p>
            <w:pPr>
              <w:pStyle w:val="TableContents"/>
              <w:bidi w:val="0"/>
              <w:jc w:val="start"/>
              <w:rPr/>
            </w:pPr>
            <w:r>
              <w:rPr/>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Google Home</w:t>
            </w:r>
          </w:p>
        </w:tc>
      </w:tr>
      <w:tr>
        <w:trPr/>
        <w:tc>
          <w:tcPr>
            <w:tcW w:w="3212" w:type="dxa"/>
            <w:tcBorders>
              <w:start w:val="single" w:sz="4" w:space="0" w:color="000000"/>
              <w:bottom w:val="single" w:sz="4" w:space="0" w:color="000000"/>
            </w:tcBorders>
          </w:tcPr>
          <w:p>
            <w:pPr>
              <w:pStyle w:val="TableContents"/>
              <w:bidi w:val="0"/>
              <w:jc w:val="start"/>
              <w:rPr/>
            </w:pPr>
            <w:r>
              <w:rPr/>
              <w:t>Amazon Logistics (smaller)</w:t>
            </w:r>
          </w:p>
        </w:tc>
        <w:tc>
          <w:tcPr>
            <w:tcW w:w="3213" w:type="dxa"/>
            <w:tcBorders>
              <w:start w:val="single" w:sz="4" w:space="0" w:color="000000"/>
              <w:bottom w:val="single" w:sz="4" w:space="0" w:color="000000"/>
            </w:tcBorders>
          </w:tcPr>
          <w:p>
            <w:pPr>
              <w:pStyle w:val="TableContents"/>
              <w:bidi w:val="0"/>
              <w:jc w:val="start"/>
              <w:rPr/>
            </w:pPr>
            <w:r>
              <w:rPr/>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FedEx</w:t>
            </w:r>
          </w:p>
        </w:tc>
      </w:tr>
      <w:tr>
        <w:trPr/>
        <w:tc>
          <w:tcPr>
            <w:tcW w:w="3212" w:type="dxa"/>
            <w:tcBorders>
              <w:start w:val="single" w:sz="4" w:space="0" w:color="000000"/>
              <w:bottom w:val="single" w:sz="4" w:space="0" w:color="000000"/>
            </w:tcBorders>
          </w:tcPr>
          <w:p>
            <w:pPr>
              <w:pStyle w:val="TableContents"/>
              <w:bidi w:val="0"/>
              <w:jc w:val="start"/>
              <w:rPr/>
            </w:pPr>
            <w:r>
              <w:rPr/>
              <w:t>Amazon Pay (smaller)</w:t>
            </w:r>
          </w:p>
        </w:tc>
        <w:tc>
          <w:tcPr>
            <w:tcW w:w="3213" w:type="dxa"/>
            <w:tcBorders>
              <w:start w:val="single" w:sz="4" w:space="0" w:color="000000"/>
              <w:bottom w:val="single" w:sz="4" w:space="0" w:color="000000"/>
            </w:tcBorders>
          </w:tcPr>
          <w:p>
            <w:pPr>
              <w:pStyle w:val="TableContents"/>
              <w:bidi w:val="0"/>
              <w:jc w:val="start"/>
              <w:rPr/>
            </w:pPr>
            <w:r>
              <w:rPr/>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Stripe, Apple Pay, PayPal, Google Pay</w:t>
            </w:r>
          </w:p>
        </w:tc>
      </w:tr>
      <w:tr>
        <w:trPr/>
        <w:tc>
          <w:tcPr>
            <w:tcW w:w="3212" w:type="dxa"/>
            <w:tcBorders>
              <w:start w:val="single" w:sz="4" w:space="0" w:color="000000"/>
              <w:bottom w:val="single" w:sz="4" w:space="0" w:color="000000"/>
            </w:tcBorders>
          </w:tcPr>
          <w:p>
            <w:pPr>
              <w:pStyle w:val="TableContents"/>
              <w:bidi w:val="0"/>
              <w:jc w:val="start"/>
              <w:rPr/>
            </w:pPr>
            <w:r>
              <w:rPr/>
              <w:t>Kindle, Audible, Amazon Prime video (smaller)</w:t>
            </w:r>
          </w:p>
        </w:tc>
        <w:tc>
          <w:tcPr>
            <w:tcW w:w="3213" w:type="dxa"/>
            <w:tcBorders>
              <w:start w:val="single" w:sz="4" w:space="0" w:color="000000"/>
              <w:bottom w:val="single" w:sz="4" w:space="0" w:color="000000"/>
            </w:tcBorders>
          </w:tcPr>
          <w:p>
            <w:pPr>
              <w:pStyle w:val="TableContents"/>
              <w:bidi w:val="0"/>
              <w:jc w:val="start"/>
              <w:rPr/>
            </w:pPr>
            <w:r>
              <w:rPr/>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Netflix</w:t>
            </w:r>
          </w:p>
        </w:tc>
      </w:tr>
    </w:tbl>
    <w:p>
      <w:pPr>
        <w:pStyle w:val="BodyText"/>
        <w:bidi w:val="0"/>
        <w:jc w:val="start"/>
        <w:rPr/>
      </w:pPr>
      <w:r>
        <w:rPr/>
      </w:r>
    </w:p>
    <w:p>
      <w:pPr>
        <w:pStyle w:val="BodyText"/>
        <w:bidi w:val="0"/>
        <w:jc w:val="start"/>
        <w:rPr/>
      </w:pPr>
      <w:r>
        <w:rPr/>
        <w:t xml:space="preserve">Key structural insight: </w:t>
      </w:r>
      <w:r>
        <w:rPr>
          <w:b/>
        </w:rPr>
        <w:t>retail is not the profit engine — cloud is.</w:t>
      </w:r>
    </w:p>
    <w:p>
      <w:pPr>
        <w:pStyle w:val="Heading3"/>
        <w:bidi w:val="0"/>
        <w:ind w:hanging="0" w:start="0"/>
        <w:jc w:val="start"/>
        <w:rPr/>
      </w:pPr>
      <w:r>
        <w:rPr/>
        <w:t>3.2 Step 1 — Consistent revenue / net income / operating cash flow (and the negative FCF investigation)</w:t>
      </w:r>
    </w:p>
    <w:p>
      <w:pPr>
        <w:pStyle w:val="BodyText"/>
        <w:bidi w:val="0"/>
        <w:jc w:val="start"/>
        <w:rPr/>
      </w:pPr>
      <w:r>
        <w:rPr/>
        <w:t>Yahoo Finance, annual + TTM, USD billions (only ~3 years + TTM available on Yahoo):</w:t>
      </w:r>
    </w:p>
    <w:tbl>
      <w:tblPr>
        <w:tblW w:w="5000" w:type="pct"/>
        <w:jc w:val="start"/>
        <w:tblInd w:w="-5" w:type="dxa"/>
        <w:tblLayout w:type="fixed"/>
        <w:tblCellMar>
          <w:top w:w="55" w:type="dxa"/>
          <w:start w:w="55" w:type="dxa"/>
          <w:bottom w:w="55" w:type="dxa"/>
          <w:end w:w="55" w:type="dxa"/>
        </w:tblCellMar>
      </w:tblPr>
      <w:tblGrid>
        <w:gridCol w:w="1927"/>
        <w:gridCol w:w="1928"/>
        <w:gridCol w:w="1927"/>
        <w:gridCol w:w="1928"/>
        <w:gridCol w:w="1928"/>
      </w:tblGrid>
      <w:tr>
        <w:trPr>
          <w:tblHeader w:val="true"/>
        </w:trPr>
        <w:tc>
          <w:tcPr>
            <w:tcW w:w="1927" w:type="dxa"/>
            <w:tcBorders>
              <w:top w:val="single" w:sz="4" w:space="0" w:color="000000"/>
              <w:start w:val="single" w:sz="4" w:space="0" w:color="000000"/>
              <w:bottom w:val="single" w:sz="4" w:space="0" w:color="000000"/>
            </w:tcBorders>
          </w:tcPr>
          <w:p>
            <w:pPr>
              <w:pStyle w:val="TableHeading"/>
              <w:bidi w:val="0"/>
              <w:jc w:val="start"/>
              <w:rPr/>
            </w:pPr>
            <w:r>
              <w:rPr/>
              <w:t>Metric</w:t>
            </w:r>
          </w:p>
        </w:tc>
        <w:tc>
          <w:tcPr>
            <w:tcW w:w="1928" w:type="dxa"/>
            <w:tcBorders>
              <w:top w:val="single" w:sz="4" w:space="0" w:color="000000"/>
              <w:start w:val="single" w:sz="4" w:space="0" w:color="000000"/>
              <w:bottom w:val="single" w:sz="4" w:space="0" w:color="000000"/>
            </w:tcBorders>
          </w:tcPr>
          <w:p>
            <w:pPr>
              <w:pStyle w:val="TableHeading"/>
              <w:bidi w:val="0"/>
              <w:jc w:val="start"/>
              <w:rPr/>
            </w:pPr>
            <w:r>
              <w:rPr/>
              <w:t>Yr1</w:t>
            </w:r>
          </w:p>
        </w:tc>
        <w:tc>
          <w:tcPr>
            <w:tcW w:w="1927" w:type="dxa"/>
            <w:tcBorders>
              <w:top w:val="single" w:sz="4" w:space="0" w:color="000000"/>
              <w:start w:val="single" w:sz="4" w:space="0" w:color="000000"/>
              <w:bottom w:val="single" w:sz="4" w:space="0" w:color="000000"/>
            </w:tcBorders>
          </w:tcPr>
          <w:p>
            <w:pPr>
              <w:pStyle w:val="TableHeading"/>
              <w:bidi w:val="0"/>
              <w:jc w:val="start"/>
              <w:rPr/>
            </w:pPr>
            <w:r>
              <w:rPr/>
              <w:t>Yr2</w:t>
            </w:r>
          </w:p>
        </w:tc>
        <w:tc>
          <w:tcPr>
            <w:tcW w:w="1928" w:type="dxa"/>
            <w:tcBorders>
              <w:top w:val="single" w:sz="4" w:space="0" w:color="000000"/>
              <w:start w:val="single" w:sz="4" w:space="0" w:color="000000"/>
              <w:bottom w:val="single" w:sz="4" w:space="0" w:color="000000"/>
            </w:tcBorders>
          </w:tcPr>
          <w:p>
            <w:pPr>
              <w:pStyle w:val="TableHeading"/>
              <w:bidi w:val="0"/>
              <w:jc w:val="start"/>
              <w:rPr/>
            </w:pPr>
            <w:r>
              <w:rPr/>
              <w:t>Yr3</w:t>
            </w:r>
          </w:p>
        </w:tc>
        <w:tc>
          <w:tcPr>
            <w:tcW w:w="1928"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TTM</w:t>
            </w:r>
          </w:p>
        </w:tc>
      </w:tr>
      <w:tr>
        <w:trPr/>
        <w:tc>
          <w:tcPr>
            <w:tcW w:w="1927" w:type="dxa"/>
            <w:tcBorders>
              <w:start w:val="single" w:sz="4" w:space="0" w:color="000000"/>
              <w:bottom w:val="single" w:sz="4" w:space="0" w:color="000000"/>
            </w:tcBorders>
          </w:tcPr>
          <w:p>
            <w:pPr>
              <w:pStyle w:val="TableContents"/>
              <w:bidi w:val="0"/>
              <w:jc w:val="start"/>
              <w:rPr/>
            </w:pPr>
            <w:r>
              <w:rPr/>
              <w:t>Revenue</w:t>
            </w:r>
          </w:p>
        </w:tc>
        <w:tc>
          <w:tcPr>
            <w:tcW w:w="1928" w:type="dxa"/>
            <w:tcBorders>
              <w:start w:val="single" w:sz="4" w:space="0" w:color="000000"/>
              <w:bottom w:val="single" w:sz="4" w:space="0" w:color="000000"/>
            </w:tcBorders>
          </w:tcPr>
          <w:p>
            <w:pPr>
              <w:pStyle w:val="TableContents"/>
              <w:bidi w:val="0"/>
              <w:jc w:val="start"/>
              <w:rPr/>
            </w:pPr>
            <w:r>
              <w:rPr/>
              <w:t>232</w:t>
            </w:r>
          </w:p>
        </w:tc>
        <w:tc>
          <w:tcPr>
            <w:tcW w:w="1927" w:type="dxa"/>
            <w:tcBorders>
              <w:start w:val="single" w:sz="4" w:space="0" w:color="000000"/>
              <w:bottom w:val="single" w:sz="4" w:space="0" w:color="000000"/>
            </w:tcBorders>
          </w:tcPr>
          <w:p>
            <w:pPr>
              <w:pStyle w:val="TableContents"/>
              <w:bidi w:val="0"/>
              <w:jc w:val="start"/>
              <w:rPr/>
            </w:pPr>
            <w:r>
              <w:rPr/>
              <w:t>280</w:t>
            </w:r>
          </w:p>
        </w:tc>
        <w:tc>
          <w:tcPr>
            <w:tcW w:w="1928" w:type="dxa"/>
            <w:tcBorders>
              <w:start w:val="single" w:sz="4" w:space="0" w:color="000000"/>
              <w:bottom w:val="single" w:sz="4" w:space="0" w:color="000000"/>
            </w:tcBorders>
          </w:tcPr>
          <w:p>
            <w:pPr>
              <w:pStyle w:val="TableContents"/>
              <w:bidi w:val="0"/>
              <w:jc w:val="start"/>
              <w:rPr/>
            </w:pPr>
            <w:r>
              <w:rPr/>
              <w:t>386</w:t>
            </w:r>
          </w:p>
        </w:tc>
        <w:tc>
          <w:tcPr>
            <w:tcW w:w="1928" w:type="dxa"/>
            <w:tcBorders>
              <w:start w:val="single" w:sz="4" w:space="0" w:color="000000"/>
              <w:bottom w:val="single" w:sz="4" w:space="0" w:color="000000"/>
              <w:end w:val="single" w:sz="4" w:space="0" w:color="000000"/>
            </w:tcBorders>
          </w:tcPr>
          <w:p>
            <w:pPr>
              <w:pStyle w:val="TableContents"/>
              <w:bidi w:val="0"/>
              <w:jc w:val="start"/>
              <w:rPr/>
            </w:pPr>
            <w:r>
              <w:rPr>
                <w:b/>
              </w:rPr>
              <w:t>457</w:t>
            </w:r>
          </w:p>
        </w:tc>
      </w:tr>
      <w:tr>
        <w:trPr/>
        <w:tc>
          <w:tcPr>
            <w:tcW w:w="1927" w:type="dxa"/>
            <w:tcBorders>
              <w:start w:val="single" w:sz="4" w:space="0" w:color="000000"/>
              <w:bottom w:val="single" w:sz="4" w:space="0" w:color="000000"/>
            </w:tcBorders>
          </w:tcPr>
          <w:p>
            <w:pPr>
              <w:pStyle w:val="TableContents"/>
              <w:bidi w:val="0"/>
              <w:jc w:val="start"/>
              <w:rPr/>
            </w:pPr>
            <w:r>
              <w:rPr/>
              <w:t>Net income</w:t>
            </w:r>
          </w:p>
        </w:tc>
        <w:tc>
          <w:tcPr>
            <w:tcW w:w="1928" w:type="dxa"/>
            <w:tcBorders>
              <w:start w:val="single" w:sz="4" w:space="0" w:color="000000"/>
              <w:bottom w:val="single" w:sz="4" w:space="0" w:color="000000"/>
            </w:tcBorders>
          </w:tcPr>
          <w:p>
            <w:pPr>
              <w:pStyle w:val="TableContents"/>
              <w:bidi w:val="0"/>
              <w:jc w:val="start"/>
              <w:rPr/>
            </w:pPr>
            <w:r>
              <w:rPr/>
              <w:t>10</w:t>
            </w:r>
          </w:p>
        </w:tc>
        <w:tc>
          <w:tcPr>
            <w:tcW w:w="1927" w:type="dxa"/>
            <w:tcBorders>
              <w:start w:val="single" w:sz="4" w:space="0" w:color="000000"/>
              <w:bottom w:val="single" w:sz="4" w:space="0" w:color="000000"/>
            </w:tcBorders>
          </w:tcPr>
          <w:p>
            <w:pPr>
              <w:pStyle w:val="TableContents"/>
              <w:bidi w:val="0"/>
              <w:jc w:val="start"/>
              <w:rPr/>
            </w:pPr>
            <w:r>
              <w:rPr/>
              <w:t>11</w:t>
            </w:r>
          </w:p>
        </w:tc>
        <w:tc>
          <w:tcPr>
            <w:tcW w:w="1928" w:type="dxa"/>
            <w:tcBorders>
              <w:start w:val="single" w:sz="4" w:space="0" w:color="000000"/>
              <w:bottom w:val="single" w:sz="4" w:space="0" w:color="000000"/>
            </w:tcBorders>
          </w:tcPr>
          <w:p>
            <w:pPr>
              <w:pStyle w:val="TableContents"/>
              <w:bidi w:val="0"/>
              <w:jc w:val="start"/>
              <w:rPr/>
            </w:pPr>
            <w:r>
              <w:rPr/>
              <w:t>21</w:t>
            </w:r>
          </w:p>
        </w:tc>
        <w:tc>
          <w:tcPr>
            <w:tcW w:w="1928" w:type="dxa"/>
            <w:tcBorders>
              <w:start w:val="single" w:sz="4" w:space="0" w:color="000000"/>
              <w:bottom w:val="single" w:sz="4" w:space="0" w:color="000000"/>
              <w:end w:val="single" w:sz="4" w:space="0" w:color="000000"/>
            </w:tcBorders>
          </w:tcPr>
          <w:p>
            <w:pPr>
              <w:pStyle w:val="TableContents"/>
              <w:bidi w:val="0"/>
              <w:jc w:val="start"/>
              <w:rPr/>
            </w:pPr>
            <w:r>
              <w:rPr>
                <w:b/>
              </w:rPr>
              <w:t>26</w:t>
            </w:r>
          </w:p>
        </w:tc>
      </w:tr>
      <w:tr>
        <w:trPr/>
        <w:tc>
          <w:tcPr>
            <w:tcW w:w="1927" w:type="dxa"/>
            <w:tcBorders>
              <w:start w:val="single" w:sz="4" w:space="0" w:color="000000"/>
              <w:bottom w:val="single" w:sz="4" w:space="0" w:color="000000"/>
            </w:tcBorders>
          </w:tcPr>
          <w:p>
            <w:pPr>
              <w:pStyle w:val="TableContents"/>
              <w:bidi w:val="0"/>
              <w:jc w:val="start"/>
              <w:rPr/>
            </w:pPr>
            <w:r>
              <w:rPr/>
              <w:t>Cash flow from operations</w:t>
            </w:r>
          </w:p>
        </w:tc>
        <w:tc>
          <w:tcPr>
            <w:tcW w:w="1928" w:type="dxa"/>
            <w:tcBorders>
              <w:start w:val="single" w:sz="4" w:space="0" w:color="000000"/>
              <w:bottom w:val="single" w:sz="4" w:space="0" w:color="000000"/>
            </w:tcBorders>
          </w:tcPr>
          <w:p>
            <w:pPr>
              <w:pStyle w:val="TableContents"/>
              <w:bidi w:val="0"/>
              <w:jc w:val="start"/>
              <w:rPr/>
            </w:pPr>
            <w:r>
              <w:rPr/>
              <w:t>30</w:t>
            </w:r>
          </w:p>
        </w:tc>
        <w:tc>
          <w:tcPr>
            <w:tcW w:w="1927" w:type="dxa"/>
            <w:tcBorders>
              <w:start w:val="single" w:sz="4" w:space="0" w:color="000000"/>
              <w:bottom w:val="single" w:sz="4" w:space="0" w:color="000000"/>
            </w:tcBorders>
          </w:tcPr>
          <w:p>
            <w:pPr>
              <w:pStyle w:val="TableContents"/>
              <w:bidi w:val="0"/>
              <w:jc w:val="start"/>
              <w:rPr/>
            </w:pPr>
            <w:r>
              <w:rPr/>
              <w:t>38</w:t>
            </w:r>
          </w:p>
        </w:tc>
        <w:tc>
          <w:tcPr>
            <w:tcW w:w="1928" w:type="dxa"/>
            <w:tcBorders>
              <w:start w:val="single" w:sz="4" w:space="0" w:color="000000"/>
              <w:bottom w:val="single" w:sz="4" w:space="0" w:color="000000"/>
            </w:tcBorders>
          </w:tcPr>
          <w:p>
            <w:pPr>
              <w:pStyle w:val="TableContents"/>
              <w:bidi w:val="0"/>
              <w:jc w:val="start"/>
              <w:rPr/>
            </w:pPr>
            <w:r>
              <w:rPr/>
              <w:t>66</w:t>
            </w:r>
          </w:p>
        </w:tc>
        <w:tc>
          <w:tcPr>
            <w:tcW w:w="1928" w:type="dxa"/>
            <w:tcBorders>
              <w:start w:val="single" w:sz="4" w:space="0" w:color="000000"/>
              <w:bottom w:val="single" w:sz="4" w:space="0" w:color="000000"/>
              <w:end w:val="single" w:sz="4" w:space="0" w:color="000000"/>
            </w:tcBorders>
          </w:tcPr>
          <w:p>
            <w:pPr>
              <w:pStyle w:val="TableContents"/>
              <w:bidi w:val="0"/>
              <w:jc w:val="start"/>
              <w:rPr/>
            </w:pPr>
            <w:r>
              <w:rPr>
                <w:b/>
              </w:rPr>
              <w:t>54</w:t>
            </w:r>
            <w:r>
              <w:rPr/>
              <w:t xml:space="preserve"> (a drop)</w:t>
            </w:r>
          </w:p>
        </w:tc>
      </w:tr>
      <w:tr>
        <w:trPr/>
        <w:tc>
          <w:tcPr>
            <w:tcW w:w="1927" w:type="dxa"/>
            <w:tcBorders>
              <w:start w:val="single" w:sz="4" w:space="0" w:color="000000"/>
              <w:bottom w:val="single" w:sz="4" w:space="0" w:color="000000"/>
            </w:tcBorders>
          </w:tcPr>
          <w:p>
            <w:pPr>
              <w:pStyle w:val="TableContents"/>
              <w:bidi w:val="0"/>
              <w:jc w:val="start"/>
              <w:rPr/>
            </w:pPr>
            <w:r>
              <w:rPr/>
              <w:t>Free cash flow</w:t>
            </w:r>
          </w:p>
        </w:tc>
        <w:tc>
          <w:tcPr>
            <w:tcW w:w="1928" w:type="dxa"/>
            <w:tcBorders>
              <w:start w:val="single" w:sz="4" w:space="0" w:color="000000"/>
              <w:bottom w:val="single" w:sz="4" w:space="0" w:color="000000"/>
            </w:tcBorders>
          </w:tcPr>
          <w:p>
            <w:pPr>
              <w:pStyle w:val="TableContents"/>
              <w:bidi w:val="0"/>
              <w:jc w:val="start"/>
              <w:rPr/>
            </w:pPr>
            <w:r>
              <w:rPr/>
              <w:t>17</w:t>
            </w:r>
          </w:p>
        </w:tc>
        <w:tc>
          <w:tcPr>
            <w:tcW w:w="1927" w:type="dxa"/>
            <w:tcBorders>
              <w:start w:val="single" w:sz="4" w:space="0" w:color="000000"/>
              <w:bottom w:val="single" w:sz="4" w:space="0" w:color="000000"/>
            </w:tcBorders>
          </w:tcPr>
          <w:p>
            <w:pPr>
              <w:pStyle w:val="TableContents"/>
              <w:bidi w:val="0"/>
              <w:jc w:val="start"/>
              <w:rPr/>
            </w:pPr>
            <w:r>
              <w:rPr/>
              <w:t>21</w:t>
            </w:r>
          </w:p>
        </w:tc>
        <w:tc>
          <w:tcPr>
            <w:tcW w:w="1928" w:type="dxa"/>
            <w:tcBorders>
              <w:start w:val="single" w:sz="4" w:space="0" w:color="000000"/>
              <w:bottom w:val="single" w:sz="4" w:space="0" w:color="000000"/>
            </w:tcBorders>
          </w:tcPr>
          <w:p>
            <w:pPr>
              <w:pStyle w:val="TableContents"/>
              <w:bidi w:val="0"/>
              <w:jc w:val="start"/>
              <w:rPr/>
            </w:pPr>
            <w:r>
              <w:rPr>
                <w:b/>
              </w:rPr>
              <w:t>25.924</w:t>
            </w:r>
          </w:p>
        </w:tc>
        <w:tc>
          <w:tcPr>
            <w:tcW w:w="1928" w:type="dxa"/>
            <w:tcBorders>
              <w:start w:val="single" w:sz="4" w:space="0" w:color="000000"/>
              <w:bottom w:val="single" w:sz="4" w:space="0" w:color="000000"/>
              <w:end w:val="single" w:sz="4" w:space="0" w:color="000000"/>
            </w:tcBorders>
          </w:tcPr>
          <w:p>
            <w:pPr>
              <w:pStyle w:val="TableContents"/>
              <w:bidi w:val="0"/>
              <w:jc w:val="start"/>
              <w:rPr/>
            </w:pPr>
            <w:r>
              <w:rPr>
                <w:b/>
              </w:rPr>
              <w:t>NEGATIVE</w:t>
            </w:r>
          </w:p>
        </w:tc>
      </w:tr>
    </w:tbl>
    <w:p>
      <w:pPr>
        <w:pStyle w:val="BodyText"/>
        <w:bidi w:val="0"/>
        <w:jc w:val="start"/>
        <w:rPr/>
      </w:pPr>
      <w:r>
        <w:rPr/>
      </w:r>
    </w:p>
    <w:p>
      <w:pPr>
        <w:pStyle w:val="BodyText"/>
        <w:bidi w:val="0"/>
        <w:jc w:val="start"/>
        <w:rPr/>
      </w:pPr>
      <w:r>
        <w:rPr/>
        <w:t>Revenue ✔ consistently up. Net income ✔ consistently up. Operating cash flow: "generally we have an uptrend" despite the TTM dip.</w:t>
      </w:r>
    </w:p>
    <w:p>
      <w:pPr>
        <w:pStyle w:val="Heading4"/>
        <w:bidi w:val="0"/>
        <w:ind w:hanging="0" w:start="0"/>
        <w:jc w:val="start"/>
        <w:rPr/>
      </w:pPr>
      <w:r>
        <w:rPr/>
        <w:t>The negative free cash flow investigation (the signature lesson of this case)</w:t>
      </w:r>
    </w:p>
    <w:p>
      <w:pPr>
        <w:pStyle w:val="BodyText"/>
        <w:bidi w:val="0"/>
        <w:jc w:val="start"/>
        <w:rPr/>
      </w:pPr>
      <w:r>
        <w:rPr/>
        <w:t xml:space="preserve">Free cash flow turned </w:t>
      </w:r>
      <w:r>
        <w:rPr>
          <w:b/>
        </w:rPr>
        <w:t>negative</w:t>
      </w:r>
      <w:r>
        <w:rPr/>
        <w:t xml:space="preserve"> in the last 12 months. Adam's diagnostic logic:</w:t>
      </w:r>
    </w:p>
    <w:p>
      <w:pPr>
        <w:pStyle w:val="PreformattedText"/>
        <w:shd w:fill="E1E1E1" w:val="clear"/>
        <w:bidi w:val="0"/>
        <w:spacing w:before="0" w:after="283"/>
        <w:jc w:val="start"/>
        <w:rPr/>
      </w:pPr>
      <w:r>
        <w:rPr/>
        <w:t>Free cash flow = Cash from operations − Capital expenditure (PP&amp;E)</w:t>
      </w:r>
    </w:p>
    <w:p>
      <w:pPr>
        <w:pStyle w:val="BodyText"/>
        <w:bidi w:val="0"/>
        <w:jc w:val="start"/>
        <w:rPr/>
      </w:pPr>
      <w:r>
        <w:rPr/>
        <w:t xml:space="preserve">"If free cash flow turns negative, it's because of two reasons: either the operational cash flow is negative, or the capex is very big. But in this case, the operational cash flow is still very healthy… So the only reason free cash flow turned negative is because of </w:t>
      </w:r>
      <w:r>
        <w:rPr>
          <w:b/>
        </w:rPr>
        <w:t>huge amounts of capital expenditure</w:t>
      </w:r>
      <w:r>
        <w:rPr/>
        <w:t>."</w:t>
      </w:r>
    </w:p>
    <w:p>
      <w:pPr>
        <w:pStyle w:val="BodyText"/>
        <w:bidi w:val="0"/>
        <w:jc w:val="start"/>
        <w:rPr/>
      </w:pPr>
      <w:r>
        <w:rPr/>
        <w:t xml:space="preserve">Where to look: capex sits </w:t>
      </w:r>
      <w:r>
        <w:rPr>
          <w:b/>
        </w:rPr>
        <w:t>under investing cash flow</w:t>
      </w:r>
      <w:r>
        <w:rPr/>
        <w:t xml:space="preserve"> on the cash flow statement, as </w:t>
      </w:r>
      <w:r>
        <w:rPr>
          <w:b/>
        </w:rPr>
        <w:t>PP&amp;E</w:t>
      </w:r>
      <w:r>
        <w:rPr/>
        <w:t>. It shows "a huge jump from previous years."</w:t>
      </w:r>
    </w:p>
    <w:p>
      <w:pPr>
        <w:pStyle w:val="BodyText"/>
        <w:bidi w:val="0"/>
        <w:jc w:val="start"/>
        <w:rPr/>
      </w:pPr>
      <w:r>
        <w:rPr>
          <w:b/>
        </w:rPr>
        <w:t>Research finding (Adam's own answer posted to his student chat groups):</w:t>
      </w:r>
      <w:r>
        <w:rPr/>
        <w:t xml:space="preserve"> In the last 12 months Amazon spent </w:t>
      </w:r>
      <w:r>
        <w:rPr>
          <w:b/>
        </w:rPr>
        <w:t>a whopping $45 billion on capital expenditures — more than twice</w:t>
      </w:r>
      <w:r>
        <w:rPr/>
        <w:t xml:space="preserve"> what it normally spends. Reasons:</w:t>
      </w:r>
    </w:p>
    <w:p>
      <w:pPr>
        <w:pStyle w:val="BodyText"/>
        <w:numPr>
          <w:ilvl w:val="0"/>
          <w:numId w:val="446"/>
        </w:numPr>
        <w:tabs>
          <w:tab w:val="clear" w:pos="709"/>
          <w:tab w:val="left" w:pos="709" w:leader="none"/>
        </w:tabs>
        <w:bidi w:val="0"/>
        <w:ind w:hanging="283" w:start="709"/>
        <w:jc w:val="start"/>
        <w:rPr/>
      </w:pPr>
      <w:r>
        <w:rPr/>
        <w:t xml:space="preserve">New </w:t>
      </w:r>
      <w:r>
        <w:rPr>
          <w:b/>
        </w:rPr>
        <w:t>Amazon Fresh</w:t>
      </w:r>
      <w:r>
        <w:rPr/>
        <w:t xml:space="preserve"> supermarkets</w:t>
      </w:r>
    </w:p>
    <w:p>
      <w:pPr>
        <w:pStyle w:val="BodyText"/>
        <w:numPr>
          <w:ilvl w:val="0"/>
          <w:numId w:val="446"/>
        </w:numPr>
        <w:tabs>
          <w:tab w:val="clear" w:pos="709"/>
          <w:tab w:val="left" w:pos="709" w:leader="none"/>
        </w:tabs>
        <w:bidi w:val="0"/>
        <w:ind w:hanging="283" w:start="709"/>
        <w:jc w:val="start"/>
        <w:rPr/>
      </w:pPr>
      <w:r>
        <w:rPr>
          <w:b/>
        </w:rPr>
        <w:t>Cloud infrastructure</w:t>
      </w:r>
    </w:p>
    <w:p>
      <w:pPr>
        <w:pStyle w:val="BodyText"/>
        <w:numPr>
          <w:ilvl w:val="0"/>
          <w:numId w:val="446"/>
        </w:numPr>
        <w:tabs>
          <w:tab w:val="clear" w:pos="709"/>
          <w:tab w:val="left" w:pos="709" w:leader="none"/>
        </w:tabs>
        <w:bidi w:val="0"/>
        <w:ind w:hanging="283" w:start="709"/>
        <w:jc w:val="start"/>
        <w:rPr/>
      </w:pPr>
      <w:r>
        <w:rPr>
          <w:b/>
        </w:rPr>
        <w:t>Voice-activated technology</w:t>
      </w:r>
    </w:p>
    <w:p>
      <w:pPr>
        <w:pStyle w:val="BodyText"/>
        <w:numPr>
          <w:ilvl w:val="0"/>
          <w:numId w:val="446"/>
        </w:numPr>
        <w:tabs>
          <w:tab w:val="clear" w:pos="709"/>
          <w:tab w:val="left" w:pos="709" w:leader="none"/>
        </w:tabs>
        <w:bidi w:val="0"/>
        <w:ind w:hanging="283" w:start="709"/>
        <w:jc w:val="start"/>
        <w:rPr/>
      </w:pPr>
      <w:r>
        <w:rPr>
          <w:b/>
        </w:rPr>
        <w:t>Logistics — "the biggest driver of this growth in CapEx"</w:t>
      </w:r>
    </w:p>
    <w:p>
      <w:pPr>
        <w:pStyle w:val="BodyText"/>
        <w:bidi w:val="0"/>
        <w:jc w:val="start"/>
        <w:rPr/>
      </w:pPr>
      <w:r>
        <w:rPr>
          <w:b/>
        </w:rPr>
        <w:t>Is it good or bad?</w:t>
      </w:r>
      <w:r>
        <w:rPr/>
        <w:t xml:space="preserve"> "To me, the answer is </w:t>
      </w:r>
      <w:r>
        <w:rPr>
          <w:b/>
        </w:rPr>
        <w:t>good</w:t>
      </w:r>
      <w:r>
        <w:rPr/>
        <w:t>. Why? Because they're making a lot of investments that may cause the free cash flow to turn negative temporarily for one year, but by investing heavily in all these new businesses like cloud infrastructure, logistics, it will lead to higher growth and higher profits in the future."</w:t>
      </w:r>
    </w:p>
    <w:p>
      <w:pPr>
        <w:pStyle w:val="BodyText"/>
        <w:bidi w:val="0"/>
        <w:jc w:val="start"/>
        <w:rPr/>
      </w:pPr>
      <w:r>
        <w:rPr>
          <w:b/>
        </w:rPr>
        <w:t>Boundary condition:</w:t>
      </w:r>
      <w:r>
        <w:rPr/>
        <w:t xml:space="preserve"> "It is fine for </w:t>
      </w:r>
      <w:r>
        <w:rPr>
          <w:b/>
        </w:rPr>
        <w:t>one year</w:t>
      </w:r>
      <w:r>
        <w:rPr/>
        <w:t xml:space="preserve"> of negative free cash flow, but of course if this persists for </w:t>
      </w:r>
      <w:r>
        <w:rPr>
          <w:b/>
        </w:rPr>
        <w:t>more than one year — like two or three years — then you gotta be careful.</w:t>
      </w:r>
      <w:r>
        <w:rPr/>
        <w:t>"</w:t>
      </w:r>
    </w:p>
    <w:p>
      <w:pPr>
        <w:pStyle w:val="BodyText"/>
        <w:bidi w:val="0"/>
        <w:jc w:val="start"/>
        <w:rPr/>
      </w:pPr>
      <w:r>
        <w:rPr/>
        <w:t>Method note: "When you have got something out of the ordinary, you need to do more research. You need to go online and research… read their annual reports to find out is it a good thing."</w:t>
      </w:r>
    </w:p>
    <w:p>
      <w:pPr>
        <w:pStyle w:val="BodyText"/>
        <w:bidi w:val="0"/>
        <w:jc w:val="start"/>
        <w:rPr/>
      </w:pPr>
      <w:r>
        <w:rPr>
          <w:b/>
        </w:rPr>
        <w:t>GuruFocus long-run view:</w:t>
      </w:r>
      <w:r>
        <w:rPr/>
        <w:t xml:space="preserve"> net income (blue) increasing consistently over five years; operating cash flow (grey) increasing consistently; free cash flow (green) consistently positive except the last 12 months. Net income looks tiny beside revenue on the same axis — use the separate chart to see it clearly.</w:t>
      </w:r>
    </w:p>
    <w:p>
      <w:pPr>
        <w:pStyle w:val="BodyText"/>
        <w:bidi w:val="0"/>
        <w:jc w:val="start"/>
        <w:rPr/>
      </w:pPr>
      <w:r>
        <w:rPr>
          <w:b/>
        </w:rPr>
        <w:t>The anomaly flagged for later:</w:t>
      </w:r>
      <w:r>
        <w:rPr/>
        <w:t xml:space="preserve"> "Their operating cash flow is much higher than their net profits and net income… I'll talk more about this later on in the intrinsic value calculation." (This is what changes the valuation method — see §3.7.)</w:t>
      </w:r>
    </w:p>
    <w:p>
      <w:pPr>
        <w:pStyle w:val="BodyText"/>
        <w:bidi w:val="0"/>
        <w:jc w:val="start"/>
        <w:rPr/>
      </w:pPr>
      <w:r>
        <w:rPr>
          <w:b/>
        </w:rPr>
        <w:t>Margins (Morningstar → Operating Performance):</w:t>
      </w:r>
    </w:p>
    <w:tbl>
      <w:tblPr>
        <w:tblW w:w="5000" w:type="pct"/>
        <w:jc w:val="start"/>
        <w:tblInd w:w="-5" w:type="dxa"/>
        <w:tblLayout w:type="fixed"/>
        <w:tblCellMar>
          <w:top w:w="55" w:type="dxa"/>
          <w:start w:w="55" w:type="dxa"/>
          <w:bottom w:w="55" w:type="dxa"/>
          <w:end w:w="55" w:type="dxa"/>
        </w:tblCellMar>
      </w:tblPr>
      <w:tblGrid>
        <w:gridCol w:w="1606"/>
        <w:gridCol w:w="1606"/>
        <w:gridCol w:w="1607"/>
        <w:gridCol w:w="1606"/>
        <w:gridCol w:w="1606"/>
        <w:gridCol w:w="1607"/>
      </w:tblGrid>
      <w:tr>
        <w:trPr>
          <w:tblHeader w:val="true"/>
        </w:trPr>
        <w:tc>
          <w:tcPr>
            <w:tcW w:w="1606" w:type="dxa"/>
            <w:tcBorders>
              <w:top w:val="single" w:sz="4" w:space="0" w:color="000000"/>
              <w:start w:val="single" w:sz="4" w:space="0" w:color="000000"/>
              <w:bottom w:val="single" w:sz="4" w:space="0" w:color="000000"/>
            </w:tcBorders>
          </w:tcPr>
          <w:p>
            <w:pPr>
              <w:pStyle w:val="TableHeading"/>
              <w:bidi w:val="0"/>
              <w:jc w:val="start"/>
              <w:rPr/>
            </w:pPr>
            <w:r>
              <w:rPr/>
              <w:t>Margin</w:t>
            </w:r>
          </w:p>
        </w:tc>
        <w:tc>
          <w:tcPr>
            <w:tcW w:w="1606" w:type="dxa"/>
            <w:tcBorders>
              <w:top w:val="single" w:sz="4" w:space="0" w:color="000000"/>
              <w:start w:val="single" w:sz="4" w:space="0" w:color="000000"/>
              <w:bottom w:val="single" w:sz="4" w:space="0" w:color="000000"/>
            </w:tcBorders>
          </w:tcPr>
          <w:p>
            <w:pPr>
              <w:pStyle w:val="TableHeading"/>
              <w:bidi w:val="0"/>
              <w:jc w:val="start"/>
              <w:rPr/>
            </w:pPr>
            <w:r>
              <w:rPr/>
              <w:t>2018</w:t>
            </w:r>
          </w:p>
        </w:tc>
        <w:tc>
          <w:tcPr>
            <w:tcW w:w="1607" w:type="dxa"/>
            <w:tcBorders>
              <w:top w:val="single" w:sz="4" w:space="0" w:color="000000"/>
              <w:start w:val="single" w:sz="4" w:space="0" w:color="000000"/>
              <w:bottom w:val="single" w:sz="4" w:space="0" w:color="000000"/>
            </w:tcBorders>
          </w:tcPr>
          <w:p>
            <w:pPr>
              <w:pStyle w:val="TableHeading"/>
              <w:bidi w:val="0"/>
              <w:jc w:val="start"/>
              <w:rPr/>
            </w:pPr>
            <w:r>
              <w:rPr/>
              <w:t>2019</w:t>
            </w:r>
          </w:p>
        </w:tc>
        <w:tc>
          <w:tcPr>
            <w:tcW w:w="1606" w:type="dxa"/>
            <w:tcBorders>
              <w:top w:val="single" w:sz="4" w:space="0" w:color="000000"/>
              <w:start w:val="single" w:sz="4" w:space="0" w:color="000000"/>
              <w:bottom w:val="single" w:sz="4" w:space="0" w:color="000000"/>
            </w:tcBorders>
          </w:tcPr>
          <w:p>
            <w:pPr>
              <w:pStyle w:val="TableHeading"/>
              <w:bidi w:val="0"/>
              <w:jc w:val="start"/>
              <w:rPr/>
            </w:pPr>
            <w:r>
              <w:rPr/>
              <w:t>2020</w:t>
            </w:r>
          </w:p>
        </w:tc>
        <w:tc>
          <w:tcPr>
            <w:tcW w:w="1606" w:type="dxa"/>
            <w:tcBorders>
              <w:top w:val="single" w:sz="4" w:space="0" w:color="000000"/>
              <w:start w:val="single" w:sz="4" w:space="0" w:color="000000"/>
              <w:bottom w:val="single" w:sz="4" w:space="0" w:color="000000"/>
            </w:tcBorders>
          </w:tcPr>
          <w:p>
            <w:pPr>
              <w:pStyle w:val="TableHeading"/>
              <w:bidi w:val="0"/>
              <w:jc w:val="start"/>
              <w:rPr/>
            </w:pPr>
            <w:r>
              <w:rPr/>
              <w:t>TTM</w:t>
            </w:r>
          </w:p>
        </w:tc>
        <w:tc>
          <w:tcPr>
            <w:tcW w:w="1607"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vs 5-yr average</w:t>
            </w:r>
          </w:p>
        </w:tc>
      </w:tr>
      <w:tr>
        <w:trPr/>
        <w:tc>
          <w:tcPr>
            <w:tcW w:w="1606" w:type="dxa"/>
            <w:tcBorders>
              <w:start w:val="single" w:sz="4" w:space="0" w:color="000000"/>
              <w:bottom w:val="single" w:sz="4" w:space="0" w:color="000000"/>
            </w:tcBorders>
          </w:tcPr>
          <w:p>
            <w:pPr>
              <w:pStyle w:val="TableContents"/>
              <w:bidi w:val="0"/>
              <w:jc w:val="start"/>
              <w:rPr/>
            </w:pPr>
            <w:r>
              <w:rPr/>
              <w:t>Gross margin</w:t>
            </w:r>
          </w:p>
        </w:tc>
        <w:tc>
          <w:tcPr>
            <w:tcW w:w="1606" w:type="dxa"/>
            <w:tcBorders>
              <w:start w:val="single" w:sz="4" w:space="0" w:color="000000"/>
              <w:bottom w:val="single" w:sz="4" w:space="0" w:color="000000"/>
            </w:tcBorders>
          </w:tcPr>
          <w:p>
            <w:pPr>
              <w:pStyle w:val="TableContents"/>
              <w:bidi w:val="0"/>
              <w:jc w:val="start"/>
              <w:rPr/>
            </w:pPr>
            <w:r>
              <w:rPr/>
              <w:t>26%</w:t>
            </w:r>
          </w:p>
        </w:tc>
        <w:tc>
          <w:tcPr>
            <w:tcW w:w="1607" w:type="dxa"/>
            <w:tcBorders>
              <w:start w:val="single" w:sz="4" w:space="0" w:color="000000"/>
              <w:bottom w:val="single" w:sz="4" w:space="0" w:color="000000"/>
            </w:tcBorders>
          </w:tcPr>
          <w:p>
            <w:pPr>
              <w:pStyle w:val="TableContents"/>
              <w:bidi w:val="0"/>
              <w:jc w:val="start"/>
              <w:rPr/>
            </w:pPr>
            <w:r>
              <w:rPr/>
              <w:t>25%</w:t>
            </w:r>
          </w:p>
        </w:tc>
        <w:tc>
          <w:tcPr>
            <w:tcW w:w="1606" w:type="dxa"/>
            <w:tcBorders>
              <w:start w:val="single" w:sz="4" w:space="0" w:color="000000"/>
              <w:bottom w:val="single" w:sz="4" w:space="0" w:color="000000"/>
            </w:tcBorders>
          </w:tcPr>
          <w:p>
            <w:pPr>
              <w:pStyle w:val="TableContents"/>
              <w:bidi w:val="0"/>
              <w:jc w:val="start"/>
              <w:rPr/>
            </w:pPr>
            <w:r>
              <w:rPr/>
              <w:t>22%*</w:t>
            </w:r>
          </w:p>
        </w:tc>
        <w:tc>
          <w:tcPr>
            <w:tcW w:w="1606" w:type="dxa"/>
            <w:tcBorders>
              <w:start w:val="single" w:sz="4" w:space="0" w:color="000000"/>
              <w:bottom w:val="single" w:sz="4" w:space="0" w:color="000000"/>
            </w:tcBorders>
          </w:tcPr>
          <w:p>
            <w:pPr>
              <w:pStyle w:val="TableContents"/>
              <w:bidi w:val="0"/>
              <w:jc w:val="start"/>
              <w:rPr/>
            </w:pPr>
            <w:r>
              <w:rPr>
                <w:b/>
              </w:rPr>
              <w:t>25%</w:t>
            </w:r>
          </w:p>
        </w:tc>
        <w:tc>
          <w:tcPr>
            <w:tcW w:w="1607" w:type="dxa"/>
            <w:tcBorders>
              <w:start w:val="single" w:sz="4" w:space="0" w:color="000000"/>
              <w:bottom w:val="single" w:sz="4" w:space="0" w:color="000000"/>
              <w:end w:val="single" w:sz="4" w:space="0" w:color="000000"/>
            </w:tcBorders>
          </w:tcPr>
          <w:p>
            <w:pPr>
              <w:pStyle w:val="TableContents"/>
              <w:bidi w:val="0"/>
              <w:jc w:val="start"/>
              <w:rPr/>
            </w:pPr>
            <w:r>
              <w:rPr>
                <w:b/>
              </w:rPr>
              <w:t>above</w:t>
            </w:r>
            <w:r>
              <w:rPr/>
              <w:t xml:space="preserve"> 5-yr avg ✔</w:t>
            </w:r>
          </w:p>
        </w:tc>
      </w:tr>
      <w:tr>
        <w:trPr/>
        <w:tc>
          <w:tcPr>
            <w:tcW w:w="1606" w:type="dxa"/>
            <w:tcBorders>
              <w:start w:val="single" w:sz="4" w:space="0" w:color="000000"/>
              <w:bottom w:val="single" w:sz="4" w:space="0" w:color="000000"/>
            </w:tcBorders>
          </w:tcPr>
          <w:p>
            <w:pPr>
              <w:pStyle w:val="TableContents"/>
              <w:bidi w:val="0"/>
              <w:jc w:val="start"/>
              <w:rPr/>
            </w:pPr>
            <w:r>
              <w:rPr/>
              <w:t>Net profit margin</w:t>
            </w:r>
          </w:p>
        </w:tc>
        <w:tc>
          <w:tcPr>
            <w:tcW w:w="1606" w:type="dxa"/>
            <w:tcBorders>
              <w:start w:val="single" w:sz="4" w:space="0" w:color="000000"/>
              <w:bottom w:val="single" w:sz="4" w:space="0" w:color="000000"/>
            </w:tcBorders>
          </w:tcPr>
          <w:p>
            <w:pPr>
              <w:pStyle w:val="TableContents"/>
              <w:bidi w:val="0"/>
              <w:jc w:val="start"/>
              <w:rPr/>
            </w:pPr>
            <w:r>
              <w:rPr/>
              <w:t>4%</w:t>
            </w:r>
          </w:p>
        </w:tc>
        <w:tc>
          <w:tcPr>
            <w:tcW w:w="1607" w:type="dxa"/>
            <w:tcBorders>
              <w:start w:val="single" w:sz="4" w:space="0" w:color="000000"/>
              <w:bottom w:val="single" w:sz="4" w:space="0" w:color="000000"/>
            </w:tcBorders>
          </w:tcPr>
          <w:p>
            <w:pPr>
              <w:pStyle w:val="TableContents"/>
              <w:bidi w:val="0"/>
              <w:jc w:val="start"/>
              <w:rPr/>
            </w:pPr>
            <w:r>
              <w:rPr/>
              <w:t>4%</w:t>
            </w:r>
          </w:p>
        </w:tc>
        <w:tc>
          <w:tcPr>
            <w:tcW w:w="1606" w:type="dxa"/>
            <w:tcBorders>
              <w:start w:val="single" w:sz="4" w:space="0" w:color="000000"/>
              <w:bottom w:val="single" w:sz="4" w:space="0" w:color="000000"/>
            </w:tcBorders>
          </w:tcPr>
          <w:p>
            <w:pPr>
              <w:pStyle w:val="TableContents"/>
              <w:bidi w:val="0"/>
              <w:jc w:val="start"/>
              <w:rPr/>
            </w:pPr>
            <w:r>
              <w:rPr/>
              <w:t>5% (from 1% earlier)</w:t>
            </w:r>
          </w:p>
        </w:tc>
        <w:tc>
          <w:tcPr>
            <w:tcW w:w="1606" w:type="dxa"/>
            <w:tcBorders>
              <w:start w:val="single" w:sz="4" w:space="0" w:color="000000"/>
              <w:bottom w:val="single" w:sz="4" w:space="0" w:color="000000"/>
            </w:tcBorders>
          </w:tcPr>
          <w:p>
            <w:pPr>
              <w:pStyle w:val="TableContents"/>
              <w:bidi w:val="0"/>
              <w:jc w:val="start"/>
              <w:rPr/>
            </w:pPr>
            <w:r>
              <w:rPr>
                <w:b/>
              </w:rPr>
              <w:t>5.7%</w:t>
            </w:r>
          </w:p>
        </w:tc>
        <w:tc>
          <w:tcPr>
            <w:tcW w:w="1607" w:type="dxa"/>
            <w:tcBorders>
              <w:start w:val="single" w:sz="4" w:space="0" w:color="000000"/>
              <w:bottom w:val="single" w:sz="4" w:space="0" w:color="000000"/>
              <w:end w:val="single" w:sz="4" w:space="0" w:color="000000"/>
            </w:tcBorders>
          </w:tcPr>
          <w:p>
            <w:pPr>
              <w:pStyle w:val="TableContents"/>
              <w:bidi w:val="0"/>
              <w:jc w:val="start"/>
              <w:rPr/>
            </w:pPr>
            <w:r>
              <w:rPr>
                <w:b/>
              </w:rPr>
              <w:t>above</w:t>
            </w:r>
            <w:r>
              <w:rPr/>
              <w:t xml:space="preserve"> 5-yr avg ✔</w:t>
            </w:r>
          </w:p>
        </w:tc>
      </w:tr>
    </w:tbl>
    <w:p>
      <w:pPr>
        <w:pStyle w:val="BodyText"/>
        <w:bidi w:val="0"/>
        <w:jc w:val="start"/>
        <w:rPr/>
      </w:pPr>
      <w:r>
        <w:rPr/>
      </w:r>
    </w:p>
    <w:p>
      <w:pPr>
        <w:pStyle w:val="BodyText"/>
        <w:bidi w:val="0"/>
        <w:jc w:val="start"/>
        <w:rPr/>
      </w:pPr>
      <w:r>
        <w:rPr/>
        <w:t>* Adam reads the gross margin row as "22%, 25%, 26%, 24% — so it's more or less consistent, it's pretty okay," and net margins as "1%, ooh, that's really low, 4%, 4%, 5% — so that's growing and that's consistent as well," with TTM at gross 25% / net 5.7%. Both TTM figures exceed the 5-year averages → "profit margins look healthy."</w:t>
      </w:r>
    </w:p>
    <w:p>
      <w:pPr>
        <w:pStyle w:val="BodyText"/>
        <w:bidi w:val="0"/>
        <w:jc w:val="start"/>
        <w:rPr/>
      </w:pPr>
      <w:r>
        <w:rPr/>
        <w:t xml:space="preserve">→ </w:t>
      </w:r>
      <w:r>
        <w:rPr>
          <w:b/>
        </w:rPr>
        <w:t>Step 1 PASSED.</w:t>
      </w:r>
    </w:p>
    <w:p>
      <w:pPr>
        <w:pStyle w:val="Heading3"/>
        <w:bidi w:val="0"/>
        <w:ind w:hanging="0" w:start="0"/>
        <w:jc w:val="start"/>
        <w:rPr/>
      </w:pPr>
      <w:r>
        <w:rPr/>
        <w:t>3.3 Step 2 — Growth projections and catalysts</w:t>
      </w:r>
    </w:p>
    <w:p>
      <w:pPr>
        <w:pStyle w:val="BodyText"/>
        <w:bidi w:val="0"/>
        <w:jc w:val="start"/>
        <w:rPr/>
      </w:pPr>
      <w:r>
        <w:rPr>
          <w:b/>
        </w:rPr>
        <w:t>Qualitative catalysts:</w:t>
      </w:r>
      <w:r>
        <w:rPr/>
        <w:t xml:space="preserve"> the business is primarily </w:t>
      </w:r>
      <w:r>
        <w:rPr>
          <w:b/>
        </w:rPr>
        <w:t>e-commerce + cloud computing</w:t>
      </w:r>
      <w:r>
        <w:rPr/>
        <w:t xml:space="preserve">, "and they are both in huge growth industries." E-commerce is a </w:t>
      </w:r>
      <w:r>
        <w:rPr>
          <w:b/>
        </w:rPr>
        <w:t>long-term secular growth industry</w:t>
      </w:r>
      <w:r>
        <w:rPr/>
        <w:t xml:space="preserve"> ("more and more people are spending online") and cloud computing "is also a secular growth industry."</w:t>
      </w:r>
    </w:p>
    <w:tbl>
      <w:tblPr>
        <w:tblW w:w="5000" w:type="pct"/>
        <w:jc w:val="start"/>
        <w:tblInd w:w="-5" w:type="dxa"/>
        <w:tblLayout w:type="fixed"/>
        <w:tblCellMar>
          <w:top w:w="55" w:type="dxa"/>
          <w:start w:w="55" w:type="dxa"/>
          <w:bottom w:w="55" w:type="dxa"/>
          <w:end w:w="55" w:type="dxa"/>
        </w:tblCellMar>
      </w:tblPr>
      <w:tblGrid>
        <w:gridCol w:w="4819"/>
        <w:gridCol w:w="4819"/>
      </w:tblGrid>
      <w:tr>
        <w:trPr>
          <w:tblHeader w:val="true"/>
        </w:trPr>
        <w:tc>
          <w:tcPr>
            <w:tcW w:w="4819" w:type="dxa"/>
            <w:tcBorders>
              <w:top w:val="single" w:sz="4" w:space="0" w:color="000000"/>
              <w:start w:val="single" w:sz="4" w:space="0" w:color="000000"/>
              <w:bottom w:val="single" w:sz="4" w:space="0" w:color="000000"/>
            </w:tcBorders>
          </w:tcPr>
          <w:p>
            <w:pPr>
              <w:pStyle w:val="TableHeading"/>
              <w:bidi w:val="0"/>
              <w:jc w:val="start"/>
              <w:rPr/>
            </w:pPr>
            <w:r>
              <w:rPr/>
              <w:t>Source</w:t>
            </w:r>
          </w:p>
        </w:tc>
        <w:tc>
          <w:tcPr>
            <w:tcW w:w="4819"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Projection</w:t>
            </w:r>
          </w:p>
        </w:tc>
      </w:tr>
      <w:tr>
        <w:trPr/>
        <w:tc>
          <w:tcPr>
            <w:tcW w:w="4819" w:type="dxa"/>
            <w:tcBorders>
              <w:start w:val="single" w:sz="4" w:space="0" w:color="000000"/>
              <w:bottom w:val="single" w:sz="4" w:space="0" w:color="000000"/>
            </w:tcBorders>
          </w:tcPr>
          <w:p>
            <w:pPr>
              <w:pStyle w:val="TableContents"/>
              <w:bidi w:val="0"/>
              <w:jc w:val="start"/>
              <w:rPr/>
            </w:pPr>
            <w:r>
              <w:rPr/>
              <w:t>FinViz — past 5 years actual</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b/>
              </w:rPr>
              <w:t>101% p.a.</w:t>
            </w:r>
            <w:r>
              <w:rPr/>
              <w:t xml:space="preserve"> — "this 101% is on average </w:t>
            </w:r>
            <w:r>
              <w:rPr>
                <w:b/>
              </w:rPr>
              <w:t>per year</w:t>
            </w:r>
            <w:r>
              <w:rPr/>
              <w:t xml:space="preserve"> growth, not total five years"</w:t>
            </w:r>
          </w:p>
        </w:tc>
      </w:tr>
      <w:tr>
        <w:trPr/>
        <w:tc>
          <w:tcPr>
            <w:tcW w:w="4819" w:type="dxa"/>
            <w:tcBorders>
              <w:start w:val="single" w:sz="4" w:space="0" w:color="000000"/>
              <w:bottom w:val="single" w:sz="4" w:space="0" w:color="000000"/>
            </w:tcBorders>
          </w:tcPr>
          <w:p>
            <w:pPr>
              <w:pStyle w:val="TableContents"/>
              <w:bidi w:val="0"/>
              <w:jc w:val="start"/>
              <w:rPr/>
            </w:pPr>
            <w:r>
              <w:rPr/>
              <w:t>FinViz — next 5 years</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b/>
              </w:rPr>
              <w:t>36%</w:t>
            </w:r>
            <w:r>
              <w:rPr/>
              <w:t xml:space="preserve"> ("expected to moderate")</w:t>
            </w:r>
          </w:p>
        </w:tc>
      </w:tr>
      <w:tr>
        <w:trPr/>
        <w:tc>
          <w:tcPr>
            <w:tcW w:w="4819" w:type="dxa"/>
            <w:tcBorders>
              <w:start w:val="single" w:sz="4" w:space="0" w:color="000000"/>
              <w:bottom w:val="single" w:sz="4" w:space="0" w:color="000000"/>
            </w:tcBorders>
          </w:tcPr>
          <w:p>
            <w:pPr>
              <w:pStyle w:val="TableContents"/>
              <w:bidi w:val="0"/>
              <w:jc w:val="start"/>
              <w:rPr/>
            </w:pPr>
            <w:r>
              <w:rPr/>
              <w:t>Zacks — next 3–5 years</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b/>
              </w:rPr>
              <w:t>24.68%</w:t>
            </w:r>
          </w:p>
        </w:tc>
      </w:tr>
      <w:tr>
        <w:trPr/>
        <w:tc>
          <w:tcPr>
            <w:tcW w:w="4819" w:type="dxa"/>
            <w:tcBorders>
              <w:start w:val="single" w:sz="4" w:space="0" w:color="000000"/>
              <w:bottom w:val="single" w:sz="4" w:space="0" w:color="000000"/>
            </w:tcBorders>
          </w:tcPr>
          <w:p>
            <w:pPr>
              <w:pStyle w:val="TableContents"/>
              <w:bidi w:val="0"/>
              <w:jc w:val="start"/>
              <w:rPr/>
            </w:pPr>
            <w:r>
              <w:rPr/>
              <w:t>Simply Wall St</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b/>
              </w:rPr>
              <w:t>29.8%</w:t>
            </w:r>
          </w:p>
        </w:tc>
      </w:tr>
      <w:tr>
        <w:trPr/>
        <w:tc>
          <w:tcPr>
            <w:tcW w:w="4819" w:type="dxa"/>
            <w:tcBorders>
              <w:start w:val="single" w:sz="4" w:space="0" w:color="000000"/>
              <w:bottom w:val="single" w:sz="4" w:space="0" w:color="000000"/>
            </w:tcBorders>
          </w:tcPr>
          <w:p>
            <w:pPr>
              <w:pStyle w:val="TableContents"/>
              <w:bidi w:val="0"/>
              <w:jc w:val="start"/>
              <w:rPr/>
            </w:pPr>
            <w:r>
              <w:rPr>
                <w:b/>
              </w:rPr>
              <w:t>Average of the three forward figures</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b/>
              </w:rPr>
              <w:t>≈</w:t>
            </w:r>
            <w:r>
              <w:rPr>
                <w:b/>
              </w:rPr>
              <w:t>30%</w:t>
            </w:r>
          </w:p>
        </w:tc>
      </w:tr>
    </w:tbl>
    <w:p>
      <w:pPr>
        <w:pStyle w:val="BodyText"/>
        <w:bidi w:val="0"/>
        <w:jc w:val="start"/>
        <w:rPr/>
      </w:pPr>
      <w:r>
        <w:rPr/>
      </w:r>
    </w:p>
    <w:p>
      <w:pPr>
        <w:pStyle w:val="BodyText"/>
        <w:bidi w:val="0"/>
        <w:jc w:val="start"/>
        <w:rPr/>
      </w:pPr>
      <w:r>
        <w:rPr/>
        <w:t xml:space="preserve">"They are all pretty similar." (36 + 24.68 + 29.8) ÷ 3 ≈ </w:t>
      </w:r>
      <w:r>
        <w:rPr>
          <w:b/>
        </w:rPr>
        <w:t>30%</w:t>
      </w:r>
      <w:r>
        <w:rPr/>
        <w:t>.</w:t>
      </w:r>
    </w:p>
    <w:p>
      <w:pPr>
        <w:pStyle w:val="BodyText"/>
        <w:bidi w:val="0"/>
        <w:jc w:val="start"/>
        <w:rPr/>
      </w:pPr>
      <w:r>
        <w:rPr/>
        <w:t xml:space="preserve">→ </w:t>
      </w:r>
      <w:r>
        <w:rPr>
          <w:b/>
        </w:rPr>
        <w:t>Step 2 PASSED.</w:t>
      </w:r>
    </w:p>
    <w:p>
      <w:pPr>
        <w:pStyle w:val="Heading3"/>
        <w:bidi w:val="0"/>
        <w:ind w:hanging="0" w:start="0"/>
        <w:jc w:val="start"/>
        <w:rPr/>
      </w:pPr>
      <w:r>
        <w:rPr/>
        <w:t>3.4 Step 3 — Economic moat</w:t>
      </w:r>
    </w:p>
    <w:p>
      <w:pPr>
        <w:pStyle w:val="BodyText"/>
        <w:bidi w:val="0"/>
        <w:jc w:val="start"/>
        <w:rPr/>
      </w:pPr>
      <w:r>
        <w:rPr/>
        <w:t>Moat questions run against Amazon:</w:t>
      </w:r>
    </w:p>
    <w:tbl>
      <w:tblPr>
        <w:tblW w:w="5000" w:type="pct"/>
        <w:jc w:val="start"/>
        <w:tblInd w:w="-5" w:type="dxa"/>
        <w:tblLayout w:type="fixed"/>
        <w:tblCellMar>
          <w:top w:w="55" w:type="dxa"/>
          <w:start w:w="55" w:type="dxa"/>
          <w:bottom w:w="55" w:type="dxa"/>
          <w:end w:w="55" w:type="dxa"/>
        </w:tblCellMar>
      </w:tblPr>
      <w:tblGrid>
        <w:gridCol w:w="3212"/>
        <w:gridCol w:w="3213"/>
        <w:gridCol w:w="3213"/>
      </w:tblGrid>
      <w:tr>
        <w:trPr>
          <w:tblHeader w:val="true"/>
        </w:trPr>
        <w:tc>
          <w:tcPr>
            <w:tcW w:w="3212" w:type="dxa"/>
            <w:tcBorders>
              <w:top w:val="single" w:sz="4" w:space="0" w:color="000000"/>
              <w:start w:val="single" w:sz="4" w:space="0" w:color="000000"/>
              <w:bottom w:val="single" w:sz="4" w:space="0" w:color="000000"/>
            </w:tcBorders>
          </w:tcPr>
          <w:p>
            <w:pPr>
              <w:pStyle w:val="TableHeading"/>
              <w:bidi w:val="0"/>
              <w:jc w:val="start"/>
              <w:rPr/>
            </w:pPr>
            <w:r>
              <w:rPr/>
              <w:t>Moat source</w:t>
            </w:r>
          </w:p>
        </w:tc>
        <w:tc>
          <w:tcPr>
            <w:tcW w:w="3213" w:type="dxa"/>
            <w:tcBorders>
              <w:top w:val="single" w:sz="4" w:space="0" w:color="000000"/>
              <w:start w:val="single" w:sz="4" w:space="0" w:color="000000"/>
              <w:bottom w:val="single" w:sz="4" w:space="0" w:color="000000"/>
            </w:tcBorders>
          </w:tcPr>
          <w:p>
            <w:pPr>
              <w:pStyle w:val="TableHeading"/>
              <w:bidi w:val="0"/>
              <w:jc w:val="start"/>
              <w:rPr/>
            </w:pPr>
            <w:r>
              <w:rPr/>
              <w:t>Amazon?</w:t>
            </w:r>
          </w:p>
        </w:tc>
        <w:tc>
          <w:tcPr>
            <w:tcW w:w="3213"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Reasoning</w:t>
            </w:r>
          </w:p>
        </w:tc>
      </w:tr>
      <w:tr>
        <w:trPr/>
        <w:tc>
          <w:tcPr>
            <w:tcW w:w="3212" w:type="dxa"/>
            <w:tcBorders>
              <w:start w:val="single" w:sz="4" w:space="0" w:color="000000"/>
              <w:bottom w:val="single" w:sz="4" w:space="0" w:color="000000"/>
            </w:tcBorders>
          </w:tcPr>
          <w:p>
            <w:pPr>
              <w:pStyle w:val="TableContents"/>
              <w:bidi w:val="0"/>
              <w:jc w:val="start"/>
              <w:rPr/>
            </w:pPr>
            <w:r>
              <w:rPr>
                <w:b/>
              </w:rPr>
              <w:t>Brand monopoly</w:t>
            </w:r>
          </w:p>
        </w:tc>
        <w:tc>
          <w:tcPr>
            <w:tcW w:w="3213" w:type="dxa"/>
            <w:tcBorders>
              <w:start w:val="single" w:sz="4" w:space="0" w:color="000000"/>
              <w:bottom w:val="single" w:sz="4" w:space="0" w:color="000000"/>
            </w:tcBorders>
          </w:tcPr>
          <w:p>
            <w:pPr>
              <w:pStyle w:val="TableContents"/>
              <w:bidi w:val="0"/>
              <w:jc w:val="start"/>
              <w:rPr/>
            </w:pPr>
            <w:r>
              <w:rPr/>
              <w:t xml:space="preserve">✔ </w:t>
            </w:r>
            <w:r>
              <w:rPr/>
              <w:t>Yes</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Top-of-mind for e-commerce; also for cloud infrastructure</w:t>
            </w:r>
          </w:p>
        </w:tc>
      </w:tr>
      <w:tr>
        <w:trPr/>
        <w:tc>
          <w:tcPr>
            <w:tcW w:w="3212" w:type="dxa"/>
            <w:tcBorders>
              <w:start w:val="single" w:sz="4" w:space="0" w:color="000000"/>
              <w:bottom w:val="single" w:sz="4" w:space="0" w:color="000000"/>
            </w:tcBorders>
          </w:tcPr>
          <w:p>
            <w:pPr>
              <w:pStyle w:val="TableContents"/>
              <w:bidi w:val="0"/>
              <w:jc w:val="start"/>
              <w:rPr/>
            </w:pPr>
            <w:r>
              <w:rPr>
                <w:b/>
              </w:rPr>
              <w:t>High barriers to entry</w:t>
            </w:r>
          </w:p>
        </w:tc>
        <w:tc>
          <w:tcPr>
            <w:tcW w:w="3213" w:type="dxa"/>
            <w:tcBorders>
              <w:start w:val="single" w:sz="4" w:space="0" w:color="000000"/>
              <w:bottom w:val="single" w:sz="4" w:space="0" w:color="000000"/>
            </w:tcBorders>
          </w:tcPr>
          <w:p>
            <w:pPr>
              <w:pStyle w:val="TableContents"/>
              <w:bidi w:val="0"/>
              <w:jc w:val="start"/>
              <w:rPr/>
            </w:pPr>
            <w:r>
              <w:rPr/>
              <w:t xml:space="preserve">✔ </w:t>
            </w:r>
            <w:r>
              <w:rPr/>
              <w:t>Yes</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Amazon Prime same-day free delivery — "because of their scale, their size, they can do it faster and cheaper than anyone else"</w:t>
            </w:r>
          </w:p>
        </w:tc>
      </w:tr>
      <w:tr>
        <w:trPr/>
        <w:tc>
          <w:tcPr>
            <w:tcW w:w="3212" w:type="dxa"/>
            <w:tcBorders>
              <w:start w:val="single" w:sz="4" w:space="0" w:color="000000"/>
              <w:bottom w:val="single" w:sz="4" w:space="0" w:color="000000"/>
            </w:tcBorders>
          </w:tcPr>
          <w:p>
            <w:pPr>
              <w:pStyle w:val="TableContents"/>
              <w:bidi w:val="0"/>
              <w:jc w:val="start"/>
              <w:rPr/>
            </w:pPr>
            <w:r>
              <w:rPr>
                <w:b/>
              </w:rPr>
              <w:t>Huge economies of scale</w:t>
            </w:r>
          </w:p>
        </w:tc>
        <w:tc>
          <w:tcPr>
            <w:tcW w:w="3213" w:type="dxa"/>
            <w:tcBorders>
              <w:start w:val="single" w:sz="4" w:space="0" w:color="000000"/>
              <w:bottom w:val="single" w:sz="4" w:space="0" w:color="000000"/>
            </w:tcBorders>
          </w:tcPr>
          <w:p>
            <w:pPr>
              <w:pStyle w:val="TableContents"/>
              <w:bidi w:val="0"/>
              <w:jc w:val="start"/>
              <w:rPr/>
            </w:pPr>
            <w:r>
              <w:rPr/>
              <w:t xml:space="preserve">✔ </w:t>
            </w:r>
            <w:r>
              <w:rPr/>
              <w:t>Yes ("you bet")</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Scale of fulfilment network</w:t>
            </w:r>
          </w:p>
        </w:tc>
      </w:tr>
      <w:tr>
        <w:trPr/>
        <w:tc>
          <w:tcPr>
            <w:tcW w:w="3212" w:type="dxa"/>
            <w:tcBorders>
              <w:start w:val="single" w:sz="4" w:space="0" w:color="000000"/>
              <w:bottom w:val="single" w:sz="4" w:space="0" w:color="000000"/>
            </w:tcBorders>
          </w:tcPr>
          <w:p>
            <w:pPr>
              <w:pStyle w:val="TableContents"/>
              <w:bidi w:val="0"/>
              <w:jc w:val="start"/>
              <w:rPr/>
            </w:pPr>
            <w:r>
              <w:rPr>
                <w:b/>
              </w:rPr>
              <w:t>Network effect</w:t>
            </w:r>
          </w:p>
        </w:tc>
        <w:tc>
          <w:tcPr>
            <w:tcW w:w="3213" w:type="dxa"/>
            <w:tcBorders>
              <w:start w:val="single" w:sz="4" w:space="0" w:color="000000"/>
              <w:bottom w:val="single" w:sz="4" w:space="0" w:color="000000"/>
            </w:tcBorders>
          </w:tcPr>
          <w:p>
            <w:pPr>
              <w:pStyle w:val="TableContents"/>
              <w:bidi w:val="0"/>
              <w:jc w:val="start"/>
              <w:rPr/>
            </w:pPr>
            <w:r>
              <w:rPr/>
              <w:t xml:space="preserve">✘ </w:t>
            </w:r>
            <w:r>
              <w:rPr/>
              <w:t>"Maybe not"</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Adam explicitly declines to claim it</w:t>
            </w:r>
          </w:p>
        </w:tc>
      </w:tr>
      <w:tr>
        <w:trPr/>
        <w:tc>
          <w:tcPr>
            <w:tcW w:w="3212" w:type="dxa"/>
            <w:tcBorders>
              <w:start w:val="single" w:sz="4" w:space="0" w:color="000000"/>
              <w:bottom w:val="single" w:sz="4" w:space="0" w:color="000000"/>
            </w:tcBorders>
          </w:tcPr>
          <w:p>
            <w:pPr>
              <w:pStyle w:val="TableContents"/>
              <w:bidi w:val="0"/>
              <w:jc w:val="start"/>
              <w:rPr/>
            </w:pPr>
            <w:r>
              <w:rPr>
                <w:b/>
              </w:rPr>
              <w:t>High switching costs</w:t>
            </w:r>
          </w:p>
        </w:tc>
        <w:tc>
          <w:tcPr>
            <w:tcW w:w="3213" w:type="dxa"/>
            <w:tcBorders>
              <w:start w:val="single" w:sz="4" w:space="0" w:color="000000"/>
              <w:bottom w:val="single" w:sz="4" w:space="0" w:color="000000"/>
            </w:tcBorders>
          </w:tcPr>
          <w:p>
            <w:pPr>
              <w:pStyle w:val="TableContents"/>
              <w:bidi w:val="0"/>
              <w:jc w:val="start"/>
              <w:rPr/>
            </w:pPr>
            <w:r>
              <w:rPr/>
              <w:t xml:space="preserve">⚠️ </w:t>
            </w:r>
            <w:r>
              <w:rPr>
                <w:b/>
              </w:rPr>
              <w:t>Split by segment</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i/>
              </w:rPr>
              <w:t>E-commerce/individual:</w:t>
            </w:r>
            <w:r>
              <w:rPr/>
              <w:t xml:space="preserve"> </w:t>
            </w:r>
            <w:r>
              <w:rPr>
                <w:b/>
              </w:rPr>
              <w:t>No</w:t>
            </w:r>
            <w:r>
              <w:rPr/>
              <w:t xml:space="preserve"> — "if you want to buy on Amazon today, you can always buy on Alibaba tomorrow, you can buy on eBay the next day, so you could switch easily as an individual." </w:t>
            </w:r>
            <w:r>
              <w:rPr>
                <w:i/>
              </w:rPr>
              <w:t>Cloud/enterprise:</w:t>
            </w:r>
            <w:r>
              <w:rPr/>
              <w:t xml:space="preserve"> </w:t>
            </w:r>
            <w:r>
              <w:rPr>
                <w:b/>
              </w:rPr>
              <w:t>Yes</w:t>
            </w:r>
            <w:r>
              <w:rPr/>
              <w:t xml:space="preserve"> — "once a company hosts their stuff on Amazon Web Services, it's gonna be expensive and difficult to switch to Microsoft Azure"</w:t>
            </w:r>
          </w:p>
        </w:tc>
      </w:tr>
    </w:tbl>
    <w:p>
      <w:pPr>
        <w:pStyle w:val="BodyText"/>
        <w:bidi w:val="0"/>
        <w:jc w:val="start"/>
        <w:rPr/>
      </w:pPr>
      <w:r>
        <w:rPr/>
      </w:r>
    </w:p>
    <w:p>
      <w:pPr>
        <w:pStyle w:val="BodyText"/>
        <w:bidi w:val="0"/>
        <w:jc w:val="start"/>
        <w:rPr/>
      </w:pPr>
      <w:r>
        <w:rPr/>
        <w:t xml:space="preserve">Market-share anchor: </w:t>
      </w:r>
      <w:r>
        <w:rPr>
          <w:b/>
        </w:rPr>
        <w:t>AWS holds 33% of the cloud market as of Q2 2020 — clear market leader.</w:t>
      </w:r>
    </w:p>
    <w:p>
      <w:pPr>
        <w:pStyle w:val="BodyText"/>
        <w:bidi w:val="0"/>
        <w:jc w:val="start"/>
        <w:rPr/>
      </w:pPr>
      <w:r>
        <w:rPr/>
        <w:t xml:space="preserve">Verdict: "Amazon definitely does have at least </w:t>
      </w:r>
      <w:r>
        <w:rPr>
          <w:b/>
        </w:rPr>
        <w:t>two or three</w:t>
      </w:r>
      <w:r>
        <w:rPr/>
        <w:t xml:space="preserve"> of these sources of a wide moat."</w:t>
      </w:r>
    </w:p>
    <w:p>
      <w:pPr>
        <w:pStyle w:val="BodyText"/>
        <w:bidi w:val="0"/>
        <w:jc w:val="start"/>
        <w:rPr/>
      </w:pPr>
      <w:r>
        <w:rPr/>
        <w:t xml:space="preserve">→ </w:t>
      </w:r>
      <w:r>
        <w:rPr>
          <w:b/>
        </w:rPr>
        <w:t>Step 3 PASSED.</w:t>
      </w:r>
      <w:r>
        <w:rPr/>
        <w:t xml:space="preserve"> (Note this is a </w:t>
      </w:r>
      <w:r>
        <w:rPr>
          <w:i/>
        </w:rPr>
        <w:t>weaker</w:t>
      </w:r>
      <w:r>
        <w:rPr/>
        <w:t xml:space="preserve"> moat verdict than GOOGL's 9/10 or MSFT's clean three-source pass — Adam is explicit that two of the five sources fail or are segment-limited.)</w:t>
      </w:r>
    </w:p>
    <w:p>
      <w:pPr>
        <w:pStyle w:val="Heading3"/>
        <w:bidi w:val="0"/>
        <w:ind w:hanging="0" w:start="0"/>
        <w:jc w:val="start"/>
        <w:rPr/>
      </w:pPr>
      <w:r>
        <w:rPr/>
        <w:t>3.5 Step 4 — Profitability and operational efficiency</w:t>
      </w:r>
    </w:p>
    <w:p>
      <w:pPr>
        <w:pStyle w:val="BodyText"/>
        <w:bidi w:val="0"/>
        <w:jc w:val="start"/>
        <w:rPr/>
      </w:pPr>
      <w:r>
        <w:rPr/>
        <w:t>Morningstar → Operating Performance:</w:t>
      </w:r>
    </w:p>
    <w:tbl>
      <w:tblPr>
        <w:tblW w:w="5000" w:type="pct"/>
        <w:jc w:val="start"/>
        <w:tblInd w:w="-5" w:type="dxa"/>
        <w:tblLayout w:type="fixed"/>
        <w:tblCellMar>
          <w:top w:w="55" w:type="dxa"/>
          <w:start w:w="55" w:type="dxa"/>
          <w:bottom w:w="55" w:type="dxa"/>
          <w:end w:w="55" w:type="dxa"/>
        </w:tblCellMar>
      </w:tblPr>
      <w:tblGrid>
        <w:gridCol w:w="3212"/>
        <w:gridCol w:w="3213"/>
        <w:gridCol w:w="3213"/>
      </w:tblGrid>
      <w:tr>
        <w:trPr>
          <w:tblHeader w:val="true"/>
        </w:trPr>
        <w:tc>
          <w:tcPr>
            <w:tcW w:w="3212" w:type="dxa"/>
            <w:tcBorders>
              <w:top w:val="single" w:sz="4" w:space="0" w:color="000000"/>
              <w:start w:val="single" w:sz="4" w:space="0" w:color="000000"/>
              <w:bottom w:val="single" w:sz="4" w:space="0" w:color="000000"/>
            </w:tcBorders>
          </w:tcPr>
          <w:p>
            <w:pPr>
              <w:pStyle w:val="TableHeading"/>
              <w:bidi w:val="0"/>
              <w:jc w:val="start"/>
              <w:rPr/>
            </w:pPr>
            <w:r>
              <w:rPr/>
              <w:t>Year</w:t>
            </w:r>
          </w:p>
        </w:tc>
        <w:tc>
          <w:tcPr>
            <w:tcW w:w="3213" w:type="dxa"/>
            <w:tcBorders>
              <w:top w:val="single" w:sz="4" w:space="0" w:color="000000"/>
              <w:start w:val="single" w:sz="4" w:space="0" w:color="000000"/>
              <w:bottom w:val="single" w:sz="4" w:space="0" w:color="000000"/>
            </w:tcBorders>
          </w:tcPr>
          <w:p>
            <w:pPr>
              <w:pStyle w:val="TableHeading"/>
              <w:bidi w:val="0"/>
              <w:jc w:val="start"/>
              <w:rPr/>
            </w:pPr>
            <w:r>
              <w:rPr/>
              <w:t>ROE</w:t>
            </w:r>
          </w:p>
        </w:tc>
        <w:tc>
          <w:tcPr>
            <w:tcW w:w="3213"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ROIC</w:t>
            </w:r>
          </w:p>
        </w:tc>
      </w:tr>
      <w:tr>
        <w:trPr/>
        <w:tc>
          <w:tcPr>
            <w:tcW w:w="3212" w:type="dxa"/>
            <w:tcBorders>
              <w:start w:val="single" w:sz="4" w:space="0" w:color="000000"/>
              <w:bottom w:val="single" w:sz="4" w:space="0" w:color="000000"/>
            </w:tcBorders>
          </w:tcPr>
          <w:p>
            <w:pPr>
              <w:pStyle w:val="TableContents"/>
              <w:bidi w:val="0"/>
              <w:jc w:val="start"/>
              <w:rPr/>
            </w:pPr>
            <w:r>
              <w:rPr/>
              <w:t>2017</w:t>
            </w:r>
          </w:p>
        </w:tc>
        <w:tc>
          <w:tcPr>
            <w:tcW w:w="3213" w:type="dxa"/>
            <w:tcBorders>
              <w:start w:val="single" w:sz="4" w:space="0" w:color="000000"/>
              <w:bottom w:val="single" w:sz="4" w:space="0" w:color="000000"/>
            </w:tcBorders>
          </w:tcPr>
          <w:p>
            <w:pPr>
              <w:pStyle w:val="TableContents"/>
              <w:bidi w:val="0"/>
              <w:jc w:val="start"/>
              <w:rPr/>
            </w:pPr>
            <w:r>
              <w:rPr/>
              <w:t>12%</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14%</w:t>
            </w:r>
          </w:p>
        </w:tc>
      </w:tr>
      <w:tr>
        <w:trPr/>
        <w:tc>
          <w:tcPr>
            <w:tcW w:w="3212" w:type="dxa"/>
            <w:tcBorders>
              <w:start w:val="single" w:sz="4" w:space="0" w:color="000000"/>
              <w:bottom w:val="single" w:sz="4" w:space="0" w:color="000000"/>
            </w:tcBorders>
          </w:tcPr>
          <w:p>
            <w:pPr>
              <w:pStyle w:val="TableContents"/>
              <w:bidi w:val="0"/>
              <w:jc w:val="start"/>
              <w:rPr/>
            </w:pPr>
            <w:r>
              <w:rPr/>
              <w:t>2018</w:t>
            </w:r>
          </w:p>
        </w:tc>
        <w:tc>
          <w:tcPr>
            <w:tcW w:w="3213" w:type="dxa"/>
            <w:tcBorders>
              <w:start w:val="single" w:sz="4" w:space="0" w:color="000000"/>
              <w:bottom w:val="single" w:sz="4" w:space="0" w:color="000000"/>
            </w:tcBorders>
          </w:tcPr>
          <w:p>
            <w:pPr>
              <w:pStyle w:val="TableContents"/>
              <w:bidi w:val="0"/>
              <w:jc w:val="start"/>
              <w:rPr/>
            </w:pPr>
            <w:r>
              <w:rPr/>
              <w:t>28%</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11%</w:t>
            </w:r>
          </w:p>
        </w:tc>
      </w:tr>
      <w:tr>
        <w:trPr/>
        <w:tc>
          <w:tcPr>
            <w:tcW w:w="3212" w:type="dxa"/>
            <w:tcBorders>
              <w:start w:val="single" w:sz="4" w:space="0" w:color="000000"/>
              <w:bottom w:val="single" w:sz="4" w:space="0" w:color="000000"/>
            </w:tcBorders>
          </w:tcPr>
          <w:p>
            <w:pPr>
              <w:pStyle w:val="TableContents"/>
              <w:bidi w:val="0"/>
              <w:jc w:val="start"/>
              <w:rPr/>
            </w:pPr>
            <w:r>
              <w:rPr/>
              <w:t>2019</w:t>
            </w:r>
          </w:p>
        </w:tc>
        <w:tc>
          <w:tcPr>
            <w:tcW w:w="3213" w:type="dxa"/>
            <w:tcBorders>
              <w:start w:val="single" w:sz="4" w:space="0" w:color="000000"/>
              <w:bottom w:val="single" w:sz="4" w:space="0" w:color="000000"/>
            </w:tcBorders>
          </w:tcPr>
          <w:p>
            <w:pPr>
              <w:pStyle w:val="TableContents"/>
              <w:bidi w:val="0"/>
              <w:jc w:val="start"/>
              <w:rPr/>
            </w:pPr>
            <w:r>
              <w:rPr/>
              <w:t>21%</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14%</w:t>
            </w:r>
          </w:p>
        </w:tc>
      </w:tr>
      <w:tr>
        <w:trPr/>
        <w:tc>
          <w:tcPr>
            <w:tcW w:w="3212" w:type="dxa"/>
            <w:tcBorders>
              <w:start w:val="single" w:sz="4" w:space="0" w:color="000000"/>
              <w:bottom w:val="single" w:sz="4" w:space="0" w:color="000000"/>
            </w:tcBorders>
          </w:tcPr>
          <w:p>
            <w:pPr>
              <w:pStyle w:val="TableContents"/>
              <w:bidi w:val="0"/>
              <w:jc w:val="start"/>
              <w:rPr/>
            </w:pPr>
            <w:r>
              <w:rPr/>
              <w:t>2020</w:t>
            </w:r>
          </w:p>
        </w:tc>
        <w:tc>
          <w:tcPr>
            <w:tcW w:w="3213" w:type="dxa"/>
            <w:tcBorders>
              <w:start w:val="single" w:sz="4" w:space="0" w:color="000000"/>
              <w:bottom w:val="single" w:sz="4" w:space="0" w:color="000000"/>
            </w:tcBorders>
          </w:tcPr>
          <w:p>
            <w:pPr>
              <w:pStyle w:val="TableContents"/>
              <w:bidi w:val="0"/>
              <w:jc w:val="start"/>
              <w:rPr/>
            </w:pPr>
            <w:r>
              <w:rPr/>
              <w:t>27%</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13%</w:t>
            </w:r>
          </w:p>
        </w:tc>
      </w:tr>
      <w:tr>
        <w:trPr/>
        <w:tc>
          <w:tcPr>
            <w:tcW w:w="3212" w:type="dxa"/>
            <w:tcBorders>
              <w:start w:val="single" w:sz="4" w:space="0" w:color="000000"/>
              <w:bottom w:val="single" w:sz="4" w:space="0" w:color="000000"/>
            </w:tcBorders>
          </w:tcPr>
          <w:p>
            <w:pPr>
              <w:pStyle w:val="TableContents"/>
              <w:bidi w:val="0"/>
              <w:jc w:val="start"/>
              <w:rPr/>
            </w:pPr>
            <w:r>
              <w:rPr>
                <w:b/>
              </w:rPr>
              <w:t>TTM</w:t>
            </w:r>
          </w:p>
        </w:tc>
        <w:tc>
          <w:tcPr>
            <w:tcW w:w="3213" w:type="dxa"/>
            <w:tcBorders>
              <w:start w:val="single" w:sz="4" w:space="0" w:color="000000"/>
              <w:bottom w:val="single" w:sz="4" w:space="0" w:color="000000"/>
            </w:tcBorders>
          </w:tcPr>
          <w:p>
            <w:pPr>
              <w:pStyle w:val="TableContents"/>
              <w:bidi w:val="0"/>
              <w:jc w:val="start"/>
              <w:rPr/>
            </w:pPr>
            <w:r>
              <w:rPr>
                <w:b/>
              </w:rPr>
              <w:t>25%</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b/>
              </w:rPr>
              <w:t>above 12%</w:t>
            </w:r>
          </w:p>
        </w:tc>
      </w:tr>
    </w:tbl>
    <w:p>
      <w:pPr>
        <w:pStyle w:val="BodyText"/>
        <w:bidi w:val="0"/>
        <w:jc w:val="start"/>
        <w:rPr/>
      </w:pPr>
      <w:r>
        <w:rPr/>
      </w:r>
    </w:p>
    <w:p>
      <w:pPr>
        <w:pStyle w:val="BodyText"/>
        <w:bidi w:val="0"/>
        <w:jc w:val="start"/>
        <w:rPr/>
      </w:pPr>
      <w:r>
        <w:rPr/>
        <w:t xml:space="preserve">Both TTM figures are </w:t>
      </w:r>
      <w:r>
        <w:rPr>
          <w:b/>
        </w:rPr>
        <w:t>above 12%</w:t>
      </w:r>
      <w:r>
        <w:rPr/>
        <w:t xml:space="preserve"> and </w:t>
      </w:r>
      <w:r>
        <w:rPr>
          <w:b/>
        </w:rPr>
        <w:t>above their 5-year averages</w:t>
      </w:r>
      <w:r>
        <w:rPr/>
        <w:t xml:space="preserve">. Adam acknowledges ROIC "has been below 12% in 2017 and 2019 slightly, but last 12 months it's way above 12% and above the five-year average, </w:t>
      </w:r>
      <w:r>
        <w:rPr>
          <w:b/>
        </w:rPr>
        <w:t>so that's fine for me.</w:t>
      </w:r>
      <w:r>
        <w:rPr/>
        <w:t>" (A tolerance ruling: occasional dips below threshold are acceptable if the latest reading and trend are strong.)</w:t>
      </w:r>
    </w:p>
    <w:p>
      <w:pPr>
        <w:pStyle w:val="BodyText"/>
        <w:bidi w:val="0"/>
        <w:jc w:val="start"/>
        <w:rPr/>
      </w:pPr>
      <w:r>
        <w:rPr>
          <w:b/>
        </w:rPr>
        <w:t>Revenue vs accounts receivable</w:t>
      </w:r>
      <w:r>
        <w:rPr/>
        <w:t xml:space="preserve"> — same TradingView merge procedure as MSFT (annual revenue + annual accounts receivables → </w:t>
      </w:r>
      <w:r>
        <w:rPr>
          <w:i/>
        </w:rPr>
        <w:t>Move to existing pane above</w:t>
      </w:r>
      <w:r>
        <w:rPr/>
        <w:t xml:space="preserve"> → right-click axis → </w:t>
      </w:r>
      <w:r>
        <w:rPr>
          <w:i/>
        </w:rPr>
        <w:t>Merge all scales into one on the right</w:t>
      </w:r>
      <w:r>
        <w:rPr/>
        <w:t>). Over 5 years, revenue grows "a lot more than accounts receivables" ✔.</w:t>
      </w:r>
    </w:p>
    <w:p>
      <w:pPr>
        <w:pStyle w:val="BodyText"/>
        <w:bidi w:val="0"/>
        <w:jc w:val="start"/>
        <w:rPr/>
      </w:pPr>
      <w:r>
        <w:rPr>
          <w:b/>
        </w:rPr>
        <w:t>Cash conversion cycle</w:t>
      </w:r>
      <w:r>
        <w:rPr/>
        <w:t xml:space="preserve"> — TradingView → Indicators → Financials → Cash Conversion (viewable quarterly), last 5 years: </w:t>
      </w:r>
      <w:r>
        <w:rPr>
          <w:b/>
        </w:rPr>
        <w:t>declining</w:t>
      </w:r>
      <w:r>
        <w:rPr/>
        <w:t xml:space="preserve"> ✔. "The shorter the cash conversion cycle, the more efficient the company is at turning around its cash." Note: unlike MSFT and GOOGL, this metric is genuinely applicable to Amazon because it is a physical-goods retailer.</w:t>
      </w:r>
    </w:p>
    <w:p>
      <w:pPr>
        <w:pStyle w:val="BodyText"/>
        <w:bidi w:val="0"/>
        <w:jc w:val="start"/>
        <w:rPr/>
      </w:pPr>
      <w:r>
        <w:rPr/>
        <w:t xml:space="preserve">→ </w:t>
      </w:r>
      <w:r>
        <w:rPr>
          <w:b/>
        </w:rPr>
        <w:t>Step 4 PASSED.</w:t>
      </w:r>
    </w:p>
    <w:p>
      <w:pPr>
        <w:pStyle w:val="Heading3"/>
        <w:bidi w:val="0"/>
        <w:ind w:hanging="0" w:start="0"/>
        <w:jc w:val="start"/>
        <w:rPr/>
      </w:pPr>
      <w:r>
        <w:rPr/>
        <w:t>3.6 Step 5 — Conservative debt</w:t>
      </w:r>
    </w:p>
    <w:tbl>
      <w:tblPr>
        <w:tblW w:w="5000" w:type="pct"/>
        <w:jc w:val="start"/>
        <w:tblInd w:w="-5" w:type="dxa"/>
        <w:tblLayout w:type="fixed"/>
        <w:tblCellMar>
          <w:top w:w="55" w:type="dxa"/>
          <w:start w:w="55" w:type="dxa"/>
          <w:bottom w:w="55" w:type="dxa"/>
          <w:end w:w="55" w:type="dxa"/>
        </w:tblCellMar>
      </w:tblPr>
      <w:tblGrid>
        <w:gridCol w:w="2409"/>
        <w:gridCol w:w="2410"/>
        <w:gridCol w:w="2409"/>
        <w:gridCol w:w="2410"/>
      </w:tblGrid>
      <w:tr>
        <w:trPr>
          <w:tblHeader w:val="true"/>
        </w:trPr>
        <w:tc>
          <w:tcPr>
            <w:tcW w:w="2409" w:type="dxa"/>
            <w:tcBorders>
              <w:top w:val="single" w:sz="4" w:space="0" w:color="000000"/>
              <w:start w:val="single" w:sz="4" w:space="0" w:color="000000"/>
              <w:bottom w:val="single" w:sz="4" w:space="0" w:color="000000"/>
            </w:tcBorders>
          </w:tcPr>
          <w:p>
            <w:pPr>
              <w:pStyle w:val="TableHeading"/>
              <w:bidi w:val="0"/>
              <w:jc w:val="start"/>
              <w:rPr/>
            </w:pPr>
            <w:r>
              <w:rPr/>
              <w:t>Ratio</w:t>
            </w:r>
          </w:p>
        </w:tc>
        <w:tc>
          <w:tcPr>
            <w:tcW w:w="2410" w:type="dxa"/>
            <w:tcBorders>
              <w:top w:val="single" w:sz="4" w:space="0" w:color="000000"/>
              <w:start w:val="single" w:sz="4" w:space="0" w:color="000000"/>
              <w:bottom w:val="single" w:sz="4" w:space="0" w:color="000000"/>
            </w:tcBorders>
          </w:tcPr>
          <w:p>
            <w:pPr>
              <w:pStyle w:val="TableHeading"/>
              <w:bidi w:val="0"/>
              <w:jc w:val="start"/>
              <w:rPr/>
            </w:pPr>
            <w:r>
              <w:rPr/>
              <w:t>Amazon</w:t>
            </w:r>
          </w:p>
        </w:tc>
        <w:tc>
          <w:tcPr>
            <w:tcW w:w="2409" w:type="dxa"/>
            <w:tcBorders>
              <w:top w:val="single" w:sz="4" w:space="0" w:color="000000"/>
              <w:start w:val="single" w:sz="4" w:space="0" w:color="000000"/>
              <w:bottom w:val="single" w:sz="4" w:space="0" w:color="000000"/>
            </w:tcBorders>
          </w:tcPr>
          <w:p>
            <w:pPr>
              <w:pStyle w:val="TableHeading"/>
              <w:bidi w:val="0"/>
              <w:jc w:val="start"/>
              <w:rPr/>
            </w:pPr>
            <w:r>
              <w:rPr/>
              <w:t>Threshold</w:t>
            </w:r>
          </w:p>
        </w:tc>
        <w:tc>
          <w:tcPr>
            <w:tcW w:w="2410"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Source</w:t>
            </w:r>
          </w:p>
        </w:tc>
      </w:tr>
      <w:tr>
        <w:trPr/>
        <w:tc>
          <w:tcPr>
            <w:tcW w:w="2409" w:type="dxa"/>
            <w:tcBorders>
              <w:start w:val="single" w:sz="4" w:space="0" w:color="000000"/>
              <w:bottom w:val="single" w:sz="4" w:space="0" w:color="000000"/>
            </w:tcBorders>
          </w:tcPr>
          <w:p>
            <w:pPr>
              <w:pStyle w:val="TableContents"/>
              <w:bidi w:val="0"/>
              <w:jc w:val="start"/>
              <w:rPr/>
            </w:pPr>
            <w:r>
              <w:rPr/>
              <w:t>Current ratio</w:t>
            </w:r>
          </w:p>
        </w:tc>
        <w:tc>
          <w:tcPr>
            <w:tcW w:w="2410" w:type="dxa"/>
            <w:tcBorders>
              <w:start w:val="single" w:sz="4" w:space="0" w:color="000000"/>
              <w:bottom w:val="single" w:sz="4" w:space="0" w:color="000000"/>
            </w:tcBorders>
          </w:tcPr>
          <w:p>
            <w:pPr>
              <w:pStyle w:val="TableContents"/>
              <w:bidi w:val="0"/>
              <w:jc w:val="start"/>
              <w:rPr/>
            </w:pPr>
            <w:r>
              <w:rPr>
                <w:b/>
              </w:rPr>
              <w:t>1.12</w:t>
            </w:r>
          </w:p>
        </w:tc>
        <w:tc>
          <w:tcPr>
            <w:tcW w:w="2409" w:type="dxa"/>
            <w:tcBorders>
              <w:start w:val="single" w:sz="4" w:space="0" w:color="000000"/>
              <w:bottom w:val="single" w:sz="4" w:space="0" w:color="000000"/>
            </w:tcBorders>
          </w:tcPr>
          <w:p>
            <w:pPr>
              <w:pStyle w:val="TableContents"/>
              <w:bidi w:val="0"/>
              <w:jc w:val="start"/>
              <w:rPr/>
            </w:pPr>
            <w:r>
              <w:rPr/>
              <w:t>&gt; 1</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GuruFocus</w:t>
            </w:r>
          </w:p>
        </w:tc>
      </w:tr>
      <w:tr>
        <w:trPr/>
        <w:tc>
          <w:tcPr>
            <w:tcW w:w="2409" w:type="dxa"/>
            <w:tcBorders>
              <w:start w:val="single" w:sz="4" w:space="0" w:color="000000"/>
              <w:bottom w:val="single" w:sz="4" w:space="0" w:color="000000"/>
            </w:tcBorders>
          </w:tcPr>
          <w:p>
            <w:pPr>
              <w:pStyle w:val="TableContents"/>
              <w:bidi w:val="0"/>
              <w:jc w:val="start"/>
              <w:rPr/>
            </w:pPr>
            <w:r>
              <w:rPr/>
              <w:t>Debt / EBITDA</w:t>
            </w:r>
          </w:p>
        </w:tc>
        <w:tc>
          <w:tcPr>
            <w:tcW w:w="2410" w:type="dxa"/>
            <w:tcBorders>
              <w:start w:val="single" w:sz="4" w:space="0" w:color="000000"/>
              <w:bottom w:val="single" w:sz="4" w:space="0" w:color="000000"/>
            </w:tcBorders>
          </w:tcPr>
          <w:p>
            <w:pPr>
              <w:pStyle w:val="TableContents"/>
              <w:bidi w:val="0"/>
              <w:jc w:val="start"/>
              <w:rPr/>
            </w:pPr>
            <w:r>
              <w:rPr>
                <w:b/>
              </w:rPr>
              <w:t>1.76</w:t>
            </w:r>
          </w:p>
        </w:tc>
        <w:tc>
          <w:tcPr>
            <w:tcW w:w="2409" w:type="dxa"/>
            <w:tcBorders>
              <w:start w:val="single" w:sz="4" w:space="0" w:color="000000"/>
              <w:bottom w:val="single" w:sz="4" w:space="0" w:color="000000"/>
            </w:tcBorders>
          </w:tcPr>
          <w:p>
            <w:pPr>
              <w:pStyle w:val="TableContents"/>
              <w:bidi w:val="0"/>
              <w:jc w:val="start"/>
              <w:rPr/>
            </w:pPr>
            <w:r>
              <w:rPr/>
              <w:t xml:space="preserve">≤ </w:t>
            </w:r>
            <w:r>
              <w:rPr/>
              <w:t>3</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GuruFocus</w:t>
            </w:r>
          </w:p>
        </w:tc>
      </w:tr>
      <w:tr>
        <w:trPr/>
        <w:tc>
          <w:tcPr>
            <w:tcW w:w="2409" w:type="dxa"/>
            <w:tcBorders>
              <w:start w:val="single" w:sz="4" w:space="0" w:color="000000"/>
              <w:bottom w:val="single" w:sz="4" w:space="0" w:color="000000"/>
            </w:tcBorders>
          </w:tcPr>
          <w:p>
            <w:pPr>
              <w:pStyle w:val="TableContents"/>
              <w:bidi w:val="0"/>
              <w:jc w:val="start"/>
              <w:rPr/>
            </w:pPr>
            <w:r>
              <w:rPr/>
              <w:t>Debt servicing ratio</w:t>
            </w:r>
          </w:p>
        </w:tc>
        <w:tc>
          <w:tcPr>
            <w:tcW w:w="2410" w:type="dxa"/>
            <w:tcBorders>
              <w:start w:val="single" w:sz="4" w:space="0" w:color="000000"/>
              <w:bottom w:val="single" w:sz="4" w:space="0" w:color="000000"/>
            </w:tcBorders>
          </w:tcPr>
          <w:p>
            <w:pPr>
              <w:pStyle w:val="TableContents"/>
              <w:bidi w:val="0"/>
              <w:jc w:val="start"/>
              <w:rPr/>
            </w:pPr>
            <w:r>
              <w:rPr>
                <w:b/>
              </w:rPr>
              <w:t>2.4%</w:t>
            </w:r>
          </w:p>
        </w:tc>
        <w:tc>
          <w:tcPr>
            <w:tcW w:w="2409" w:type="dxa"/>
            <w:tcBorders>
              <w:start w:val="single" w:sz="4" w:space="0" w:color="000000"/>
              <w:bottom w:val="single" w:sz="4" w:space="0" w:color="000000"/>
            </w:tcBorders>
          </w:tcPr>
          <w:p>
            <w:pPr>
              <w:pStyle w:val="TableContents"/>
              <w:bidi w:val="0"/>
              <w:jc w:val="start"/>
              <w:rPr/>
            </w:pPr>
            <w:r>
              <w:rPr/>
              <w:t>&lt; 30%</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calculated manually</w:t>
            </w:r>
          </w:p>
        </w:tc>
      </w:tr>
    </w:tbl>
    <w:p>
      <w:pPr>
        <w:pStyle w:val="BodyText"/>
        <w:bidi w:val="0"/>
        <w:jc w:val="start"/>
        <w:rPr/>
      </w:pPr>
      <w:r>
        <w:rPr/>
      </w:r>
    </w:p>
    <w:p>
      <w:pPr>
        <w:pStyle w:val="BodyText"/>
        <w:bidi w:val="0"/>
        <w:jc w:val="start"/>
        <w:rPr/>
      </w:pPr>
      <w:r>
        <w:rPr>
          <w:b/>
        </w:rPr>
        <w:t xml:space="preserve">Debt servicing ratio worked by hand — note the </w:t>
      </w:r>
      <w:r>
        <w:rPr>
          <w:b/>
          <w:i/>
        </w:rPr>
        <w:t>net</w:t>
      </w:r>
      <w:r>
        <w:rPr>
          <w:b/>
        </w:rPr>
        <w:t xml:space="preserve"> interest treatment:</w:t>
      </w:r>
    </w:p>
    <w:p>
      <w:pPr>
        <w:pStyle w:val="BodyText"/>
        <w:bidi w:val="0"/>
        <w:jc w:val="start"/>
        <w:rPr/>
      </w:pPr>
      <w:r>
        <w:rPr/>
        <w:t>From the income statement (quarterly view):</w:t>
      </w:r>
    </w:p>
    <w:p>
      <w:pPr>
        <w:pStyle w:val="BodyText"/>
        <w:numPr>
          <w:ilvl w:val="0"/>
          <w:numId w:val="447"/>
        </w:numPr>
        <w:tabs>
          <w:tab w:val="clear" w:pos="709"/>
          <w:tab w:val="left" w:pos="709" w:leader="none"/>
        </w:tabs>
        <w:bidi w:val="0"/>
        <w:ind w:hanging="283" w:start="709"/>
        <w:jc w:val="start"/>
        <w:rPr/>
      </w:pPr>
      <w:r>
        <w:rPr/>
        <w:t xml:space="preserve">Interest </w:t>
      </w:r>
      <w:r>
        <w:rPr>
          <w:b/>
        </w:rPr>
        <w:t>income</w:t>
      </w:r>
      <w:r>
        <w:rPr/>
        <w:t xml:space="preserve">: </w:t>
      </w:r>
      <w:r>
        <w:rPr>
          <w:b/>
        </w:rPr>
        <w:t>$430 million</w:t>
      </w:r>
    </w:p>
    <w:p>
      <w:pPr>
        <w:pStyle w:val="BodyText"/>
        <w:numPr>
          <w:ilvl w:val="0"/>
          <w:numId w:val="447"/>
        </w:numPr>
        <w:tabs>
          <w:tab w:val="clear" w:pos="709"/>
          <w:tab w:val="left" w:pos="709" w:leader="none"/>
        </w:tabs>
        <w:bidi w:val="0"/>
        <w:ind w:hanging="283" w:start="709"/>
        <w:jc w:val="start"/>
        <w:rPr/>
      </w:pPr>
      <w:r>
        <w:rPr/>
        <w:t xml:space="preserve">Interest </w:t>
      </w:r>
      <w:r>
        <w:rPr>
          <w:b/>
        </w:rPr>
        <w:t>expense</w:t>
      </w:r>
      <w:r>
        <w:rPr/>
        <w:t xml:space="preserve">: </w:t>
      </w:r>
      <w:r>
        <w:rPr>
          <w:b/>
        </w:rPr>
        <w:t>$1.7 billion</w:t>
      </w:r>
    </w:p>
    <w:p>
      <w:pPr>
        <w:pStyle w:val="BodyText"/>
        <w:numPr>
          <w:ilvl w:val="0"/>
          <w:numId w:val="447"/>
        </w:numPr>
        <w:tabs>
          <w:tab w:val="clear" w:pos="709"/>
          <w:tab w:val="left" w:pos="709" w:leader="none"/>
        </w:tabs>
        <w:bidi w:val="0"/>
        <w:ind w:hanging="283" w:start="709"/>
        <w:jc w:val="start"/>
        <w:rPr/>
      </w:pPr>
      <w:r>
        <w:rPr>
          <w:b/>
        </w:rPr>
        <w:t>Net interest expense = $1,311 million</w:t>
      </w:r>
    </w:p>
    <w:p>
      <w:pPr>
        <w:pStyle w:val="BodyText"/>
        <w:bidi w:val="0"/>
        <w:jc w:val="start"/>
        <w:rPr/>
      </w:pPr>
      <w:r>
        <w:rPr/>
        <w:t xml:space="preserve">Cash from operations (TTM): </w:t>
      </w:r>
      <w:r>
        <w:rPr>
          <w:b/>
        </w:rPr>
        <w:t>$54,672 million</w:t>
      </w:r>
    </w:p>
    <w:p>
      <w:pPr>
        <w:pStyle w:val="BodyText"/>
        <w:bidi w:val="0"/>
        <w:jc w:val="start"/>
        <w:rPr/>
      </w:pPr>
      <w:r>
        <w:rPr/>
        <w:t xml:space="preserve">1,311 ÷ 54,672 × 100 = </w:t>
      </w:r>
      <w:r>
        <w:rPr>
          <w:b/>
        </w:rPr>
        <w:t>2.4%</w:t>
      </w:r>
      <w:r>
        <w:rPr/>
        <w:t xml:space="preserve"> → "only 2.4% of the company's cash from operations is used to pay its interest expenses, which is very, very low." ✔</w:t>
      </w:r>
    </w:p>
    <w:p>
      <w:pPr>
        <w:pStyle w:val="BodyText"/>
        <w:bidi w:val="0"/>
        <w:jc w:val="start"/>
        <w:rPr/>
      </w:pPr>
      <w:r>
        <w:rPr/>
        <w:t>(Contrast with MSFT, where Adam used the gross interest-expense line directly. Here he explicitly nets interest income against interest expense.)</w:t>
      </w:r>
    </w:p>
    <w:p>
      <w:pPr>
        <w:pStyle w:val="BodyText"/>
        <w:bidi w:val="0"/>
        <w:jc w:val="start"/>
        <w:rPr/>
      </w:pPr>
      <w:r>
        <w:rPr/>
        <w:t xml:space="preserve">→ </w:t>
      </w:r>
      <w:r>
        <w:rPr>
          <w:b/>
        </w:rPr>
        <w:t>Step 5 PASSED.</w:t>
      </w:r>
      <w:r>
        <w:rPr/>
        <w:t xml:space="preserve"> Great business → watch list.</w:t>
      </w:r>
    </w:p>
    <w:p>
      <w:pPr>
        <w:pStyle w:val="Heading3"/>
        <w:bidi w:val="0"/>
        <w:ind w:hanging="0" w:start="0"/>
        <w:jc w:val="start"/>
        <w:rPr/>
      </w:pPr>
      <w:r>
        <w:rPr/>
        <w:t>3.7 Step 6 — Intrinsic value: WHY AMAZON GETS A DIFFERENT METHOD</w:t>
      </w:r>
    </w:p>
    <w:p>
      <w:pPr>
        <w:pStyle w:val="BodyText"/>
        <w:bidi w:val="0"/>
        <w:jc w:val="start"/>
        <w:rPr/>
      </w:pPr>
      <w:r>
        <w:rPr>
          <w:b/>
        </w:rPr>
        <w:t>This is the most important methodological difference across the three case studies.</w:t>
      </w:r>
    </w:p>
    <w:p>
      <w:pPr>
        <w:pStyle w:val="BodyText"/>
        <w:bidi w:val="0"/>
        <w:jc w:val="start"/>
        <w:rPr/>
      </w:pPr>
      <w:r>
        <w:rPr/>
        <w:t xml:space="preserve">Adam's default is </w:t>
      </w:r>
      <w:r>
        <w:rPr>
          <w:b/>
        </w:rPr>
        <w:t>discounted cash flow from operations</w:t>
      </w:r>
      <w:r>
        <w:rPr/>
        <w:t xml:space="preserve">. He does </w:t>
      </w:r>
      <w:r>
        <w:rPr>
          <w:b/>
        </w:rPr>
        <w:t>not</w:t>
      </w:r>
      <w:r>
        <w:rPr/>
        <w:t xml:space="preserve"> use it for Amazon. The rule:</w:t>
      </w:r>
    </w:p>
    <w:p>
      <w:pPr>
        <w:pStyle w:val="BlockQuotation"/>
        <w:bidi w:val="0"/>
        <w:jc w:val="start"/>
        <w:rPr/>
      </w:pPr>
      <w:r>
        <w:rPr>
          <w:b/>
        </w:rPr>
        <w:t>When cash from operations is more than ~1.5× net income, switch to the discounted FREE cash flow method — it is more conservative.</w:t>
      </w:r>
    </w:p>
    <w:p>
      <w:pPr>
        <w:pStyle w:val="BodyText"/>
        <w:bidi w:val="0"/>
        <w:jc w:val="start"/>
        <w:rPr/>
      </w:pPr>
      <w:r>
        <w:rPr/>
        <w:t>Evidence for Amazon:</w:t>
      </w:r>
    </w:p>
    <w:tbl>
      <w:tblPr>
        <w:tblW w:w="5000" w:type="pct"/>
        <w:jc w:val="start"/>
        <w:tblInd w:w="-5" w:type="dxa"/>
        <w:tblLayout w:type="fixed"/>
        <w:tblCellMar>
          <w:top w:w="55" w:type="dxa"/>
          <w:start w:w="55" w:type="dxa"/>
          <w:bottom w:w="55" w:type="dxa"/>
          <w:end w:w="55" w:type="dxa"/>
        </w:tblCellMar>
      </w:tblPr>
      <w:tblGrid>
        <w:gridCol w:w="2409"/>
        <w:gridCol w:w="2410"/>
        <w:gridCol w:w="2409"/>
        <w:gridCol w:w="2410"/>
      </w:tblGrid>
      <w:tr>
        <w:trPr>
          <w:tblHeader w:val="true"/>
        </w:trPr>
        <w:tc>
          <w:tcPr>
            <w:tcW w:w="2409" w:type="dxa"/>
            <w:tcBorders>
              <w:top w:val="single" w:sz="4" w:space="0" w:color="000000"/>
              <w:start w:val="single" w:sz="4" w:space="0" w:color="000000"/>
              <w:bottom w:val="single" w:sz="4" w:space="0" w:color="000000"/>
            </w:tcBorders>
          </w:tcPr>
          <w:p>
            <w:pPr>
              <w:pStyle w:val="TableHeading"/>
              <w:bidi w:val="0"/>
              <w:jc w:val="start"/>
              <w:rPr/>
            </w:pPr>
            <w:r>
              <w:rPr/>
              <w:t>Year</w:t>
            </w:r>
          </w:p>
        </w:tc>
        <w:tc>
          <w:tcPr>
            <w:tcW w:w="2410" w:type="dxa"/>
            <w:tcBorders>
              <w:top w:val="single" w:sz="4" w:space="0" w:color="000000"/>
              <w:start w:val="single" w:sz="4" w:space="0" w:color="000000"/>
              <w:bottom w:val="single" w:sz="4" w:space="0" w:color="000000"/>
            </w:tcBorders>
          </w:tcPr>
          <w:p>
            <w:pPr>
              <w:pStyle w:val="TableHeading"/>
              <w:bidi w:val="0"/>
              <w:jc w:val="start"/>
              <w:rPr/>
            </w:pPr>
            <w:r>
              <w:rPr/>
              <w:t>Net income (USD bn)</w:t>
            </w:r>
          </w:p>
        </w:tc>
        <w:tc>
          <w:tcPr>
            <w:tcW w:w="2409" w:type="dxa"/>
            <w:tcBorders>
              <w:top w:val="single" w:sz="4" w:space="0" w:color="000000"/>
              <w:start w:val="single" w:sz="4" w:space="0" w:color="000000"/>
              <w:bottom w:val="single" w:sz="4" w:space="0" w:color="000000"/>
            </w:tcBorders>
          </w:tcPr>
          <w:p>
            <w:pPr>
              <w:pStyle w:val="TableHeading"/>
              <w:bidi w:val="0"/>
              <w:jc w:val="start"/>
              <w:rPr/>
            </w:pPr>
            <w:r>
              <w:rPr/>
              <w:t>Cash from operations (USD bn)</w:t>
            </w:r>
          </w:p>
        </w:tc>
        <w:tc>
          <w:tcPr>
            <w:tcW w:w="2410"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Ratio</w:t>
            </w:r>
          </w:p>
        </w:tc>
      </w:tr>
      <w:tr>
        <w:trPr/>
        <w:tc>
          <w:tcPr>
            <w:tcW w:w="2409" w:type="dxa"/>
            <w:tcBorders>
              <w:start w:val="single" w:sz="4" w:space="0" w:color="000000"/>
              <w:bottom w:val="single" w:sz="4" w:space="0" w:color="000000"/>
            </w:tcBorders>
          </w:tcPr>
          <w:p>
            <w:pPr>
              <w:pStyle w:val="TableContents"/>
              <w:bidi w:val="0"/>
              <w:jc w:val="start"/>
              <w:rPr/>
            </w:pPr>
            <w:r>
              <w:rPr/>
              <w:t>2018</w:t>
            </w:r>
          </w:p>
        </w:tc>
        <w:tc>
          <w:tcPr>
            <w:tcW w:w="2410" w:type="dxa"/>
            <w:tcBorders>
              <w:start w:val="single" w:sz="4" w:space="0" w:color="000000"/>
              <w:bottom w:val="single" w:sz="4" w:space="0" w:color="000000"/>
            </w:tcBorders>
          </w:tcPr>
          <w:p>
            <w:pPr>
              <w:pStyle w:val="TableContents"/>
              <w:bidi w:val="0"/>
              <w:jc w:val="start"/>
              <w:rPr/>
            </w:pPr>
            <w:r>
              <w:rPr/>
              <w:t>10</w:t>
            </w:r>
          </w:p>
        </w:tc>
        <w:tc>
          <w:tcPr>
            <w:tcW w:w="2409" w:type="dxa"/>
            <w:tcBorders>
              <w:start w:val="single" w:sz="4" w:space="0" w:color="000000"/>
              <w:bottom w:val="single" w:sz="4" w:space="0" w:color="000000"/>
            </w:tcBorders>
          </w:tcPr>
          <w:p>
            <w:pPr>
              <w:pStyle w:val="TableContents"/>
              <w:bidi w:val="0"/>
              <w:jc w:val="start"/>
              <w:rPr/>
            </w:pPr>
            <w:r>
              <w:rPr/>
              <w:t>30</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3.0×</w:t>
            </w:r>
          </w:p>
        </w:tc>
      </w:tr>
      <w:tr>
        <w:trPr/>
        <w:tc>
          <w:tcPr>
            <w:tcW w:w="2409" w:type="dxa"/>
            <w:tcBorders>
              <w:start w:val="single" w:sz="4" w:space="0" w:color="000000"/>
              <w:bottom w:val="single" w:sz="4" w:space="0" w:color="000000"/>
            </w:tcBorders>
          </w:tcPr>
          <w:p>
            <w:pPr>
              <w:pStyle w:val="TableContents"/>
              <w:bidi w:val="0"/>
              <w:jc w:val="start"/>
              <w:rPr/>
            </w:pPr>
            <w:r>
              <w:rPr/>
              <w:t>2019</w:t>
            </w:r>
          </w:p>
        </w:tc>
        <w:tc>
          <w:tcPr>
            <w:tcW w:w="2410" w:type="dxa"/>
            <w:tcBorders>
              <w:start w:val="single" w:sz="4" w:space="0" w:color="000000"/>
              <w:bottom w:val="single" w:sz="4" w:space="0" w:color="000000"/>
            </w:tcBorders>
          </w:tcPr>
          <w:p>
            <w:pPr>
              <w:pStyle w:val="TableContents"/>
              <w:bidi w:val="0"/>
              <w:jc w:val="start"/>
              <w:rPr/>
            </w:pPr>
            <w:r>
              <w:rPr/>
              <w:t>11</w:t>
            </w:r>
          </w:p>
        </w:tc>
        <w:tc>
          <w:tcPr>
            <w:tcW w:w="2409" w:type="dxa"/>
            <w:tcBorders>
              <w:start w:val="single" w:sz="4" w:space="0" w:color="000000"/>
              <w:bottom w:val="single" w:sz="4" w:space="0" w:color="000000"/>
            </w:tcBorders>
          </w:tcPr>
          <w:p>
            <w:pPr>
              <w:pStyle w:val="TableContents"/>
              <w:bidi w:val="0"/>
              <w:jc w:val="start"/>
              <w:rPr/>
            </w:pPr>
            <w:r>
              <w:rPr/>
              <w:t>38</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3.5×</w:t>
            </w:r>
          </w:p>
        </w:tc>
      </w:tr>
      <w:tr>
        <w:trPr/>
        <w:tc>
          <w:tcPr>
            <w:tcW w:w="2409" w:type="dxa"/>
            <w:tcBorders>
              <w:start w:val="single" w:sz="4" w:space="0" w:color="000000"/>
              <w:bottom w:val="single" w:sz="4" w:space="0" w:color="000000"/>
            </w:tcBorders>
          </w:tcPr>
          <w:p>
            <w:pPr>
              <w:pStyle w:val="TableContents"/>
              <w:bidi w:val="0"/>
              <w:jc w:val="start"/>
              <w:rPr/>
            </w:pPr>
            <w:r>
              <w:rPr/>
              <w:t>2020</w:t>
            </w:r>
          </w:p>
        </w:tc>
        <w:tc>
          <w:tcPr>
            <w:tcW w:w="2410" w:type="dxa"/>
            <w:tcBorders>
              <w:start w:val="single" w:sz="4" w:space="0" w:color="000000"/>
              <w:bottom w:val="single" w:sz="4" w:space="0" w:color="000000"/>
            </w:tcBorders>
          </w:tcPr>
          <w:p>
            <w:pPr>
              <w:pStyle w:val="TableContents"/>
              <w:bidi w:val="0"/>
              <w:jc w:val="start"/>
              <w:rPr/>
            </w:pPr>
            <w:r>
              <w:rPr/>
              <w:t>21</w:t>
            </w:r>
          </w:p>
        </w:tc>
        <w:tc>
          <w:tcPr>
            <w:tcW w:w="2409" w:type="dxa"/>
            <w:tcBorders>
              <w:start w:val="single" w:sz="4" w:space="0" w:color="000000"/>
              <w:bottom w:val="single" w:sz="4" w:space="0" w:color="000000"/>
            </w:tcBorders>
          </w:tcPr>
          <w:p>
            <w:pPr>
              <w:pStyle w:val="TableContents"/>
              <w:bidi w:val="0"/>
              <w:jc w:val="start"/>
              <w:rPr/>
            </w:pPr>
            <w:r>
              <w:rPr/>
              <w:t>66</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3.1×</w:t>
            </w:r>
          </w:p>
        </w:tc>
      </w:tr>
      <w:tr>
        <w:trPr/>
        <w:tc>
          <w:tcPr>
            <w:tcW w:w="2409" w:type="dxa"/>
            <w:tcBorders>
              <w:start w:val="single" w:sz="4" w:space="0" w:color="000000"/>
              <w:bottom w:val="single" w:sz="4" w:space="0" w:color="000000"/>
            </w:tcBorders>
          </w:tcPr>
          <w:p>
            <w:pPr>
              <w:pStyle w:val="TableContents"/>
              <w:bidi w:val="0"/>
              <w:jc w:val="start"/>
              <w:rPr/>
            </w:pPr>
            <w:r>
              <w:rPr/>
              <w:t>TTM</w:t>
            </w:r>
          </w:p>
        </w:tc>
        <w:tc>
          <w:tcPr>
            <w:tcW w:w="2410" w:type="dxa"/>
            <w:tcBorders>
              <w:start w:val="single" w:sz="4" w:space="0" w:color="000000"/>
              <w:bottom w:val="single" w:sz="4" w:space="0" w:color="000000"/>
            </w:tcBorders>
          </w:tcPr>
          <w:p>
            <w:pPr>
              <w:pStyle w:val="TableContents"/>
              <w:bidi w:val="0"/>
              <w:jc w:val="start"/>
              <w:rPr/>
            </w:pPr>
            <w:r>
              <w:rPr/>
              <w:t>26</w:t>
            </w:r>
          </w:p>
        </w:tc>
        <w:tc>
          <w:tcPr>
            <w:tcW w:w="2409" w:type="dxa"/>
            <w:tcBorders>
              <w:start w:val="single" w:sz="4" w:space="0" w:color="000000"/>
              <w:bottom w:val="single" w:sz="4" w:space="0" w:color="000000"/>
            </w:tcBorders>
          </w:tcPr>
          <w:p>
            <w:pPr>
              <w:pStyle w:val="TableContents"/>
              <w:bidi w:val="0"/>
              <w:jc w:val="start"/>
              <w:rPr/>
            </w:pPr>
            <w:r>
              <w:rPr/>
              <w:t>54</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2.1×</w:t>
            </w:r>
          </w:p>
        </w:tc>
      </w:tr>
    </w:tbl>
    <w:p>
      <w:pPr>
        <w:pStyle w:val="BodyText"/>
        <w:bidi w:val="0"/>
        <w:jc w:val="start"/>
        <w:rPr/>
      </w:pPr>
      <w:r>
        <w:rPr/>
      </w:r>
    </w:p>
    <w:p>
      <w:pPr>
        <w:pStyle w:val="BodyText"/>
        <w:bidi w:val="0"/>
        <w:jc w:val="start"/>
        <w:rPr/>
      </w:pPr>
      <w:r>
        <w:rPr>
          <w:b/>
        </w:rPr>
        <w:t>Why the gap exists — the accounting explanation Adam gives:</w:t>
      </w:r>
    </w:p>
    <w:p>
      <w:pPr>
        <w:pStyle w:val="BodyText"/>
        <w:numPr>
          <w:ilvl w:val="0"/>
          <w:numId w:val="448"/>
        </w:numPr>
        <w:tabs>
          <w:tab w:val="clear" w:pos="709"/>
          <w:tab w:val="left" w:pos="709" w:leader="none"/>
        </w:tabs>
        <w:bidi w:val="0"/>
        <w:ind w:hanging="283" w:start="709"/>
        <w:jc w:val="start"/>
        <w:rPr/>
      </w:pPr>
      <w:r>
        <w:rPr>
          <w:b/>
        </w:rPr>
        <w:t>Depreciation and amortisation is a non-cash expense.</w:t>
      </w:r>
    </w:p>
    <w:p>
      <w:pPr>
        <w:pStyle w:val="BodyText"/>
        <w:numPr>
          <w:ilvl w:val="0"/>
          <w:numId w:val="448"/>
        </w:numPr>
        <w:tabs>
          <w:tab w:val="clear" w:pos="709"/>
          <w:tab w:val="left" w:pos="709" w:leader="none"/>
        </w:tabs>
        <w:bidi w:val="0"/>
        <w:ind w:hanging="283" w:start="709"/>
        <w:jc w:val="start"/>
        <w:rPr/>
      </w:pPr>
      <w:r>
        <w:rPr/>
        <w:t xml:space="preserve">Net income is calculated </w:t>
      </w:r>
      <w:r>
        <w:rPr>
          <w:b/>
        </w:rPr>
        <w:t>after deducting</w:t>
      </w:r>
      <w:r>
        <w:rPr/>
        <w:t xml:space="preserve"> D&amp;A.</w:t>
      </w:r>
    </w:p>
    <w:p>
      <w:pPr>
        <w:pStyle w:val="BodyText"/>
        <w:numPr>
          <w:ilvl w:val="0"/>
          <w:numId w:val="448"/>
        </w:numPr>
        <w:tabs>
          <w:tab w:val="clear" w:pos="709"/>
          <w:tab w:val="left" w:pos="709" w:leader="none"/>
        </w:tabs>
        <w:bidi w:val="0"/>
        <w:ind w:hanging="283" w:start="709"/>
        <w:jc w:val="start"/>
        <w:rPr/>
      </w:pPr>
      <w:r>
        <w:rPr/>
        <w:t xml:space="preserve">Cash from operations </w:t>
      </w:r>
      <w:r>
        <w:rPr>
          <w:b/>
        </w:rPr>
        <w:t>adds D&amp;A back</w:t>
      </w:r>
      <w:r>
        <w:rPr/>
        <w:t>.</w:t>
      </w:r>
    </w:p>
    <w:p>
      <w:pPr>
        <w:pStyle w:val="BodyText"/>
        <w:numPr>
          <w:ilvl w:val="0"/>
          <w:numId w:val="448"/>
        </w:numPr>
        <w:tabs>
          <w:tab w:val="clear" w:pos="709"/>
          <w:tab w:val="left" w:pos="709" w:leader="none"/>
        </w:tabs>
        <w:bidi w:val="0"/>
        <w:ind w:hanging="283" w:start="709"/>
        <w:jc w:val="start"/>
        <w:rPr/>
      </w:pPr>
      <w:r>
        <w:rPr/>
        <w:t xml:space="preserve">Amazon's D&amp;A is enormous — "you can see that depreciation over here, </w:t>
      </w:r>
      <w:r>
        <w:rPr>
          <w:b/>
        </w:rPr>
        <w:t>31 billion, 24 billion</w:t>
      </w:r>
      <w:r>
        <w:rPr/>
        <w:t>, makes up a huge chunk of the expenses."</w:t>
      </w:r>
    </w:p>
    <w:p>
      <w:pPr>
        <w:pStyle w:val="BodyText"/>
        <w:numPr>
          <w:ilvl w:val="0"/>
          <w:numId w:val="448"/>
        </w:numPr>
        <w:tabs>
          <w:tab w:val="clear" w:pos="709"/>
          <w:tab w:val="left" w:pos="709" w:leader="none"/>
        </w:tabs>
        <w:bidi w:val="0"/>
        <w:ind w:hanging="283" w:start="709"/>
        <w:jc w:val="start"/>
        <w:rPr/>
      </w:pPr>
      <w:r>
        <w:rPr/>
        <w:t>Therefore operating cash flow balloons relative to net income.</w:t>
      </w:r>
    </w:p>
    <w:p>
      <w:pPr>
        <w:pStyle w:val="BodyText"/>
        <w:numPr>
          <w:ilvl w:val="0"/>
          <w:numId w:val="448"/>
        </w:numPr>
        <w:tabs>
          <w:tab w:val="clear" w:pos="709"/>
          <w:tab w:val="left" w:pos="709" w:leader="none"/>
        </w:tabs>
        <w:bidi w:val="0"/>
        <w:ind w:hanging="283" w:start="709"/>
        <w:jc w:val="start"/>
        <w:rPr/>
      </w:pPr>
      <w:r>
        <w:rPr/>
        <w:t xml:space="preserve">Conclusion: "This tells us that this company has </w:t>
      </w:r>
      <w:r>
        <w:rPr>
          <w:b/>
        </w:rPr>
        <w:t>high capital expenditures or high depreciation costs</w:t>
      </w:r>
      <w:r>
        <w:rPr/>
        <w:t>. So for these kinds of companies it makes sense to use free cash flow instead, because free cash flow would be the cash from operations after deducting capital expenditure."</w:t>
      </w:r>
    </w:p>
    <w:p>
      <w:pPr>
        <w:pStyle w:val="BodyText"/>
        <w:bidi w:val="0"/>
        <w:jc w:val="start"/>
        <w:rPr/>
      </w:pPr>
      <w:r>
        <w:rPr>
          <w:b/>
        </w:rPr>
        <w:t>Which free cash flow figure to use — normalisation, in the opposite direction from GOOGL.</w:t>
      </w:r>
    </w:p>
    <w:p>
      <w:pPr>
        <w:pStyle w:val="BodyText"/>
        <w:bidi w:val="0"/>
        <w:jc w:val="start"/>
        <w:rPr/>
      </w:pPr>
      <w:r>
        <w:rPr/>
        <w:t xml:space="preserve">Amazon's FCF history: 17bn → 21bn → </w:t>
      </w:r>
      <w:r>
        <w:rPr>
          <w:b/>
        </w:rPr>
        <w:t>25.924bn</w:t>
      </w:r>
      <w:r>
        <w:rPr/>
        <w:t xml:space="preserve"> → </w:t>
      </w:r>
      <w:r>
        <w:rPr>
          <w:b/>
        </w:rPr>
        <w:t>negative (TTM)</w:t>
      </w:r>
      <w:r>
        <w:rPr/>
        <w:t>.</w:t>
      </w:r>
    </w:p>
    <w:p>
      <w:pPr>
        <w:pStyle w:val="BodyText"/>
        <w:bidi w:val="0"/>
        <w:jc w:val="start"/>
        <w:rPr/>
      </w:pPr>
      <w:r>
        <w:rPr/>
        <w:t xml:space="preserve">"Does it make sense to take this number? It doesn't make sense, right? Because this is exceptionally low because of a one-time increase in capex… </w:t>
      </w:r>
      <w:r>
        <w:rPr>
          <w:b/>
        </w:rPr>
        <w:t>whenever you see a big change in the last year or so, you can ignore that and take the year before that, before this skew happened</w:t>
      </w:r>
      <w:r>
        <w:rPr/>
        <w:t xml:space="preserve"> — that it's more of a normalized free cash flow."</w:t>
      </w:r>
    </w:p>
    <w:p>
      <w:pPr>
        <w:pStyle w:val="BlockQuotation"/>
        <w:bidi w:val="0"/>
        <w:jc w:val="start"/>
        <w:rPr/>
      </w:pPr>
      <w:r>
        <w:rPr>
          <w:b/>
        </w:rPr>
        <w:t>FCF input used = $25,924 million</w:t>
      </w:r>
      <w:r>
        <w:rPr/>
        <w:t xml:space="preserve"> (the FY2020 figure, i.e. the year </w:t>
      </w:r>
      <w:r>
        <w:rPr>
          <w:i/>
        </w:rPr>
        <w:t>before</w:t>
      </w:r>
      <w:r>
        <w:rPr/>
        <w:t xml:space="preserve"> the capex spike).</w:t>
      </w:r>
    </w:p>
    <w:p>
      <w:pPr>
        <w:pStyle w:val="BodyText"/>
        <w:bidi w:val="0"/>
        <w:jc w:val="start"/>
        <w:rPr/>
      </w:pPr>
      <w:r>
        <w:rPr>
          <w:i/>
        </w:rPr>
        <w:t>(Compare: for GOOGL, faced with the same hyperscaler-capex problem, Adam instead averaged five years of capex and subtracted that from the latest operating cash flow. Two different normalisation techniques for the same underlying distortion.)</w:t>
      </w:r>
    </w:p>
    <w:p>
      <w:pPr>
        <w:pStyle w:val="Heading4"/>
        <w:bidi w:val="0"/>
        <w:ind w:hanging="0" w:start="0"/>
        <w:jc w:val="start"/>
        <w:rPr/>
      </w:pPr>
      <w:r>
        <w:rPr/>
        <w:t>Full input set</w:t>
      </w:r>
    </w:p>
    <w:tbl>
      <w:tblPr>
        <w:tblW w:w="5000" w:type="pct"/>
        <w:jc w:val="start"/>
        <w:tblInd w:w="-5" w:type="dxa"/>
        <w:tblLayout w:type="fixed"/>
        <w:tblCellMar>
          <w:top w:w="55" w:type="dxa"/>
          <w:start w:w="55" w:type="dxa"/>
          <w:bottom w:w="55" w:type="dxa"/>
          <w:end w:w="55" w:type="dxa"/>
        </w:tblCellMar>
      </w:tblPr>
      <w:tblGrid>
        <w:gridCol w:w="3212"/>
        <w:gridCol w:w="3213"/>
        <w:gridCol w:w="3213"/>
      </w:tblGrid>
      <w:tr>
        <w:trPr>
          <w:tblHeader w:val="true"/>
        </w:trPr>
        <w:tc>
          <w:tcPr>
            <w:tcW w:w="3212" w:type="dxa"/>
            <w:tcBorders>
              <w:top w:val="single" w:sz="4" w:space="0" w:color="000000"/>
              <w:start w:val="single" w:sz="4" w:space="0" w:color="000000"/>
              <w:bottom w:val="single" w:sz="4" w:space="0" w:color="000000"/>
            </w:tcBorders>
          </w:tcPr>
          <w:p>
            <w:pPr>
              <w:pStyle w:val="TableHeading"/>
              <w:bidi w:val="0"/>
              <w:jc w:val="start"/>
              <w:rPr/>
            </w:pPr>
            <w:r>
              <w:rPr/>
              <w:t>Input</w:t>
            </w:r>
          </w:p>
        </w:tc>
        <w:tc>
          <w:tcPr>
            <w:tcW w:w="3213" w:type="dxa"/>
            <w:tcBorders>
              <w:top w:val="single" w:sz="4" w:space="0" w:color="000000"/>
              <w:start w:val="single" w:sz="4" w:space="0" w:color="000000"/>
              <w:bottom w:val="single" w:sz="4" w:space="0" w:color="000000"/>
            </w:tcBorders>
          </w:tcPr>
          <w:p>
            <w:pPr>
              <w:pStyle w:val="TableHeading"/>
              <w:bidi w:val="0"/>
              <w:jc w:val="start"/>
              <w:rPr/>
            </w:pPr>
            <w:r>
              <w:rPr/>
              <w:t>Value</w:t>
            </w:r>
          </w:p>
        </w:tc>
        <w:tc>
          <w:tcPr>
            <w:tcW w:w="3213"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Source / note</w:t>
            </w:r>
          </w:p>
        </w:tc>
      </w:tr>
      <w:tr>
        <w:trPr/>
        <w:tc>
          <w:tcPr>
            <w:tcW w:w="3212" w:type="dxa"/>
            <w:tcBorders>
              <w:start w:val="single" w:sz="4" w:space="0" w:color="000000"/>
              <w:bottom w:val="single" w:sz="4" w:space="0" w:color="000000"/>
            </w:tcBorders>
          </w:tcPr>
          <w:p>
            <w:pPr>
              <w:pStyle w:val="TableContents"/>
              <w:bidi w:val="0"/>
              <w:jc w:val="start"/>
              <w:rPr/>
            </w:pPr>
            <w:r>
              <w:rPr/>
              <w:t>Name / symbol</w:t>
            </w:r>
          </w:p>
        </w:tc>
        <w:tc>
          <w:tcPr>
            <w:tcW w:w="3213" w:type="dxa"/>
            <w:tcBorders>
              <w:start w:val="single" w:sz="4" w:space="0" w:color="000000"/>
              <w:bottom w:val="single" w:sz="4" w:space="0" w:color="000000"/>
            </w:tcBorders>
          </w:tcPr>
          <w:p>
            <w:pPr>
              <w:pStyle w:val="TableContents"/>
              <w:bidi w:val="0"/>
              <w:jc w:val="start"/>
              <w:rPr/>
            </w:pPr>
            <w:r>
              <w:rPr/>
              <w:t>Amazon / AMZN</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w:t>
            </w:r>
          </w:p>
        </w:tc>
      </w:tr>
      <w:tr>
        <w:trPr/>
        <w:tc>
          <w:tcPr>
            <w:tcW w:w="3212" w:type="dxa"/>
            <w:tcBorders>
              <w:start w:val="single" w:sz="4" w:space="0" w:color="000000"/>
              <w:bottom w:val="single" w:sz="4" w:space="0" w:color="000000"/>
            </w:tcBorders>
          </w:tcPr>
          <w:p>
            <w:pPr>
              <w:pStyle w:val="TableContents"/>
              <w:bidi w:val="0"/>
              <w:jc w:val="start"/>
              <w:rPr/>
            </w:pPr>
            <w:r>
              <w:rPr/>
              <w:t>Valuation method</w:t>
            </w:r>
          </w:p>
        </w:tc>
        <w:tc>
          <w:tcPr>
            <w:tcW w:w="3213" w:type="dxa"/>
            <w:tcBorders>
              <w:start w:val="single" w:sz="4" w:space="0" w:color="000000"/>
              <w:bottom w:val="single" w:sz="4" w:space="0" w:color="000000"/>
            </w:tcBorders>
          </w:tcPr>
          <w:p>
            <w:pPr>
              <w:pStyle w:val="TableContents"/>
              <w:bidi w:val="0"/>
              <w:jc w:val="start"/>
              <w:rPr/>
            </w:pPr>
            <w:r>
              <w:rPr>
                <w:b/>
              </w:rPr>
              <w:t>Discounted FREE cash flow</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Because CFO &gt; 1.5× net income</w:t>
            </w:r>
          </w:p>
        </w:tc>
      </w:tr>
      <w:tr>
        <w:trPr/>
        <w:tc>
          <w:tcPr>
            <w:tcW w:w="3212" w:type="dxa"/>
            <w:tcBorders>
              <w:start w:val="single" w:sz="4" w:space="0" w:color="000000"/>
              <w:bottom w:val="single" w:sz="4" w:space="0" w:color="000000"/>
            </w:tcBorders>
          </w:tcPr>
          <w:p>
            <w:pPr>
              <w:pStyle w:val="TableContents"/>
              <w:bidi w:val="0"/>
              <w:jc w:val="start"/>
              <w:rPr/>
            </w:pPr>
            <w:r>
              <w:rPr/>
              <w:t>Normalised free cash flow</w:t>
            </w:r>
          </w:p>
        </w:tc>
        <w:tc>
          <w:tcPr>
            <w:tcW w:w="3213" w:type="dxa"/>
            <w:tcBorders>
              <w:start w:val="single" w:sz="4" w:space="0" w:color="000000"/>
              <w:bottom w:val="single" w:sz="4" w:space="0" w:color="000000"/>
            </w:tcBorders>
          </w:tcPr>
          <w:p>
            <w:pPr>
              <w:pStyle w:val="TableContents"/>
              <w:bidi w:val="0"/>
              <w:jc w:val="start"/>
              <w:rPr/>
            </w:pPr>
            <w:r>
              <w:rPr>
                <w:b/>
              </w:rPr>
              <w:t>$25,924 million</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FY2020 (pre-capex-spike)</w:t>
            </w:r>
          </w:p>
        </w:tc>
      </w:tr>
      <w:tr>
        <w:trPr/>
        <w:tc>
          <w:tcPr>
            <w:tcW w:w="3212" w:type="dxa"/>
            <w:tcBorders>
              <w:start w:val="single" w:sz="4" w:space="0" w:color="000000"/>
              <w:bottom w:val="single" w:sz="4" w:space="0" w:color="000000"/>
            </w:tcBorders>
          </w:tcPr>
          <w:p>
            <w:pPr>
              <w:pStyle w:val="TableContents"/>
              <w:bidi w:val="0"/>
              <w:jc w:val="start"/>
              <w:rPr/>
            </w:pPr>
            <w:r>
              <w:rPr/>
              <w:t>Total debt</w:t>
            </w:r>
          </w:p>
        </w:tc>
        <w:tc>
          <w:tcPr>
            <w:tcW w:w="3213" w:type="dxa"/>
            <w:tcBorders>
              <w:start w:val="single" w:sz="4" w:space="0" w:color="000000"/>
              <w:bottom w:val="single" w:sz="4" w:space="0" w:color="000000"/>
            </w:tcBorders>
          </w:tcPr>
          <w:p>
            <w:pPr>
              <w:pStyle w:val="TableContents"/>
              <w:bidi w:val="0"/>
              <w:jc w:val="start"/>
              <w:rPr/>
            </w:pPr>
            <w:r>
              <w:rPr>
                <w:b/>
              </w:rPr>
              <w:t>$50,055 million</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 xml:space="preserve">Balance sheet, </w:t>
            </w:r>
            <w:r>
              <w:rPr>
                <w:b/>
              </w:rPr>
              <w:t>latest quarter</w:t>
            </w:r>
            <w:r>
              <w:rPr/>
              <w:t xml:space="preserve">. Adam expands the liabilities tree and finds </w:t>
            </w:r>
            <w:r>
              <w:rPr>
                <w:b/>
              </w:rPr>
              <w:t>no short-term debt line at all</w:t>
            </w:r>
            <w:r>
              <w:rPr/>
              <w:t xml:space="preserve"> — "you don't see any short-term debt, do you? Nope, so there isn't any." Long-term debt only</w:t>
            </w:r>
          </w:p>
        </w:tc>
      </w:tr>
      <w:tr>
        <w:trPr/>
        <w:tc>
          <w:tcPr>
            <w:tcW w:w="3212" w:type="dxa"/>
            <w:tcBorders>
              <w:start w:val="single" w:sz="4" w:space="0" w:color="000000"/>
              <w:bottom w:val="single" w:sz="4" w:space="0" w:color="000000"/>
            </w:tcBorders>
          </w:tcPr>
          <w:p>
            <w:pPr>
              <w:pStyle w:val="TableContents"/>
              <w:bidi w:val="0"/>
              <w:jc w:val="start"/>
              <w:rPr/>
            </w:pPr>
            <w:r>
              <w:rPr/>
              <w:t>Cash and short-term investments</w:t>
            </w:r>
          </w:p>
        </w:tc>
        <w:tc>
          <w:tcPr>
            <w:tcW w:w="3213" w:type="dxa"/>
            <w:tcBorders>
              <w:start w:val="single" w:sz="4" w:space="0" w:color="000000"/>
              <w:bottom w:val="single" w:sz="4" w:space="0" w:color="000000"/>
            </w:tcBorders>
          </w:tcPr>
          <w:p>
            <w:pPr>
              <w:pStyle w:val="TableContents"/>
              <w:bidi w:val="0"/>
              <w:jc w:val="start"/>
              <w:rPr/>
            </w:pPr>
            <w:r>
              <w:rPr>
                <w:b/>
              </w:rPr>
              <w:t>$78,988 million</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 xml:space="preserve">Balance sheet, latest quarter: cash &amp; equivalents </w:t>
            </w:r>
            <w:r>
              <w:rPr>
                <w:b/>
              </w:rPr>
              <w:t>+</w:t>
            </w:r>
            <w:r>
              <w:rPr/>
              <w:t xml:space="preserve"> short-term investments added together</w:t>
            </w:r>
          </w:p>
        </w:tc>
      </w:tr>
      <w:tr>
        <w:trPr/>
        <w:tc>
          <w:tcPr>
            <w:tcW w:w="3212" w:type="dxa"/>
            <w:tcBorders>
              <w:start w:val="single" w:sz="4" w:space="0" w:color="000000"/>
              <w:bottom w:val="single" w:sz="4" w:space="0" w:color="000000"/>
            </w:tcBorders>
          </w:tcPr>
          <w:p>
            <w:pPr>
              <w:pStyle w:val="TableContents"/>
              <w:bidi w:val="0"/>
              <w:jc w:val="start"/>
              <w:rPr/>
            </w:pPr>
            <w:r>
              <w:rPr/>
              <w:t>Growth, first 5 years</w:t>
            </w:r>
          </w:p>
        </w:tc>
        <w:tc>
          <w:tcPr>
            <w:tcW w:w="3213" w:type="dxa"/>
            <w:tcBorders>
              <w:start w:val="single" w:sz="4" w:space="0" w:color="000000"/>
              <w:bottom w:val="single" w:sz="4" w:space="0" w:color="000000"/>
            </w:tcBorders>
          </w:tcPr>
          <w:p>
            <w:pPr>
              <w:pStyle w:val="TableContents"/>
              <w:bidi w:val="0"/>
              <w:jc w:val="start"/>
              <w:rPr/>
            </w:pPr>
            <w:r>
              <w:rPr>
                <w:b/>
              </w:rPr>
              <w:t>30%</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Average of FinViz 36 / Zacks 24.68 / Simply Wall St 29.8</w:t>
            </w:r>
          </w:p>
        </w:tc>
      </w:tr>
      <w:tr>
        <w:trPr/>
        <w:tc>
          <w:tcPr>
            <w:tcW w:w="3212" w:type="dxa"/>
            <w:tcBorders>
              <w:start w:val="single" w:sz="4" w:space="0" w:color="000000"/>
              <w:bottom w:val="single" w:sz="4" w:space="0" w:color="000000"/>
            </w:tcBorders>
          </w:tcPr>
          <w:p>
            <w:pPr>
              <w:pStyle w:val="TableContents"/>
              <w:bidi w:val="0"/>
              <w:jc w:val="start"/>
              <w:rPr/>
            </w:pPr>
            <w:r>
              <w:rPr/>
              <w:t>Growth, next 5 years</w:t>
            </w:r>
          </w:p>
        </w:tc>
        <w:tc>
          <w:tcPr>
            <w:tcW w:w="3213" w:type="dxa"/>
            <w:tcBorders>
              <w:start w:val="single" w:sz="4" w:space="0" w:color="000000"/>
              <w:bottom w:val="single" w:sz="4" w:space="0" w:color="000000"/>
            </w:tcBorders>
          </w:tcPr>
          <w:p>
            <w:pPr>
              <w:pStyle w:val="TableContents"/>
              <w:bidi w:val="0"/>
              <w:jc w:val="start"/>
              <w:rPr/>
            </w:pPr>
            <w:r>
              <w:rPr>
                <w:b/>
              </w:rPr>
              <w:t>15%</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 xml:space="preserve">Same-as-first-5-years rule, </w:t>
            </w:r>
            <w:r>
              <w:rPr>
                <w:b/>
              </w:rPr>
              <w:t>capped at the 15% maximum</w:t>
            </w:r>
            <w:r>
              <w:rPr/>
              <w:t xml:space="preserve"> — 30% exceeds the cap</w:t>
            </w:r>
          </w:p>
        </w:tc>
      </w:tr>
      <w:tr>
        <w:trPr/>
        <w:tc>
          <w:tcPr>
            <w:tcW w:w="3212" w:type="dxa"/>
            <w:tcBorders>
              <w:start w:val="single" w:sz="4" w:space="0" w:color="000000"/>
              <w:bottom w:val="single" w:sz="4" w:space="0" w:color="000000"/>
            </w:tcBorders>
          </w:tcPr>
          <w:p>
            <w:pPr>
              <w:pStyle w:val="TableContents"/>
              <w:bidi w:val="0"/>
              <w:jc w:val="start"/>
              <w:rPr/>
            </w:pPr>
            <w:r>
              <w:rPr/>
              <w:t>Growth, final 10 years</w:t>
            </w:r>
          </w:p>
        </w:tc>
        <w:tc>
          <w:tcPr>
            <w:tcW w:w="3213" w:type="dxa"/>
            <w:tcBorders>
              <w:start w:val="single" w:sz="4" w:space="0" w:color="000000"/>
              <w:bottom w:val="single" w:sz="4" w:space="0" w:color="000000"/>
            </w:tcBorders>
          </w:tcPr>
          <w:p>
            <w:pPr>
              <w:pStyle w:val="TableContents"/>
              <w:bidi w:val="0"/>
              <w:jc w:val="start"/>
              <w:rPr/>
            </w:pPr>
            <w:r>
              <w:rPr>
                <w:b/>
              </w:rPr>
              <w:t>4%</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US GDP growth + 1%</w:t>
            </w:r>
          </w:p>
        </w:tc>
      </w:tr>
      <w:tr>
        <w:trPr/>
        <w:tc>
          <w:tcPr>
            <w:tcW w:w="3212" w:type="dxa"/>
            <w:tcBorders>
              <w:start w:val="single" w:sz="4" w:space="0" w:color="000000"/>
              <w:bottom w:val="single" w:sz="4" w:space="0" w:color="000000"/>
            </w:tcBorders>
          </w:tcPr>
          <w:p>
            <w:pPr>
              <w:pStyle w:val="TableContents"/>
              <w:bidi w:val="0"/>
              <w:jc w:val="start"/>
              <w:rPr/>
            </w:pPr>
            <w:r>
              <w:rPr/>
              <w:t>Shares outstanding</w:t>
            </w:r>
          </w:p>
        </w:tc>
        <w:tc>
          <w:tcPr>
            <w:tcW w:w="3213" w:type="dxa"/>
            <w:tcBorders>
              <w:start w:val="single" w:sz="4" w:space="0" w:color="000000"/>
              <w:bottom w:val="single" w:sz="4" w:space="0" w:color="000000"/>
            </w:tcBorders>
          </w:tcPr>
          <w:p>
            <w:pPr>
              <w:pStyle w:val="TableContents"/>
              <w:bidi w:val="0"/>
              <w:jc w:val="start"/>
              <w:rPr/>
            </w:pPr>
            <w:r>
              <w:rPr>
                <w:b/>
              </w:rPr>
              <w:t>507 million</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FinViz</w:t>
            </w:r>
          </w:p>
        </w:tc>
      </w:tr>
      <w:tr>
        <w:trPr/>
        <w:tc>
          <w:tcPr>
            <w:tcW w:w="3212" w:type="dxa"/>
            <w:tcBorders>
              <w:start w:val="single" w:sz="4" w:space="0" w:color="000000"/>
              <w:bottom w:val="single" w:sz="4" w:space="0" w:color="000000"/>
            </w:tcBorders>
          </w:tcPr>
          <w:p>
            <w:pPr>
              <w:pStyle w:val="TableContents"/>
              <w:bidi w:val="0"/>
              <w:jc w:val="start"/>
              <w:rPr/>
            </w:pPr>
            <w:r>
              <w:rPr/>
              <w:t>Beta</w:t>
            </w:r>
          </w:p>
        </w:tc>
        <w:tc>
          <w:tcPr>
            <w:tcW w:w="3213" w:type="dxa"/>
            <w:tcBorders>
              <w:start w:val="single" w:sz="4" w:space="0" w:color="000000"/>
              <w:bottom w:val="single" w:sz="4" w:space="0" w:color="000000"/>
            </w:tcBorders>
          </w:tcPr>
          <w:p>
            <w:pPr>
              <w:pStyle w:val="TableContents"/>
              <w:bidi w:val="0"/>
              <w:jc w:val="start"/>
              <w:rPr/>
            </w:pPr>
            <w:r>
              <w:rPr>
                <w:b/>
              </w:rPr>
              <w:t>1.1</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FinViz</w:t>
            </w:r>
          </w:p>
        </w:tc>
      </w:tr>
      <w:tr>
        <w:trPr/>
        <w:tc>
          <w:tcPr>
            <w:tcW w:w="3212" w:type="dxa"/>
            <w:tcBorders>
              <w:start w:val="single" w:sz="4" w:space="0" w:color="000000"/>
              <w:bottom w:val="single" w:sz="4" w:space="0" w:color="000000"/>
            </w:tcBorders>
          </w:tcPr>
          <w:p>
            <w:pPr>
              <w:pStyle w:val="TableContents"/>
              <w:bidi w:val="0"/>
              <w:jc w:val="start"/>
              <w:rPr/>
            </w:pPr>
            <w:r>
              <w:rPr/>
              <w:t>Discount rate</w:t>
            </w:r>
          </w:p>
        </w:tc>
        <w:tc>
          <w:tcPr>
            <w:tcW w:w="3213" w:type="dxa"/>
            <w:tcBorders>
              <w:start w:val="single" w:sz="4" w:space="0" w:color="000000"/>
              <w:bottom w:val="single" w:sz="4" w:space="0" w:color="000000"/>
            </w:tcBorders>
          </w:tcPr>
          <w:p>
            <w:pPr>
              <w:pStyle w:val="TableContents"/>
              <w:bidi w:val="0"/>
              <w:jc w:val="start"/>
              <w:rPr/>
            </w:pPr>
            <w:r>
              <w:rPr>
                <w:b/>
              </w:rPr>
              <w:t>6.3%</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From the (updated) beta table</w:t>
            </w:r>
          </w:p>
        </w:tc>
      </w:tr>
      <w:tr>
        <w:trPr/>
        <w:tc>
          <w:tcPr>
            <w:tcW w:w="3212" w:type="dxa"/>
            <w:tcBorders>
              <w:start w:val="single" w:sz="4" w:space="0" w:color="000000"/>
              <w:bottom w:val="single" w:sz="4" w:space="0" w:color="000000"/>
            </w:tcBorders>
          </w:tcPr>
          <w:p>
            <w:pPr>
              <w:pStyle w:val="TableContents"/>
              <w:bidi w:val="0"/>
              <w:jc w:val="start"/>
              <w:rPr/>
            </w:pPr>
            <w:r>
              <w:rPr/>
              <w:t>Statement currency / listing currency</w:t>
            </w:r>
          </w:p>
        </w:tc>
        <w:tc>
          <w:tcPr>
            <w:tcW w:w="3213" w:type="dxa"/>
            <w:tcBorders>
              <w:start w:val="single" w:sz="4" w:space="0" w:color="000000"/>
              <w:bottom w:val="single" w:sz="4" w:space="0" w:color="000000"/>
            </w:tcBorders>
          </w:tcPr>
          <w:p>
            <w:pPr>
              <w:pStyle w:val="TableContents"/>
              <w:bidi w:val="0"/>
              <w:jc w:val="start"/>
              <w:rPr/>
            </w:pPr>
            <w:r>
              <w:rPr/>
              <w:t>USD / USD, rate 1:1</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Final currency check</w:t>
            </w:r>
          </w:p>
        </w:tc>
      </w:tr>
    </w:tbl>
    <w:p>
      <w:pPr>
        <w:pStyle w:val="BodyText"/>
        <w:bidi w:val="0"/>
        <w:jc w:val="start"/>
        <w:rPr/>
      </w:pPr>
      <w:r>
        <w:rPr/>
      </w:r>
    </w:p>
    <w:p>
      <w:pPr>
        <w:pStyle w:val="BodyText"/>
        <w:bidi w:val="0"/>
        <w:jc w:val="start"/>
        <w:rPr/>
      </w:pPr>
      <w:r>
        <w:rPr>
          <w:b/>
        </w:rPr>
        <w:t>Discount-rate table update — explained here:</w:t>
      </w:r>
      <w:r>
        <w:rPr/>
        <w:t xml:space="preserve"> the table Adam uses for Amazon "is slightly different from the table which I used in calculating Microsoft… there's been a recent update on this table." The underlying formula:</w:t>
      </w:r>
    </w:p>
    <w:p>
      <w:pPr>
        <w:pStyle w:val="PreformattedText"/>
        <w:shd w:fill="E1E1E1" w:val="clear"/>
        <w:bidi w:val="0"/>
        <w:spacing w:before="0" w:after="283"/>
        <w:jc w:val="start"/>
        <w:rPr/>
      </w:pPr>
      <w:r>
        <w:rPr/>
        <w:t>Discount rate = Risk-free rate + (Beta × Market risk premium)</w:t>
      </w:r>
    </w:p>
    <w:p>
      <w:pPr>
        <w:pStyle w:val="BodyText"/>
        <w:bidi w:val="0"/>
        <w:jc w:val="start"/>
        <w:rPr/>
      </w:pPr>
      <w:r>
        <w:rPr/>
        <w:t xml:space="preserve">where the </w:t>
      </w:r>
      <w:r>
        <w:rPr>
          <w:b/>
        </w:rPr>
        <w:t>risk-free rate is the 5-year average of the 10-year Treasury bond rate</w:t>
      </w:r>
      <w:r>
        <w:rPr/>
        <w:t xml:space="preserve"> and the </w:t>
      </w:r>
      <w:r>
        <w:rPr>
          <w:b/>
        </w:rPr>
        <w:t>market risk premium is also a 5-year average</w:t>
      </w:r>
      <w:r>
        <w:rPr/>
        <w:t>. Because those averages move, the table is periodically refreshed and posted to the chat groups and course website. "Always ensure that you're using the latest calculator." He explicitly tells MSFT-case viewers to redo their number with the newer table.</w:t>
      </w:r>
    </w:p>
    <w:p>
      <w:pPr>
        <w:pStyle w:val="Heading4"/>
        <w:bidi w:val="0"/>
        <w:ind w:hanging="0" w:start="0"/>
        <w:jc w:val="start"/>
        <w:rPr/>
      </w:pPr>
      <w:r>
        <w:rPr/>
        <w:t>Results</w:t>
      </w:r>
    </w:p>
    <w:p>
      <w:pPr>
        <w:pStyle w:val="BlockQuotation"/>
        <w:bidi w:val="0"/>
        <w:jc w:val="start"/>
        <w:rPr/>
      </w:pPr>
      <w:r>
        <w:rPr>
          <w:b/>
        </w:rPr>
        <w:t>Base case intrinsic value = $3,312</w:t>
      </w:r>
      <w:r>
        <w:rPr/>
        <w:t xml:space="preserve"> (growth 30%)</w:t>
      </w:r>
    </w:p>
    <w:p>
      <w:pPr>
        <w:pStyle w:val="BodyText"/>
        <w:bidi w:val="0"/>
        <w:jc w:val="start"/>
        <w:rPr/>
      </w:pPr>
      <w:r>
        <w:rPr/>
        <w:t xml:space="preserve">Current share price (Friday's close): </w:t>
      </w:r>
      <w:r>
        <w:rPr>
          <w:b/>
        </w:rPr>
        <w:t>$3,242.76</w:t>
      </w:r>
      <w:r>
        <w:rPr/>
        <w:t xml:space="preserve"> → Amazon is </w:t>
      </w:r>
      <w:r>
        <w:rPr>
          <w:b/>
        </w:rPr>
        <w:t>undervalued by 2.1%</w:t>
      </w:r>
      <w:r>
        <w:rPr/>
        <w:t>.</w:t>
      </w:r>
    </w:p>
    <w:p>
      <w:pPr>
        <w:pStyle w:val="BodyText"/>
        <w:bidi w:val="0"/>
        <w:jc w:val="start"/>
        <w:rPr/>
      </w:pPr>
      <w:r>
        <w:rPr>
          <w:b/>
        </w:rPr>
        <w:t>Optimistic scenario</w:t>
      </w:r>
      <w:r>
        <w:rPr/>
        <w:t xml:space="preserve"> — use FinViz's 36% growth, all else unchanged:</w:t>
      </w:r>
    </w:p>
    <w:p>
      <w:pPr>
        <w:pStyle w:val="BlockQuotation"/>
        <w:bidi w:val="0"/>
        <w:jc w:val="start"/>
        <w:rPr/>
      </w:pPr>
      <w:r>
        <w:rPr>
          <w:b/>
        </w:rPr>
        <w:t>Optimistic intrinsic value ≈ $4,071</w:t>
      </w:r>
    </w:p>
    <w:tbl>
      <w:tblPr>
        <w:tblW w:w="5000" w:type="pct"/>
        <w:jc w:val="start"/>
        <w:tblInd w:w="-5" w:type="dxa"/>
        <w:tblLayout w:type="fixed"/>
        <w:tblCellMar>
          <w:top w:w="55" w:type="dxa"/>
          <w:start w:w="55" w:type="dxa"/>
          <w:bottom w:w="55" w:type="dxa"/>
          <w:end w:w="55" w:type="dxa"/>
        </w:tblCellMar>
      </w:tblPr>
      <w:tblGrid>
        <w:gridCol w:w="3212"/>
        <w:gridCol w:w="3213"/>
        <w:gridCol w:w="3213"/>
      </w:tblGrid>
      <w:tr>
        <w:trPr>
          <w:tblHeader w:val="true"/>
        </w:trPr>
        <w:tc>
          <w:tcPr>
            <w:tcW w:w="3212" w:type="dxa"/>
            <w:tcBorders>
              <w:top w:val="single" w:sz="4" w:space="0" w:color="000000"/>
              <w:start w:val="single" w:sz="4" w:space="0" w:color="000000"/>
              <w:bottom w:val="single" w:sz="4" w:space="0" w:color="000000"/>
            </w:tcBorders>
          </w:tcPr>
          <w:p>
            <w:pPr>
              <w:pStyle w:val="TableHeading"/>
              <w:bidi w:val="0"/>
              <w:jc w:val="start"/>
              <w:rPr/>
            </w:pPr>
            <w:r>
              <w:rPr/>
              <w:t>Scenario</w:t>
            </w:r>
          </w:p>
        </w:tc>
        <w:tc>
          <w:tcPr>
            <w:tcW w:w="3213" w:type="dxa"/>
            <w:tcBorders>
              <w:top w:val="single" w:sz="4" w:space="0" w:color="000000"/>
              <w:start w:val="single" w:sz="4" w:space="0" w:color="000000"/>
              <w:bottom w:val="single" w:sz="4" w:space="0" w:color="000000"/>
            </w:tcBorders>
          </w:tcPr>
          <w:p>
            <w:pPr>
              <w:pStyle w:val="TableHeading"/>
              <w:bidi w:val="0"/>
              <w:jc w:val="start"/>
              <w:rPr/>
            </w:pPr>
            <w:r>
              <w:rPr/>
              <w:t>1st-5-yr growth</w:t>
            </w:r>
          </w:p>
        </w:tc>
        <w:tc>
          <w:tcPr>
            <w:tcW w:w="3213"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Intrinsic value</w:t>
            </w:r>
          </w:p>
        </w:tc>
      </w:tr>
      <w:tr>
        <w:trPr/>
        <w:tc>
          <w:tcPr>
            <w:tcW w:w="3212" w:type="dxa"/>
            <w:tcBorders>
              <w:start w:val="single" w:sz="4" w:space="0" w:color="000000"/>
              <w:bottom w:val="single" w:sz="4" w:space="0" w:color="000000"/>
            </w:tcBorders>
          </w:tcPr>
          <w:p>
            <w:pPr>
              <w:pStyle w:val="TableContents"/>
              <w:bidi w:val="0"/>
              <w:jc w:val="start"/>
              <w:rPr/>
            </w:pPr>
            <w:r>
              <w:rPr>
                <w:b/>
              </w:rPr>
              <w:t>Base / conservative</w:t>
            </w:r>
          </w:p>
        </w:tc>
        <w:tc>
          <w:tcPr>
            <w:tcW w:w="3213" w:type="dxa"/>
            <w:tcBorders>
              <w:start w:val="single" w:sz="4" w:space="0" w:color="000000"/>
              <w:bottom w:val="single" w:sz="4" w:space="0" w:color="000000"/>
            </w:tcBorders>
          </w:tcPr>
          <w:p>
            <w:pPr>
              <w:pStyle w:val="TableContents"/>
              <w:bidi w:val="0"/>
              <w:jc w:val="start"/>
              <w:rPr/>
            </w:pPr>
            <w:r>
              <w:rPr/>
              <w:t>30% (3-source average)</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b/>
              </w:rPr>
              <w:t>$3,312</w:t>
            </w:r>
          </w:p>
        </w:tc>
      </w:tr>
      <w:tr>
        <w:trPr/>
        <w:tc>
          <w:tcPr>
            <w:tcW w:w="3212" w:type="dxa"/>
            <w:tcBorders>
              <w:start w:val="single" w:sz="4" w:space="0" w:color="000000"/>
              <w:bottom w:val="single" w:sz="4" w:space="0" w:color="000000"/>
            </w:tcBorders>
          </w:tcPr>
          <w:p>
            <w:pPr>
              <w:pStyle w:val="TableContents"/>
              <w:bidi w:val="0"/>
              <w:jc w:val="start"/>
              <w:rPr/>
            </w:pPr>
            <w:r>
              <w:rPr>
                <w:b/>
              </w:rPr>
              <w:t>Optimistic</w:t>
            </w:r>
          </w:p>
        </w:tc>
        <w:tc>
          <w:tcPr>
            <w:tcW w:w="3213" w:type="dxa"/>
            <w:tcBorders>
              <w:start w:val="single" w:sz="4" w:space="0" w:color="000000"/>
              <w:bottom w:val="single" w:sz="4" w:space="0" w:color="000000"/>
            </w:tcBorders>
          </w:tcPr>
          <w:p>
            <w:pPr>
              <w:pStyle w:val="TableContents"/>
              <w:bidi w:val="0"/>
              <w:jc w:val="start"/>
              <w:rPr/>
            </w:pPr>
            <w:r>
              <w:rPr/>
              <w:t>36% (FinViz)</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b/>
              </w:rPr>
              <w:t>$4,071</w:t>
            </w:r>
          </w:p>
        </w:tc>
      </w:tr>
    </w:tbl>
    <w:p>
      <w:pPr>
        <w:pStyle w:val="BodyText"/>
        <w:bidi w:val="0"/>
        <w:jc w:val="start"/>
        <w:rPr/>
      </w:pPr>
      <w:r>
        <w:rPr/>
      </w:r>
    </w:p>
    <w:p>
      <w:pPr>
        <w:pStyle w:val="BodyText"/>
        <w:bidi w:val="0"/>
        <w:jc w:val="start"/>
        <w:rPr/>
      </w:pPr>
      <w:r>
        <w:rPr>
          <w:b/>
        </w:rPr>
        <w:t>Valuation range: ~$3,312 – $4,071</w:t>
      </w:r>
      <w:r>
        <w:rPr/>
        <w:t xml:space="preserve">, against a price of </w:t>
      </w:r>
      <w:r>
        <w:rPr>
          <w:b/>
        </w:rPr>
        <w:t>$3,242.76</w:t>
      </w:r>
      <w:r>
        <w:rPr/>
        <w:t xml:space="preserve"> — below even the low end of the range.</w:t>
      </w:r>
    </w:p>
    <w:p>
      <w:pPr>
        <w:pStyle w:val="BlockQuotation"/>
        <w:bidi w:val="0"/>
        <w:jc w:val="start"/>
        <w:rPr/>
      </w:pPr>
      <w:r>
        <w:rPr/>
        <w:t>"Notice that intrinsic value is never one number. It's always kind of like a range. Why? Because we can't be absolutely sure about what the growth of the company is going to be. We can only do projections."</w:t>
      </w:r>
    </w:p>
    <w:p>
      <w:pPr>
        <w:pStyle w:val="BodyText"/>
        <w:bidi w:val="0"/>
        <w:jc w:val="start"/>
        <w:rPr/>
      </w:pPr>
      <w:r>
        <w:rPr>
          <w:b/>
        </w:rPr>
        <w:t>Third-party cross-check.</w:t>
      </w:r>
      <w:r>
        <w:rPr/>
        <w:t xml:space="preserve"> Morningstar Premium (paid) publishes its own </w:t>
      </w:r>
      <w:r>
        <w:rPr>
          <w:b/>
        </w:rPr>
        <w:t>fair value ≈ $4,001</w:t>
      </w:r>
      <w:r>
        <w:rPr/>
        <w:t xml:space="preserve">. Adam's comparison logic: "For Morningstar, their valuation most of the time tends to be higher than my valuation, because they tend to be more optimistic — or rather, </w:t>
      </w:r>
      <w:r>
        <w:rPr>
          <w:b/>
        </w:rPr>
        <w:t>I tend to be more pessimistic</w:t>
      </w:r>
      <w:r>
        <w:rPr/>
        <w:t>. But I like to look at their valuation as well to kind of get a sense of where my valuation is relative to theirs." He concludes he is "really, really comfortable" adding shares at the current price given the independent confirmation.</w:t>
      </w:r>
    </w:p>
    <w:p>
      <w:pPr>
        <w:pStyle w:val="BodyText"/>
        <w:bidi w:val="0"/>
        <w:jc w:val="start"/>
        <w:rPr/>
      </w:pPr>
      <w:r>
        <w:rPr>
          <w:i/>
        </w:rPr>
        <w:t>(Transcript note: the spoken sentence "way above even my optimistic valuation of 4,070" is internally inconsistent with a $4,001 Morningstar figure — the ASR is unreliable on these two numbers; the intent is clearly that Morningstar's fair value sits at or above Adam's optimistic case and far above the market price.)</w:t>
      </w:r>
    </w:p>
    <w:p>
      <w:pPr>
        <w:pStyle w:val="Heading3"/>
        <w:bidi w:val="0"/>
        <w:ind w:hanging="0" w:start="0"/>
        <w:jc w:val="start"/>
        <w:rPr/>
      </w:pPr>
      <w:r>
        <w:rPr/>
        <w:t>3.8 Step 7 — Technical analysis and entry plan</w:t>
      </w:r>
    </w:p>
    <w:p>
      <w:pPr>
        <w:pStyle w:val="BodyText"/>
        <w:bidi w:val="0"/>
        <w:jc w:val="start"/>
        <w:rPr/>
      </w:pPr>
      <w:r>
        <w:rPr/>
        <w:t xml:space="preserve">Entry doctrine restated: "Prices move in wave patterns. Wave up, wave down… we always want to wait for a wave down to a support level. We buy either at </w:t>
      </w:r>
      <w:r>
        <w:rPr>
          <w:b/>
        </w:rPr>
        <w:t>the dip of an uptrend</w:t>
      </w:r>
      <w:r>
        <w:rPr/>
        <w:t xml:space="preserve">, at </w:t>
      </w:r>
      <w:r>
        <w:rPr>
          <w:b/>
        </w:rPr>
        <w:t>the support level of a consolidation</w:t>
      </w:r>
      <w:r>
        <w:rPr/>
        <w:t xml:space="preserve">, or when </w:t>
      </w:r>
      <w:r>
        <w:rPr>
          <w:b/>
        </w:rPr>
        <w:t>price reverses into a new uptrend</w:t>
      </w:r>
      <w:r>
        <w:rPr/>
        <w:t xml:space="preserve">." Timeframes: daily, weekly and monthly, adding </w:t>
      </w:r>
      <w:r>
        <w:rPr>
          <w:b/>
        </w:rPr>
        <w:t>in tranches</w:t>
      </w:r>
      <w:r>
        <w:rPr/>
        <w:t>.</w:t>
      </w:r>
    </w:p>
    <w:p>
      <w:pPr>
        <w:pStyle w:val="BodyText"/>
        <w:bidi w:val="0"/>
        <w:jc w:val="start"/>
        <w:rPr/>
      </w:pPr>
      <w:r>
        <w:rPr>
          <w:b/>
        </w:rPr>
        <w:t>(a) 10-year monthly.</w:t>
      </w:r>
      <w:r>
        <w:rPr/>
        <w:t xml:space="preserve"> Clear long-term uptrend ✔. Historical wave-downs repeatedly find support at the </w:t>
      </w:r>
      <w:r>
        <w:rPr>
          <w:b/>
        </w:rPr>
        <w:t>20 EMA (red dotted line)</w:t>
      </w:r>
      <w:r>
        <w:rPr/>
        <w:t xml:space="preserve">. → Support drawn at </w:t>
      </w:r>
      <w:r>
        <w:rPr>
          <w:b/>
        </w:rPr>
        <w:t>$3,116</w:t>
      </w:r>
      <w:r>
        <w:rPr/>
        <w:t xml:space="preserve">. Adam notes this level also lines up with the </w:t>
      </w:r>
      <w:r>
        <w:rPr>
          <w:b/>
        </w:rPr>
        <w:t>100 MA on weekly</w:t>
      </w:r>
      <w:r>
        <w:rPr/>
        <w:t xml:space="preserve"> — "that's a pretty significant level."</w:t>
      </w:r>
    </w:p>
    <w:p>
      <w:pPr>
        <w:pStyle w:val="BodyText"/>
        <w:bidi w:val="0"/>
        <w:jc w:val="start"/>
        <w:rPr/>
      </w:pPr>
      <w:r>
        <w:rPr>
          <w:b/>
        </w:rPr>
        <w:t>(b) 5-year weekly.</w:t>
      </w:r>
      <w:r>
        <w:rPr/>
        <w:t xml:space="preserve"> Strong support at the </w:t>
      </w:r>
      <w:r>
        <w:rPr>
          <w:b/>
        </w:rPr>
        <w:t>50 MA (blue line)</w:t>
      </w:r>
      <w:r>
        <w:rPr/>
        <w:t xml:space="preserve">. → Support drawn at </w:t>
      </w:r>
      <w:r>
        <w:rPr>
          <w:b/>
        </w:rPr>
        <w:t>$3,351</w:t>
      </w:r>
      <w:r>
        <w:rPr/>
        <w:t xml:space="preserve">. Also: </w:t>
      </w:r>
      <w:r>
        <w:rPr>
          <w:b/>
        </w:rPr>
        <w:t>100 MA (orange line)</w:t>
      </w:r>
      <w:r>
        <w:rPr/>
        <w:t xml:space="preserve"> has acted as strong support, coinciding with the $3,116 level. An additional previously-tested level from repeated swing lows → support at </w:t>
      </w:r>
      <w:r>
        <w:rPr>
          <w:b/>
        </w:rPr>
        <w:t>$2,881</w:t>
      </w:r>
      <w:r>
        <w:rPr/>
        <w:t xml:space="preserve"> ("swing low, swing low, swing low… this is a pretty strong support").</w:t>
      </w:r>
    </w:p>
    <w:p>
      <w:pPr>
        <w:pStyle w:val="BodyText"/>
        <w:bidi w:val="0"/>
        <w:jc w:val="start"/>
        <w:rPr/>
      </w:pPr>
      <w:r>
        <w:rPr>
          <w:b/>
        </w:rPr>
        <w:t>(c) 1-year daily.</w:t>
      </w:r>
      <w:r>
        <w:rPr/>
        <w:t xml:space="preserve"> Price is in a </w:t>
      </w:r>
      <w:r>
        <w:rPr>
          <w:b/>
        </w:rPr>
        <w:t>sideways consolidation</w:t>
      </w:r>
      <w:r>
        <w:rPr/>
        <w:t xml:space="preserve">, not a trend. Rule for consolidations: "When it's moving sideways, you want to buy </w:t>
      </w:r>
      <w:r>
        <w:rPr>
          <w:b/>
        </w:rPr>
        <w:t>near the support of the consolidation</w:t>
      </w:r>
      <w:r>
        <w:rPr/>
        <w:t xml:space="preserve">." The consolidation support is visible with three touches ("support, support, support"), and price "just waved down to this support level here at </w:t>
      </w:r>
      <w:r>
        <w:rPr>
          <w:b/>
        </w:rPr>
        <w:t>$3,198</w:t>
      </w:r>
      <w:r>
        <w:rPr/>
        <w:t>."</w:t>
      </w:r>
    </w:p>
    <w:p>
      <w:pPr>
        <w:pStyle w:val="Heading4"/>
        <w:bidi w:val="0"/>
        <w:ind w:hanging="0" w:start="0"/>
        <w:jc w:val="start"/>
        <w:rPr/>
      </w:pPr>
      <w:r>
        <w:rPr/>
        <w:t>AMZN support ladder</w:t>
      </w:r>
    </w:p>
    <w:tbl>
      <w:tblPr>
        <w:tblW w:w="5000" w:type="pct"/>
        <w:jc w:val="start"/>
        <w:tblInd w:w="-5" w:type="dxa"/>
        <w:tblLayout w:type="fixed"/>
        <w:tblCellMar>
          <w:top w:w="55" w:type="dxa"/>
          <w:start w:w="55" w:type="dxa"/>
          <w:bottom w:w="55" w:type="dxa"/>
          <w:end w:w="55" w:type="dxa"/>
        </w:tblCellMar>
      </w:tblPr>
      <w:tblGrid>
        <w:gridCol w:w="4819"/>
        <w:gridCol w:w="4819"/>
      </w:tblGrid>
      <w:tr>
        <w:trPr>
          <w:tblHeader w:val="true"/>
        </w:trPr>
        <w:tc>
          <w:tcPr>
            <w:tcW w:w="4819" w:type="dxa"/>
            <w:tcBorders>
              <w:top w:val="single" w:sz="4" w:space="0" w:color="000000"/>
              <w:start w:val="single" w:sz="4" w:space="0" w:color="000000"/>
              <w:bottom w:val="single" w:sz="4" w:space="0" w:color="000000"/>
            </w:tcBorders>
          </w:tcPr>
          <w:p>
            <w:pPr>
              <w:pStyle w:val="TableHeading"/>
              <w:bidi w:val="0"/>
              <w:jc w:val="start"/>
              <w:rPr/>
            </w:pPr>
            <w:r>
              <w:rPr/>
              <w:t>Support level</w:t>
            </w:r>
          </w:p>
        </w:tc>
        <w:tc>
          <w:tcPr>
            <w:tcW w:w="4819"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Basis</w:t>
            </w:r>
          </w:p>
        </w:tc>
      </w:tr>
      <w:tr>
        <w:trPr/>
        <w:tc>
          <w:tcPr>
            <w:tcW w:w="4819" w:type="dxa"/>
            <w:tcBorders>
              <w:start w:val="single" w:sz="4" w:space="0" w:color="000000"/>
              <w:bottom w:val="single" w:sz="4" w:space="0" w:color="000000"/>
            </w:tcBorders>
          </w:tcPr>
          <w:p>
            <w:pPr>
              <w:pStyle w:val="TableContents"/>
              <w:bidi w:val="0"/>
              <w:jc w:val="start"/>
              <w:rPr/>
            </w:pPr>
            <w:r>
              <w:rPr>
                <w:b/>
              </w:rPr>
              <w:t>$3,351</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Weekly 50 MA</w:t>
            </w:r>
          </w:p>
        </w:tc>
      </w:tr>
      <w:tr>
        <w:trPr/>
        <w:tc>
          <w:tcPr>
            <w:tcW w:w="4819" w:type="dxa"/>
            <w:tcBorders>
              <w:start w:val="single" w:sz="4" w:space="0" w:color="000000"/>
              <w:bottom w:val="single" w:sz="4" w:space="0" w:color="000000"/>
            </w:tcBorders>
          </w:tcPr>
          <w:p>
            <w:pPr>
              <w:pStyle w:val="TableContents"/>
              <w:bidi w:val="0"/>
              <w:jc w:val="start"/>
              <w:rPr/>
            </w:pPr>
            <w:r>
              <w:rPr>
                <w:b/>
              </w:rPr>
              <w:t>$3,198</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Daily consolidation support (current touch)</w:t>
            </w:r>
          </w:p>
        </w:tc>
      </w:tr>
      <w:tr>
        <w:trPr/>
        <w:tc>
          <w:tcPr>
            <w:tcW w:w="4819" w:type="dxa"/>
            <w:tcBorders>
              <w:start w:val="single" w:sz="4" w:space="0" w:color="000000"/>
              <w:bottom w:val="single" w:sz="4" w:space="0" w:color="000000"/>
            </w:tcBorders>
          </w:tcPr>
          <w:p>
            <w:pPr>
              <w:pStyle w:val="TableContents"/>
              <w:bidi w:val="0"/>
              <w:jc w:val="start"/>
              <w:rPr/>
            </w:pPr>
            <w:r>
              <w:rPr>
                <w:b/>
              </w:rPr>
              <w:t>$3,116</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Monthly 20 EMA + weekly 100 MA (double confirmation)</w:t>
            </w:r>
          </w:p>
        </w:tc>
      </w:tr>
      <w:tr>
        <w:trPr/>
        <w:tc>
          <w:tcPr>
            <w:tcW w:w="4819" w:type="dxa"/>
            <w:tcBorders>
              <w:start w:val="single" w:sz="4" w:space="0" w:color="000000"/>
              <w:bottom w:val="single" w:sz="4" w:space="0" w:color="000000"/>
            </w:tcBorders>
          </w:tcPr>
          <w:p>
            <w:pPr>
              <w:pStyle w:val="TableContents"/>
              <w:bidi w:val="0"/>
              <w:jc w:val="start"/>
              <w:rPr/>
            </w:pPr>
            <w:r>
              <w:rPr>
                <w:b/>
              </w:rPr>
              <w:t>$2,881</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Repeated weekly swing lows</w:t>
            </w:r>
          </w:p>
        </w:tc>
      </w:tr>
    </w:tbl>
    <w:p>
      <w:pPr>
        <w:pStyle w:val="BodyText"/>
        <w:bidi w:val="0"/>
        <w:jc w:val="start"/>
        <w:rPr/>
      </w:pPr>
      <w:r>
        <w:rPr/>
      </w:r>
    </w:p>
    <w:p>
      <w:pPr>
        <w:pStyle w:val="Heading4"/>
        <w:bidi w:val="0"/>
        <w:ind w:hanging="0" w:start="0"/>
        <w:jc w:val="start"/>
        <w:rPr/>
      </w:pPr>
      <w:r>
        <w:rPr/>
        <w:t>AMZN verdict</w:t>
      </w:r>
    </w:p>
    <w:p>
      <w:pPr>
        <w:pStyle w:val="BlockQuotation"/>
        <w:bidi w:val="0"/>
        <w:jc w:val="start"/>
        <w:rPr/>
      </w:pPr>
      <w:r>
        <w:rPr/>
        <w:t xml:space="preserve">"So right now it just waved down to this support level here at 3,198. So yeah, </w:t>
      </w:r>
      <w:r>
        <w:rPr>
          <w:b/>
        </w:rPr>
        <w:t>I think this is a reasonable point to add shares of Amazon</w:t>
      </w:r>
      <w:r>
        <w:rPr/>
        <w:t>."</w:t>
      </w:r>
    </w:p>
    <w:p>
      <w:pPr>
        <w:pStyle w:val="BodyText"/>
        <w:bidi w:val="0"/>
        <w:jc w:val="start"/>
        <w:rPr/>
      </w:pPr>
      <w:r>
        <w:rPr/>
        <w:t xml:space="preserve">Great business ✔ · below the pessimistic end of the valuation range ✔ · sitting on consolidation support ✔ → </w:t>
      </w:r>
      <w:r>
        <w:rPr>
          <w:b/>
        </w:rPr>
        <w:t>BUY, in tranches.</w:t>
      </w:r>
    </w:p>
    <w:p>
      <w:pPr>
        <w:pStyle w:val="BodyText"/>
        <w:bidi w:val="0"/>
        <w:jc w:val="start"/>
        <w:rPr/>
      </w:pPr>
      <w:r>
        <w:rPr>
          <w:b/>
        </w:rPr>
        <w:t>Position-sizing note unique to AMZN (a ~$3,242 share price):</w:t>
      </w:r>
    </w:p>
    <w:p>
      <w:pPr>
        <w:pStyle w:val="BodyText"/>
        <w:numPr>
          <w:ilvl w:val="0"/>
          <w:numId w:val="449"/>
        </w:numPr>
        <w:tabs>
          <w:tab w:val="clear" w:pos="709"/>
          <w:tab w:val="left" w:pos="709" w:leader="none"/>
        </w:tabs>
        <w:bidi w:val="0"/>
        <w:ind w:hanging="283" w:start="709"/>
        <w:jc w:val="start"/>
        <w:rPr/>
      </w:pPr>
      <w:r>
        <w:rPr/>
        <w:t xml:space="preserve">Four support levels → buy the planned allocation in </w:t>
      </w:r>
      <w:r>
        <w:rPr>
          <w:b/>
        </w:rPr>
        <w:t>four tranches</w:t>
      </w:r>
      <w:r>
        <w:rPr/>
        <w:t>.</w:t>
      </w:r>
    </w:p>
    <w:p>
      <w:pPr>
        <w:pStyle w:val="BodyText"/>
        <w:numPr>
          <w:ilvl w:val="0"/>
          <w:numId w:val="449"/>
        </w:numPr>
        <w:tabs>
          <w:tab w:val="clear" w:pos="709"/>
          <w:tab w:val="left" w:pos="709" w:leader="none"/>
        </w:tabs>
        <w:bidi w:val="0"/>
        <w:ind w:hanging="283" w:start="709"/>
        <w:jc w:val="start"/>
        <w:rPr/>
      </w:pPr>
      <w:r>
        <w:rPr/>
        <w:t xml:space="preserve">For small accounts, one share costs $3,242. </w:t>
      </w:r>
      <w:r>
        <w:rPr>
          <w:b/>
        </w:rPr>
        <w:t>Fractional shares</w:t>
      </w:r>
      <w:r>
        <w:rPr/>
        <w:t xml:space="preserve"> solve this — "with certain brokers, like Interactive Brokers, you can buy fractional shares… you could actually buy </w:t>
      </w:r>
      <w:r>
        <w:rPr>
          <w:b/>
        </w:rPr>
        <w:t>0.25 shares at a time</w:t>
      </w:r>
      <w:r>
        <w:rPr/>
        <w:t xml:space="preserve">," i.e. roughly </w:t>
      </w:r>
      <w:r>
        <w:rPr>
          <w:b/>
        </w:rPr>
        <w:t>$800 per tranche</w:t>
      </w:r>
      <w:r>
        <w:rPr/>
        <w:t>, accumulating to one full share across the four levels.</w:t>
      </w:r>
    </w:p>
    <w:p>
      <w:pPr>
        <w:pStyle w:val="BodyText"/>
        <w:numPr>
          <w:ilvl w:val="0"/>
          <w:numId w:val="449"/>
        </w:numPr>
        <w:tabs>
          <w:tab w:val="clear" w:pos="709"/>
          <w:tab w:val="left" w:pos="709" w:leader="none"/>
        </w:tabs>
        <w:bidi w:val="0"/>
        <w:ind w:hanging="283" w:start="709"/>
        <w:jc w:val="start"/>
        <w:rPr/>
      </w:pPr>
      <w:r>
        <w:rPr/>
        <w:t>Larger accounts simply scale the same ladder — "one share here, one share here… or three shares, three shares. It's up to you how you want to divide it."</w:t>
      </w:r>
    </w:p>
    <w:p>
      <w:pPr>
        <w:pStyle w:val="BodyText"/>
        <w:numPr>
          <w:ilvl w:val="0"/>
          <w:numId w:val="449"/>
        </w:numPr>
        <w:tabs>
          <w:tab w:val="clear" w:pos="709"/>
          <w:tab w:val="left" w:pos="709" w:leader="none"/>
        </w:tabs>
        <w:bidi w:val="0"/>
        <w:ind w:hanging="283" w:start="709"/>
        <w:jc w:val="start"/>
        <w:rPr/>
      </w:pPr>
      <w:r>
        <w:rPr/>
        <w:t xml:space="preserve">Since price is already below the first identified support, an investor with </w:t>
      </w:r>
      <w:r>
        <w:rPr>
          <w:b/>
        </w:rPr>
        <w:t>no existing position</w:t>
      </w:r>
      <w:r>
        <w:rPr/>
        <w:t xml:space="preserve"> could enter in </w:t>
      </w:r>
      <w:r>
        <w:rPr>
          <w:b/>
        </w:rPr>
        <w:t>thirds</w:t>
      </w:r>
      <w:r>
        <w:rPr/>
        <w:t xml:space="preserve"> across the three remaining levels.</w:t>
      </w:r>
    </w:p>
    <w:p>
      <w:pPr>
        <w:pStyle w:val="HorizontalLine"/>
        <w:bidi w:val="0"/>
        <w:jc w:val="start"/>
        <w:rPr/>
      </w:pPr>
      <w:r>
        <w:rPr/>
      </w:r>
    </w:p>
    <w:p>
      <w:pPr>
        <w:pStyle w:val="Heading2"/>
        <w:bidi w:val="0"/>
        <w:ind w:hanging="0" w:start="0"/>
        <w:jc w:val="start"/>
        <w:rPr/>
      </w:pPr>
      <w:r>
        <w:rPr/>
        <w:t>Cross-Case Lessons</w:t>
      </w:r>
    </w:p>
    <w:p>
      <w:pPr>
        <w:pStyle w:val="Heading3"/>
        <w:bidi w:val="0"/>
        <w:ind w:hanging="0" w:start="0"/>
        <w:jc w:val="start"/>
        <w:rPr/>
      </w:pPr>
      <w:r>
        <w:rPr/>
        <w:t xml:space="preserve">A. The formula is invariant; the </w:t>
      </w:r>
      <w:r>
        <w:rPr>
          <w:i/>
        </w:rPr>
        <w:t>inputs and adjustments</w:t>
      </w:r>
      <w:r>
        <w:rPr/>
        <w:t xml:space="preserve"> are judgement calls</w:t>
      </w:r>
    </w:p>
    <w:p>
      <w:pPr>
        <w:pStyle w:val="BodyText"/>
        <w:bidi w:val="0"/>
        <w:jc w:val="start"/>
        <w:rPr/>
      </w:pPr>
      <w:r>
        <w:rPr/>
        <w:t xml:space="preserve">All three names run the identical seven steps in the identical order, and in all three, steps 1–5 only earn a place on the </w:t>
      </w:r>
      <w:r>
        <w:rPr>
          <w:b/>
        </w:rPr>
        <w:t>watch list</w:t>
      </w:r>
      <w:r>
        <w:rPr/>
        <w:t>. What differs is never the framework — it's how Adam handles anomalies inside it. The skill being taught is not the checklist; it's knowing when a reported number is lying to you.</w:t>
      </w:r>
    </w:p>
    <w:p>
      <w:pPr>
        <w:pStyle w:val="Heading3"/>
        <w:bidi w:val="0"/>
        <w:ind w:hanging="0" w:start="0"/>
        <w:jc w:val="start"/>
        <w:rPr/>
      </w:pPr>
      <w:r>
        <w:rPr/>
        <w:t>B. Three ways the same distortion was handled</w:t>
      </w:r>
    </w:p>
    <w:p>
      <w:pPr>
        <w:pStyle w:val="BodyText"/>
        <w:bidi w:val="0"/>
        <w:jc w:val="start"/>
        <w:rPr/>
      </w:pPr>
      <w:r>
        <w:rPr/>
        <w:t xml:space="preserve">The hyperscaler AI-capex problem hit both GOOGL and AMZN, and Adam used </w:t>
      </w:r>
      <w:r>
        <w:rPr>
          <w:b/>
        </w:rPr>
        <w:t>two different fixes</w:t>
      </w:r>
      <w:r>
        <w:rPr/>
        <w:t>, which tells you the principle matters more than the recipe:</w:t>
      </w:r>
    </w:p>
    <w:tbl>
      <w:tblPr>
        <w:tblW w:w="5000" w:type="pct"/>
        <w:jc w:val="start"/>
        <w:tblInd w:w="-5" w:type="dxa"/>
        <w:tblLayout w:type="fixed"/>
        <w:tblCellMar>
          <w:top w:w="55" w:type="dxa"/>
          <w:start w:w="55" w:type="dxa"/>
          <w:bottom w:w="55" w:type="dxa"/>
          <w:end w:w="55" w:type="dxa"/>
        </w:tblCellMar>
      </w:tblPr>
      <w:tblGrid>
        <w:gridCol w:w="3212"/>
        <w:gridCol w:w="3213"/>
        <w:gridCol w:w="3213"/>
      </w:tblGrid>
      <w:tr>
        <w:trPr>
          <w:tblHeader w:val="true"/>
        </w:trPr>
        <w:tc>
          <w:tcPr>
            <w:tcW w:w="3212" w:type="dxa"/>
            <w:tcBorders>
              <w:top w:val="single" w:sz="4" w:space="0" w:color="000000"/>
              <w:start w:val="single" w:sz="4" w:space="0" w:color="000000"/>
              <w:bottom w:val="single" w:sz="4" w:space="0" w:color="000000"/>
            </w:tcBorders>
          </w:tcPr>
          <w:p>
            <w:pPr>
              <w:pStyle w:val="TableHeading"/>
              <w:bidi w:val="0"/>
              <w:jc w:val="start"/>
              <w:rPr/>
            </w:pPr>
            <w:r>
              <w:rPr/>
              <w:t>Company</w:t>
            </w:r>
          </w:p>
        </w:tc>
        <w:tc>
          <w:tcPr>
            <w:tcW w:w="3213" w:type="dxa"/>
            <w:tcBorders>
              <w:top w:val="single" w:sz="4" w:space="0" w:color="000000"/>
              <w:start w:val="single" w:sz="4" w:space="0" w:color="000000"/>
              <w:bottom w:val="single" w:sz="4" w:space="0" w:color="000000"/>
            </w:tcBorders>
          </w:tcPr>
          <w:p>
            <w:pPr>
              <w:pStyle w:val="TableHeading"/>
              <w:bidi w:val="0"/>
              <w:jc w:val="start"/>
              <w:rPr/>
            </w:pPr>
            <w:r>
              <w:rPr/>
              <w:t>Distortion</w:t>
            </w:r>
          </w:p>
        </w:tc>
        <w:tc>
          <w:tcPr>
            <w:tcW w:w="3213"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Fix</w:t>
            </w:r>
          </w:p>
        </w:tc>
      </w:tr>
      <w:tr>
        <w:trPr/>
        <w:tc>
          <w:tcPr>
            <w:tcW w:w="3212" w:type="dxa"/>
            <w:tcBorders>
              <w:start w:val="single" w:sz="4" w:space="0" w:color="000000"/>
              <w:bottom w:val="single" w:sz="4" w:space="0" w:color="000000"/>
            </w:tcBorders>
          </w:tcPr>
          <w:p>
            <w:pPr>
              <w:pStyle w:val="TableContents"/>
              <w:bidi w:val="0"/>
              <w:jc w:val="start"/>
              <w:rPr/>
            </w:pPr>
            <w:r>
              <w:rPr>
                <w:b/>
              </w:rPr>
              <w:t>GOOGL</w:t>
            </w:r>
          </w:p>
        </w:tc>
        <w:tc>
          <w:tcPr>
            <w:tcW w:w="3213" w:type="dxa"/>
            <w:tcBorders>
              <w:start w:val="single" w:sz="4" w:space="0" w:color="000000"/>
              <w:bottom w:val="single" w:sz="4" w:space="0" w:color="000000"/>
            </w:tcBorders>
          </w:tcPr>
          <w:p>
            <w:pPr>
              <w:pStyle w:val="TableContents"/>
              <w:bidi w:val="0"/>
              <w:jc w:val="start"/>
              <w:rPr/>
            </w:pPr>
            <w:r>
              <w:rPr/>
              <w:t>Latest capex spiked to $91.4bn (vs $24.6bn five years earlier), crushing FCF to $73.3bn</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b/>
              </w:rPr>
              <w:t>Average the last 5 years of capex</w:t>
            </w:r>
            <w:r>
              <w:rPr/>
              <w:t xml:space="preserve"> ($46,471.6M) and subtract from the latest operating cash flow → normalised FCF $118,241.4M. Raw calculator value $190.89 → adjusted </w:t>
            </w:r>
            <w:r>
              <w:rPr>
                <w:b/>
              </w:rPr>
              <w:t>$304.13</w:t>
            </w:r>
            <w:r>
              <w:rPr/>
              <w:t xml:space="preserve"> (a </w:t>
            </w:r>
            <w:r>
              <w:rPr>
                <w:b/>
              </w:rPr>
              <w:t>59% understatement</w:t>
            </w:r>
            <w:r>
              <w:rPr/>
              <w:t xml:space="preserve"> if left unadjusted)</w:t>
            </w:r>
          </w:p>
        </w:tc>
      </w:tr>
      <w:tr>
        <w:trPr/>
        <w:tc>
          <w:tcPr>
            <w:tcW w:w="3212" w:type="dxa"/>
            <w:tcBorders>
              <w:start w:val="single" w:sz="4" w:space="0" w:color="000000"/>
              <w:bottom w:val="single" w:sz="4" w:space="0" w:color="000000"/>
            </w:tcBorders>
          </w:tcPr>
          <w:p>
            <w:pPr>
              <w:pStyle w:val="TableContents"/>
              <w:bidi w:val="0"/>
              <w:jc w:val="start"/>
              <w:rPr/>
            </w:pPr>
            <w:r>
              <w:rPr>
                <w:b/>
              </w:rPr>
              <w:t>AMZN</w:t>
            </w:r>
          </w:p>
        </w:tc>
        <w:tc>
          <w:tcPr>
            <w:tcW w:w="3213" w:type="dxa"/>
            <w:tcBorders>
              <w:start w:val="single" w:sz="4" w:space="0" w:color="000000"/>
              <w:bottom w:val="single" w:sz="4" w:space="0" w:color="000000"/>
            </w:tcBorders>
          </w:tcPr>
          <w:p>
            <w:pPr>
              <w:pStyle w:val="TableContents"/>
              <w:bidi w:val="0"/>
              <w:jc w:val="start"/>
              <w:rPr/>
            </w:pPr>
            <w:r>
              <w:rPr/>
              <w:t xml:space="preserve">$45bn capex year drove FCF </w:t>
            </w:r>
            <w:r>
              <w:rPr>
                <w:b/>
              </w:rPr>
              <w:t>negative</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b/>
              </w:rPr>
              <w:t>Skip the distorted year entirely</w:t>
            </w:r>
            <w:r>
              <w:rPr/>
              <w:t>; use the prior year's clean FCF of $25,924M</w:t>
            </w:r>
          </w:p>
        </w:tc>
      </w:tr>
      <w:tr>
        <w:trPr/>
        <w:tc>
          <w:tcPr>
            <w:tcW w:w="3212" w:type="dxa"/>
            <w:tcBorders>
              <w:start w:val="single" w:sz="4" w:space="0" w:color="000000"/>
              <w:bottom w:val="single" w:sz="4" w:space="0" w:color="000000"/>
            </w:tcBorders>
          </w:tcPr>
          <w:p>
            <w:pPr>
              <w:pStyle w:val="TableContents"/>
              <w:bidi w:val="0"/>
              <w:jc w:val="start"/>
              <w:rPr/>
            </w:pPr>
            <w:r>
              <w:rPr>
                <w:b/>
              </w:rPr>
              <w:t>MSFT</w:t>
            </w:r>
          </w:p>
        </w:tc>
        <w:tc>
          <w:tcPr>
            <w:tcW w:w="3213" w:type="dxa"/>
            <w:tcBorders>
              <w:start w:val="single" w:sz="4" w:space="0" w:color="000000"/>
              <w:bottom w:val="single" w:sz="4" w:space="0" w:color="000000"/>
            </w:tcBorders>
          </w:tcPr>
          <w:p>
            <w:pPr>
              <w:pStyle w:val="TableContents"/>
              <w:bidi w:val="0"/>
              <w:jc w:val="start"/>
              <w:rPr/>
            </w:pPr>
            <w:r>
              <w:rPr/>
              <w:t>None — "growing very, very consistently"</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Use the latest figure as reported</w:t>
            </w:r>
          </w:p>
        </w:tc>
      </w:tr>
    </w:tbl>
    <w:p>
      <w:pPr>
        <w:pStyle w:val="BodyText"/>
        <w:bidi w:val="0"/>
        <w:jc w:val="start"/>
        <w:rPr/>
      </w:pPr>
      <w:r>
        <w:rPr/>
      </w:r>
    </w:p>
    <w:p>
      <w:pPr>
        <w:pStyle w:val="BodyText"/>
        <w:bidi w:val="0"/>
        <w:jc w:val="start"/>
        <w:rPr/>
      </w:pPr>
      <w:r>
        <w:rPr/>
        <w:t xml:space="preserve">Generalised rule stated in the MSFT lesson and applied in both others: </w:t>
      </w:r>
      <w:r>
        <w:rPr>
          <w:b/>
        </w:rPr>
        <w:t>a sudden spike or a sudden plunge in the last 12 months is never the number you project from.</w:t>
      </w:r>
      <w:r>
        <w:rPr/>
        <w:t xml:space="preserve"> Use the prior year, or a multi-year average.</w:t>
      </w:r>
    </w:p>
    <w:p>
      <w:pPr>
        <w:pStyle w:val="Heading3"/>
        <w:bidi w:val="0"/>
        <w:ind w:hanging="0" w:start="0"/>
        <w:jc w:val="start"/>
        <w:rPr/>
      </w:pPr>
      <w:r>
        <w:rPr/>
        <w:t xml:space="preserve">C. Valuation method is chosen by the </w:t>
      </w:r>
      <w:r>
        <w:rPr>
          <w:i/>
        </w:rPr>
        <w:t>shape of the financials</w:t>
      </w:r>
      <w:r>
        <w:rPr/>
        <w:t>, not by preference</w:t>
      </w:r>
    </w:p>
    <w:tbl>
      <w:tblPr>
        <w:tblW w:w="5000" w:type="pct"/>
        <w:jc w:val="start"/>
        <w:tblInd w:w="-5" w:type="dxa"/>
        <w:tblLayout w:type="fixed"/>
        <w:tblCellMar>
          <w:top w:w="55" w:type="dxa"/>
          <w:start w:w="55" w:type="dxa"/>
          <w:bottom w:w="55" w:type="dxa"/>
          <w:end w:w="55" w:type="dxa"/>
        </w:tblCellMar>
      </w:tblPr>
      <w:tblGrid>
        <w:gridCol w:w="3212"/>
        <w:gridCol w:w="3213"/>
        <w:gridCol w:w="3213"/>
      </w:tblGrid>
      <w:tr>
        <w:trPr>
          <w:tblHeader w:val="true"/>
        </w:trPr>
        <w:tc>
          <w:tcPr>
            <w:tcW w:w="3212" w:type="dxa"/>
            <w:tcBorders>
              <w:top w:val="single" w:sz="4" w:space="0" w:color="000000"/>
              <w:start w:val="single" w:sz="4" w:space="0" w:color="000000"/>
              <w:bottom w:val="single" w:sz="4" w:space="0" w:color="000000"/>
            </w:tcBorders>
          </w:tcPr>
          <w:p>
            <w:pPr>
              <w:pStyle w:val="TableHeading"/>
              <w:bidi w:val="0"/>
              <w:jc w:val="start"/>
              <w:rPr/>
            </w:pPr>
            <w:r>
              <w:rPr/>
              <w:t>Company</w:t>
            </w:r>
          </w:p>
        </w:tc>
        <w:tc>
          <w:tcPr>
            <w:tcW w:w="3213" w:type="dxa"/>
            <w:tcBorders>
              <w:top w:val="single" w:sz="4" w:space="0" w:color="000000"/>
              <w:start w:val="single" w:sz="4" w:space="0" w:color="000000"/>
              <w:bottom w:val="single" w:sz="4" w:space="0" w:color="000000"/>
            </w:tcBorders>
          </w:tcPr>
          <w:p>
            <w:pPr>
              <w:pStyle w:val="TableHeading"/>
              <w:bidi w:val="0"/>
              <w:jc w:val="start"/>
              <w:rPr/>
            </w:pPr>
            <w:r>
              <w:rPr/>
              <w:t>Method</w:t>
            </w:r>
          </w:p>
        </w:tc>
        <w:tc>
          <w:tcPr>
            <w:tcW w:w="3213"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Trigger</w:t>
            </w:r>
          </w:p>
        </w:tc>
      </w:tr>
      <w:tr>
        <w:trPr/>
        <w:tc>
          <w:tcPr>
            <w:tcW w:w="3212" w:type="dxa"/>
            <w:tcBorders>
              <w:start w:val="single" w:sz="4" w:space="0" w:color="000000"/>
              <w:bottom w:val="single" w:sz="4" w:space="0" w:color="000000"/>
            </w:tcBorders>
          </w:tcPr>
          <w:p>
            <w:pPr>
              <w:pStyle w:val="TableContents"/>
              <w:bidi w:val="0"/>
              <w:jc w:val="start"/>
              <w:rPr/>
            </w:pPr>
            <w:r>
              <w:rPr/>
              <w:t>MSFT</w:t>
            </w:r>
          </w:p>
        </w:tc>
        <w:tc>
          <w:tcPr>
            <w:tcW w:w="3213" w:type="dxa"/>
            <w:tcBorders>
              <w:start w:val="single" w:sz="4" w:space="0" w:color="000000"/>
              <w:bottom w:val="single" w:sz="4" w:space="0" w:color="000000"/>
            </w:tcBorders>
          </w:tcPr>
          <w:p>
            <w:pPr>
              <w:pStyle w:val="TableContents"/>
              <w:bidi w:val="0"/>
              <w:jc w:val="start"/>
              <w:rPr/>
            </w:pPr>
            <w:r>
              <w:rPr/>
              <w:t xml:space="preserve">Discounted cash flow </w:t>
            </w:r>
            <w:r>
              <w:rPr>
                <w:b/>
              </w:rPr>
              <w:t>from operations</w:t>
            </w:r>
            <w:r>
              <w:rPr/>
              <w:t xml:space="preserve"> (the default)</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Operating cash flow rising consistently; no CFO/NI distortion</w:t>
            </w:r>
          </w:p>
        </w:tc>
      </w:tr>
      <w:tr>
        <w:trPr/>
        <w:tc>
          <w:tcPr>
            <w:tcW w:w="3212" w:type="dxa"/>
            <w:tcBorders>
              <w:start w:val="single" w:sz="4" w:space="0" w:color="000000"/>
              <w:bottom w:val="single" w:sz="4" w:space="0" w:color="000000"/>
            </w:tcBorders>
          </w:tcPr>
          <w:p>
            <w:pPr>
              <w:pStyle w:val="TableContents"/>
              <w:bidi w:val="0"/>
              <w:jc w:val="start"/>
              <w:rPr/>
            </w:pPr>
            <w:r>
              <w:rPr/>
              <w:t>GOOGL</w:t>
            </w:r>
          </w:p>
        </w:tc>
        <w:tc>
          <w:tcPr>
            <w:tcW w:w="3213" w:type="dxa"/>
            <w:tcBorders>
              <w:start w:val="single" w:sz="4" w:space="0" w:color="000000"/>
              <w:bottom w:val="single" w:sz="4" w:space="0" w:color="000000"/>
            </w:tcBorders>
          </w:tcPr>
          <w:p>
            <w:pPr>
              <w:pStyle w:val="TableContents"/>
              <w:bidi w:val="0"/>
              <w:jc w:val="start"/>
              <w:rPr/>
            </w:pPr>
            <w:r>
              <w:rPr/>
              <w:t xml:space="preserve">Discounted </w:t>
            </w:r>
            <w:r>
              <w:rPr>
                <w:b/>
              </w:rPr>
              <w:t>free</w:t>
            </w:r>
            <w:r>
              <w:rPr/>
              <w:t xml:space="preserve"> cash flow (with normalised capex)</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Operating cash flow rising consistently; capex temporarily inflated</w:t>
            </w:r>
          </w:p>
        </w:tc>
      </w:tr>
      <w:tr>
        <w:trPr/>
        <w:tc>
          <w:tcPr>
            <w:tcW w:w="3212" w:type="dxa"/>
            <w:tcBorders>
              <w:start w:val="single" w:sz="4" w:space="0" w:color="000000"/>
              <w:bottom w:val="single" w:sz="4" w:space="0" w:color="000000"/>
            </w:tcBorders>
          </w:tcPr>
          <w:p>
            <w:pPr>
              <w:pStyle w:val="TableContents"/>
              <w:bidi w:val="0"/>
              <w:jc w:val="start"/>
              <w:rPr/>
            </w:pPr>
            <w:r>
              <w:rPr/>
              <w:t>AMZN</w:t>
            </w:r>
          </w:p>
        </w:tc>
        <w:tc>
          <w:tcPr>
            <w:tcW w:w="3213" w:type="dxa"/>
            <w:tcBorders>
              <w:start w:val="single" w:sz="4" w:space="0" w:color="000000"/>
              <w:bottom w:val="single" w:sz="4" w:space="0" w:color="000000"/>
            </w:tcBorders>
          </w:tcPr>
          <w:p>
            <w:pPr>
              <w:pStyle w:val="TableContents"/>
              <w:bidi w:val="0"/>
              <w:jc w:val="start"/>
              <w:rPr/>
            </w:pPr>
            <w:r>
              <w:rPr/>
              <w:t xml:space="preserve">Discounted </w:t>
            </w:r>
            <w:r>
              <w:rPr>
                <w:b/>
              </w:rPr>
              <w:t>free</w:t>
            </w:r>
            <w:r>
              <w:rPr/>
              <w:t xml:space="preserve"> cash flow (prior-year figure)</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b/>
              </w:rPr>
              <w:t>Cash from operations &gt; 1.5× net income</w:t>
            </w:r>
            <w:r>
              <w:rPr/>
              <w:t xml:space="preserve"> → the D&amp;A-driven gap means CFO flatters the business; FCF is the conservative choice</w:t>
            </w:r>
          </w:p>
        </w:tc>
      </w:tr>
    </w:tbl>
    <w:p>
      <w:pPr>
        <w:pStyle w:val="BodyText"/>
        <w:bidi w:val="0"/>
        <w:jc w:val="start"/>
        <w:rPr/>
      </w:pPr>
      <w:r>
        <w:rPr/>
      </w:r>
    </w:p>
    <w:p>
      <w:pPr>
        <w:pStyle w:val="BodyText"/>
        <w:bidi w:val="0"/>
        <w:jc w:val="start"/>
        <w:rPr/>
      </w:pPr>
      <w:r>
        <w:rPr/>
        <w:t xml:space="preserve">The AMZN case is the explicit teaching moment: a huge CFO-to-net-income gap is a </w:t>
      </w:r>
      <w:r>
        <w:rPr>
          <w:i/>
        </w:rPr>
        <w:t>signal about the business model</w:t>
      </w:r>
      <w:r>
        <w:rPr/>
        <w:t xml:space="preserve"> (capital-intensive, high depreciation), and the valuation method must respond to it.</w:t>
      </w:r>
    </w:p>
    <w:p>
      <w:pPr>
        <w:pStyle w:val="Heading3"/>
        <w:bidi w:val="0"/>
        <w:ind w:hanging="0" w:start="0"/>
        <w:jc w:val="start"/>
        <w:rPr/>
      </w:pPr>
      <w:r>
        <w:rPr/>
        <w:t>D. Intrinsic value is always a range — and the range is built by flexing growth</w:t>
      </w:r>
    </w:p>
    <w:p>
      <w:pPr>
        <w:pStyle w:val="BodyText"/>
        <w:bidi w:val="0"/>
        <w:jc w:val="start"/>
        <w:rPr/>
      </w:pPr>
      <w:r>
        <w:rPr/>
        <w:t>Every case produces at least two numbers, produced by changing the growth assumption and nothing else:</w:t>
      </w:r>
    </w:p>
    <w:tbl>
      <w:tblPr>
        <w:tblW w:w="5000" w:type="pct"/>
        <w:jc w:val="start"/>
        <w:tblInd w:w="-5" w:type="dxa"/>
        <w:tblLayout w:type="fixed"/>
        <w:tblCellMar>
          <w:top w:w="55" w:type="dxa"/>
          <w:start w:w="55" w:type="dxa"/>
          <w:bottom w:w="55" w:type="dxa"/>
          <w:end w:w="55" w:type="dxa"/>
        </w:tblCellMar>
      </w:tblPr>
      <w:tblGrid>
        <w:gridCol w:w="1927"/>
        <w:gridCol w:w="1928"/>
        <w:gridCol w:w="1927"/>
        <w:gridCol w:w="1928"/>
        <w:gridCol w:w="1928"/>
      </w:tblGrid>
      <w:tr>
        <w:trPr>
          <w:tblHeader w:val="true"/>
        </w:trPr>
        <w:tc>
          <w:tcPr>
            <w:tcW w:w="1927" w:type="dxa"/>
            <w:tcBorders>
              <w:top w:val="single" w:sz="4" w:space="0" w:color="000000"/>
              <w:start w:val="single" w:sz="4" w:space="0" w:color="000000"/>
              <w:bottom w:val="single" w:sz="4" w:space="0" w:color="000000"/>
            </w:tcBorders>
          </w:tcPr>
          <w:p>
            <w:pPr>
              <w:pStyle w:val="TableHeading"/>
              <w:bidi w:val="0"/>
              <w:jc w:val="start"/>
              <w:rPr/>
            </w:pPr>
            <w:r>
              <w:rPr/>
              <w:t>Company</w:t>
            </w:r>
          </w:p>
        </w:tc>
        <w:tc>
          <w:tcPr>
            <w:tcW w:w="1928" w:type="dxa"/>
            <w:tcBorders>
              <w:top w:val="single" w:sz="4" w:space="0" w:color="000000"/>
              <w:start w:val="single" w:sz="4" w:space="0" w:color="000000"/>
              <w:bottom w:val="single" w:sz="4" w:space="0" w:color="000000"/>
            </w:tcBorders>
          </w:tcPr>
          <w:p>
            <w:pPr>
              <w:pStyle w:val="TableHeading"/>
              <w:bidi w:val="0"/>
              <w:jc w:val="start"/>
              <w:rPr/>
            </w:pPr>
            <w:r>
              <w:rPr/>
              <w:t>Low end</w:t>
            </w:r>
          </w:p>
        </w:tc>
        <w:tc>
          <w:tcPr>
            <w:tcW w:w="1927" w:type="dxa"/>
            <w:tcBorders>
              <w:top w:val="single" w:sz="4" w:space="0" w:color="000000"/>
              <w:start w:val="single" w:sz="4" w:space="0" w:color="000000"/>
              <w:bottom w:val="single" w:sz="4" w:space="0" w:color="000000"/>
            </w:tcBorders>
          </w:tcPr>
          <w:p>
            <w:pPr>
              <w:pStyle w:val="TableHeading"/>
              <w:bidi w:val="0"/>
              <w:jc w:val="start"/>
              <w:rPr/>
            </w:pPr>
            <w:r>
              <w:rPr/>
              <w:t>High end</w:t>
            </w:r>
          </w:p>
        </w:tc>
        <w:tc>
          <w:tcPr>
            <w:tcW w:w="1928" w:type="dxa"/>
            <w:tcBorders>
              <w:top w:val="single" w:sz="4" w:space="0" w:color="000000"/>
              <w:start w:val="single" w:sz="4" w:space="0" w:color="000000"/>
              <w:bottom w:val="single" w:sz="4" w:space="0" w:color="000000"/>
            </w:tcBorders>
          </w:tcPr>
          <w:p>
            <w:pPr>
              <w:pStyle w:val="TableHeading"/>
              <w:bidi w:val="0"/>
              <w:jc w:val="start"/>
              <w:rPr/>
            </w:pPr>
            <w:r>
              <w:rPr/>
              <w:t>Price at time</w:t>
            </w:r>
          </w:p>
        </w:tc>
        <w:tc>
          <w:tcPr>
            <w:tcW w:w="1928"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Position vs range</w:t>
            </w:r>
          </w:p>
        </w:tc>
      </w:tr>
      <w:tr>
        <w:trPr/>
        <w:tc>
          <w:tcPr>
            <w:tcW w:w="1927" w:type="dxa"/>
            <w:tcBorders>
              <w:start w:val="single" w:sz="4" w:space="0" w:color="000000"/>
              <w:bottom w:val="single" w:sz="4" w:space="0" w:color="000000"/>
            </w:tcBorders>
          </w:tcPr>
          <w:p>
            <w:pPr>
              <w:pStyle w:val="TableContents"/>
              <w:bidi w:val="0"/>
              <w:jc w:val="start"/>
              <w:rPr/>
            </w:pPr>
            <w:r>
              <w:rPr>
                <w:b/>
              </w:rPr>
              <w:t>GOOGL</w:t>
            </w:r>
          </w:p>
        </w:tc>
        <w:tc>
          <w:tcPr>
            <w:tcW w:w="1928" w:type="dxa"/>
            <w:tcBorders>
              <w:start w:val="single" w:sz="4" w:space="0" w:color="000000"/>
              <w:bottom w:val="single" w:sz="4" w:space="0" w:color="000000"/>
            </w:tcBorders>
          </w:tcPr>
          <w:p>
            <w:pPr>
              <w:pStyle w:val="TableContents"/>
              <w:bidi w:val="0"/>
              <w:jc w:val="start"/>
              <w:rPr/>
            </w:pPr>
            <w:r>
              <w:rPr/>
              <w:t>$292.41 (14.3% avg growth)</w:t>
            </w:r>
          </w:p>
        </w:tc>
        <w:tc>
          <w:tcPr>
            <w:tcW w:w="1927" w:type="dxa"/>
            <w:tcBorders>
              <w:start w:val="single" w:sz="4" w:space="0" w:color="000000"/>
              <w:bottom w:val="single" w:sz="4" w:space="0" w:color="000000"/>
            </w:tcBorders>
          </w:tcPr>
          <w:p>
            <w:pPr>
              <w:pStyle w:val="TableContents"/>
              <w:bidi w:val="0"/>
              <w:jc w:val="start"/>
              <w:rPr/>
            </w:pPr>
            <w:r>
              <w:rPr/>
              <w:t>$304.13 (15.3% FactSet)</w:t>
            </w:r>
          </w:p>
        </w:tc>
        <w:tc>
          <w:tcPr>
            <w:tcW w:w="1928" w:type="dxa"/>
            <w:tcBorders>
              <w:start w:val="single" w:sz="4" w:space="0" w:color="000000"/>
              <w:bottom w:val="single" w:sz="4" w:space="0" w:color="000000"/>
            </w:tcBorders>
          </w:tcPr>
          <w:p>
            <w:pPr>
              <w:pStyle w:val="TableContents"/>
              <w:bidi w:val="0"/>
              <w:jc w:val="start"/>
              <w:rPr/>
            </w:pPr>
            <w:r>
              <w:rPr/>
              <w:t>not stated; supports drawn at 270 / 237 / 207 / 163.94</w:t>
            </w:r>
          </w:p>
        </w:tc>
        <w:tc>
          <w:tcPr>
            <w:tcW w:w="1928" w:type="dxa"/>
            <w:tcBorders>
              <w:start w:val="single" w:sz="4" w:space="0" w:color="000000"/>
              <w:bottom w:val="single" w:sz="4" w:space="0" w:color="000000"/>
              <w:end w:val="single" w:sz="4" w:space="0" w:color="000000"/>
            </w:tcBorders>
          </w:tcPr>
          <w:p>
            <w:pPr>
              <w:pStyle w:val="TableContents"/>
              <w:bidi w:val="0"/>
              <w:jc w:val="start"/>
              <w:rPr/>
            </w:pPr>
            <w:r>
              <w:rPr/>
              <w:t xml:space="preserve">Trading </w:t>
            </w:r>
            <w:r>
              <w:rPr>
                <w:b/>
              </w:rPr>
              <w:t>above</w:t>
            </w:r>
            <w:r>
              <w:rPr/>
              <w:t xml:space="preserve"> the range — wait</w:t>
            </w:r>
          </w:p>
        </w:tc>
      </w:tr>
      <w:tr>
        <w:trPr/>
        <w:tc>
          <w:tcPr>
            <w:tcW w:w="1927" w:type="dxa"/>
            <w:tcBorders>
              <w:start w:val="single" w:sz="4" w:space="0" w:color="000000"/>
              <w:bottom w:val="single" w:sz="4" w:space="0" w:color="000000"/>
            </w:tcBorders>
          </w:tcPr>
          <w:p>
            <w:pPr>
              <w:pStyle w:val="TableContents"/>
              <w:bidi w:val="0"/>
              <w:jc w:val="start"/>
              <w:rPr/>
            </w:pPr>
            <w:r>
              <w:rPr>
                <w:b/>
              </w:rPr>
              <w:t>MSFT</w:t>
            </w:r>
          </w:p>
        </w:tc>
        <w:tc>
          <w:tcPr>
            <w:tcW w:w="1928" w:type="dxa"/>
            <w:tcBorders>
              <w:start w:val="single" w:sz="4" w:space="0" w:color="000000"/>
              <w:bottom w:val="single" w:sz="4" w:space="0" w:color="000000"/>
            </w:tcBorders>
          </w:tcPr>
          <w:p>
            <w:pPr>
              <w:pStyle w:val="TableContents"/>
              <w:bidi w:val="0"/>
              <w:jc w:val="start"/>
              <w:rPr/>
            </w:pPr>
            <w:r>
              <w:rPr/>
              <w:t>$325 (growth halves after yr 5) / $337 (10.8% growth)</w:t>
            </w:r>
          </w:p>
        </w:tc>
        <w:tc>
          <w:tcPr>
            <w:tcW w:w="1927" w:type="dxa"/>
            <w:tcBorders>
              <w:start w:val="single" w:sz="4" w:space="0" w:color="000000"/>
              <w:bottom w:val="single" w:sz="4" w:space="0" w:color="000000"/>
            </w:tcBorders>
          </w:tcPr>
          <w:p>
            <w:pPr>
              <w:pStyle w:val="TableContents"/>
              <w:bidi w:val="0"/>
              <w:jc w:val="start"/>
              <w:rPr/>
            </w:pPr>
            <w:r>
              <w:rPr/>
              <w:t>$398 (13.12% growth)</w:t>
            </w:r>
          </w:p>
        </w:tc>
        <w:tc>
          <w:tcPr>
            <w:tcW w:w="1928" w:type="dxa"/>
            <w:tcBorders>
              <w:start w:val="single" w:sz="4" w:space="0" w:color="000000"/>
              <w:bottom w:val="single" w:sz="4" w:space="0" w:color="000000"/>
            </w:tcBorders>
          </w:tcPr>
          <w:p>
            <w:pPr>
              <w:pStyle w:val="TableContents"/>
              <w:bidi w:val="0"/>
              <w:jc w:val="start"/>
              <w:rPr/>
            </w:pPr>
            <w:r>
              <w:rPr>
                <w:b/>
              </w:rPr>
              <w:t>$310</w:t>
            </w:r>
          </w:p>
        </w:tc>
        <w:tc>
          <w:tcPr>
            <w:tcW w:w="1928" w:type="dxa"/>
            <w:tcBorders>
              <w:start w:val="single" w:sz="4" w:space="0" w:color="000000"/>
              <w:bottom w:val="single" w:sz="4" w:space="0" w:color="000000"/>
              <w:end w:val="single" w:sz="4" w:space="0" w:color="000000"/>
            </w:tcBorders>
          </w:tcPr>
          <w:p>
            <w:pPr>
              <w:pStyle w:val="TableContents"/>
              <w:bidi w:val="0"/>
              <w:jc w:val="start"/>
              <w:rPr/>
            </w:pPr>
            <w:r>
              <w:rPr>
                <w:b/>
              </w:rPr>
              <w:t>Below</w:t>
            </w:r>
            <w:r>
              <w:rPr/>
              <w:t xml:space="preserve"> even the pessimistic value → 22% undervalued vs base case</w:t>
            </w:r>
          </w:p>
        </w:tc>
      </w:tr>
      <w:tr>
        <w:trPr/>
        <w:tc>
          <w:tcPr>
            <w:tcW w:w="1927" w:type="dxa"/>
            <w:tcBorders>
              <w:start w:val="single" w:sz="4" w:space="0" w:color="000000"/>
              <w:bottom w:val="single" w:sz="4" w:space="0" w:color="000000"/>
            </w:tcBorders>
          </w:tcPr>
          <w:p>
            <w:pPr>
              <w:pStyle w:val="TableContents"/>
              <w:bidi w:val="0"/>
              <w:jc w:val="start"/>
              <w:rPr/>
            </w:pPr>
            <w:r>
              <w:rPr>
                <w:b/>
              </w:rPr>
              <w:t>AMZN</w:t>
            </w:r>
          </w:p>
        </w:tc>
        <w:tc>
          <w:tcPr>
            <w:tcW w:w="1928" w:type="dxa"/>
            <w:tcBorders>
              <w:start w:val="single" w:sz="4" w:space="0" w:color="000000"/>
              <w:bottom w:val="single" w:sz="4" w:space="0" w:color="000000"/>
            </w:tcBorders>
          </w:tcPr>
          <w:p>
            <w:pPr>
              <w:pStyle w:val="TableContents"/>
              <w:bidi w:val="0"/>
              <w:jc w:val="start"/>
              <w:rPr/>
            </w:pPr>
            <w:r>
              <w:rPr/>
              <w:t>$3,312 (30% growth)</w:t>
            </w:r>
          </w:p>
        </w:tc>
        <w:tc>
          <w:tcPr>
            <w:tcW w:w="1927" w:type="dxa"/>
            <w:tcBorders>
              <w:start w:val="single" w:sz="4" w:space="0" w:color="000000"/>
              <w:bottom w:val="single" w:sz="4" w:space="0" w:color="000000"/>
            </w:tcBorders>
          </w:tcPr>
          <w:p>
            <w:pPr>
              <w:pStyle w:val="TableContents"/>
              <w:bidi w:val="0"/>
              <w:jc w:val="start"/>
              <w:rPr/>
            </w:pPr>
            <w:r>
              <w:rPr/>
              <w:t>$4,071 (36% growth)</w:t>
            </w:r>
          </w:p>
        </w:tc>
        <w:tc>
          <w:tcPr>
            <w:tcW w:w="1928" w:type="dxa"/>
            <w:tcBorders>
              <w:start w:val="single" w:sz="4" w:space="0" w:color="000000"/>
              <w:bottom w:val="single" w:sz="4" w:space="0" w:color="000000"/>
            </w:tcBorders>
          </w:tcPr>
          <w:p>
            <w:pPr>
              <w:pStyle w:val="TableContents"/>
              <w:bidi w:val="0"/>
              <w:jc w:val="start"/>
              <w:rPr/>
            </w:pPr>
            <w:r>
              <w:rPr>
                <w:b/>
              </w:rPr>
              <w:t>$3,242.76</w:t>
            </w:r>
          </w:p>
        </w:tc>
        <w:tc>
          <w:tcPr>
            <w:tcW w:w="1928" w:type="dxa"/>
            <w:tcBorders>
              <w:start w:val="single" w:sz="4" w:space="0" w:color="000000"/>
              <w:bottom w:val="single" w:sz="4" w:space="0" w:color="000000"/>
              <w:end w:val="single" w:sz="4" w:space="0" w:color="000000"/>
            </w:tcBorders>
          </w:tcPr>
          <w:p>
            <w:pPr>
              <w:pStyle w:val="TableContents"/>
              <w:bidi w:val="0"/>
              <w:jc w:val="start"/>
              <w:rPr/>
            </w:pPr>
            <w:r>
              <w:rPr>
                <w:b/>
              </w:rPr>
              <w:t>Below</w:t>
            </w:r>
            <w:r>
              <w:rPr/>
              <w:t xml:space="preserve"> the low end → 2.1% undervalued</w:t>
            </w:r>
          </w:p>
        </w:tc>
      </w:tr>
    </w:tbl>
    <w:p>
      <w:pPr>
        <w:pStyle w:val="BodyText"/>
        <w:bidi w:val="0"/>
        <w:jc w:val="start"/>
        <w:rPr/>
      </w:pPr>
      <w:r>
        <w:rPr/>
      </w:r>
    </w:p>
    <w:p>
      <w:pPr>
        <w:pStyle w:val="BodyText"/>
        <w:bidi w:val="0"/>
        <w:jc w:val="start"/>
        <w:rPr/>
      </w:pPr>
      <w:r>
        <w:rPr/>
        <w:t xml:space="preserve">"The main thing that can affect your valuation is your growth projections." Three ways to build the pessimistic case are demonstrated: (1) take the </w:t>
      </w:r>
      <w:r>
        <w:rPr>
          <w:b/>
        </w:rPr>
        <w:t>lowest</w:t>
      </w:r>
      <w:r>
        <w:rPr/>
        <w:t xml:space="preserve"> of the three source projections; (2) </w:t>
      </w:r>
      <w:r>
        <w:rPr>
          <w:b/>
        </w:rPr>
        <w:t>halve</w:t>
      </w:r>
      <w:r>
        <w:rPr/>
        <w:t xml:space="preserve"> the growth rate after year 5; (3) take the </w:t>
      </w:r>
      <w:r>
        <w:rPr>
          <w:b/>
        </w:rPr>
        <w:t>average</w:t>
      </w:r>
      <w:r>
        <w:rPr/>
        <w:t xml:space="preserve"> of all sources rather than the highest.</w:t>
      </w:r>
    </w:p>
    <w:p>
      <w:pPr>
        <w:pStyle w:val="Heading3"/>
        <w:bidi w:val="0"/>
        <w:ind w:hanging="0" w:start="0"/>
        <w:jc w:val="start"/>
        <w:rPr/>
      </w:pPr>
      <w:r>
        <w:rPr/>
        <w:t>E. Growth rates are triangulated from independent sources, never taken from one</w:t>
      </w:r>
    </w:p>
    <w:p>
      <w:pPr>
        <w:pStyle w:val="BodyText"/>
        <w:bidi w:val="0"/>
        <w:jc w:val="start"/>
        <w:rPr/>
      </w:pPr>
      <w:r>
        <w:rPr/>
        <w:t>Every case pulls 2–3 forward growth projections and reconciles them:</w:t>
      </w:r>
    </w:p>
    <w:tbl>
      <w:tblPr>
        <w:tblW w:w="5000" w:type="pct"/>
        <w:jc w:val="start"/>
        <w:tblInd w:w="-5" w:type="dxa"/>
        <w:tblLayout w:type="fixed"/>
        <w:tblCellMar>
          <w:top w:w="55" w:type="dxa"/>
          <w:start w:w="55" w:type="dxa"/>
          <w:bottom w:w="55" w:type="dxa"/>
          <w:end w:w="55" w:type="dxa"/>
        </w:tblCellMar>
      </w:tblPr>
      <w:tblGrid>
        <w:gridCol w:w="2409"/>
        <w:gridCol w:w="2410"/>
        <w:gridCol w:w="2409"/>
        <w:gridCol w:w="2410"/>
      </w:tblGrid>
      <w:tr>
        <w:trPr>
          <w:tblHeader w:val="true"/>
        </w:trPr>
        <w:tc>
          <w:tcPr>
            <w:tcW w:w="2409" w:type="dxa"/>
            <w:tcBorders>
              <w:top w:val="single" w:sz="4" w:space="0" w:color="000000"/>
              <w:start w:val="single" w:sz="4" w:space="0" w:color="000000"/>
              <w:bottom w:val="single" w:sz="4" w:space="0" w:color="000000"/>
            </w:tcBorders>
          </w:tcPr>
          <w:p>
            <w:pPr>
              <w:pStyle w:val="TableHeading"/>
              <w:bidi w:val="0"/>
              <w:jc w:val="start"/>
              <w:rPr/>
            </w:pPr>
            <w:r>
              <w:rPr/>
              <w:t>Company</w:t>
            </w:r>
          </w:p>
        </w:tc>
        <w:tc>
          <w:tcPr>
            <w:tcW w:w="2410" w:type="dxa"/>
            <w:tcBorders>
              <w:top w:val="single" w:sz="4" w:space="0" w:color="000000"/>
              <w:start w:val="single" w:sz="4" w:space="0" w:color="000000"/>
              <w:bottom w:val="single" w:sz="4" w:space="0" w:color="000000"/>
            </w:tcBorders>
          </w:tcPr>
          <w:p>
            <w:pPr>
              <w:pStyle w:val="TableHeading"/>
              <w:bidi w:val="0"/>
              <w:jc w:val="start"/>
              <w:rPr/>
            </w:pPr>
            <w:r>
              <w:rPr/>
              <w:t>Sources</w:t>
            </w:r>
          </w:p>
        </w:tc>
        <w:tc>
          <w:tcPr>
            <w:tcW w:w="2409" w:type="dxa"/>
            <w:tcBorders>
              <w:top w:val="single" w:sz="4" w:space="0" w:color="000000"/>
              <w:start w:val="single" w:sz="4" w:space="0" w:color="000000"/>
              <w:bottom w:val="single" w:sz="4" w:space="0" w:color="000000"/>
            </w:tcBorders>
          </w:tcPr>
          <w:p>
            <w:pPr>
              <w:pStyle w:val="TableHeading"/>
              <w:bidi w:val="0"/>
              <w:jc w:val="start"/>
              <w:rPr/>
            </w:pPr>
            <w:r>
              <w:rPr/>
              <w:t>Spread</w:t>
            </w:r>
          </w:p>
        </w:tc>
        <w:tc>
          <w:tcPr>
            <w:tcW w:w="2410"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Average used</w:t>
            </w:r>
          </w:p>
        </w:tc>
      </w:tr>
      <w:tr>
        <w:trPr/>
        <w:tc>
          <w:tcPr>
            <w:tcW w:w="2409" w:type="dxa"/>
            <w:tcBorders>
              <w:start w:val="single" w:sz="4" w:space="0" w:color="000000"/>
              <w:bottom w:val="single" w:sz="4" w:space="0" w:color="000000"/>
            </w:tcBorders>
          </w:tcPr>
          <w:p>
            <w:pPr>
              <w:pStyle w:val="TableContents"/>
              <w:bidi w:val="0"/>
              <w:jc w:val="start"/>
              <w:rPr/>
            </w:pPr>
            <w:r>
              <w:rPr/>
              <w:t>GOOGL</w:t>
            </w:r>
          </w:p>
        </w:tc>
        <w:tc>
          <w:tcPr>
            <w:tcW w:w="2410" w:type="dxa"/>
            <w:tcBorders>
              <w:start w:val="single" w:sz="4" w:space="0" w:color="000000"/>
              <w:bottom w:val="single" w:sz="4" w:space="0" w:color="000000"/>
            </w:tcBorders>
          </w:tcPr>
          <w:p>
            <w:pPr>
              <w:pStyle w:val="TableContents"/>
              <w:bidi w:val="0"/>
              <w:jc w:val="start"/>
              <w:rPr/>
            </w:pPr>
            <w:r>
              <w:rPr/>
              <w:t>FactSet 15.3 / FinViz 12.88 / Zacks 14.72</w:t>
            </w:r>
          </w:p>
        </w:tc>
        <w:tc>
          <w:tcPr>
            <w:tcW w:w="2409" w:type="dxa"/>
            <w:tcBorders>
              <w:start w:val="single" w:sz="4" w:space="0" w:color="000000"/>
              <w:bottom w:val="single" w:sz="4" w:space="0" w:color="000000"/>
            </w:tcBorders>
          </w:tcPr>
          <w:p>
            <w:pPr>
              <w:pStyle w:val="TableContents"/>
              <w:bidi w:val="0"/>
              <w:jc w:val="start"/>
              <w:rPr/>
            </w:pPr>
            <w:r>
              <w:rPr/>
              <w:t>2.4 pts</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14.3%</w:t>
            </w:r>
          </w:p>
        </w:tc>
      </w:tr>
      <w:tr>
        <w:trPr/>
        <w:tc>
          <w:tcPr>
            <w:tcW w:w="2409" w:type="dxa"/>
            <w:tcBorders>
              <w:start w:val="single" w:sz="4" w:space="0" w:color="000000"/>
              <w:bottom w:val="single" w:sz="4" w:space="0" w:color="000000"/>
            </w:tcBorders>
          </w:tcPr>
          <w:p>
            <w:pPr>
              <w:pStyle w:val="TableContents"/>
              <w:bidi w:val="0"/>
              <w:jc w:val="start"/>
              <w:rPr/>
            </w:pPr>
            <w:r>
              <w:rPr/>
              <w:t>MSFT</w:t>
            </w:r>
          </w:p>
        </w:tc>
        <w:tc>
          <w:tcPr>
            <w:tcW w:w="2410" w:type="dxa"/>
            <w:tcBorders>
              <w:start w:val="single" w:sz="4" w:space="0" w:color="000000"/>
              <w:bottom w:val="single" w:sz="4" w:space="0" w:color="000000"/>
            </w:tcBorders>
          </w:tcPr>
          <w:p>
            <w:pPr>
              <w:pStyle w:val="TableContents"/>
              <w:bidi w:val="0"/>
              <w:jc w:val="start"/>
              <w:rPr/>
            </w:pPr>
            <w:r>
              <w:rPr/>
              <w:t>FinViz 16.53 / Zacks 12.04 / Simply Wall St 10.8</w:t>
            </w:r>
          </w:p>
        </w:tc>
        <w:tc>
          <w:tcPr>
            <w:tcW w:w="2409" w:type="dxa"/>
            <w:tcBorders>
              <w:start w:val="single" w:sz="4" w:space="0" w:color="000000"/>
              <w:bottom w:val="single" w:sz="4" w:space="0" w:color="000000"/>
            </w:tcBorders>
          </w:tcPr>
          <w:p>
            <w:pPr>
              <w:pStyle w:val="TableContents"/>
              <w:bidi w:val="0"/>
              <w:jc w:val="start"/>
              <w:rPr/>
            </w:pPr>
            <w:r>
              <w:rPr/>
              <w:t>5.7 pts</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13.12%</w:t>
            </w:r>
          </w:p>
        </w:tc>
      </w:tr>
      <w:tr>
        <w:trPr/>
        <w:tc>
          <w:tcPr>
            <w:tcW w:w="2409" w:type="dxa"/>
            <w:tcBorders>
              <w:start w:val="single" w:sz="4" w:space="0" w:color="000000"/>
              <w:bottom w:val="single" w:sz="4" w:space="0" w:color="000000"/>
            </w:tcBorders>
          </w:tcPr>
          <w:p>
            <w:pPr>
              <w:pStyle w:val="TableContents"/>
              <w:bidi w:val="0"/>
              <w:jc w:val="start"/>
              <w:rPr/>
            </w:pPr>
            <w:r>
              <w:rPr/>
              <w:t>AMZN</w:t>
            </w:r>
          </w:p>
        </w:tc>
        <w:tc>
          <w:tcPr>
            <w:tcW w:w="2410" w:type="dxa"/>
            <w:tcBorders>
              <w:start w:val="single" w:sz="4" w:space="0" w:color="000000"/>
              <w:bottom w:val="single" w:sz="4" w:space="0" w:color="000000"/>
            </w:tcBorders>
          </w:tcPr>
          <w:p>
            <w:pPr>
              <w:pStyle w:val="TableContents"/>
              <w:bidi w:val="0"/>
              <w:jc w:val="start"/>
              <w:rPr/>
            </w:pPr>
            <w:r>
              <w:rPr/>
              <w:t>FinViz 36 / Zacks 24.68 / Simply Wall St 29.8</w:t>
            </w:r>
          </w:p>
        </w:tc>
        <w:tc>
          <w:tcPr>
            <w:tcW w:w="2409" w:type="dxa"/>
            <w:tcBorders>
              <w:start w:val="single" w:sz="4" w:space="0" w:color="000000"/>
              <w:bottom w:val="single" w:sz="4" w:space="0" w:color="000000"/>
            </w:tcBorders>
          </w:tcPr>
          <w:p>
            <w:pPr>
              <w:pStyle w:val="TableContents"/>
              <w:bidi w:val="0"/>
              <w:jc w:val="start"/>
              <w:rPr/>
            </w:pPr>
            <w:r>
              <w:rPr/>
              <w:t>11.3 pts</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~30%</w:t>
            </w:r>
          </w:p>
        </w:tc>
      </w:tr>
    </w:tbl>
    <w:p>
      <w:pPr>
        <w:pStyle w:val="BodyText"/>
        <w:bidi w:val="0"/>
        <w:jc w:val="start"/>
        <w:rPr/>
      </w:pPr>
      <w:r>
        <w:rPr/>
      </w:r>
    </w:p>
    <w:p>
      <w:pPr>
        <w:pStyle w:val="BodyText"/>
        <w:bidi w:val="0"/>
        <w:jc w:val="start"/>
        <w:rPr/>
      </w:pPr>
      <w:r>
        <w:rPr>
          <w:b/>
        </w:rPr>
        <w:t>Outlier discipline:</w:t>
      </w:r>
      <w:r>
        <w:rPr/>
        <w:t xml:space="preserve"> discard any source that is "way out there" (Adam's example: 16%, 14%, 3% → drop the 3%). Optimist → highest; pessimist → lowest; unsure → average.</w:t>
      </w:r>
    </w:p>
    <w:p>
      <w:pPr>
        <w:pStyle w:val="BodyText"/>
        <w:bidi w:val="0"/>
        <w:jc w:val="start"/>
        <w:rPr/>
      </w:pPr>
      <w:r>
        <w:rPr>
          <w:b/>
        </w:rPr>
        <w:t>Standing DCF conventions across all three:</w:t>
      </w:r>
    </w:p>
    <w:p>
      <w:pPr>
        <w:pStyle w:val="BodyText"/>
        <w:numPr>
          <w:ilvl w:val="0"/>
          <w:numId w:val="450"/>
        </w:numPr>
        <w:tabs>
          <w:tab w:val="clear" w:pos="709"/>
          <w:tab w:val="left" w:pos="709" w:leader="none"/>
        </w:tabs>
        <w:bidi w:val="0"/>
        <w:ind w:hanging="283" w:start="709"/>
        <w:jc w:val="start"/>
        <w:rPr/>
      </w:pPr>
      <w:r>
        <w:rPr/>
        <w:t xml:space="preserve">Next-5-year growth = first-5-year growth, </w:t>
      </w:r>
      <w:r>
        <w:rPr>
          <w:b/>
        </w:rPr>
        <w:t>capped at 15%</w:t>
      </w:r>
      <w:r>
        <w:rPr/>
        <w:t xml:space="preserve"> (binding for AMZN at 30% → 15%; non-binding for MSFT at 13.12% and GOOGL at 15.3%).</w:t>
      </w:r>
    </w:p>
    <w:p>
      <w:pPr>
        <w:pStyle w:val="BodyText"/>
        <w:numPr>
          <w:ilvl w:val="0"/>
          <w:numId w:val="450"/>
        </w:numPr>
        <w:tabs>
          <w:tab w:val="clear" w:pos="709"/>
          <w:tab w:val="left" w:pos="709" w:leader="none"/>
        </w:tabs>
        <w:bidi w:val="0"/>
        <w:ind w:hanging="283" w:start="709"/>
        <w:jc w:val="start"/>
        <w:rPr/>
      </w:pPr>
      <w:r>
        <w:rPr/>
        <w:t xml:space="preserve">Terminal 10-year growth = </w:t>
      </w:r>
      <w:r>
        <w:rPr>
          <w:b/>
        </w:rPr>
        <w:t>US GDP growth + 1% ≈ 4%</w:t>
      </w:r>
      <w:r>
        <w:rPr/>
        <w:t>.</w:t>
      </w:r>
    </w:p>
    <w:p>
      <w:pPr>
        <w:pStyle w:val="BodyText"/>
        <w:numPr>
          <w:ilvl w:val="0"/>
          <w:numId w:val="450"/>
        </w:numPr>
        <w:tabs>
          <w:tab w:val="clear" w:pos="709"/>
          <w:tab w:val="left" w:pos="709" w:leader="none"/>
        </w:tabs>
        <w:bidi w:val="0"/>
        <w:ind w:hanging="283" w:start="709"/>
        <w:jc w:val="start"/>
        <w:rPr/>
      </w:pPr>
      <w:r>
        <w:rPr/>
        <w:t>Discount rate = risk-free rate + (beta × market risk premium), read off a beta table that is periodically updated; precision is unnecessary — "doesn't have to be exact."</w:t>
      </w:r>
    </w:p>
    <w:p>
      <w:pPr>
        <w:pStyle w:val="BodyText"/>
        <w:numPr>
          <w:ilvl w:val="0"/>
          <w:numId w:val="450"/>
        </w:numPr>
        <w:tabs>
          <w:tab w:val="clear" w:pos="709"/>
          <w:tab w:val="left" w:pos="709" w:leader="none"/>
        </w:tabs>
        <w:bidi w:val="0"/>
        <w:ind w:hanging="283" w:start="709"/>
        <w:jc w:val="start"/>
        <w:rPr/>
      </w:pPr>
      <w:r>
        <w:rPr/>
        <w:t xml:space="preserve">Balance sheet items (total debt, cash &amp; short-term investments) always from the </w:t>
      </w:r>
      <w:r>
        <w:rPr>
          <w:b/>
        </w:rPr>
        <w:t>latest quarter</w:t>
      </w:r>
      <w:r>
        <w:rPr/>
        <w:t xml:space="preserve">; total debt = short-term + long-term debt, </w:t>
      </w:r>
      <w:r>
        <w:rPr>
          <w:b/>
        </w:rPr>
        <w:t>not</w:t>
      </w:r>
      <w:r>
        <w:rPr/>
        <w:t xml:space="preserve"> total liabilities.</w:t>
      </w:r>
    </w:p>
    <w:p>
      <w:pPr>
        <w:pStyle w:val="BodyText"/>
        <w:numPr>
          <w:ilvl w:val="0"/>
          <w:numId w:val="450"/>
        </w:numPr>
        <w:tabs>
          <w:tab w:val="clear" w:pos="709"/>
          <w:tab w:val="left" w:pos="709" w:leader="none"/>
        </w:tabs>
        <w:bidi w:val="0"/>
        <w:ind w:hanging="283" w:start="709"/>
        <w:jc w:val="start"/>
        <w:rPr/>
      </w:pPr>
      <w:r>
        <w:rPr/>
        <w:t xml:space="preserve">Always verify </w:t>
      </w:r>
      <w:r>
        <w:rPr>
          <w:b/>
        </w:rPr>
        <w:t>statement currency vs listing currency</w:t>
      </w:r>
      <w:r>
        <w:rPr/>
        <w:t xml:space="preserve"> and the exchange rate.</w:t>
      </w:r>
    </w:p>
    <w:p>
      <w:pPr>
        <w:pStyle w:val="Heading3"/>
        <w:numPr>
          <w:ilvl w:val="0"/>
          <w:numId w:val="0"/>
        </w:numPr>
        <w:bidi w:val="0"/>
        <w:ind w:hanging="0" w:start="0"/>
        <w:jc w:val="start"/>
        <w:rPr/>
      </w:pPr>
      <w:r>
        <w:rPr/>
        <w:t>F. Step 3 (moat) is the one step with no number — and the verdicts genuinely differ</w:t>
      </w:r>
    </w:p>
    <w:tbl>
      <w:tblPr>
        <w:tblW w:w="5000" w:type="pct"/>
        <w:jc w:val="start"/>
        <w:tblInd w:w="-5" w:type="dxa"/>
        <w:tblLayout w:type="fixed"/>
        <w:tblCellMar>
          <w:top w:w="55" w:type="dxa"/>
          <w:start w:w="55" w:type="dxa"/>
          <w:bottom w:w="55" w:type="dxa"/>
          <w:end w:w="55" w:type="dxa"/>
        </w:tblCellMar>
      </w:tblPr>
      <w:tblGrid>
        <w:gridCol w:w="3212"/>
        <w:gridCol w:w="3213"/>
        <w:gridCol w:w="3213"/>
      </w:tblGrid>
      <w:tr>
        <w:trPr>
          <w:tblHeader w:val="true"/>
        </w:trPr>
        <w:tc>
          <w:tcPr>
            <w:tcW w:w="3212" w:type="dxa"/>
            <w:tcBorders>
              <w:top w:val="single" w:sz="4" w:space="0" w:color="000000"/>
              <w:start w:val="single" w:sz="4" w:space="0" w:color="000000"/>
              <w:bottom w:val="single" w:sz="4" w:space="0" w:color="000000"/>
            </w:tcBorders>
          </w:tcPr>
          <w:p>
            <w:pPr>
              <w:pStyle w:val="TableHeading"/>
              <w:bidi w:val="0"/>
              <w:jc w:val="start"/>
              <w:rPr/>
            </w:pPr>
            <w:r>
              <w:rPr/>
              <w:t>Company</w:t>
            </w:r>
          </w:p>
        </w:tc>
        <w:tc>
          <w:tcPr>
            <w:tcW w:w="3213" w:type="dxa"/>
            <w:tcBorders>
              <w:top w:val="single" w:sz="4" w:space="0" w:color="000000"/>
              <w:start w:val="single" w:sz="4" w:space="0" w:color="000000"/>
              <w:bottom w:val="single" w:sz="4" w:space="0" w:color="000000"/>
            </w:tcBorders>
          </w:tcPr>
          <w:p>
            <w:pPr>
              <w:pStyle w:val="TableHeading"/>
              <w:bidi w:val="0"/>
              <w:jc w:val="start"/>
              <w:rPr/>
            </w:pPr>
            <w:r>
              <w:rPr/>
              <w:t>Moat verdict</w:t>
            </w:r>
          </w:p>
        </w:tc>
        <w:tc>
          <w:tcPr>
            <w:tcW w:w="3213"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Weak spots Adam concedes</w:t>
            </w:r>
          </w:p>
        </w:tc>
      </w:tr>
      <w:tr>
        <w:trPr/>
        <w:tc>
          <w:tcPr>
            <w:tcW w:w="3212" w:type="dxa"/>
            <w:tcBorders>
              <w:start w:val="single" w:sz="4" w:space="0" w:color="000000"/>
              <w:bottom w:val="single" w:sz="4" w:space="0" w:color="000000"/>
            </w:tcBorders>
          </w:tcPr>
          <w:p>
            <w:pPr>
              <w:pStyle w:val="TableContents"/>
              <w:bidi w:val="0"/>
              <w:jc w:val="start"/>
              <w:rPr/>
            </w:pPr>
            <w:r>
              <w:rPr/>
              <w:t>GOOGL</w:t>
            </w:r>
          </w:p>
        </w:tc>
        <w:tc>
          <w:tcPr>
            <w:tcW w:w="3213" w:type="dxa"/>
            <w:tcBorders>
              <w:start w:val="single" w:sz="4" w:space="0" w:color="000000"/>
              <w:bottom w:val="single" w:sz="4" w:space="0" w:color="000000"/>
            </w:tcBorders>
          </w:tcPr>
          <w:p>
            <w:pPr>
              <w:pStyle w:val="TableContents"/>
              <w:bidi w:val="0"/>
              <w:jc w:val="start"/>
              <w:rPr/>
            </w:pPr>
            <w:r>
              <w:rPr>
                <w:b/>
              </w:rPr>
              <w:t>9/10</w:t>
            </w:r>
            <w:r>
              <w:rPr/>
              <w:t xml:space="preserve"> — near-perfect across all five sources (network effect and barriers to entry both 10/10)</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Google Cloud is a "distant third" behind AWS and Azure</w:t>
            </w:r>
          </w:p>
        </w:tc>
      </w:tr>
      <w:tr>
        <w:trPr/>
        <w:tc>
          <w:tcPr>
            <w:tcW w:w="3212" w:type="dxa"/>
            <w:tcBorders>
              <w:start w:val="single" w:sz="4" w:space="0" w:color="000000"/>
              <w:bottom w:val="single" w:sz="4" w:space="0" w:color="000000"/>
            </w:tcBorders>
          </w:tcPr>
          <w:p>
            <w:pPr>
              <w:pStyle w:val="TableContents"/>
              <w:bidi w:val="0"/>
              <w:jc w:val="start"/>
              <w:rPr/>
            </w:pPr>
            <w:r>
              <w:rPr/>
              <w:t>MSFT</w:t>
            </w:r>
          </w:p>
        </w:tc>
        <w:tc>
          <w:tcPr>
            <w:tcW w:w="3213" w:type="dxa"/>
            <w:tcBorders>
              <w:start w:val="single" w:sz="4" w:space="0" w:color="000000"/>
              <w:bottom w:val="single" w:sz="4" w:space="0" w:color="000000"/>
            </w:tcBorders>
          </w:tcPr>
          <w:p>
            <w:pPr>
              <w:pStyle w:val="TableContents"/>
              <w:bidi w:val="0"/>
              <w:jc w:val="start"/>
              <w:rPr/>
            </w:pPr>
            <w:r>
              <w:rPr/>
              <w:t xml:space="preserve">Clean pass — </w:t>
            </w:r>
            <w:r>
              <w:rPr>
                <w:b/>
              </w:rPr>
              <w:t>three</w:t>
            </w:r>
            <w:r>
              <w:rPr/>
              <w:t xml:space="preserve"> of the five sources demonstrated (brand monopoly, switching costs, network effect)</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Barriers to entry and economies of scale not separately argued; Apple neck-and-neck on total return</w:t>
            </w:r>
          </w:p>
        </w:tc>
      </w:tr>
      <w:tr>
        <w:trPr/>
        <w:tc>
          <w:tcPr>
            <w:tcW w:w="3212" w:type="dxa"/>
            <w:tcBorders>
              <w:start w:val="single" w:sz="4" w:space="0" w:color="000000"/>
              <w:bottom w:val="single" w:sz="4" w:space="0" w:color="000000"/>
            </w:tcBorders>
          </w:tcPr>
          <w:p>
            <w:pPr>
              <w:pStyle w:val="TableContents"/>
              <w:bidi w:val="0"/>
              <w:jc w:val="start"/>
              <w:rPr/>
            </w:pPr>
            <w:r>
              <w:rPr/>
              <w:t>AMZN</w:t>
            </w:r>
          </w:p>
        </w:tc>
        <w:tc>
          <w:tcPr>
            <w:tcW w:w="3213" w:type="dxa"/>
            <w:tcBorders>
              <w:start w:val="single" w:sz="4" w:space="0" w:color="000000"/>
              <w:bottom w:val="single" w:sz="4" w:space="0" w:color="000000"/>
            </w:tcBorders>
          </w:tcPr>
          <w:p>
            <w:pPr>
              <w:pStyle w:val="TableContents"/>
              <w:bidi w:val="0"/>
              <w:jc w:val="start"/>
              <w:rPr/>
            </w:pPr>
            <w:r>
              <w:rPr/>
              <w:t xml:space="preserve">Weakest of the three — "at least </w:t>
            </w:r>
            <w:r>
              <w:rPr>
                <w:b/>
              </w:rPr>
              <w:t>two or three</w:t>
            </w:r>
            <w:r>
              <w:rPr/>
              <w:t>" sources</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b/>
              </w:rPr>
              <w:t>Network effect: "maybe not."</w:t>
            </w:r>
            <w:r>
              <w:rPr/>
              <w:t xml:space="preserve"> </w:t>
            </w:r>
            <w:r>
              <w:rPr>
                <w:b/>
              </w:rPr>
              <w:t>Switching costs: none for individual e-commerce shoppers</w:t>
            </w:r>
            <w:r>
              <w:rPr/>
              <w:t xml:space="preserve"> (you can switch to Alibaba or eBay tomorrow); only present in the cloud/enterprise segment</w:t>
            </w:r>
          </w:p>
        </w:tc>
      </w:tr>
    </w:tbl>
    <w:p>
      <w:pPr>
        <w:pStyle w:val="BodyText"/>
        <w:bidi w:val="0"/>
        <w:jc w:val="start"/>
        <w:rPr/>
      </w:pPr>
      <w:r>
        <w:rPr/>
      </w:r>
    </w:p>
    <w:p>
      <w:pPr>
        <w:pStyle w:val="BodyText"/>
        <w:bidi w:val="0"/>
        <w:jc w:val="start"/>
        <w:rPr/>
      </w:pPr>
      <w:r>
        <w:rPr/>
        <w:t xml:space="preserve">Two proxies for moat are taught: (i) </w:t>
      </w:r>
      <w:r>
        <w:rPr>
          <w:b/>
        </w:rPr>
        <w:t>a 10-year uptrend on monthly candles is a clue to a wide moat</w:t>
      </w:r>
      <w:r>
        <w:rPr/>
        <w:t xml:space="preserve">, "because only companies that have got no close competition are able to perform so well"; (ii) </w:t>
      </w:r>
      <w:r>
        <w:rPr>
          <w:b/>
        </w:rPr>
        <w:t>relative-strength comparison against named competitors on TradingView</w:t>
      </w:r>
      <w:r>
        <w:rPr/>
        <w:t xml:space="preserve"> — "obviously you want to invest in the strongest performer."</w:t>
      </w:r>
    </w:p>
    <w:p>
      <w:pPr>
        <w:pStyle w:val="BodyText"/>
        <w:bidi w:val="0"/>
        <w:jc w:val="start"/>
        <w:rPr/>
      </w:pPr>
      <w:r>
        <w:rPr/>
        <w:t>The prerequisite for judging a moat at all is being a customer: the case studies all open with Adam listing the products he personally uses. "When you invest in a stock where you don't use the product or the service, it's really hard to understand the company's competitive advantage."</w:t>
      </w:r>
    </w:p>
    <w:p>
      <w:pPr>
        <w:pStyle w:val="Heading3"/>
        <w:bidi w:val="0"/>
        <w:ind w:hanging="0" w:start="0"/>
        <w:jc w:val="start"/>
        <w:rPr/>
      </w:pPr>
      <w:r>
        <w:rPr/>
        <w:t>G. Metrics get waived when the business model doesn't support them</w:t>
      </w:r>
    </w:p>
    <w:p>
      <w:pPr>
        <w:pStyle w:val="BodyText"/>
        <w:numPr>
          <w:ilvl w:val="0"/>
          <w:numId w:val="451"/>
        </w:numPr>
        <w:tabs>
          <w:tab w:val="clear" w:pos="709"/>
          <w:tab w:val="left" w:pos="709" w:leader="none"/>
        </w:tabs>
        <w:bidi w:val="0"/>
        <w:ind w:hanging="283" w:start="709"/>
        <w:jc w:val="start"/>
        <w:rPr/>
      </w:pPr>
      <w:r>
        <w:rPr>
          <w:b/>
        </w:rPr>
        <w:t>Cash conversion cycle</w:t>
      </w:r>
      <w:r>
        <w:rPr/>
        <w:t xml:space="preserve"> is checked for all three but is only </w:t>
      </w:r>
      <w:r>
        <w:rPr>
          <w:i/>
        </w:rPr>
        <w:t>meaningful</w:t>
      </w:r>
      <w:r>
        <w:rPr/>
        <w:t xml:space="preserve"> for Amazon. For GOOGL ("doesn't sell a physical product") and MSFT ("sells software and services") Adam runs it "for practice purposes" and gives it no weight.</w:t>
      </w:r>
    </w:p>
    <w:p>
      <w:pPr>
        <w:pStyle w:val="BodyText"/>
        <w:numPr>
          <w:ilvl w:val="0"/>
          <w:numId w:val="451"/>
        </w:numPr>
        <w:tabs>
          <w:tab w:val="clear" w:pos="709"/>
          <w:tab w:val="left" w:pos="709" w:leader="none"/>
        </w:tabs>
        <w:bidi w:val="0"/>
        <w:ind w:hanging="283" w:start="709"/>
        <w:jc w:val="start"/>
        <w:rPr/>
      </w:pPr>
      <w:r>
        <w:rPr>
          <w:b/>
        </w:rPr>
        <w:t>ROE/ROIC dips are tolerated</w:t>
      </w:r>
      <w:r>
        <w:rPr/>
        <w:t xml:space="preserve"> if the latest reading and trend are strong — Amazon's ROIC fell below 12% in 2017 and 2019, "but last 12 months it's way above 12% and above the five-year average, so that's fine for me."</w:t>
      </w:r>
    </w:p>
    <w:p>
      <w:pPr>
        <w:pStyle w:val="BodyText"/>
        <w:numPr>
          <w:ilvl w:val="0"/>
          <w:numId w:val="451"/>
        </w:numPr>
        <w:tabs>
          <w:tab w:val="clear" w:pos="709"/>
          <w:tab w:val="left" w:pos="709" w:leader="none"/>
        </w:tabs>
        <w:bidi w:val="0"/>
        <w:ind w:hanging="283" w:start="709"/>
        <w:jc w:val="start"/>
        <w:rPr/>
      </w:pPr>
      <w:r>
        <w:rPr>
          <w:b/>
        </w:rPr>
        <w:t>A down year in net income is not disqualifying.</w:t>
      </w:r>
      <w:r>
        <w:rPr/>
        <w:t xml:space="preserve"> GOOGL: net income fell from 76 to 59 mid-window — "doesn't have to go up every single year." MSFT: a net income dip ~7 years back was traced to </w:t>
      </w:r>
      <w:r>
        <w:rPr>
          <w:b/>
        </w:rPr>
        <w:t>taxation changes</w:t>
      </w:r>
      <w:r>
        <w:rPr/>
        <w:t xml:space="preserve">, "not a core business expense… the actual business itself was still growing." The lesson is to </w:t>
      </w:r>
      <w:r>
        <w:rPr>
          <w:b/>
        </w:rPr>
        <w:t>go read the annual report and find the cause</w:t>
      </w:r>
      <w:r>
        <w:rPr/>
        <w:t xml:space="preserve"> rather than react to the shape of the chart.</w:t>
      </w:r>
    </w:p>
    <w:p>
      <w:pPr>
        <w:pStyle w:val="Heading3"/>
        <w:numPr>
          <w:ilvl w:val="0"/>
          <w:numId w:val="0"/>
        </w:numPr>
        <w:bidi w:val="0"/>
        <w:ind w:hanging="0" w:start="0"/>
        <w:jc w:val="start"/>
        <w:rPr/>
      </w:pPr>
      <w:r>
        <w:rPr/>
        <w:t>H. Step 7 is identical in structure every time</w:t>
      </w:r>
    </w:p>
    <w:p>
      <w:pPr>
        <w:pStyle w:val="BodyText"/>
        <w:bidi w:val="0"/>
        <w:jc w:val="start"/>
        <w:rPr/>
      </w:pPr>
      <w:r>
        <w:rPr/>
        <w:t xml:space="preserve">The chart routine never varies: </w:t>
      </w:r>
      <w:r>
        <w:rPr>
          <w:b/>
        </w:rPr>
        <w:t>10-year monthly → 5-year weekly → 1-year daily</w:t>
      </w:r>
      <w:r>
        <w:rPr/>
        <w:t>, log scale on, dividend adjustment off (that's only for comparing multiple stocks).</w:t>
      </w:r>
    </w:p>
    <w:p>
      <w:pPr>
        <w:pStyle w:val="BodyText"/>
        <w:numPr>
          <w:ilvl w:val="0"/>
          <w:numId w:val="452"/>
        </w:numPr>
        <w:tabs>
          <w:tab w:val="clear" w:pos="709"/>
          <w:tab w:val="left" w:pos="709" w:leader="none"/>
        </w:tabs>
        <w:bidi w:val="0"/>
        <w:ind w:hanging="283" w:start="709"/>
        <w:jc w:val="start"/>
        <w:rPr/>
      </w:pPr>
      <w:r>
        <w:rPr/>
        <w:t xml:space="preserve">Draw the </w:t>
      </w:r>
      <w:r>
        <w:rPr>
          <w:b/>
        </w:rPr>
        <w:t>intrinsic value as a green horizontal line</w:t>
      </w:r>
      <w:r>
        <w:rPr/>
        <w:t xml:space="preserve"> — usually the </w:t>
      </w:r>
      <w:r>
        <w:rPr>
          <w:i/>
        </w:rPr>
        <w:t>conservative</w:t>
      </w:r>
      <w:r>
        <w:rPr/>
        <w:t xml:space="preserve"> end of the range (GOOGL at 292, MSFT at 325).</w:t>
      </w:r>
    </w:p>
    <w:p>
      <w:pPr>
        <w:pStyle w:val="BodyText"/>
        <w:numPr>
          <w:ilvl w:val="0"/>
          <w:numId w:val="452"/>
        </w:numPr>
        <w:tabs>
          <w:tab w:val="clear" w:pos="709"/>
          <w:tab w:val="left" w:pos="709" w:leader="none"/>
        </w:tabs>
        <w:bidi w:val="0"/>
        <w:ind w:hanging="283" w:start="709"/>
        <w:jc w:val="start"/>
        <w:rPr/>
      </w:pPr>
      <w:r>
        <w:rPr/>
        <w:t xml:space="preserve">Identify supports where price has </w:t>
      </w:r>
      <w:r>
        <w:rPr>
          <w:b/>
        </w:rPr>
        <w:t>historically</w:t>
      </w:r>
      <w:r>
        <w:rPr/>
        <w:t xml:space="preserve"> bounced: moving averages (monthly 20 EMA / 50 MA; weekly 20 / 50 / 100 MA; daily 150 MA), previous swing lows, and previous resistance turned support. Confluence of two signals = a stronger level.</w:t>
      </w:r>
    </w:p>
    <w:p>
      <w:pPr>
        <w:pStyle w:val="BodyText"/>
        <w:numPr>
          <w:ilvl w:val="0"/>
          <w:numId w:val="452"/>
        </w:numPr>
        <w:tabs>
          <w:tab w:val="clear" w:pos="709"/>
          <w:tab w:val="left" w:pos="709" w:leader="none"/>
        </w:tabs>
        <w:bidi w:val="0"/>
        <w:ind w:hanging="283" w:start="709"/>
        <w:jc w:val="start"/>
        <w:rPr/>
      </w:pPr>
      <w:r>
        <w:rPr/>
        <w:t xml:space="preserve">Keep only supports that sit </w:t>
      </w:r>
      <w:r>
        <w:rPr>
          <w:b/>
        </w:rPr>
        <w:t>below the green line</w:t>
      </w:r>
      <w:r>
        <w:rPr/>
        <w:t xml:space="preserve">. This is the hard rule and it is what makes GOOGL a </w:t>
      </w:r>
      <w:r>
        <w:rPr>
          <w:i/>
        </w:rPr>
        <w:t>wait</w:t>
      </w:r>
      <w:r>
        <w:rPr/>
        <w:t xml:space="preserve"> rather than a </w:t>
      </w:r>
      <w:r>
        <w:rPr>
          <w:i/>
        </w:rPr>
        <w:t>buy</w:t>
      </w:r>
      <w:r>
        <w:rPr/>
        <w:t>: there was a perfectly valid daily support level, but it was above intrinsic value, so Adam refused it — "I'm not buying when it's undervalued with a margin of safety, I'm paying the fair price… I like to buy at least below the intrinsic value."</w:t>
      </w:r>
    </w:p>
    <w:p>
      <w:pPr>
        <w:pStyle w:val="BodyText"/>
        <w:numPr>
          <w:ilvl w:val="0"/>
          <w:numId w:val="452"/>
        </w:numPr>
        <w:tabs>
          <w:tab w:val="clear" w:pos="709"/>
          <w:tab w:val="left" w:pos="709" w:leader="none"/>
        </w:tabs>
        <w:bidi w:val="0"/>
        <w:ind w:hanging="283" w:start="709"/>
        <w:jc w:val="start"/>
        <w:rPr/>
      </w:pPr>
      <w:r>
        <w:rPr/>
        <w:t xml:space="preserve">Target </w:t>
      </w:r>
      <w:r>
        <w:rPr>
          <w:b/>
        </w:rPr>
        <w:t>4–5 support levels</w:t>
      </w:r>
      <w:r>
        <w:rPr/>
        <w:t xml:space="preserve"> per name and </w:t>
      </w:r>
      <w:r>
        <w:rPr>
          <w:b/>
        </w:rPr>
        <w:t>add in tranches</w:t>
      </w:r>
      <w:r>
        <w:rPr/>
        <w:t xml:space="preserve"> (quarters for MSFT, quarters or thirds for AMZN) until a </w:t>
      </w:r>
      <w:r>
        <w:rPr>
          <w:b/>
        </w:rPr>
        <w:t>full position</w:t>
      </w:r>
      <w:r>
        <w:rPr/>
        <w:t xml:space="preserve"> is reached, then stop adding and "let the position grow organically."</w:t>
      </w:r>
    </w:p>
    <w:p>
      <w:pPr>
        <w:pStyle w:val="BodyText"/>
        <w:bidi w:val="0"/>
        <w:jc w:val="start"/>
        <w:rPr/>
      </w:pPr>
      <w:r>
        <w:rPr/>
        <w:t>Supports found across the three:</w:t>
      </w:r>
    </w:p>
    <w:tbl>
      <w:tblPr>
        <w:tblW w:w="5000" w:type="pct"/>
        <w:jc w:val="start"/>
        <w:tblInd w:w="-5" w:type="dxa"/>
        <w:tblLayout w:type="fixed"/>
        <w:tblCellMar>
          <w:top w:w="55" w:type="dxa"/>
          <w:start w:w="55" w:type="dxa"/>
          <w:bottom w:w="55" w:type="dxa"/>
          <w:end w:w="55" w:type="dxa"/>
        </w:tblCellMar>
      </w:tblPr>
      <w:tblGrid>
        <w:gridCol w:w="4819"/>
        <w:gridCol w:w="4819"/>
      </w:tblGrid>
      <w:tr>
        <w:trPr>
          <w:tblHeader w:val="true"/>
        </w:trPr>
        <w:tc>
          <w:tcPr>
            <w:tcW w:w="4819" w:type="dxa"/>
            <w:tcBorders>
              <w:top w:val="single" w:sz="4" w:space="0" w:color="000000"/>
              <w:start w:val="single" w:sz="4" w:space="0" w:color="000000"/>
              <w:bottom w:val="single" w:sz="4" w:space="0" w:color="000000"/>
            </w:tcBorders>
          </w:tcPr>
          <w:p>
            <w:pPr>
              <w:pStyle w:val="TableHeading"/>
              <w:bidi w:val="0"/>
              <w:jc w:val="start"/>
              <w:rPr/>
            </w:pPr>
            <w:r>
              <w:rPr/>
              <w:t>Company</w:t>
            </w:r>
          </w:p>
        </w:tc>
        <w:tc>
          <w:tcPr>
            <w:tcW w:w="4819"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Support ladder</w:t>
            </w:r>
          </w:p>
        </w:tc>
      </w:tr>
      <w:tr>
        <w:trPr/>
        <w:tc>
          <w:tcPr>
            <w:tcW w:w="4819" w:type="dxa"/>
            <w:tcBorders>
              <w:start w:val="single" w:sz="4" w:space="0" w:color="000000"/>
              <w:bottom w:val="single" w:sz="4" w:space="0" w:color="000000"/>
            </w:tcBorders>
          </w:tcPr>
          <w:p>
            <w:pPr>
              <w:pStyle w:val="TableContents"/>
              <w:bidi w:val="0"/>
              <w:jc w:val="start"/>
              <w:rPr/>
            </w:pPr>
            <w:r>
              <w:rPr/>
              <w:t>GOOGL</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270 (swing low) · 237 · 207 (weekly 100 MA + swing high) · 163.94 (monthly 50 MA)</w:t>
            </w:r>
          </w:p>
        </w:tc>
      </w:tr>
      <w:tr>
        <w:trPr/>
        <w:tc>
          <w:tcPr>
            <w:tcW w:w="4819" w:type="dxa"/>
            <w:tcBorders>
              <w:start w:val="single" w:sz="4" w:space="0" w:color="000000"/>
              <w:bottom w:val="single" w:sz="4" w:space="0" w:color="000000"/>
            </w:tcBorders>
          </w:tcPr>
          <w:p>
            <w:pPr>
              <w:pStyle w:val="TableContents"/>
              <w:bidi w:val="0"/>
              <w:jc w:val="start"/>
              <w:rPr/>
            </w:pPr>
            <w:r>
              <w:rPr/>
              <w:t>MSFT</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316 (daily 150 MA + old resistance) · 305 (weekly 20 MA) · 283 (weekly 50 MA + swing low) · 262 (monthly 20 MA)</w:t>
            </w:r>
          </w:p>
        </w:tc>
      </w:tr>
      <w:tr>
        <w:trPr/>
        <w:tc>
          <w:tcPr>
            <w:tcW w:w="4819" w:type="dxa"/>
            <w:tcBorders>
              <w:start w:val="single" w:sz="4" w:space="0" w:color="000000"/>
              <w:bottom w:val="single" w:sz="4" w:space="0" w:color="000000"/>
            </w:tcBorders>
          </w:tcPr>
          <w:p>
            <w:pPr>
              <w:pStyle w:val="TableContents"/>
              <w:bidi w:val="0"/>
              <w:jc w:val="start"/>
              <w:rPr/>
            </w:pPr>
            <w:r>
              <w:rPr/>
              <w:t>AMZN</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3,351 (weekly 50 MA) · 3,198 (consolidation support) · 3,116 (monthly 20 EMA + weekly 100 MA) · 2,881 (swing lows)</w:t>
            </w:r>
          </w:p>
        </w:tc>
      </w:tr>
    </w:tbl>
    <w:p>
      <w:pPr>
        <w:pStyle w:val="BodyText"/>
        <w:bidi w:val="0"/>
        <w:jc w:val="start"/>
        <w:rPr/>
      </w:pPr>
      <w:r>
        <w:rPr/>
      </w:r>
    </w:p>
    <w:p>
      <w:pPr>
        <w:pStyle w:val="Heading3"/>
        <w:bidi w:val="0"/>
        <w:ind w:hanging="0" w:start="0"/>
        <w:jc w:val="start"/>
        <w:rPr/>
      </w:pPr>
      <w:r>
        <w:rPr/>
        <w:t>I. Supports are probabilities, not predictions — and are subjective</w:t>
      </w:r>
    </w:p>
    <w:p>
      <w:pPr>
        <w:pStyle w:val="BodyText"/>
        <w:bidi w:val="0"/>
        <w:jc w:val="start"/>
        <w:rPr/>
      </w:pPr>
      <w:r>
        <w:rPr/>
        <w:t>Stated twice, in near-identical language:</w:t>
      </w:r>
    </w:p>
    <w:p>
      <w:pPr>
        <w:pStyle w:val="BodyText"/>
        <w:numPr>
          <w:ilvl w:val="0"/>
          <w:numId w:val="453"/>
        </w:numPr>
        <w:tabs>
          <w:tab w:val="clear" w:pos="709"/>
          <w:tab w:val="left" w:pos="709" w:leader="none"/>
        </w:tabs>
        <w:bidi w:val="0"/>
        <w:ind w:hanging="283" w:start="709"/>
        <w:jc w:val="start"/>
        <w:rPr/>
      </w:pPr>
      <w:r>
        <w:rPr/>
        <w:t xml:space="preserve">On GOOGL's $163.94 monthly-50MA level: "Am I predicting that the price is gonna drop to 163.94? Of course not. I can't predict where the price will go in the short term. In fact, the price may never drop to that level." The reason to draw it is that "there's a </w:t>
      </w:r>
      <w:r>
        <w:rPr>
          <w:b/>
        </w:rPr>
        <w:t>high probability</w:t>
      </w:r>
      <w:r>
        <w:rPr/>
        <w:t xml:space="preserve"> that it would tend to bounce off," because that has been the stock's technical pattern.</w:t>
      </w:r>
    </w:p>
    <w:p>
      <w:pPr>
        <w:pStyle w:val="BodyText"/>
        <w:numPr>
          <w:ilvl w:val="0"/>
          <w:numId w:val="453"/>
        </w:numPr>
        <w:tabs>
          <w:tab w:val="clear" w:pos="709"/>
          <w:tab w:val="left" w:pos="709" w:leader="none"/>
        </w:tabs>
        <w:bidi w:val="0"/>
        <w:ind w:hanging="283" w:start="709"/>
        <w:jc w:val="start"/>
        <w:rPr/>
      </w:pPr>
      <w:r>
        <w:rPr/>
        <w:t xml:space="preserve">On MSFT's $262 level: waiting </w:t>
      </w:r>
      <w:r>
        <w:rPr>
          <w:i/>
        </w:rPr>
        <w:t>only</w:t>
      </w:r>
      <w:r>
        <w:rPr/>
        <w:t xml:space="preserve"> for the deepest support "may [mean you] buy maybe once every few years." Since the stock was already undervalued at $310, "we can start buying now."</w:t>
      </w:r>
    </w:p>
    <w:p>
      <w:pPr>
        <w:pStyle w:val="BodyText"/>
        <w:numPr>
          <w:ilvl w:val="0"/>
          <w:numId w:val="453"/>
        </w:numPr>
        <w:tabs>
          <w:tab w:val="clear" w:pos="709"/>
          <w:tab w:val="left" w:pos="709" w:leader="none"/>
        </w:tabs>
        <w:bidi w:val="0"/>
        <w:ind w:hanging="283" w:start="709"/>
        <w:jc w:val="start"/>
        <w:rPr/>
      </w:pPr>
      <w:r>
        <w:rPr/>
        <w:t>And explicitly: "</w:t>
      </w:r>
      <w:r>
        <w:rPr>
          <w:b/>
        </w:rPr>
        <w:t>Support levels can be subjective.</w:t>
      </w:r>
      <w:r>
        <w:rPr/>
        <w:t xml:space="preserve"> You can have two different investors looking at the charts and they identify different support levels."</w:t>
      </w:r>
    </w:p>
    <w:p>
      <w:pPr>
        <w:pStyle w:val="Heading3"/>
        <w:numPr>
          <w:ilvl w:val="0"/>
          <w:numId w:val="0"/>
        </w:numPr>
        <w:bidi w:val="0"/>
        <w:ind w:hanging="0" w:start="0"/>
        <w:jc w:val="start"/>
        <w:rPr/>
      </w:pPr>
      <w:r>
        <w:rPr/>
        <w:t>J. A short-term downtrend in a great company is not a sell signal</w:t>
      </w:r>
    </w:p>
    <w:p>
      <w:pPr>
        <w:pStyle w:val="BodyText"/>
        <w:bidi w:val="0"/>
        <w:jc w:val="start"/>
        <w:rPr/>
      </w:pPr>
      <w:r>
        <w:rPr/>
        <w:t xml:space="preserve">The GOOGL case ends with the stock entering "the early stages of a short-term downtrend" while Adam holds a multi-year position. "Is this a reason for me to sell Alphabet? No, of course not. Why? It's a great company. In the long run, it will always go higher, because it doesn't go up in a straight line." The response to weakness in a business that still passes steps 1–5 is to </w:t>
      </w:r>
      <w:r>
        <w:rPr>
          <w:b/>
        </w:rPr>
        <w:t>add at the next support below intrinsic value</w:t>
      </w:r>
      <w:r>
        <w:rPr/>
        <w:t>, not to exit.</w:t>
      </w:r>
    </w:p>
    <w:p>
      <w:pPr>
        <w:pStyle w:val="Heading3"/>
        <w:bidi w:val="0"/>
        <w:ind w:hanging="0" w:start="0"/>
        <w:jc w:val="start"/>
        <w:rPr/>
      </w:pPr>
      <w:r>
        <w:rPr/>
        <w:t>K. Effort calibration</w:t>
      </w:r>
    </w:p>
    <w:p>
      <w:pPr>
        <w:pStyle w:val="BodyText"/>
        <w:numPr>
          <w:ilvl w:val="0"/>
          <w:numId w:val="454"/>
        </w:numPr>
        <w:tabs>
          <w:tab w:val="clear" w:pos="709"/>
          <w:tab w:val="left" w:pos="709" w:leader="none"/>
        </w:tabs>
        <w:bidi w:val="0"/>
        <w:ind w:hanging="283" w:start="709"/>
        <w:jc w:val="start"/>
        <w:rPr/>
      </w:pPr>
      <w:r>
        <w:rPr/>
        <w:t xml:space="preserve">The 5-step business analysis is a </w:t>
      </w:r>
      <w:r>
        <w:rPr>
          <w:b/>
        </w:rPr>
        <w:t>once-a-year</w:t>
      </w:r>
      <w:r>
        <w:rPr/>
        <w:t xml:space="preserve"> job at most — quality does not decay quickly.</w:t>
      </w:r>
    </w:p>
    <w:p>
      <w:pPr>
        <w:pStyle w:val="BodyText"/>
        <w:numPr>
          <w:ilvl w:val="0"/>
          <w:numId w:val="454"/>
        </w:numPr>
        <w:tabs>
          <w:tab w:val="clear" w:pos="709"/>
          <w:tab w:val="left" w:pos="709" w:leader="none"/>
        </w:tabs>
        <w:bidi w:val="0"/>
        <w:ind w:hanging="283" w:start="709"/>
        <w:jc w:val="start"/>
        <w:rPr/>
      </w:pPr>
      <w:r>
        <w:rPr/>
        <w:t xml:space="preserve">Tooling can substitute for effort at a cost in precision: StockOracle's </w:t>
      </w:r>
      <w:r>
        <w:rPr>
          <w:b/>
        </w:rPr>
        <w:t>Oracle Value ($294 for GOOGL)</w:t>
      </w:r>
      <w:r>
        <w:rPr/>
        <w:t xml:space="preserve"> lands close to the midpoint of the manually-derived $292–$304 range. "If you're very lazy, then just look at the Oracle Value."</w:t>
      </w:r>
    </w:p>
    <w:p>
      <w:pPr>
        <w:pStyle w:val="BodyText"/>
        <w:numPr>
          <w:ilvl w:val="0"/>
          <w:numId w:val="454"/>
        </w:numPr>
        <w:tabs>
          <w:tab w:val="clear" w:pos="709"/>
          <w:tab w:val="left" w:pos="709" w:leader="none"/>
        </w:tabs>
        <w:bidi w:val="0"/>
        <w:ind w:hanging="283" w:start="709"/>
        <w:jc w:val="start"/>
        <w:rPr/>
      </w:pPr>
      <w:r>
        <w:rPr/>
        <w:t xml:space="preserve">Third-party valuations (Morningstar's fair value) are worth consulting as a </w:t>
      </w:r>
      <w:r>
        <w:rPr>
          <w:b/>
        </w:rPr>
        <w:t>sanity check on your own conservatism</w:t>
      </w:r>
      <w:r>
        <w:rPr/>
        <w:t>, not as a substitute — Adam's read is that Morningstar runs optimistic relative to him, so agreement from them on a cheap price increases his comfort.</w:t>
      </w:r>
    </w:p>
    <w:p>
      <w:pPr>
        <w:pStyle w:val="BodyText"/>
        <w:numPr>
          <w:ilvl w:val="0"/>
          <w:numId w:val="454"/>
        </w:numPr>
        <w:tabs>
          <w:tab w:val="clear" w:pos="709"/>
          <w:tab w:val="left" w:pos="709" w:leader="none"/>
        </w:tabs>
        <w:bidi w:val="0"/>
        <w:ind w:hanging="283" w:start="709"/>
        <w:jc w:val="start"/>
        <w:rPr/>
      </w:pPr>
      <w:r>
        <w:rPr/>
        <w:t>The justification for the whole exercise: "You are buying a piece of the business… Because once you buy a great business, you have no more worries. In the short term, the price may go up, it may go down. You don't care, because over time the business will keep growing in value, and the share price will be a lot higher over time."</w:t>
      </w:r>
    </w:p>
    <w:p>
      <w:pPr>
        <w:pStyle w:val="HorizontalLine"/>
        <w:bidi w:val="0"/>
        <w:jc w:val="start"/>
        <w:rPr/>
      </w:pPr>
      <w:r>
        <w:rPr/>
      </w:r>
    </w:p>
    <w:p>
      <w:pPr>
        <w:pStyle w:val="Heading1"/>
        <w:bidi w:val="0"/>
        <w:ind w:hanging="0" w:start="0"/>
        <w:jc w:val="start"/>
        <w:rPr/>
      </w:pPr>
      <w:r>
        <w:rPr/>
        <w:t>Part VIII — Portfolio Construction</w:t>
      </w:r>
    </w:p>
    <w:p>
      <w:pPr>
        <w:pStyle w:val="Heading2"/>
        <w:bidi w:val="0"/>
        <w:ind w:hanging="0" w:start="0"/>
        <w:jc w:val="start"/>
        <w:rPr/>
      </w:pPr>
      <w:r>
        <w:rPr/>
        <w:t>Lesson 8 — Portfolio Construction (Building a Winning Portfolio)</w:t>
      </w:r>
    </w:p>
    <w:p>
      <w:pPr>
        <w:pStyle w:val="BodyText"/>
        <w:bidi w:val="0"/>
        <w:jc w:val="start"/>
        <w:rPr/>
      </w:pPr>
      <w:r>
        <w:rPr>
          <w:b/>
        </w:rPr>
        <w:t>Source videos:</w:t>
      </w:r>
      <w:r>
        <w:rPr/>
        <w:t xml:space="preserve"> 60 (How to Diversify), 61 (Favourite Sectors), 62 (Dividend &amp; Predictable Stocks), 63 (Growth Stocks &amp; More), 64 (Maximizing Portfolio Returns)</w:t>
      </w:r>
    </w:p>
    <w:p>
      <w:pPr>
        <w:pStyle w:val="HorizontalLine"/>
        <w:bidi w:val="0"/>
        <w:jc w:val="start"/>
        <w:rPr/>
      </w:pPr>
      <w:r>
        <w:rPr/>
      </w:r>
    </w:p>
    <w:p>
      <w:pPr>
        <w:pStyle w:val="Heading3"/>
        <w:bidi w:val="0"/>
        <w:ind w:hanging="0" w:start="0"/>
        <w:jc w:val="start"/>
        <w:rPr/>
      </w:pPr>
      <w:r>
        <w:rPr/>
        <w:t>1. Where This Lesson Sits in the VMI Process</w:t>
      </w:r>
    </w:p>
    <w:p>
      <w:pPr>
        <w:pStyle w:val="BodyText"/>
        <w:bidi w:val="0"/>
        <w:jc w:val="start"/>
        <w:rPr/>
      </w:pPr>
      <w:r>
        <w:rPr/>
        <w:t>The three decisions of investing, in order:</w:t>
      </w:r>
    </w:p>
    <w:p>
      <w:pPr>
        <w:pStyle w:val="BodyText"/>
        <w:numPr>
          <w:ilvl w:val="0"/>
          <w:numId w:val="455"/>
        </w:numPr>
        <w:tabs>
          <w:tab w:val="clear" w:pos="709"/>
          <w:tab w:val="left" w:pos="709" w:leader="none"/>
        </w:tabs>
        <w:bidi w:val="0"/>
        <w:ind w:hanging="283" w:start="709"/>
        <w:jc w:val="start"/>
        <w:rPr/>
      </w:pPr>
      <w:r>
        <w:rPr>
          <w:b/>
        </w:rPr>
        <w:t>What to buy</w:t>
      </w:r>
      <w:r>
        <w:rPr/>
        <w:t xml:space="preserve"> — only stocks of great companies (5 steps of a great business).</w:t>
      </w:r>
    </w:p>
    <w:p>
      <w:pPr>
        <w:pStyle w:val="BodyText"/>
        <w:numPr>
          <w:ilvl w:val="0"/>
          <w:numId w:val="455"/>
        </w:numPr>
        <w:tabs>
          <w:tab w:val="clear" w:pos="709"/>
          <w:tab w:val="left" w:pos="709" w:leader="none"/>
        </w:tabs>
        <w:bidi w:val="0"/>
        <w:ind w:hanging="283" w:start="709"/>
        <w:jc w:val="start"/>
        <w:rPr/>
      </w:pPr>
      <w:r>
        <w:rPr>
          <w:b/>
        </w:rPr>
        <w:t>When to buy</w:t>
      </w:r>
      <w:r>
        <w:rPr/>
        <w:t xml:space="preserve"> — buy when price is below intrinsic value AND price has retraced to a level of support.</w:t>
      </w:r>
    </w:p>
    <w:p>
      <w:pPr>
        <w:pStyle w:val="BodyText"/>
        <w:numPr>
          <w:ilvl w:val="0"/>
          <w:numId w:val="455"/>
        </w:numPr>
        <w:tabs>
          <w:tab w:val="clear" w:pos="709"/>
          <w:tab w:val="left" w:pos="709" w:leader="none"/>
        </w:tabs>
        <w:bidi w:val="0"/>
        <w:ind w:hanging="283" w:start="709"/>
        <w:jc w:val="start"/>
        <w:rPr/>
      </w:pPr>
      <w:r>
        <w:rPr>
          <w:b/>
        </w:rPr>
        <w:t>How many shares to buy for each stock</w:t>
      </w:r>
      <w:r>
        <w:rPr/>
        <w:t xml:space="preserve"> — position sizing / portfolio construction. Described as "even more important at times" than the first two.</w:t>
      </w:r>
    </w:p>
    <w:p>
      <w:pPr>
        <w:pStyle w:val="BodyText"/>
        <w:bidi w:val="0"/>
        <w:jc w:val="start"/>
        <w:rPr/>
      </w:pPr>
      <w:r>
        <w:rPr/>
        <w:t>This lesson is entirely about #3.</w:t>
      </w:r>
    </w:p>
    <w:p>
      <w:pPr>
        <w:pStyle w:val="HorizontalLine"/>
        <w:bidi w:val="0"/>
        <w:jc w:val="start"/>
        <w:rPr/>
      </w:pPr>
      <w:r>
        <w:rPr/>
      </w:r>
    </w:p>
    <w:p>
      <w:pPr>
        <w:pStyle w:val="Heading3"/>
        <w:bidi w:val="0"/>
        <w:ind w:hanging="0" w:start="0"/>
        <w:jc w:val="start"/>
        <w:rPr/>
      </w:pPr>
      <w:r>
        <w:rPr/>
        <w:t>2. Why Diversify — The Core Argument</w:t>
      </w:r>
    </w:p>
    <w:p>
      <w:pPr>
        <w:pStyle w:val="Heading4"/>
        <w:bidi w:val="0"/>
        <w:ind w:hanging="0" w:start="0"/>
        <w:jc w:val="start"/>
        <w:rPr/>
      </w:pPr>
      <w:r>
        <w:rPr/>
        <w:t>2.1 The "shit can happen" principle</w:t>
      </w:r>
    </w:p>
    <w:p>
      <w:pPr>
        <w:pStyle w:val="BodyText"/>
        <w:numPr>
          <w:ilvl w:val="0"/>
          <w:numId w:val="456"/>
        </w:numPr>
        <w:tabs>
          <w:tab w:val="clear" w:pos="709"/>
          <w:tab w:val="left" w:pos="709" w:leader="none"/>
        </w:tabs>
        <w:bidi w:val="0"/>
        <w:ind w:hanging="283" w:start="709"/>
        <w:jc w:val="start"/>
        <w:rPr/>
      </w:pPr>
      <w:r>
        <w:rPr/>
        <w:t xml:space="preserve">No matter how great the business or how confident you are, </w:t>
      </w:r>
      <w:r>
        <w:rPr>
          <w:b/>
        </w:rPr>
        <w:t>never put all your eggs in one basket</w:t>
      </w:r>
      <w:r>
        <w:rPr/>
        <w:t>. Events occur that cannot be anticipated or predicted.</w:t>
      </w:r>
    </w:p>
    <w:p>
      <w:pPr>
        <w:pStyle w:val="BodyText"/>
        <w:numPr>
          <w:ilvl w:val="0"/>
          <w:numId w:val="456"/>
        </w:numPr>
        <w:tabs>
          <w:tab w:val="clear" w:pos="709"/>
          <w:tab w:val="left" w:pos="709" w:leader="none"/>
        </w:tabs>
        <w:bidi w:val="0"/>
        <w:ind w:hanging="283" w:start="709"/>
        <w:jc w:val="start"/>
        <w:rPr/>
      </w:pPr>
      <w:r>
        <w:rPr>
          <w:b/>
        </w:rPr>
        <w:t>Never go 100% into one stock</w:t>
      </w:r>
      <w:r>
        <w:rPr/>
        <w:t>, no matter how good the analysis.</w:t>
      </w:r>
    </w:p>
    <w:p>
      <w:pPr>
        <w:pStyle w:val="Heading4"/>
        <w:numPr>
          <w:ilvl w:val="0"/>
          <w:numId w:val="0"/>
        </w:numPr>
        <w:bidi w:val="0"/>
        <w:ind w:hanging="0" w:start="0"/>
        <w:jc w:val="start"/>
        <w:rPr/>
      </w:pPr>
      <w:r>
        <w:rPr/>
        <w:t>2.2 Case study — Boeing</w:t>
      </w:r>
    </w:p>
    <w:p>
      <w:pPr>
        <w:pStyle w:val="BodyText"/>
        <w:numPr>
          <w:ilvl w:val="0"/>
          <w:numId w:val="457"/>
        </w:numPr>
        <w:tabs>
          <w:tab w:val="clear" w:pos="709"/>
          <w:tab w:val="left" w:pos="709" w:leader="none"/>
        </w:tabs>
        <w:bidi w:val="0"/>
        <w:ind w:hanging="283" w:start="709"/>
        <w:jc w:val="start"/>
        <w:rPr/>
      </w:pPr>
      <w:r>
        <w:rPr/>
        <w:t>Boeing was a high-quality company passing all criteria of a great business.</w:t>
      </w:r>
    </w:p>
    <w:p>
      <w:pPr>
        <w:pStyle w:val="BodyText"/>
        <w:numPr>
          <w:ilvl w:val="0"/>
          <w:numId w:val="457"/>
        </w:numPr>
        <w:tabs>
          <w:tab w:val="clear" w:pos="709"/>
          <w:tab w:val="left" w:pos="709" w:leader="none"/>
        </w:tabs>
        <w:bidi w:val="0"/>
        <w:ind w:hanging="283" w:start="709"/>
        <w:jc w:val="start"/>
        <w:rPr/>
      </w:pPr>
      <w:r>
        <w:rPr/>
        <w:t xml:space="preserve">For years: revenue up, profits up, free cash flow up; effectively a </w:t>
      </w:r>
      <w:r>
        <w:rPr>
          <w:b/>
        </w:rPr>
        <w:t>duopoly with Airbus</w:t>
      </w:r>
      <w:r>
        <w:rPr/>
        <w:t>.</w:t>
      </w:r>
    </w:p>
    <w:p>
      <w:pPr>
        <w:pStyle w:val="BodyText"/>
        <w:numPr>
          <w:ilvl w:val="0"/>
          <w:numId w:val="457"/>
        </w:numPr>
        <w:tabs>
          <w:tab w:val="clear" w:pos="709"/>
          <w:tab w:val="left" w:pos="709" w:leader="none"/>
        </w:tabs>
        <w:bidi w:val="0"/>
        <w:spacing w:before="0" w:after="0"/>
        <w:ind w:hanging="283" w:start="709"/>
        <w:jc w:val="start"/>
        <w:rPr/>
      </w:pPr>
      <w:r>
        <w:rPr/>
        <w:t>2020 broke it:</w:t>
      </w:r>
    </w:p>
    <w:p>
      <w:pPr>
        <w:pStyle w:val="BodyText"/>
        <w:numPr>
          <w:ilvl w:val="1"/>
          <w:numId w:val="457"/>
        </w:numPr>
        <w:tabs>
          <w:tab w:val="clear" w:pos="709"/>
          <w:tab w:val="left" w:pos="1418" w:leader="none"/>
        </w:tabs>
        <w:bidi w:val="0"/>
        <w:ind w:hanging="283" w:start="1418"/>
        <w:jc w:val="start"/>
        <w:rPr/>
      </w:pPr>
      <w:r>
        <w:rPr/>
        <w:t>Two air crashes → the 787 fleet grounded.</w:t>
      </w:r>
    </w:p>
    <w:p>
      <w:pPr>
        <w:pStyle w:val="BodyText"/>
        <w:numPr>
          <w:ilvl w:val="1"/>
          <w:numId w:val="457"/>
        </w:numPr>
        <w:tabs>
          <w:tab w:val="clear" w:pos="709"/>
          <w:tab w:val="left" w:pos="1418" w:leader="none"/>
        </w:tabs>
        <w:bidi w:val="0"/>
        <w:ind w:hanging="283" w:start="1418"/>
        <w:jc w:val="start"/>
        <w:rPr/>
      </w:pPr>
      <w:r>
        <w:rPr/>
        <w:t>Global pandemic → borders closed, airlines couldn't fly, orders postponed/cancelled.</w:t>
      </w:r>
    </w:p>
    <w:p>
      <w:pPr>
        <w:pStyle w:val="BodyText"/>
        <w:numPr>
          <w:ilvl w:val="0"/>
          <w:numId w:val="457"/>
        </w:numPr>
        <w:tabs>
          <w:tab w:val="clear" w:pos="709"/>
          <w:tab w:val="left" w:pos="709" w:leader="none"/>
        </w:tabs>
        <w:bidi w:val="0"/>
        <w:ind w:hanging="283" w:start="709"/>
        <w:jc w:val="start"/>
        <w:rPr/>
      </w:pPr>
      <w:r>
        <w:rPr/>
        <w:t xml:space="preserve">Result: Boeing's profits went </w:t>
      </w:r>
      <w:r>
        <w:rPr>
          <w:b/>
        </w:rPr>
        <w:t>negative for the first time in its history</w:t>
      </w:r>
      <w:r>
        <w:rPr/>
        <w:t xml:space="preserve">; share price dropped </w:t>
      </w:r>
      <w:r>
        <w:rPr>
          <w:b/>
        </w:rPr>
        <w:t>80%</w:t>
      </w:r>
      <w:r>
        <w:rPr/>
        <w:t>.</w:t>
      </w:r>
    </w:p>
    <w:p>
      <w:pPr>
        <w:pStyle w:val="BodyText"/>
        <w:numPr>
          <w:ilvl w:val="0"/>
          <w:numId w:val="457"/>
        </w:numPr>
        <w:tabs>
          <w:tab w:val="clear" w:pos="709"/>
          <w:tab w:val="left" w:pos="709" w:leader="none"/>
        </w:tabs>
        <w:bidi w:val="0"/>
        <w:ind w:hanging="283" w:start="709"/>
        <w:jc w:val="start"/>
        <w:rPr/>
      </w:pPr>
      <w:r>
        <w:rPr/>
        <w:t>Adam owned Boeing before the pandemic and could not predict it. His Boeing position fell 80%.</w:t>
      </w:r>
    </w:p>
    <w:p>
      <w:pPr>
        <w:pStyle w:val="Heading4"/>
        <w:numPr>
          <w:ilvl w:val="0"/>
          <w:numId w:val="0"/>
        </w:numPr>
        <w:bidi w:val="0"/>
        <w:ind w:hanging="0" w:start="0"/>
        <w:jc w:val="start"/>
        <w:rPr/>
      </w:pPr>
      <w:r>
        <w:rPr/>
        <w:t>2.3 The payoff of diversification — actual portfolio results</w:t>
      </w:r>
    </w:p>
    <w:tbl>
      <w:tblPr>
        <w:tblW w:w="5000" w:type="pct"/>
        <w:jc w:val="start"/>
        <w:tblInd w:w="-5" w:type="dxa"/>
        <w:tblLayout w:type="fixed"/>
        <w:tblCellMar>
          <w:top w:w="55" w:type="dxa"/>
          <w:start w:w="55" w:type="dxa"/>
          <w:bottom w:w="55" w:type="dxa"/>
          <w:end w:w="55" w:type="dxa"/>
        </w:tblCellMar>
      </w:tblPr>
      <w:tblGrid>
        <w:gridCol w:w="2409"/>
        <w:gridCol w:w="2410"/>
        <w:gridCol w:w="2409"/>
        <w:gridCol w:w="2410"/>
      </w:tblGrid>
      <w:tr>
        <w:trPr>
          <w:tblHeader w:val="true"/>
        </w:trPr>
        <w:tc>
          <w:tcPr>
            <w:tcW w:w="2409" w:type="dxa"/>
            <w:tcBorders>
              <w:top w:val="single" w:sz="4" w:space="0" w:color="000000"/>
              <w:start w:val="single" w:sz="4" w:space="0" w:color="000000"/>
              <w:bottom w:val="single" w:sz="4" w:space="0" w:color="000000"/>
            </w:tcBorders>
          </w:tcPr>
          <w:p>
            <w:pPr>
              <w:pStyle w:val="TableHeading"/>
              <w:bidi w:val="0"/>
              <w:jc w:val="start"/>
              <w:rPr/>
            </w:pPr>
            <w:r>
              <w:rPr/>
              <w:t>Year</w:t>
            </w:r>
          </w:p>
        </w:tc>
        <w:tc>
          <w:tcPr>
            <w:tcW w:w="2410" w:type="dxa"/>
            <w:tcBorders>
              <w:top w:val="single" w:sz="4" w:space="0" w:color="000000"/>
              <w:start w:val="single" w:sz="4" w:space="0" w:color="000000"/>
              <w:bottom w:val="single" w:sz="4" w:space="0" w:color="000000"/>
            </w:tcBorders>
          </w:tcPr>
          <w:p>
            <w:pPr>
              <w:pStyle w:val="TableHeading"/>
              <w:bidi w:val="0"/>
              <w:jc w:val="start"/>
              <w:rPr/>
            </w:pPr>
            <w:r>
              <w:rPr/>
              <w:t>Damaged holdings owned</w:t>
            </w:r>
          </w:p>
        </w:tc>
        <w:tc>
          <w:tcPr>
            <w:tcW w:w="2409" w:type="dxa"/>
            <w:tcBorders>
              <w:top w:val="single" w:sz="4" w:space="0" w:color="000000"/>
              <w:start w:val="single" w:sz="4" w:space="0" w:color="000000"/>
              <w:bottom w:val="single" w:sz="4" w:space="0" w:color="000000"/>
            </w:tcBorders>
          </w:tcPr>
          <w:p>
            <w:pPr>
              <w:pStyle w:val="TableHeading"/>
              <w:bidi w:val="0"/>
              <w:jc w:val="start"/>
              <w:rPr/>
            </w:pPr>
            <w:r>
              <w:rPr/>
              <w:t>Portfolio 1 return</w:t>
            </w:r>
          </w:p>
        </w:tc>
        <w:tc>
          <w:tcPr>
            <w:tcW w:w="2410"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Portfolio 2 return</w:t>
            </w:r>
          </w:p>
        </w:tc>
      </w:tr>
      <w:tr>
        <w:trPr/>
        <w:tc>
          <w:tcPr>
            <w:tcW w:w="2409" w:type="dxa"/>
            <w:tcBorders>
              <w:start w:val="single" w:sz="4" w:space="0" w:color="000000"/>
              <w:bottom w:val="single" w:sz="4" w:space="0" w:color="000000"/>
            </w:tcBorders>
          </w:tcPr>
          <w:p>
            <w:pPr>
              <w:pStyle w:val="TableContents"/>
              <w:bidi w:val="0"/>
              <w:jc w:val="start"/>
              <w:rPr/>
            </w:pPr>
            <w:r>
              <w:rPr/>
              <w:t>2020</w:t>
            </w:r>
          </w:p>
        </w:tc>
        <w:tc>
          <w:tcPr>
            <w:tcW w:w="2410" w:type="dxa"/>
            <w:tcBorders>
              <w:start w:val="single" w:sz="4" w:space="0" w:color="000000"/>
              <w:bottom w:val="single" w:sz="4" w:space="0" w:color="000000"/>
            </w:tcBorders>
          </w:tcPr>
          <w:p>
            <w:pPr>
              <w:pStyle w:val="TableContents"/>
              <w:bidi w:val="0"/>
              <w:jc w:val="start"/>
              <w:rPr/>
            </w:pPr>
            <w:r>
              <w:rPr/>
              <w:t>Boeing (−80%)</w:t>
            </w:r>
          </w:p>
        </w:tc>
        <w:tc>
          <w:tcPr>
            <w:tcW w:w="2409" w:type="dxa"/>
            <w:tcBorders>
              <w:start w:val="single" w:sz="4" w:space="0" w:color="000000"/>
              <w:bottom w:val="single" w:sz="4" w:space="0" w:color="000000"/>
            </w:tcBorders>
          </w:tcPr>
          <w:p>
            <w:pPr>
              <w:pStyle w:val="TableContents"/>
              <w:bidi w:val="0"/>
              <w:jc w:val="start"/>
              <w:rPr/>
            </w:pPr>
            <w:r>
              <w:rPr>
                <w:b/>
              </w:rPr>
              <w:t>+44%</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b/>
              </w:rPr>
              <w:t>+41%</w:t>
            </w:r>
          </w:p>
        </w:tc>
      </w:tr>
      <w:tr>
        <w:trPr/>
        <w:tc>
          <w:tcPr>
            <w:tcW w:w="2409" w:type="dxa"/>
            <w:tcBorders>
              <w:start w:val="single" w:sz="4" w:space="0" w:color="000000"/>
              <w:bottom w:val="single" w:sz="4" w:space="0" w:color="000000"/>
            </w:tcBorders>
          </w:tcPr>
          <w:p>
            <w:pPr>
              <w:pStyle w:val="TableContents"/>
              <w:bidi w:val="0"/>
              <w:jc w:val="start"/>
              <w:rPr/>
            </w:pPr>
            <w:r>
              <w:rPr/>
              <w:t>2023</w:t>
            </w:r>
          </w:p>
        </w:tc>
        <w:tc>
          <w:tcPr>
            <w:tcW w:w="2410" w:type="dxa"/>
            <w:tcBorders>
              <w:start w:val="single" w:sz="4" w:space="0" w:color="000000"/>
              <w:bottom w:val="single" w:sz="4" w:space="0" w:color="000000"/>
            </w:tcBorders>
          </w:tcPr>
          <w:p>
            <w:pPr>
              <w:pStyle w:val="TableContents"/>
              <w:bidi w:val="0"/>
              <w:jc w:val="start"/>
              <w:rPr/>
            </w:pPr>
            <w:r>
              <w:rPr/>
              <w:t>Estee Lauder, Boston Beer, Disney, Alibaba (all "whacked")</w:t>
            </w:r>
          </w:p>
        </w:tc>
        <w:tc>
          <w:tcPr>
            <w:tcW w:w="2409" w:type="dxa"/>
            <w:tcBorders>
              <w:start w:val="single" w:sz="4" w:space="0" w:color="000000"/>
              <w:bottom w:val="single" w:sz="4" w:space="0" w:color="000000"/>
            </w:tcBorders>
          </w:tcPr>
          <w:p>
            <w:pPr>
              <w:pStyle w:val="TableContents"/>
              <w:bidi w:val="0"/>
              <w:jc w:val="start"/>
              <w:rPr/>
            </w:pPr>
            <w:r>
              <w:rPr>
                <w:b/>
              </w:rPr>
              <w:t>+48%</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b/>
              </w:rPr>
              <w:t>+43%</w:t>
            </w:r>
          </w:p>
        </w:tc>
      </w:tr>
    </w:tbl>
    <w:p>
      <w:pPr>
        <w:pStyle w:val="BodyText"/>
        <w:bidi w:val="0"/>
        <w:jc w:val="start"/>
        <w:rPr/>
      </w:pPr>
      <w:r>
        <w:rPr/>
      </w:r>
    </w:p>
    <w:p>
      <w:pPr>
        <w:pStyle w:val="BodyText"/>
        <w:numPr>
          <w:ilvl w:val="0"/>
          <w:numId w:val="458"/>
        </w:numPr>
        <w:tabs>
          <w:tab w:val="clear" w:pos="709"/>
          <w:tab w:val="left" w:pos="709" w:leader="none"/>
        </w:tabs>
        <w:bidi w:val="0"/>
        <w:ind w:hanging="283" w:start="709"/>
        <w:jc w:val="start"/>
        <w:rPr/>
      </w:pPr>
      <w:r>
        <w:rPr/>
        <w:t xml:space="preserve">2023 total gain across the two portfolios: </w:t>
      </w:r>
      <w:r>
        <w:rPr>
          <w:b/>
        </w:rPr>
        <w:t>US$2 million in profit</w:t>
      </w:r>
      <w:r>
        <w:rPr/>
        <w:t>, despite owning Estee Lauder, Disney, Boston Beer and Alibaba, all of which dropped hard.</w:t>
      </w:r>
    </w:p>
    <w:p>
      <w:pPr>
        <w:pStyle w:val="BodyText"/>
        <w:numPr>
          <w:ilvl w:val="0"/>
          <w:numId w:val="458"/>
        </w:numPr>
        <w:tabs>
          <w:tab w:val="clear" w:pos="709"/>
          <w:tab w:val="left" w:pos="709" w:leader="none"/>
        </w:tabs>
        <w:bidi w:val="0"/>
        <w:ind w:hanging="283" w:start="709"/>
        <w:jc w:val="start"/>
        <w:rPr/>
      </w:pPr>
      <w:r>
        <w:rPr/>
        <w:t xml:space="preserve">Contrast: people who bought Alibaba, Disney or PayPal </w:t>
      </w:r>
      <w:r>
        <w:rPr>
          <w:b/>
        </w:rPr>
        <w:t>all-in</w:t>
      </w:r>
      <w:r>
        <w:rPr/>
        <w:t xml:space="preserve"> lost heavily on the exact same stocks. The difference was diversification, not stock selection.</w:t>
      </w:r>
    </w:p>
    <w:p>
      <w:pPr>
        <w:pStyle w:val="BodyText"/>
        <w:numPr>
          <w:ilvl w:val="0"/>
          <w:numId w:val="458"/>
        </w:numPr>
        <w:tabs>
          <w:tab w:val="clear" w:pos="709"/>
          <w:tab w:val="left" w:pos="709" w:leader="none"/>
        </w:tabs>
        <w:bidi w:val="0"/>
        <w:ind w:hanging="283" w:start="709"/>
        <w:jc w:val="start"/>
        <w:rPr/>
      </w:pPr>
      <w:r>
        <w:rPr/>
        <w:t xml:space="preserve">2023 also cited in Lesson 61 as </w:t>
      </w:r>
      <w:r>
        <w:rPr>
          <w:b/>
        </w:rPr>
        <w:t>+45% portfolio vs. ~+24% S&amp;P 500</w:t>
      </w:r>
      <w:r>
        <w:rPr/>
        <w:t xml:space="preserve">; last 5 years </w:t>
      </w:r>
      <w:r>
        <w:rPr>
          <w:b/>
        </w:rPr>
        <w:t>+145% portfolio vs. +83% S&amp;P 500</w:t>
      </w:r>
      <w:r>
        <w:rPr/>
        <w:t>.</w:t>
      </w:r>
    </w:p>
    <w:p>
      <w:pPr>
        <w:pStyle w:val="Heading4"/>
        <w:numPr>
          <w:ilvl w:val="0"/>
          <w:numId w:val="0"/>
        </w:numPr>
        <w:bidi w:val="0"/>
        <w:ind w:hanging="0" w:start="0"/>
        <w:jc w:val="start"/>
        <w:rPr/>
      </w:pPr>
      <w:r>
        <w:rPr/>
        <w:t>2.4 The eight-engine aircraft analogy</w:t>
      </w:r>
    </w:p>
    <w:p>
      <w:pPr>
        <w:pStyle w:val="BodyText"/>
        <w:numPr>
          <w:ilvl w:val="0"/>
          <w:numId w:val="459"/>
        </w:numPr>
        <w:tabs>
          <w:tab w:val="clear" w:pos="709"/>
          <w:tab w:val="left" w:pos="709" w:leader="none"/>
        </w:tabs>
        <w:bidi w:val="0"/>
        <w:ind w:hanging="283" w:start="709"/>
        <w:jc w:val="start"/>
        <w:rPr/>
      </w:pPr>
      <w:r>
        <w:rPr/>
        <w:t xml:space="preserve">Would you fly on a plane with </w:t>
      </w:r>
      <w:r>
        <w:rPr>
          <w:b/>
        </w:rPr>
        <w:t>one</w:t>
      </w:r>
      <w:r>
        <w:rPr/>
        <w:t xml:space="preserve"> engine? No — even the highest quality Rolls-Royce engine can be knocked out by an unpredictable event (bird strike).</w:t>
      </w:r>
    </w:p>
    <w:p>
      <w:pPr>
        <w:pStyle w:val="BodyText"/>
        <w:numPr>
          <w:ilvl w:val="0"/>
          <w:numId w:val="459"/>
        </w:numPr>
        <w:tabs>
          <w:tab w:val="clear" w:pos="709"/>
          <w:tab w:val="left" w:pos="709" w:leader="none"/>
        </w:tabs>
        <w:bidi w:val="0"/>
        <w:ind w:hanging="283" w:start="709"/>
        <w:jc w:val="start"/>
        <w:rPr/>
      </w:pPr>
      <w:r>
        <w:rPr/>
        <w:t xml:space="preserve">A plane with </w:t>
      </w:r>
      <w:r>
        <w:rPr>
          <w:b/>
        </w:rPr>
        <w:t>eight Rolls-Royce engines</w:t>
      </w:r>
      <w:r>
        <w:rPr/>
        <w:t>: the probability of all eight failing simultaneously is "almost zero." Lose one or two, six remain to keep the plane flying.</w:t>
      </w:r>
    </w:p>
    <w:p>
      <w:pPr>
        <w:pStyle w:val="BodyText"/>
        <w:numPr>
          <w:ilvl w:val="0"/>
          <w:numId w:val="459"/>
        </w:numPr>
        <w:tabs>
          <w:tab w:val="clear" w:pos="709"/>
          <w:tab w:val="left" w:pos="709" w:leader="none"/>
        </w:tabs>
        <w:bidi w:val="0"/>
        <w:ind w:hanging="283" w:start="709"/>
        <w:jc w:val="start"/>
        <w:rPr/>
      </w:pPr>
      <w:r>
        <w:rPr/>
        <w:t>Portfolio equivalent: hold several great companies so one or two malfunctioning temporarily doesn't ground the portfolio.</w:t>
      </w:r>
    </w:p>
    <w:p>
      <w:pPr>
        <w:pStyle w:val="Heading4"/>
        <w:numPr>
          <w:ilvl w:val="0"/>
          <w:numId w:val="0"/>
        </w:numPr>
        <w:bidi w:val="0"/>
        <w:ind w:hanging="0" w:start="0"/>
        <w:jc w:val="start"/>
        <w:rPr/>
      </w:pPr>
      <w:r>
        <w:rPr/>
        <w:t>2.5 The objective is capital preservation, not maximum gain</w:t>
      </w:r>
    </w:p>
    <w:p>
      <w:pPr>
        <w:pStyle w:val="BodyText"/>
        <w:numPr>
          <w:ilvl w:val="0"/>
          <w:numId w:val="460"/>
        </w:numPr>
        <w:tabs>
          <w:tab w:val="clear" w:pos="709"/>
          <w:tab w:val="left" w:pos="709" w:leader="none"/>
        </w:tabs>
        <w:bidi w:val="0"/>
        <w:ind w:hanging="283" w:start="709"/>
        <w:jc w:val="start"/>
        <w:rPr/>
      </w:pPr>
      <w:r>
        <w:rPr/>
        <w:t xml:space="preserve">The most important thing is </w:t>
      </w:r>
      <w:r>
        <w:rPr>
          <w:b/>
        </w:rPr>
        <w:t>not</w:t>
      </w:r>
      <w:r>
        <w:rPr/>
        <w:t xml:space="preserve"> making the greatest gains — it is </w:t>
      </w:r>
      <w:r>
        <w:rPr>
          <w:b/>
        </w:rPr>
        <w:t>never losing money</w:t>
      </w:r>
      <w:r>
        <w:rPr/>
        <w:t xml:space="preserve"> in the portfolio.</w:t>
      </w:r>
    </w:p>
    <w:p>
      <w:pPr>
        <w:pStyle w:val="BodyText"/>
        <w:numPr>
          <w:ilvl w:val="0"/>
          <w:numId w:val="460"/>
        </w:numPr>
        <w:tabs>
          <w:tab w:val="clear" w:pos="709"/>
          <w:tab w:val="left" w:pos="709" w:leader="none"/>
        </w:tabs>
        <w:bidi w:val="0"/>
        <w:ind w:hanging="283" w:start="709"/>
        <w:jc w:val="start"/>
        <w:rPr/>
      </w:pPr>
      <w:r>
        <w:rPr/>
        <w:t>Short term the portfolio will go up and down; over 2, 3, 4 years you never want to be down.</w:t>
      </w:r>
    </w:p>
    <w:p>
      <w:pPr>
        <w:pStyle w:val="BodyText"/>
        <w:numPr>
          <w:ilvl w:val="0"/>
          <w:numId w:val="460"/>
        </w:numPr>
        <w:tabs>
          <w:tab w:val="clear" w:pos="709"/>
          <w:tab w:val="left" w:pos="709" w:leader="none"/>
        </w:tabs>
        <w:bidi w:val="0"/>
        <w:ind w:hanging="283" w:start="709"/>
        <w:jc w:val="start"/>
        <w:rPr/>
      </w:pPr>
      <w:r>
        <w:rPr/>
        <w:t xml:space="preserve">Buffett-sourced principle stated in the lesson: if you buy a </w:t>
      </w:r>
      <w:r>
        <w:rPr>
          <w:b/>
        </w:rPr>
        <w:t>group of great companies</w:t>
      </w:r>
      <w:r>
        <w:rPr/>
        <w:t xml:space="preserve"> and buy them </w:t>
      </w:r>
      <w:r>
        <w:rPr>
          <w:b/>
        </w:rPr>
        <w:t>for less than what they are worth</w:t>
      </w:r>
      <w:r>
        <w:rPr/>
        <w:t xml:space="preserve">, it is </w:t>
      </w:r>
      <w:r>
        <w:rPr>
          <w:b/>
        </w:rPr>
        <w:t>impossible to lose money</w:t>
      </w:r>
      <w:r>
        <w:rPr/>
        <w:t xml:space="preserve"> over a period of time.</w:t>
      </w:r>
    </w:p>
    <w:p>
      <w:pPr>
        <w:pStyle w:val="BodyText"/>
        <w:numPr>
          <w:ilvl w:val="0"/>
          <w:numId w:val="460"/>
        </w:numPr>
        <w:tabs>
          <w:tab w:val="clear" w:pos="709"/>
          <w:tab w:val="left" w:pos="709" w:leader="none"/>
        </w:tabs>
        <w:bidi w:val="0"/>
        <w:ind w:hanging="283" w:start="709"/>
        <w:jc w:val="start"/>
        <w:rPr/>
      </w:pPr>
      <w:r>
        <w:rPr/>
        <w:t xml:space="preserve">Goal restated: double-digit returns achieved in a </w:t>
      </w:r>
      <w:r>
        <w:rPr>
          <w:b/>
        </w:rPr>
        <w:t>very low risk</w:t>
      </w:r>
      <w:r>
        <w:rPr/>
        <w:t xml:space="preserve"> way — described as effectively "zero risk" when done collectively over time.</w:t>
      </w:r>
    </w:p>
    <w:p>
      <w:pPr>
        <w:pStyle w:val="BodyText"/>
        <w:numPr>
          <w:ilvl w:val="0"/>
          <w:numId w:val="460"/>
        </w:numPr>
        <w:tabs>
          <w:tab w:val="clear" w:pos="709"/>
          <w:tab w:val="left" w:pos="709" w:leader="none"/>
        </w:tabs>
        <w:bidi w:val="0"/>
        <w:ind w:hanging="283" w:start="709"/>
        <w:jc w:val="start"/>
        <w:rPr/>
      </w:pPr>
      <w:r>
        <w:rPr/>
        <w:t xml:space="preserve">Formal aim of diversification: </w:t>
      </w:r>
      <w:r>
        <w:rPr>
          <w:b/>
        </w:rPr>
        <w:t>low volatility AND high returns</w:t>
      </w:r>
      <w:r>
        <w:rPr/>
        <w:t>.</w:t>
      </w:r>
    </w:p>
    <w:p>
      <w:pPr>
        <w:pStyle w:val="Heading4"/>
        <w:numPr>
          <w:ilvl w:val="0"/>
          <w:numId w:val="0"/>
        </w:numPr>
        <w:bidi w:val="0"/>
        <w:ind w:hanging="0" w:start="0"/>
        <w:jc w:val="start"/>
        <w:rPr/>
      </w:pPr>
      <w:r>
        <w:rPr/>
        <w:t>2.6 There is no sure-win stock</w:t>
      </w:r>
    </w:p>
    <w:p>
      <w:pPr>
        <w:pStyle w:val="BodyText"/>
        <w:numPr>
          <w:ilvl w:val="0"/>
          <w:numId w:val="461"/>
        </w:numPr>
        <w:tabs>
          <w:tab w:val="clear" w:pos="709"/>
          <w:tab w:val="left" w:pos="709" w:leader="none"/>
        </w:tabs>
        <w:bidi w:val="0"/>
        <w:spacing w:before="0" w:after="0"/>
        <w:ind w:hanging="283" w:start="709"/>
        <w:jc w:val="start"/>
        <w:rPr/>
      </w:pPr>
      <w:r>
        <w:rPr/>
        <w:t>Even Warren Buffett, running Berkshire Hathaway for 58 years, made bad investments:</w:t>
      </w:r>
    </w:p>
    <w:p>
      <w:pPr>
        <w:pStyle w:val="BodyText"/>
        <w:numPr>
          <w:ilvl w:val="1"/>
          <w:numId w:val="461"/>
        </w:numPr>
        <w:tabs>
          <w:tab w:val="clear" w:pos="709"/>
          <w:tab w:val="left" w:pos="1418" w:leader="none"/>
        </w:tabs>
        <w:bidi w:val="0"/>
        <w:ind w:hanging="283" w:start="1418"/>
        <w:jc w:val="start"/>
        <w:rPr/>
      </w:pPr>
      <w:r>
        <w:rPr>
          <w:b/>
        </w:rPr>
        <w:t>Airline stocks</w:t>
      </w:r>
      <w:r>
        <w:rPr/>
        <w:t xml:space="preserve"> — lost money.</w:t>
      </w:r>
    </w:p>
    <w:p>
      <w:pPr>
        <w:pStyle w:val="BodyText"/>
        <w:numPr>
          <w:ilvl w:val="1"/>
          <w:numId w:val="461"/>
        </w:numPr>
        <w:tabs>
          <w:tab w:val="clear" w:pos="709"/>
          <w:tab w:val="left" w:pos="1418" w:leader="none"/>
        </w:tabs>
        <w:bidi w:val="0"/>
        <w:ind w:hanging="283" w:start="1418"/>
        <w:jc w:val="start"/>
        <w:rPr/>
      </w:pPr>
      <w:r>
        <w:rPr>
          <w:b/>
        </w:rPr>
        <w:t>Occidental Petroleum</w:t>
      </w:r>
      <w:r>
        <w:rPr/>
        <w:t xml:space="preserve"> — still losing money.</w:t>
      </w:r>
    </w:p>
    <w:p>
      <w:pPr>
        <w:pStyle w:val="BodyText"/>
        <w:numPr>
          <w:ilvl w:val="1"/>
          <w:numId w:val="461"/>
        </w:numPr>
        <w:tabs>
          <w:tab w:val="clear" w:pos="709"/>
          <w:tab w:val="left" w:pos="1418" w:leader="none"/>
        </w:tabs>
        <w:bidi w:val="0"/>
        <w:ind w:hanging="283" w:start="1418"/>
        <w:jc w:val="start"/>
        <w:rPr/>
      </w:pPr>
      <w:r>
        <w:rPr>
          <w:b/>
        </w:rPr>
        <w:t>IBM</w:t>
      </w:r>
      <w:r>
        <w:rPr/>
        <w:t xml:space="preserve"> — lost money.</w:t>
      </w:r>
    </w:p>
    <w:p>
      <w:pPr>
        <w:pStyle w:val="BodyText"/>
        <w:numPr>
          <w:ilvl w:val="0"/>
          <w:numId w:val="461"/>
        </w:numPr>
        <w:tabs>
          <w:tab w:val="clear" w:pos="709"/>
          <w:tab w:val="left" w:pos="709" w:leader="none"/>
        </w:tabs>
        <w:bidi w:val="0"/>
        <w:ind w:hanging="283" w:start="709"/>
        <w:jc w:val="start"/>
        <w:rPr/>
      </w:pPr>
      <w:r>
        <w:rPr/>
        <w:t xml:space="preserve">But he also owned </w:t>
      </w:r>
      <w:r>
        <w:rPr>
          <w:b/>
        </w:rPr>
        <w:t>Apple, MasterCard, McDonald's, Coca-Cola</w:t>
      </w:r>
      <w:r>
        <w:rPr/>
        <w:t>, which more than made up for the mistakes.</w:t>
      </w:r>
    </w:p>
    <w:p>
      <w:pPr>
        <w:pStyle w:val="BodyText"/>
        <w:numPr>
          <w:ilvl w:val="0"/>
          <w:numId w:val="461"/>
        </w:numPr>
        <w:tabs>
          <w:tab w:val="clear" w:pos="709"/>
          <w:tab w:val="left" w:pos="709" w:leader="none"/>
        </w:tabs>
        <w:bidi w:val="0"/>
        <w:ind w:hanging="283" w:start="709"/>
        <w:jc w:val="start"/>
        <w:rPr/>
      </w:pPr>
      <w:r>
        <w:rPr>
          <w:b/>
        </w:rPr>
        <w:t>The key to a winning portfolio is not being right all the time</w:t>
      </w:r>
      <w:r>
        <w:rPr/>
        <w:t xml:space="preserve"> — it is to </w:t>
      </w:r>
      <w:r>
        <w:rPr>
          <w:b/>
        </w:rPr>
        <w:t>win 80–90% of the time</w:t>
      </w:r>
      <w:r>
        <w:rPr/>
        <w:t xml:space="preserve"> and minimise the losses from the </w:t>
      </w:r>
      <w:r>
        <w:rPr>
          <w:b/>
        </w:rPr>
        <w:t>10–20%</w:t>
      </w:r>
      <w:r>
        <w:rPr/>
        <w:t xml:space="preserve"> of investments that turn bad.</w:t>
      </w:r>
    </w:p>
    <w:p>
      <w:pPr>
        <w:pStyle w:val="HorizontalLine"/>
        <w:bidi w:val="0"/>
        <w:jc w:val="start"/>
        <w:rPr/>
      </w:pPr>
      <w:r>
        <w:rPr/>
      </w:r>
    </w:p>
    <w:p>
      <w:pPr>
        <w:pStyle w:val="Heading3"/>
        <w:bidi w:val="0"/>
        <w:ind w:hanging="0" w:start="0"/>
        <w:jc w:val="start"/>
        <w:rPr/>
      </w:pPr>
      <w:r>
        <w:rPr/>
        <w:t>3. Diversification Rules (Hard Numbers)</w:t>
      </w:r>
    </w:p>
    <w:p>
      <w:pPr>
        <w:pStyle w:val="Heading4"/>
        <w:bidi w:val="0"/>
        <w:ind w:hanging="0" w:start="0"/>
        <w:jc w:val="start"/>
        <w:rPr/>
      </w:pPr>
      <w:r>
        <w:rPr/>
        <w:t>3.1 Number of stocks</w:t>
      </w:r>
    </w:p>
    <w:tbl>
      <w:tblPr>
        <w:tblW w:w="5000" w:type="pct"/>
        <w:jc w:val="start"/>
        <w:tblInd w:w="-5" w:type="dxa"/>
        <w:tblLayout w:type="fixed"/>
        <w:tblCellMar>
          <w:top w:w="55" w:type="dxa"/>
          <w:start w:w="55" w:type="dxa"/>
          <w:bottom w:w="55" w:type="dxa"/>
          <w:end w:w="55" w:type="dxa"/>
        </w:tblCellMar>
      </w:tblPr>
      <w:tblGrid>
        <w:gridCol w:w="4819"/>
        <w:gridCol w:w="4819"/>
      </w:tblGrid>
      <w:tr>
        <w:trPr>
          <w:tblHeader w:val="true"/>
        </w:trPr>
        <w:tc>
          <w:tcPr>
            <w:tcW w:w="4819" w:type="dxa"/>
            <w:tcBorders>
              <w:top w:val="single" w:sz="4" w:space="0" w:color="000000"/>
              <w:start w:val="single" w:sz="4" w:space="0" w:color="000000"/>
              <w:bottom w:val="single" w:sz="4" w:space="0" w:color="000000"/>
            </w:tcBorders>
          </w:tcPr>
          <w:p>
            <w:pPr>
              <w:pStyle w:val="TableHeading"/>
              <w:bidi w:val="0"/>
              <w:jc w:val="start"/>
              <w:rPr/>
            </w:pPr>
            <w:r>
              <w:rPr/>
              <w:t>Rule</w:t>
            </w:r>
          </w:p>
        </w:tc>
        <w:tc>
          <w:tcPr>
            <w:tcW w:w="4819"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Number</w:t>
            </w:r>
          </w:p>
        </w:tc>
      </w:tr>
      <w:tr>
        <w:trPr/>
        <w:tc>
          <w:tcPr>
            <w:tcW w:w="4819" w:type="dxa"/>
            <w:tcBorders>
              <w:start w:val="single" w:sz="4" w:space="0" w:color="000000"/>
              <w:bottom w:val="single" w:sz="4" w:space="0" w:color="000000"/>
            </w:tcBorders>
          </w:tcPr>
          <w:p>
            <w:pPr>
              <w:pStyle w:val="TableContents"/>
              <w:bidi w:val="0"/>
              <w:jc w:val="start"/>
              <w:rPr/>
            </w:pPr>
            <w:r>
              <w:rPr/>
              <w:t>Absolute minimum stocks in portfolio</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b/>
              </w:rPr>
              <w:t>8</w:t>
            </w:r>
          </w:p>
        </w:tc>
      </w:tr>
      <w:tr>
        <w:trPr/>
        <w:tc>
          <w:tcPr>
            <w:tcW w:w="4819" w:type="dxa"/>
            <w:tcBorders>
              <w:start w:val="single" w:sz="4" w:space="0" w:color="000000"/>
              <w:bottom w:val="single" w:sz="4" w:space="0" w:color="000000"/>
            </w:tcBorders>
          </w:tcPr>
          <w:p>
            <w:pPr>
              <w:pStyle w:val="TableContents"/>
              <w:bidi w:val="0"/>
              <w:jc w:val="start"/>
              <w:rPr/>
            </w:pPr>
            <w:r>
              <w:rPr/>
              <w:t>Comfortable working range ("concentrated diversification")</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b/>
              </w:rPr>
              <w:t>8 to 30</w:t>
            </w:r>
          </w:p>
        </w:tc>
      </w:tr>
      <w:tr>
        <w:trPr/>
        <w:tc>
          <w:tcPr>
            <w:tcW w:w="4819" w:type="dxa"/>
            <w:tcBorders>
              <w:start w:val="single" w:sz="4" w:space="0" w:color="000000"/>
              <w:bottom w:val="single" w:sz="4" w:space="0" w:color="000000"/>
            </w:tcBorders>
          </w:tcPr>
          <w:p>
            <w:pPr>
              <w:pStyle w:val="TableContents"/>
              <w:bidi w:val="0"/>
              <w:jc w:val="start"/>
              <w:rPr/>
            </w:pPr>
            <w:r>
              <w:rPr/>
              <w:t>Recommended cap for non-full-time investors</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b/>
              </w:rPr>
              <w:t>30</w:t>
            </w:r>
          </w:p>
        </w:tc>
      </w:tr>
      <w:tr>
        <w:trPr/>
        <w:tc>
          <w:tcPr>
            <w:tcW w:w="4819" w:type="dxa"/>
            <w:tcBorders>
              <w:start w:val="single" w:sz="4" w:space="0" w:color="000000"/>
              <w:bottom w:val="single" w:sz="4" w:space="0" w:color="000000"/>
            </w:tcBorders>
          </w:tcPr>
          <w:p>
            <w:pPr>
              <w:pStyle w:val="TableContents"/>
              <w:bidi w:val="0"/>
              <w:jc w:val="start"/>
              <w:rPr/>
            </w:pPr>
            <w:r>
              <w:rPr/>
              <w:t>Adam's own portfolio (full-time investor)</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b/>
              </w:rPr>
              <w:t>~40 stocks</w:t>
            </w:r>
          </w:p>
        </w:tc>
      </w:tr>
      <w:tr>
        <w:trPr/>
        <w:tc>
          <w:tcPr>
            <w:tcW w:w="4819" w:type="dxa"/>
            <w:tcBorders>
              <w:start w:val="single" w:sz="4" w:space="0" w:color="000000"/>
              <w:bottom w:val="single" w:sz="4" w:space="0" w:color="000000"/>
            </w:tcBorders>
          </w:tcPr>
          <w:p>
            <w:pPr>
              <w:pStyle w:val="TableContents"/>
              <w:bidi w:val="0"/>
              <w:jc w:val="start"/>
              <w:rPr/>
            </w:pPr>
            <w:r>
              <w:rPr/>
              <w:t>Absolute rule-of-thumb ceiling</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b/>
              </w:rPr>
              <w:t>60</w:t>
            </w:r>
          </w:p>
        </w:tc>
      </w:tr>
    </w:tbl>
    <w:p>
      <w:pPr>
        <w:pStyle w:val="BodyText"/>
        <w:bidi w:val="0"/>
        <w:jc w:val="start"/>
        <w:rPr/>
      </w:pPr>
      <w:r>
        <w:rPr/>
      </w:r>
    </w:p>
    <w:p>
      <w:pPr>
        <w:pStyle w:val="BodyText"/>
        <w:numPr>
          <w:ilvl w:val="0"/>
          <w:numId w:val="462"/>
        </w:numPr>
        <w:tabs>
          <w:tab w:val="clear" w:pos="709"/>
          <w:tab w:val="left" w:pos="709" w:leader="none"/>
        </w:tabs>
        <w:bidi w:val="0"/>
        <w:ind w:hanging="283" w:start="709"/>
        <w:jc w:val="start"/>
        <w:rPr/>
      </w:pPr>
      <w:r>
        <w:rPr/>
        <w:t xml:space="preserve">The 8-stock minimum applies </w:t>
      </w:r>
      <w:r>
        <w:rPr>
          <w:b/>
        </w:rPr>
        <w:t>regardless of capital size</w:t>
      </w:r>
      <w:r>
        <w:rPr/>
        <w:t>: $1,000, $10,000, $100,000 or $10 million — all get split across at least 8 stocks.</w:t>
      </w:r>
    </w:p>
    <w:p>
      <w:pPr>
        <w:pStyle w:val="BodyText"/>
        <w:numPr>
          <w:ilvl w:val="0"/>
          <w:numId w:val="462"/>
        </w:numPr>
        <w:tabs>
          <w:tab w:val="clear" w:pos="709"/>
          <w:tab w:val="left" w:pos="709" w:leader="none"/>
        </w:tabs>
        <w:bidi w:val="0"/>
        <w:ind w:hanging="283" w:start="709"/>
        <w:jc w:val="start"/>
        <w:rPr/>
      </w:pPr>
      <w:r>
        <w:rPr>
          <w:b/>
        </w:rPr>
        <w:t>Why not more than 60?</w:t>
      </w:r>
      <w:r>
        <w:rPr/>
        <w:t xml:space="preserve"> There are roughly </w:t>
      </w:r>
      <w:r>
        <w:rPr>
          <w:b/>
        </w:rPr>
        <w:t>6,000 stocks in the US market</w:t>
      </w:r>
      <w:r>
        <w:rPr/>
        <w:t xml:space="preserve">. VMI only invests in the </w:t>
      </w:r>
      <w:r>
        <w:rPr>
          <w:b/>
        </w:rPr>
        <w:t>top 1%</w:t>
      </w:r>
      <w:r>
        <w:rPr/>
        <w:t xml:space="preserve"> of highest-quality companies. 1% × 6,000 = </w:t>
      </w:r>
      <w:r>
        <w:rPr>
          <w:b/>
        </w:rPr>
        <w:t>60</w:t>
      </w:r>
      <w:r>
        <w:rPr/>
        <w:t>. Going beyond 60 means you have left the top 1% quality band.</w:t>
      </w:r>
    </w:p>
    <w:p>
      <w:pPr>
        <w:pStyle w:val="BodyText"/>
        <w:numPr>
          <w:ilvl w:val="0"/>
          <w:numId w:val="462"/>
        </w:numPr>
        <w:tabs>
          <w:tab w:val="clear" w:pos="709"/>
          <w:tab w:val="left" w:pos="709" w:leader="none"/>
        </w:tabs>
        <w:bidi w:val="0"/>
        <w:spacing w:before="0" w:after="0"/>
        <w:ind w:hanging="283" w:start="709"/>
        <w:jc w:val="start"/>
        <w:rPr/>
      </w:pPr>
      <w:r>
        <w:rPr>
          <w:b/>
        </w:rPr>
        <w:t>Broad diversification</w:t>
      </w:r>
      <w:r>
        <w:rPr/>
        <w:t xml:space="preserve"> (100 or 1,000 stocks) is not "wrong", but has two problems:</w:t>
      </w:r>
    </w:p>
    <w:p>
      <w:pPr>
        <w:pStyle w:val="BodyText"/>
        <w:numPr>
          <w:ilvl w:val="1"/>
          <w:numId w:val="462"/>
        </w:numPr>
        <w:tabs>
          <w:tab w:val="clear" w:pos="709"/>
          <w:tab w:val="left" w:pos="1418" w:leader="none"/>
        </w:tabs>
        <w:bidi w:val="0"/>
        <w:ind w:hanging="283" w:start="1418"/>
        <w:jc w:val="start"/>
        <w:rPr/>
      </w:pPr>
      <w:r>
        <w:rPr/>
        <w:t>You cannot monitor or keep track of them → you won't do as well.</w:t>
      </w:r>
    </w:p>
    <w:p>
      <w:pPr>
        <w:pStyle w:val="BodyText"/>
        <w:numPr>
          <w:ilvl w:val="1"/>
          <w:numId w:val="462"/>
        </w:numPr>
        <w:tabs>
          <w:tab w:val="clear" w:pos="709"/>
          <w:tab w:val="left" w:pos="1418" w:leader="none"/>
        </w:tabs>
        <w:bidi w:val="0"/>
        <w:ind w:hanging="283" w:start="1418"/>
        <w:jc w:val="start"/>
        <w:rPr/>
      </w:pPr>
      <w:r>
        <w:rPr/>
        <w:t xml:space="preserve">Too many stocks inevitably forces </w:t>
      </w:r>
      <w:r>
        <w:rPr>
          <w:b/>
        </w:rPr>
        <w:t>lower-quality stocks</w:t>
      </w:r>
      <w:r>
        <w:rPr/>
        <w:t xml:space="preserve"> into the portfolio.</w:t>
      </w:r>
    </w:p>
    <w:p>
      <w:pPr>
        <w:pStyle w:val="BodyText"/>
        <w:numPr>
          <w:ilvl w:val="0"/>
          <w:numId w:val="462"/>
        </w:numPr>
        <w:tabs>
          <w:tab w:val="clear" w:pos="709"/>
          <w:tab w:val="left" w:pos="709" w:leader="none"/>
        </w:tabs>
        <w:bidi w:val="0"/>
        <w:ind w:hanging="283" w:start="709"/>
        <w:jc w:val="start"/>
        <w:rPr/>
      </w:pPr>
      <w:r>
        <w:rPr/>
        <w:t>Adam can hold 40 only because he is a full-time investor whose only daily job is watching his stocks.</w:t>
      </w:r>
    </w:p>
    <w:p>
      <w:pPr>
        <w:pStyle w:val="Heading4"/>
        <w:numPr>
          <w:ilvl w:val="0"/>
          <w:numId w:val="0"/>
        </w:numPr>
        <w:bidi w:val="0"/>
        <w:ind w:hanging="0" w:start="0"/>
        <w:jc w:val="start"/>
        <w:rPr/>
      </w:pPr>
      <w:r>
        <w:rPr/>
        <w:t>3.2 Diversify across sectors, industries and markets</w:t>
      </w:r>
    </w:p>
    <w:p>
      <w:pPr>
        <w:pStyle w:val="BodyText"/>
        <w:numPr>
          <w:ilvl w:val="0"/>
          <w:numId w:val="463"/>
        </w:numPr>
        <w:tabs>
          <w:tab w:val="clear" w:pos="709"/>
          <w:tab w:val="left" w:pos="709" w:leader="none"/>
        </w:tabs>
        <w:bidi w:val="0"/>
        <w:ind w:hanging="283" w:start="709"/>
        <w:jc w:val="start"/>
        <w:rPr/>
      </w:pPr>
      <w:r>
        <w:rPr/>
        <w:t xml:space="preserve">The 8–30 stocks </w:t>
      </w:r>
      <w:r>
        <w:rPr>
          <w:b/>
        </w:rPr>
        <w:t>must not all be from the same industry or sector</w:t>
      </w:r>
      <w:r>
        <w:rPr/>
        <w:t>.</w:t>
      </w:r>
    </w:p>
    <w:p>
      <w:pPr>
        <w:pStyle w:val="BodyText"/>
        <w:numPr>
          <w:ilvl w:val="0"/>
          <w:numId w:val="463"/>
        </w:numPr>
        <w:tabs>
          <w:tab w:val="clear" w:pos="709"/>
          <w:tab w:val="left" w:pos="709" w:leader="none"/>
        </w:tabs>
        <w:bidi w:val="0"/>
        <w:ind w:hanging="283" w:start="709"/>
        <w:jc w:val="start"/>
        <w:rPr/>
      </w:pPr>
      <w:r>
        <w:rPr/>
        <w:t xml:space="preserve">Also diversify across </w:t>
      </w:r>
      <w:r>
        <w:rPr>
          <w:b/>
        </w:rPr>
        <w:t>different markets</w:t>
      </w:r>
      <w:r>
        <w:rPr/>
        <w:t xml:space="preserve"> where appropriate.</w:t>
      </w:r>
    </w:p>
    <w:p>
      <w:pPr>
        <w:pStyle w:val="BodyText"/>
        <w:bidi w:val="0"/>
        <w:jc w:val="start"/>
        <w:rPr/>
      </w:pPr>
      <w:r>
        <w:rPr>
          <w:b/>
        </w:rPr>
        <w:t>Adam's actual sector allocation (capital-gain portfolio):</w:t>
      </w:r>
      <w:r>
        <w:rPr/>
        <w:t xml:space="preserve"> | Sector | Allocation | |---|---| | Technology | </w:t>
      </w:r>
      <w:r>
        <w:rPr>
          <w:b/>
        </w:rPr>
        <w:t>27%</w:t>
      </w:r>
      <w:r>
        <w:rPr/>
        <w:t xml:space="preserve"> | | Consumer Discretionary | </w:t>
      </w:r>
      <w:r>
        <w:rPr>
          <w:b/>
        </w:rPr>
        <w:t>22%</w:t>
      </w:r>
      <w:r>
        <w:rPr/>
        <w:t xml:space="preserve"> | | Healthcare | </w:t>
      </w:r>
      <w:r>
        <w:rPr>
          <w:b/>
        </w:rPr>
        <w:t>15%</w:t>
      </w:r>
      <w:r>
        <w:rPr/>
        <w:t xml:space="preserve"> | | Financials | </w:t>
      </w:r>
      <w:r>
        <w:rPr>
          <w:b/>
        </w:rPr>
        <w:t>13%</w:t>
      </w:r>
      <w:r>
        <w:rPr/>
        <w:t xml:space="preserve"> | | Communication Services | </w:t>
      </w:r>
      <w:r>
        <w:rPr>
          <w:b/>
        </w:rPr>
        <w:t>12%</w:t>
      </w:r>
      <w:r>
        <w:rPr/>
        <w:t xml:space="preserve"> | | Consumer Staples | </w:t>
      </w:r>
      <w:r>
        <w:rPr>
          <w:b/>
        </w:rPr>
        <w:t>7%</w:t>
      </w:r>
      <w:r>
        <w:rPr/>
        <w:t xml:space="preserve"> | | Industrials | </w:t>
      </w:r>
      <w:r>
        <w:rPr>
          <w:b/>
        </w:rPr>
        <w:t>2%</w:t>
      </w:r>
      <w:r>
        <w:rPr/>
        <w:t xml:space="preserve"> | | (China ETFs, stated separately in Lesson 61) | </w:t>
      </w:r>
      <w:r>
        <w:rPr>
          <w:b/>
        </w:rPr>
        <w:t>3%</w:t>
      </w:r>
      <w:r>
        <w:rPr/>
        <w:t xml:space="preserve"> |</w:t>
      </w:r>
    </w:p>
    <w:p>
      <w:pPr>
        <w:pStyle w:val="BodyText"/>
        <w:bidi w:val="0"/>
        <w:jc w:val="start"/>
        <w:rPr/>
      </w:pPr>
      <w:r>
        <w:rPr>
          <w:b/>
        </w:rPr>
        <w:t>Geographic allocation (capital-gain portfolio):</w:t>
      </w:r>
      <w:r>
        <w:rPr/>
        <w:t xml:space="preserve"> | Market | Allocation | |---|---| | US-listed | </w:t>
      </w:r>
      <w:r>
        <w:rPr>
          <w:b/>
        </w:rPr>
        <w:t>~90%</w:t>
      </w:r>
      <w:r>
        <w:rPr/>
        <w:t xml:space="preserve"> | | China / Hong Kong | </w:t>
      </w:r>
      <w:r>
        <w:rPr>
          <w:b/>
        </w:rPr>
        <w:t>3%</w:t>
      </w:r>
      <w:r>
        <w:rPr/>
        <w:t xml:space="preserve"> | | Europe | balance (remainder) |</w:t>
      </w:r>
    </w:p>
    <w:p>
      <w:pPr>
        <w:pStyle w:val="BodyText"/>
        <w:numPr>
          <w:ilvl w:val="0"/>
          <w:numId w:val="464"/>
        </w:numPr>
        <w:tabs>
          <w:tab w:val="clear" w:pos="709"/>
          <w:tab w:val="left" w:pos="709" w:leader="none"/>
        </w:tabs>
        <w:bidi w:val="0"/>
        <w:ind w:hanging="283" w:start="709"/>
        <w:jc w:val="start"/>
        <w:rPr/>
      </w:pPr>
      <w:r>
        <w:rPr>
          <w:b/>
        </w:rPr>
        <w:t>Separate dividend portfolio</w:t>
      </w:r>
      <w:r>
        <w:rPr/>
        <w:t xml:space="preserve">: 100% </w:t>
      </w:r>
      <w:r>
        <w:rPr>
          <w:b/>
        </w:rPr>
        <w:t>Singapore-listed</w:t>
      </w:r>
      <w:r>
        <w:rPr/>
        <w:t xml:space="preserve"> — only the banks and core REITs — for the sole purpose of collecting dividends.</w:t>
      </w:r>
    </w:p>
    <w:p>
      <w:pPr>
        <w:pStyle w:val="Heading4"/>
        <w:numPr>
          <w:ilvl w:val="0"/>
          <w:numId w:val="0"/>
        </w:numPr>
        <w:bidi w:val="0"/>
        <w:ind w:hanging="0" w:start="0"/>
        <w:jc w:val="start"/>
        <w:rPr/>
      </w:pPr>
      <w:r>
        <w:rPr/>
        <w:t>3.3 Correlation / clustering considerations (as taught)</w:t>
      </w:r>
    </w:p>
    <w:p>
      <w:pPr>
        <w:pStyle w:val="BodyText"/>
        <w:numPr>
          <w:ilvl w:val="0"/>
          <w:numId w:val="465"/>
        </w:numPr>
        <w:tabs>
          <w:tab w:val="clear" w:pos="709"/>
          <w:tab w:val="left" w:pos="709" w:leader="none"/>
        </w:tabs>
        <w:bidi w:val="0"/>
        <w:ind w:hanging="283" w:start="709"/>
        <w:jc w:val="start"/>
        <w:rPr/>
      </w:pPr>
      <w:r>
        <w:rPr/>
        <w:t xml:space="preserve">Own stocks from </w:t>
      </w:r>
      <w:r>
        <w:rPr>
          <w:b/>
        </w:rPr>
        <w:t>different sectors and industries</w:t>
      </w:r>
      <w:r>
        <w:rPr/>
        <w:t xml:space="preserve"> so a sector-specific shock (e.g. China regulation on Alibaba and other China stocks) can't take out the portfolio.</w:t>
      </w:r>
    </w:p>
    <w:p>
      <w:pPr>
        <w:pStyle w:val="BodyText"/>
        <w:numPr>
          <w:ilvl w:val="0"/>
          <w:numId w:val="465"/>
        </w:numPr>
        <w:tabs>
          <w:tab w:val="clear" w:pos="709"/>
          <w:tab w:val="left" w:pos="709" w:leader="none"/>
        </w:tabs>
        <w:bidi w:val="0"/>
        <w:ind w:hanging="283" w:start="709"/>
        <w:jc w:val="start"/>
        <w:rPr/>
      </w:pPr>
      <w:r>
        <w:rPr>
          <w:b/>
        </w:rPr>
        <w:t>Defensive stocks</w:t>
      </w:r>
      <w:r>
        <w:rPr/>
        <w:t xml:space="preserve"> are deliberately held as ballast: they hold up or rise during recessions/bear markets when growth and cyclical stocks fall — i.e. deliberately holding negatively/less-correlated buckets.</w:t>
      </w:r>
    </w:p>
    <w:p>
      <w:pPr>
        <w:pStyle w:val="BodyText"/>
        <w:numPr>
          <w:ilvl w:val="0"/>
          <w:numId w:val="465"/>
        </w:numPr>
        <w:tabs>
          <w:tab w:val="clear" w:pos="709"/>
          <w:tab w:val="left" w:pos="709" w:leader="none"/>
        </w:tabs>
        <w:bidi w:val="0"/>
        <w:ind w:hanging="283" w:start="709"/>
        <w:jc w:val="start"/>
        <w:rPr/>
      </w:pPr>
      <w:r>
        <w:rPr>
          <w:b/>
        </w:rPr>
        <w:t>Cyclical stocks</w:t>
      </w:r>
      <w:r>
        <w:rPr/>
        <w:t xml:space="preserve"> rise first in a boom and "drop the most like flies" when a recession is expected.</w:t>
      </w:r>
    </w:p>
    <w:p>
      <w:pPr>
        <w:pStyle w:val="BodyText"/>
        <w:numPr>
          <w:ilvl w:val="0"/>
          <w:numId w:val="465"/>
        </w:numPr>
        <w:tabs>
          <w:tab w:val="clear" w:pos="709"/>
          <w:tab w:val="left" w:pos="709" w:leader="none"/>
        </w:tabs>
        <w:bidi w:val="0"/>
        <w:ind w:hanging="283" w:start="709"/>
        <w:jc w:val="start"/>
        <w:rPr/>
      </w:pPr>
      <w:r>
        <w:rPr/>
        <w:t>Owning both defensive and growth exposure is the mechanism for "low volatility with high returns."</w:t>
      </w:r>
    </w:p>
    <w:p>
      <w:pPr>
        <w:pStyle w:val="HorizontalLine"/>
        <w:bidi w:val="0"/>
        <w:jc w:val="start"/>
        <w:rPr/>
      </w:pPr>
      <w:r>
        <w:rPr/>
      </w:r>
    </w:p>
    <w:p>
      <w:pPr>
        <w:pStyle w:val="Heading3"/>
        <w:bidi w:val="0"/>
        <w:ind w:hanging="0" w:start="0"/>
        <w:jc w:val="start"/>
        <w:rPr/>
      </w:pPr>
      <w:r>
        <w:rPr/>
        <w:t>4. Position Sizing — The Equal-Weight Framework</w:t>
      </w:r>
    </w:p>
    <w:p>
      <w:pPr>
        <w:pStyle w:val="Heading4"/>
        <w:bidi w:val="0"/>
        <w:ind w:hanging="0" w:start="0"/>
        <w:jc w:val="start"/>
        <w:rPr/>
      </w:pPr>
      <w:r>
        <w:rPr/>
        <w:t>4.1 Core rule</w:t>
      </w:r>
    </w:p>
    <w:p>
      <w:pPr>
        <w:pStyle w:val="BlockQuotation"/>
        <w:bidi w:val="0"/>
        <w:jc w:val="start"/>
        <w:rPr/>
      </w:pPr>
      <w:r>
        <w:rPr/>
        <w:t xml:space="preserve">Divide capital </w:t>
      </w:r>
      <w:r>
        <w:rPr>
          <w:b/>
        </w:rPr>
        <w:t>as equally as possible</w:t>
      </w:r>
      <w:r>
        <w:rPr/>
        <w:t xml:space="preserve"> among core long-term investments.</w:t>
      </w:r>
    </w:p>
    <w:p>
      <w:pPr>
        <w:pStyle w:val="BodyText"/>
        <w:bidi w:val="0"/>
        <w:jc w:val="start"/>
        <w:rPr/>
      </w:pPr>
      <w:r>
        <w:rPr>
          <w:b/>
        </w:rPr>
        <w:t>Full allocation per stock = 100% ÷ (number of stocks you plan to own)</w:t>
      </w:r>
    </w:p>
    <w:tbl>
      <w:tblPr>
        <w:tblW w:w="5000" w:type="pct"/>
        <w:jc w:val="start"/>
        <w:tblInd w:w="-5" w:type="dxa"/>
        <w:tblLayout w:type="fixed"/>
        <w:tblCellMar>
          <w:top w:w="55" w:type="dxa"/>
          <w:start w:w="55" w:type="dxa"/>
          <w:bottom w:w="55" w:type="dxa"/>
          <w:end w:w="55" w:type="dxa"/>
        </w:tblCellMar>
      </w:tblPr>
      <w:tblGrid>
        <w:gridCol w:w="4819"/>
        <w:gridCol w:w="4819"/>
      </w:tblGrid>
      <w:tr>
        <w:trPr>
          <w:tblHeader w:val="true"/>
        </w:trPr>
        <w:tc>
          <w:tcPr>
            <w:tcW w:w="4819" w:type="dxa"/>
            <w:tcBorders>
              <w:top w:val="single" w:sz="4" w:space="0" w:color="000000"/>
              <w:start w:val="single" w:sz="4" w:space="0" w:color="000000"/>
              <w:bottom w:val="single" w:sz="4" w:space="0" w:color="000000"/>
            </w:tcBorders>
          </w:tcPr>
          <w:p>
            <w:pPr>
              <w:pStyle w:val="TableHeading"/>
              <w:bidi w:val="0"/>
              <w:jc w:val="start"/>
              <w:rPr/>
            </w:pPr>
            <w:r>
              <w:rPr/>
              <w:t>Planned portfolio size</w:t>
            </w:r>
          </w:p>
        </w:tc>
        <w:tc>
          <w:tcPr>
            <w:tcW w:w="4819"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Full allocation per stock</w:t>
            </w:r>
          </w:p>
        </w:tc>
      </w:tr>
      <w:tr>
        <w:trPr/>
        <w:tc>
          <w:tcPr>
            <w:tcW w:w="4819" w:type="dxa"/>
            <w:tcBorders>
              <w:start w:val="single" w:sz="4" w:space="0" w:color="000000"/>
              <w:bottom w:val="single" w:sz="4" w:space="0" w:color="000000"/>
            </w:tcBorders>
          </w:tcPr>
          <w:p>
            <w:pPr>
              <w:pStyle w:val="TableContents"/>
              <w:bidi w:val="0"/>
              <w:jc w:val="start"/>
              <w:rPr/>
            </w:pPr>
            <w:r>
              <w:rPr/>
              <w:t>10 stocks</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b/>
              </w:rPr>
              <w:t>10%</w:t>
            </w:r>
          </w:p>
        </w:tc>
      </w:tr>
      <w:tr>
        <w:trPr/>
        <w:tc>
          <w:tcPr>
            <w:tcW w:w="4819" w:type="dxa"/>
            <w:tcBorders>
              <w:start w:val="single" w:sz="4" w:space="0" w:color="000000"/>
              <w:bottom w:val="single" w:sz="4" w:space="0" w:color="000000"/>
            </w:tcBorders>
          </w:tcPr>
          <w:p>
            <w:pPr>
              <w:pStyle w:val="TableContents"/>
              <w:bidi w:val="0"/>
              <w:jc w:val="start"/>
              <w:rPr/>
            </w:pPr>
            <w:r>
              <w:rPr/>
              <w:t>20 stocks</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b/>
              </w:rPr>
              <w:t>5%</w:t>
            </w:r>
          </w:p>
        </w:tc>
      </w:tr>
      <w:tr>
        <w:trPr/>
        <w:tc>
          <w:tcPr>
            <w:tcW w:w="4819" w:type="dxa"/>
            <w:tcBorders>
              <w:start w:val="single" w:sz="4" w:space="0" w:color="000000"/>
              <w:bottom w:val="single" w:sz="4" w:space="0" w:color="000000"/>
            </w:tcBorders>
          </w:tcPr>
          <w:p>
            <w:pPr>
              <w:pStyle w:val="TableContents"/>
              <w:bidi w:val="0"/>
              <w:jc w:val="start"/>
              <w:rPr/>
            </w:pPr>
            <w:r>
              <w:rPr/>
              <w:t>30 stocks</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b/>
              </w:rPr>
              <w:t>3.33%</w:t>
            </w:r>
          </w:p>
        </w:tc>
      </w:tr>
      <w:tr>
        <w:trPr/>
        <w:tc>
          <w:tcPr>
            <w:tcW w:w="4819" w:type="dxa"/>
            <w:tcBorders>
              <w:start w:val="single" w:sz="4" w:space="0" w:color="000000"/>
              <w:bottom w:val="single" w:sz="4" w:space="0" w:color="000000"/>
            </w:tcBorders>
          </w:tcPr>
          <w:p>
            <w:pPr>
              <w:pStyle w:val="TableContents"/>
              <w:bidi w:val="0"/>
              <w:jc w:val="start"/>
              <w:rPr/>
            </w:pPr>
            <w:r>
              <w:rPr/>
              <w:t>40 stocks (Adam's)</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b/>
              </w:rPr>
              <w:t>2.5%</w:t>
            </w:r>
          </w:p>
        </w:tc>
      </w:tr>
    </w:tbl>
    <w:p>
      <w:pPr>
        <w:pStyle w:val="BodyText"/>
        <w:bidi w:val="0"/>
        <w:jc w:val="start"/>
        <w:rPr/>
      </w:pPr>
      <w:r>
        <w:rPr/>
      </w:r>
    </w:p>
    <w:p>
      <w:pPr>
        <w:pStyle w:val="BodyText"/>
        <w:numPr>
          <w:ilvl w:val="0"/>
          <w:numId w:val="466"/>
        </w:numPr>
        <w:tabs>
          <w:tab w:val="clear" w:pos="709"/>
          <w:tab w:val="left" w:pos="709" w:leader="none"/>
        </w:tabs>
        <w:bidi w:val="0"/>
        <w:ind w:hanging="283" w:start="709"/>
        <w:jc w:val="start"/>
        <w:rPr/>
      </w:pPr>
      <w:r>
        <w:rPr/>
        <w:t xml:space="preserve">This per-stock % is called a </w:t>
      </w:r>
      <w:r>
        <w:rPr>
          <w:b/>
        </w:rPr>
        <w:t>"full allocation"</w:t>
      </w:r>
      <w:r>
        <w:rPr/>
        <w:t xml:space="preserve"> or </w:t>
      </w:r>
      <w:r>
        <w:rPr>
          <w:b/>
        </w:rPr>
        <w:t>"full position."</w:t>
      </w:r>
    </w:p>
    <w:p>
      <w:pPr>
        <w:pStyle w:val="BodyText"/>
        <w:numPr>
          <w:ilvl w:val="0"/>
          <w:numId w:val="466"/>
        </w:numPr>
        <w:tabs>
          <w:tab w:val="clear" w:pos="709"/>
          <w:tab w:val="left" w:pos="709" w:leader="none"/>
        </w:tabs>
        <w:bidi w:val="0"/>
        <w:ind w:hanging="283" w:start="709"/>
        <w:jc w:val="start"/>
        <w:rPr/>
      </w:pPr>
      <w:r>
        <w:rPr/>
        <w:t xml:space="preserve">Worked example: $10,000 capital ÷ 10 stocks = </w:t>
      </w:r>
      <w:r>
        <w:rPr>
          <w:b/>
        </w:rPr>
        <w:t>$1,000 per stock = 10% each</w:t>
      </w:r>
      <w:r>
        <w:rPr/>
        <w:t>.</w:t>
      </w:r>
    </w:p>
    <w:p>
      <w:pPr>
        <w:pStyle w:val="BodyText"/>
        <w:numPr>
          <w:ilvl w:val="0"/>
          <w:numId w:val="466"/>
        </w:numPr>
        <w:tabs>
          <w:tab w:val="clear" w:pos="709"/>
          <w:tab w:val="left" w:pos="709" w:leader="none"/>
        </w:tabs>
        <w:bidi w:val="0"/>
        <w:ind w:hanging="283" w:start="709"/>
        <w:jc w:val="start"/>
        <w:rPr/>
      </w:pPr>
      <w:r>
        <w:rPr/>
        <w:t>Each year new capital added (e.g. another $10,000) is divided again across the same target number of stocks and topped up accordingly.</w:t>
      </w:r>
    </w:p>
    <w:p>
      <w:pPr>
        <w:pStyle w:val="Heading4"/>
        <w:numPr>
          <w:ilvl w:val="0"/>
          <w:numId w:val="0"/>
        </w:numPr>
        <w:bidi w:val="0"/>
        <w:ind w:hanging="0" w:start="0"/>
        <w:jc w:val="start"/>
        <w:rPr/>
      </w:pPr>
      <w:r>
        <w:rPr/>
        <w:t>4.2 Reduced size for higher-risk categories</w:t>
      </w:r>
    </w:p>
    <w:p>
      <w:pPr>
        <w:pStyle w:val="BodyText"/>
        <w:numPr>
          <w:ilvl w:val="0"/>
          <w:numId w:val="467"/>
        </w:numPr>
        <w:tabs>
          <w:tab w:val="clear" w:pos="709"/>
          <w:tab w:val="left" w:pos="709" w:leader="none"/>
        </w:tabs>
        <w:bidi w:val="0"/>
        <w:spacing w:before="0" w:after="0"/>
        <w:ind w:hanging="283" w:start="709"/>
        <w:jc w:val="start"/>
        <w:rPr/>
      </w:pPr>
      <w:r>
        <w:rPr/>
        <w:t xml:space="preserve">For </w:t>
      </w:r>
      <w:r>
        <w:rPr>
          <w:b/>
        </w:rPr>
        <w:t>speculative growth companies</w:t>
      </w:r>
      <w:r>
        <w:rPr/>
        <w:t xml:space="preserve"> and </w:t>
      </w:r>
      <w:r>
        <w:rPr>
          <w:b/>
        </w:rPr>
        <w:t>turnaround companies</w:t>
      </w:r>
      <w:r>
        <w:rPr/>
        <w:t xml:space="preserve">: invest only </w:t>
      </w:r>
      <w:r>
        <w:rPr>
          <w:b/>
        </w:rPr>
        <w:t>half or one-third of the normal position</w:t>
      </w:r>
      <w:r>
        <w:rPr/>
        <w:t>.</w:t>
      </w:r>
    </w:p>
    <w:p>
      <w:pPr>
        <w:pStyle w:val="BodyText"/>
        <w:numPr>
          <w:ilvl w:val="1"/>
          <w:numId w:val="467"/>
        </w:numPr>
        <w:tabs>
          <w:tab w:val="clear" w:pos="709"/>
          <w:tab w:val="left" w:pos="1418" w:leader="none"/>
        </w:tabs>
        <w:bidi w:val="0"/>
        <w:ind w:hanging="283" w:start="1418"/>
        <w:jc w:val="start"/>
        <w:rPr/>
      </w:pPr>
      <w:r>
        <w:rPr/>
        <w:t xml:space="preserve">If normal allocation is 10% → buy </w:t>
      </w:r>
      <w:r>
        <w:rPr>
          <w:b/>
        </w:rPr>
        <w:t>5%</w:t>
      </w:r>
      <w:r>
        <w:rPr/>
        <w:t>.</w:t>
      </w:r>
    </w:p>
    <w:p>
      <w:pPr>
        <w:pStyle w:val="BodyText"/>
        <w:numPr>
          <w:ilvl w:val="1"/>
          <w:numId w:val="467"/>
        </w:numPr>
        <w:tabs>
          <w:tab w:val="clear" w:pos="709"/>
          <w:tab w:val="left" w:pos="1418" w:leader="none"/>
        </w:tabs>
        <w:bidi w:val="0"/>
        <w:ind w:hanging="283" w:start="1418"/>
        <w:jc w:val="start"/>
        <w:rPr/>
      </w:pPr>
      <w:r>
        <w:rPr/>
        <w:t xml:space="preserve">If normal allocation is 5% → buy </w:t>
      </w:r>
      <w:r>
        <w:rPr>
          <w:b/>
        </w:rPr>
        <w:t>2.5%</w:t>
      </w:r>
      <w:r>
        <w:rPr/>
        <w:t>.</w:t>
      </w:r>
    </w:p>
    <w:p>
      <w:pPr>
        <w:pStyle w:val="BodyText"/>
        <w:numPr>
          <w:ilvl w:val="1"/>
          <w:numId w:val="467"/>
        </w:numPr>
        <w:tabs>
          <w:tab w:val="clear" w:pos="709"/>
          <w:tab w:val="left" w:pos="1418" w:leader="none"/>
        </w:tabs>
        <w:bidi w:val="0"/>
        <w:ind w:hanging="283" w:start="1418"/>
        <w:jc w:val="start"/>
        <w:rPr/>
      </w:pPr>
      <w:r>
        <w:rPr/>
        <w:t xml:space="preserve">If normal allocation is 2% → buy </w:t>
      </w:r>
      <w:r>
        <w:rPr>
          <w:b/>
        </w:rPr>
        <w:t>1%</w:t>
      </w:r>
      <w:r>
        <w:rPr/>
        <w:t>.</w:t>
      </w:r>
    </w:p>
    <w:p>
      <w:pPr>
        <w:pStyle w:val="BodyText"/>
        <w:numPr>
          <w:ilvl w:val="0"/>
          <w:numId w:val="467"/>
        </w:numPr>
        <w:tabs>
          <w:tab w:val="clear" w:pos="709"/>
          <w:tab w:val="left" w:pos="709" w:leader="none"/>
        </w:tabs>
        <w:bidi w:val="0"/>
        <w:ind w:hanging="283" w:start="709"/>
        <w:jc w:val="start"/>
        <w:rPr/>
      </w:pPr>
      <w:r>
        <w:rPr/>
        <w:t xml:space="preserve">Rationale (worked through in Lesson 63): if a 1% speculative position goes to zero you lose 1% of the portfolio. In practice failures usually lose about half, so realistic damage is </w:t>
      </w:r>
      <w:r>
        <w:rPr>
          <w:b/>
        </w:rPr>
        <w:t>~0.5%</w:t>
      </w:r>
      <w:r>
        <w:rPr/>
        <w:t xml:space="preserve">. Winners in this category can go up </w:t>
      </w:r>
      <w:r>
        <w:rPr>
          <w:b/>
        </w:rPr>
        <w:t>5–10×</w:t>
      </w:r>
      <w:r>
        <w:rPr/>
        <w:t>.</w:t>
      </w:r>
    </w:p>
    <w:p>
      <w:pPr>
        <w:pStyle w:val="Heading4"/>
        <w:numPr>
          <w:ilvl w:val="0"/>
          <w:numId w:val="0"/>
        </w:numPr>
        <w:bidi w:val="0"/>
        <w:ind w:hanging="0" w:start="0"/>
        <w:jc w:val="start"/>
        <w:rPr/>
      </w:pPr>
      <w:r>
        <w:rPr/>
        <w:t>4.3 Fractional share math example ($10,000 / 10 stocks / $1,000 per stock)</w:t>
      </w:r>
    </w:p>
    <w:tbl>
      <w:tblPr>
        <w:tblW w:w="5000" w:type="pct"/>
        <w:jc w:val="start"/>
        <w:tblInd w:w="-5" w:type="dxa"/>
        <w:tblLayout w:type="fixed"/>
        <w:tblCellMar>
          <w:top w:w="55" w:type="dxa"/>
          <w:start w:w="55" w:type="dxa"/>
          <w:bottom w:w="55" w:type="dxa"/>
          <w:end w:w="55" w:type="dxa"/>
        </w:tblCellMar>
      </w:tblPr>
      <w:tblGrid>
        <w:gridCol w:w="2409"/>
        <w:gridCol w:w="2410"/>
        <w:gridCol w:w="2409"/>
        <w:gridCol w:w="2410"/>
      </w:tblGrid>
      <w:tr>
        <w:trPr>
          <w:tblHeader w:val="true"/>
        </w:trPr>
        <w:tc>
          <w:tcPr>
            <w:tcW w:w="2409" w:type="dxa"/>
            <w:tcBorders>
              <w:top w:val="single" w:sz="4" w:space="0" w:color="000000"/>
              <w:start w:val="single" w:sz="4" w:space="0" w:color="000000"/>
              <w:bottom w:val="single" w:sz="4" w:space="0" w:color="000000"/>
            </w:tcBorders>
          </w:tcPr>
          <w:p>
            <w:pPr>
              <w:pStyle w:val="TableHeading"/>
              <w:bidi w:val="0"/>
              <w:jc w:val="start"/>
              <w:rPr/>
            </w:pPr>
            <w:r>
              <w:rPr/>
              <w:t>Stock</w:t>
            </w:r>
          </w:p>
        </w:tc>
        <w:tc>
          <w:tcPr>
            <w:tcW w:w="2410" w:type="dxa"/>
            <w:tcBorders>
              <w:top w:val="single" w:sz="4" w:space="0" w:color="000000"/>
              <w:start w:val="single" w:sz="4" w:space="0" w:color="000000"/>
              <w:bottom w:val="single" w:sz="4" w:space="0" w:color="000000"/>
            </w:tcBorders>
          </w:tcPr>
          <w:p>
            <w:pPr>
              <w:pStyle w:val="TableHeading"/>
              <w:bidi w:val="0"/>
              <w:jc w:val="start"/>
              <w:rPr/>
            </w:pPr>
            <w:r>
              <w:rPr/>
              <w:t>Share price</w:t>
            </w:r>
          </w:p>
        </w:tc>
        <w:tc>
          <w:tcPr>
            <w:tcW w:w="2409" w:type="dxa"/>
            <w:tcBorders>
              <w:top w:val="single" w:sz="4" w:space="0" w:color="000000"/>
              <w:start w:val="single" w:sz="4" w:space="0" w:color="000000"/>
              <w:bottom w:val="single" w:sz="4" w:space="0" w:color="000000"/>
            </w:tcBorders>
          </w:tcPr>
          <w:p>
            <w:pPr>
              <w:pStyle w:val="TableHeading"/>
              <w:bidi w:val="0"/>
              <w:jc w:val="start"/>
              <w:rPr/>
            </w:pPr>
            <w:r>
              <w:rPr/>
              <w:t>Shares bought</w:t>
            </w:r>
          </w:p>
        </w:tc>
        <w:tc>
          <w:tcPr>
            <w:tcW w:w="2410"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Approx. value</w:t>
            </w:r>
          </w:p>
        </w:tc>
      </w:tr>
      <w:tr>
        <w:trPr/>
        <w:tc>
          <w:tcPr>
            <w:tcW w:w="2409" w:type="dxa"/>
            <w:tcBorders>
              <w:start w:val="single" w:sz="4" w:space="0" w:color="000000"/>
              <w:bottom w:val="single" w:sz="4" w:space="0" w:color="000000"/>
            </w:tcBorders>
          </w:tcPr>
          <w:p>
            <w:pPr>
              <w:pStyle w:val="TableContents"/>
              <w:bidi w:val="0"/>
              <w:jc w:val="start"/>
              <w:rPr/>
            </w:pPr>
            <w:r>
              <w:rPr/>
              <w:t>Amazon</w:t>
            </w:r>
          </w:p>
        </w:tc>
        <w:tc>
          <w:tcPr>
            <w:tcW w:w="2410" w:type="dxa"/>
            <w:tcBorders>
              <w:start w:val="single" w:sz="4" w:space="0" w:color="000000"/>
              <w:bottom w:val="single" w:sz="4" w:space="0" w:color="000000"/>
            </w:tcBorders>
          </w:tcPr>
          <w:p>
            <w:pPr>
              <w:pStyle w:val="TableContents"/>
              <w:bidi w:val="0"/>
              <w:jc w:val="start"/>
              <w:rPr/>
            </w:pPr>
            <w:r>
              <w:rPr/>
              <w:t>$150</w:t>
            </w:r>
          </w:p>
        </w:tc>
        <w:tc>
          <w:tcPr>
            <w:tcW w:w="2409" w:type="dxa"/>
            <w:tcBorders>
              <w:start w:val="single" w:sz="4" w:space="0" w:color="000000"/>
              <w:bottom w:val="single" w:sz="4" w:space="0" w:color="000000"/>
            </w:tcBorders>
          </w:tcPr>
          <w:p>
            <w:pPr>
              <w:pStyle w:val="TableContents"/>
              <w:bidi w:val="0"/>
              <w:jc w:val="start"/>
              <w:rPr/>
            </w:pPr>
            <w:r>
              <w:rPr>
                <w:b/>
              </w:rPr>
              <w:t>6</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strike/>
              </w:rPr>
              <w:t xml:space="preserve">$900 (7 shares would be </w:t>
            </w:r>
            <w:r>
              <w:rPr/>
              <w:t>$1,050)</w:t>
            </w:r>
          </w:p>
        </w:tc>
      </w:tr>
      <w:tr>
        <w:trPr/>
        <w:tc>
          <w:tcPr>
            <w:tcW w:w="2409" w:type="dxa"/>
            <w:tcBorders>
              <w:start w:val="single" w:sz="4" w:space="0" w:color="000000"/>
              <w:bottom w:val="single" w:sz="4" w:space="0" w:color="000000"/>
            </w:tcBorders>
          </w:tcPr>
          <w:p>
            <w:pPr>
              <w:pStyle w:val="TableContents"/>
              <w:bidi w:val="0"/>
              <w:jc w:val="start"/>
              <w:rPr/>
            </w:pPr>
            <w:r>
              <w:rPr/>
              <w:t>Alphabet</w:t>
            </w:r>
          </w:p>
        </w:tc>
        <w:tc>
          <w:tcPr>
            <w:tcW w:w="2410" w:type="dxa"/>
            <w:tcBorders>
              <w:start w:val="single" w:sz="4" w:space="0" w:color="000000"/>
              <w:bottom w:val="single" w:sz="4" w:space="0" w:color="000000"/>
            </w:tcBorders>
          </w:tcPr>
          <w:p>
            <w:pPr>
              <w:pStyle w:val="TableContents"/>
              <w:bidi w:val="0"/>
              <w:jc w:val="start"/>
              <w:rPr/>
            </w:pPr>
            <w:r>
              <w:rPr/>
              <w:t>—</w:t>
            </w:r>
          </w:p>
        </w:tc>
        <w:tc>
          <w:tcPr>
            <w:tcW w:w="2409" w:type="dxa"/>
            <w:tcBorders>
              <w:start w:val="single" w:sz="4" w:space="0" w:color="000000"/>
              <w:bottom w:val="single" w:sz="4" w:space="0" w:color="000000"/>
            </w:tcBorders>
          </w:tcPr>
          <w:p>
            <w:pPr>
              <w:pStyle w:val="TableContents"/>
              <w:bidi w:val="0"/>
              <w:jc w:val="start"/>
              <w:rPr/>
            </w:pPr>
            <w:r>
              <w:rPr>
                <w:b/>
              </w:rPr>
              <w:t>7</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~$1,000</w:t>
            </w:r>
          </w:p>
        </w:tc>
      </w:tr>
      <w:tr>
        <w:trPr/>
        <w:tc>
          <w:tcPr>
            <w:tcW w:w="2409" w:type="dxa"/>
            <w:tcBorders>
              <w:start w:val="single" w:sz="4" w:space="0" w:color="000000"/>
              <w:bottom w:val="single" w:sz="4" w:space="0" w:color="000000"/>
            </w:tcBorders>
          </w:tcPr>
          <w:p>
            <w:pPr>
              <w:pStyle w:val="TableContents"/>
              <w:bidi w:val="0"/>
              <w:jc w:val="start"/>
              <w:rPr/>
            </w:pPr>
            <w:r>
              <w:rPr/>
              <w:t>Meta</w:t>
            </w:r>
          </w:p>
        </w:tc>
        <w:tc>
          <w:tcPr>
            <w:tcW w:w="2410" w:type="dxa"/>
            <w:tcBorders>
              <w:start w:val="single" w:sz="4" w:space="0" w:color="000000"/>
              <w:bottom w:val="single" w:sz="4" w:space="0" w:color="000000"/>
            </w:tcBorders>
          </w:tcPr>
          <w:p>
            <w:pPr>
              <w:pStyle w:val="TableContents"/>
              <w:bidi w:val="0"/>
              <w:jc w:val="start"/>
              <w:rPr/>
            </w:pPr>
            <w:r>
              <w:rPr/>
              <w:t>—</w:t>
            </w:r>
          </w:p>
        </w:tc>
        <w:tc>
          <w:tcPr>
            <w:tcW w:w="2409" w:type="dxa"/>
            <w:tcBorders>
              <w:start w:val="single" w:sz="4" w:space="0" w:color="000000"/>
              <w:bottom w:val="single" w:sz="4" w:space="0" w:color="000000"/>
            </w:tcBorders>
          </w:tcPr>
          <w:p>
            <w:pPr>
              <w:pStyle w:val="TableContents"/>
              <w:bidi w:val="0"/>
              <w:jc w:val="start"/>
              <w:rPr/>
            </w:pPr>
            <w:r>
              <w:rPr>
                <w:b/>
              </w:rPr>
              <w:t>3</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~$1,000</w:t>
            </w:r>
          </w:p>
        </w:tc>
      </w:tr>
      <w:tr>
        <w:trPr/>
        <w:tc>
          <w:tcPr>
            <w:tcW w:w="2409" w:type="dxa"/>
            <w:tcBorders>
              <w:start w:val="single" w:sz="4" w:space="0" w:color="000000"/>
              <w:bottom w:val="single" w:sz="4" w:space="0" w:color="000000"/>
            </w:tcBorders>
          </w:tcPr>
          <w:p>
            <w:pPr>
              <w:pStyle w:val="TableContents"/>
              <w:bidi w:val="0"/>
              <w:jc w:val="start"/>
              <w:rPr/>
            </w:pPr>
            <w:r>
              <w:rPr/>
              <w:t>NVIDIA</w:t>
            </w:r>
          </w:p>
        </w:tc>
        <w:tc>
          <w:tcPr>
            <w:tcW w:w="2410" w:type="dxa"/>
            <w:tcBorders>
              <w:start w:val="single" w:sz="4" w:space="0" w:color="000000"/>
              <w:bottom w:val="single" w:sz="4" w:space="0" w:color="000000"/>
            </w:tcBorders>
          </w:tcPr>
          <w:p>
            <w:pPr>
              <w:pStyle w:val="TableContents"/>
              <w:bidi w:val="0"/>
              <w:jc w:val="start"/>
              <w:rPr/>
            </w:pPr>
            <w:r>
              <w:rPr/>
              <w:t>$350</w:t>
            </w:r>
          </w:p>
        </w:tc>
        <w:tc>
          <w:tcPr>
            <w:tcW w:w="2409" w:type="dxa"/>
            <w:tcBorders>
              <w:start w:val="single" w:sz="4" w:space="0" w:color="000000"/>
              <w:bottom w:val="single" w:sz="4" w:space="0" w:color="000000"/>
            </w:tcBorders>
          </w:tcPr>
          <w:p>
            <w:pPr>
              <w:pStyle w:val="TableContents"/>
              <w:bidi w:val="0"/>
              <w:jc w:val="start"/>
              <w:rPr/>
            </w:pPr>
            <w:r>
              <w:rPr>
                <w:b/>
              </w:rPr>
              <w:t>3</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~$1,050</w:t>
            </w:r>
          </w:p>
        </w:tc>
      </w:tr>
    </w:tbl>
    <w:p>
      <w:pPr>
        <w:pStyle w:val="BodyText"/>
        <w:bidi w:val="0"/>
        <w:jc w:val="start"/>
        <w:rPr/>
      </w:pPr>
      <w:r>
        <w:rPr/>
      </w:r>
    </w:p>
    <w:p>
      <w:pPr>
        <w:pStyle w:val="BodyText"/>
        <w:numPr>
          <w:ilvl w:val="0"/>
          <w:numId w:val="468"/>
        </w:numPr>
        <w:tabs>
          <w:tab w:val="clear" w:pos="709"/>
          <w:tab w:val="left" w:pos="709" w:leader="none"/>
        </w:tabs>
        <w:bidi w:val="0"/>
        <w:ind w:hanging="283" w:start="709"/>
        <w:jc w:val="start"/>
        <w:rPr/>
      </w:pPr>
      <w:r>
        <w:rPr/>
        <w:t>You can't hit exactly $1,000 — slightly under or slightly over is fine; it is "roughly a 10% allocation."</w:t>
      </w:r>
    </w:p>
    <w:p>
      <w:pPr>
        <w:pStyle w:val="Heading4"/>
        <w:numPr>
          <w:ilvl w:val="0"/>
          <w:numId w:val="0"/>
        </w:numPr>
        <w:bidi w:val="0"/>
        <w:ind w:hanging="0" w:start="0"/>
        <w:jc w:val="start"/>
        <w:rPr/>
      </w:pPr>
      <w:r>
        <w:rPr/>
        <w:t>4.4 The three conditions for ADDING shares</w:t>
      </w:r>
    </w:p>
    <w:p>
      <w:pPr>
        <w:pStyle w:val="BodyText"/>
        <w:bidi w:val="0"/>
        <w:jc w:val="start"/>
        <w:rPr/>
      </w:pPr>
      <w:r>
        <w:rPr/>
        <w:t xml:space="preserve">Add shares only if </w:t>
      </w:r>
      <w:r>
        <w:rPr>
          <w:b/>
        </w:rPr>
        <w:t>all three</w:t>
      </w:r>
      <w:r>
        <w:rPr/>
        <w:t xml:space="preserve"> are true:</w:t>
      </w:r>
    </w:p>
    <w:p>
      <w:pPr>
        <w:pStyle w:val="BodyText"/>
        <w:numPr>
          <w:ilvl w:val="0"/>
          <w:numId w:val="469"/>
        </w:numPr>
        <w:tabs>
          <w:tab w:val="clear" w:pos="709"/>
          <w:tab w:val="left" w:pos="709" w:leader="none"/>
        </w:tabs>
        <w:bidi w:val="0"/>
        <w:ind w:hanging="283" w:start="709"/>
        <w:jc w:val="start"/>
        <w:rPr/>
      </w:pPr>
      <w:r>
        <w:rPr/>
        <w:t xml:space="preserve">The stock is </w:t>
      </w:r>
      <w:r>
        <w:rPr>
          <w:b/>
        </w:rPr>
        <w:t>undervalued</w:t>
      </w:r>
      <w:r>
        <w:rPr/>
        <w:t xml:space="preserve"> — share price below calculated intrinsic value.</w:t>
      </w:r>
    </w:p>
    <w:p>
      <w:pPr>
        <w:pStyle w:val="BodyText"/>
        <w:numPr>
          <w:ilvl w:val="0"/>
          <w:numId w:val="469"/>
        </w:numPr>
        <w:tabs>
          <w:tab w:val="clear" w:pos="709"/>
          <w:tab w:val="left" w:pos="709" w:leader="none"/>
        </w:tabs>
        <w:bidi w:val="0"/>
        <w:ind w:hanging="283" w:start="709"/>
        <w:jc w:val="start"/>
        <w:rPr/>
      </w:pPr>
      <w:r>
        <w:rPr/>
        <w:t xml:space="preserve">The share price has </w:t>
      </w:r>
      <w:r>
        <w:rPr>
          <w:b/>
        </w:rPr>
        <w:t>waved down / retraced to a level of support</w:t>
      </w:r>
      <w:r>
        <w:rPr/>
        <w:t>.</w:t>
      </w:r>
    </w:p>
    <w:p>
      <w:pPr>
        <w:pStyle w:val="BodyText"/>
        <w:numPr>
          <w:ilvl w:val="0"/>
          <w:numId w:val="469"/>
        </w:numPr>
        <w:tabs>
          <w:tab w:val="clear" w:pos="709"/>
          <w:tab w:val="left" w:pos="709" w:leader="none"/>
        </w:tabs>
        <w:bidi w:val="0"/>
        <w:ind w:hanging="283" w:start="709"/>
        <w:jc w:val="start"/>
        <w:rPr/>
      </w:pPr>
      <w:r>
        <w:rPr/>
        <w:t xml:space="preserve">You </w:t>
      </w:r>
      <w:r>
        <w:rPr>
          <w:b/>
        </w:rPr>
        <w:t>do not yet have a full position</w:t>
      </w:r>
      <w:r>
        <w:rPr/>
        <w:t xml:space="preserve"> in that stock.</w:t>
      </w:r>
    </w:p>
    <w:p>
      <w:pPr>
        <w:pStyle w:val="BlockQuotation"/>
        <w:bidi w:val="0"/>
        <w:jc w:val="start"/>
        <w:rPr/>
      </w:pPr>
      <w:r>
        <w:rPr/>
        <w:t>"Once a particular stock has a full allocation, I will not add more shares... Never go more than your full allocation." — the discipline rule.</w:t>
      </w:r>
    </w:p>
    <w:p>
      <w:pPr>
        <w:pStyle w:val="Heading4"/>
        <w:bidi w:val="0"/>
        <w:ind w:hanging="0" w:start="0"/>
        <w:jc w:val="start"/>
        <w:rPr/>
      </w:pPr>
      <w:r>
        <w:rPr/>
        <w:t>4.5 Buying in tranches</w:t>
      </w:r>
    </w:p>
    <w:p>
      <w:pPr>
        <w:pStyle w:val="BodyText"/>
        <w:numPr>
          <w:ilvl w:val="0"/>
          <w:numId w:val="470"/>
        </w:numPr>
        <w:tabs>
          <w:tab w:val="clear" w:pos="709"/>
          <w:tab w:val="left" w:pos="709" w:leader="none"/>
        </w:tabs>
        <w:bidi w:val="0"/>
        <w:ind w:hanging="283" w:start="709"/>
        <w:jc w:val="start"/>
        <w:rPr/>
      </w:pPr>
      <w:r>
        <w:rPr/>
        <w:t xml:space="preserve">Never buy a full position in one go. Buy in </w:t>
      </w:r>
      <w:r>
        <w:rPr>
          <w:b/>
        </w:rPr>
        <w:t>3 to 4 tranches</w:t>
      </w:r>
      <w:r>
        <w:rPr/>
        <w:t xml:space="preserve"> (typically </w:t>
      </w:r>
      <w:r>
        <w:rPr>
          <w:b/>
        </w:rPr>
        <w:t>quarter positions</w:t>
      </w:r>
      <w:r>
        <w:rPr/>
        <w:t>).</w:t>
      </w:r>
    </w:p>
    <w:p>
      <w:pPr>
        <w:pStyle w:val="BodyText"/>
        <w:numPr>
          <w:ilvl w:val="0"/>
          <w:numId w:val="470"/>
        </w:numPr>
        <w:tabs>
          <w:tab w:val="clear" w:pos="709"/>
          <w:tab w:val="left" w:pos="709" w:leader="none"/>
        </w:tabs>
        <w:bidi w:val="0"/>
        <w:ind w:hanging="283" w:start="709"/>
        <w:jc w:val="start"/>
        <w:rPr/>
      </w:pPr>
      <w:r>
        <w:rPr/>
        <w:t xml:space="preserve">Mechanic: price becomes undervalued and hits </w:t>
      </w:r>
      <w:r>
        <w:rPr>
          <w:b/>
        </w:rPr>
        <w:t>support level 1</w:t>
      </w:r>
      <w:r>
        <w:rPr/>
        <w:t xml:space="preserve"> → buy ¼. Drops to </w:t>
      </w:r>
      <w:r>
        <w:rPr>
          <w:b/>
        </w:rPr>
        <w:t>support level 2</w:t>
      </w:r>
      <w:r>
        <w:rPr/>
        <w:t xml:space="preserve"> → buy another ¼. Continue until the full allocation is reached.</w:t>
      </w:r>
    </w:p>
    <w:p>
      <w:pPr>
        <w:pStyle w:val="BodyText"/>
        <w:numPr>
          <w:ilvl w:val="0"/>
          <w:numId w:val="470"/>
        </w:numPr>
        <w:tabs>
          <w:tab w:val="clear" w:pos="709"/>
          <w:tab w:val="left" w:pos="709" w:leader="none"/>
        </w:tabs>
        <w:bidi w:val="0"/>
        <w:ind w:hanging="283" w:start="709"/>
        <w:jc w:val="start"/>
        <w:rPr/>
      </w:pPr>
      <w:r>
        <w:rPr/>
        <w:t>Applied to the 6-share Amazon example: buy 1–2 shares at the first support level, another 2 at the second, etc., until 6 shares are held.</w:t>
      </w:r>
    </w:p>
    <w:p>
      <w:pPr>
        <w:pStyle w:val="BodyText"/>
        <w:numPr>
          <w:ilvl w:val="0"/>
          <w:numId w:val="470"/>
        </w:numPr>
        <w:tabs>
          <w:tab w:val="clear" w:pos="709"/>
          <w:tab w:val="left" w:pos="709" w:leader="none"/>
        </w:tabs>
        <w:bidi w:val="0"/>
        <w:spacing w:before="0" w:after="0"/>
        <w:ind w:hanging="283" w:start="709"/>
        <w:jc w:val="start"/>
        <w:rPr/>
      </w:pPr>
      <w:r>
        <w:rPr>
          <w:b/>
        </w:rPr>
        <w:t>Apple worked example (real buy levels from his chart):</w:t>
      </w:r>
    </w:p>
    <w:p>
      <w:pPr>
        <w:pStyle w:val="BodyText"/>
        <w:numPr>
          <w:ilvl w:val="1"/>
          <w:numId w:val="470"/>
        </w:numPr>
        <w:tabs>
          <w:tab w:val="clear" w:pos="709"/>
          <w:tab w:val="left" w:pos="1418" w:leader="none"/>
        </w:tabs>
        <w:bidi w:val="0"/>
        <w:ind w:hanging="283" w:start="1418"/>
        <w:jc w:val="start"/>
        <w:rPr/>
      </w:pPr>
      <w:r>
        <w:rPr/>
        <w:t xml:space="preserve">Intrinsic value line ≈ </w:t>
      </w:r>
      <w:r>
        <w:rPr>
          <w:b/>
        </w:rPr>
        <w:t>$170</w:t>
      </w:r>
    </w:p>
    <w:p>
      <w:pPr>
        <w:pStyle w:val="BodyText"/>
        <w:numPr>
          <w:ilvl w:val="1"/>
          <w:numId w:val="470"/>
        </w:numPr>
        <w:tabs>
          <w:tab w:val="clear" w:pos="709"/>
          <w:tab w:val="left" w:pos="1418" w:leader="none"/>
        </w:tabs>
        <w:bidi w:val="0"/>
        <w:ind w:hanging="283" w:start="1418"/>
        <w:jc w:val="start"/>
        <w:rPr/>
      </w:pPr>
      <w:r>
        <w:rPr/>
        <w:t xml:space="preserve">Buy levels: </w:t>
      </w:r>
      <w:r>
        <w:rPr>
          <w:b/>
        </w:rPr>
        <w:t>$165, $157, $150, $141</w:t>
      </w:r>
    </w:p>
    <w:p>
      <w:pPr>
        <w:pStyle w:val="BodyText"/>
        <w:numPr>
          <w:ilvl w:val="1"/>
          <w:numId w:val="470"/>
        </w:numPr>
        <w:tabs>
          <w:tab w:val="clear" w:pos="709"/>
          <w:tab w:val="left" w:pos="1418" w:leader="none"/>
        </w:tabs>
        <w:bidi w:val="0"/>
        <w:ind w:hanging="283" w:start="1418"/>
        <w:jc w:val="start"/>
        <w:rPr/>
      </w:pPr>
      <w:r>
        <w:rPr/>
        <w:t xml:space="preserve">Apple only reached the </w:t>
      </w:r>
      <w:r>
        <w:rPr>
          <w:b/>
        </w:rPr>
        <w:t>first</w:t>
      </w:r>
      <w:r>
        <w:rPr/>
        <w:t xml:space="preserve"> buy level → only </w:t>
      </w:r>
      <w:r>
        <w:rPr>
          <w:b/>
        </w:rPr>
        <w:t>one quarter</w:t>
      </w:r>
      <w:r>
        <w:rPr/>
        <w:t xml:space="preserve"> bought → it then flew up, so the position stayed under-filled.</w:t>
      </w:r>
    </w:p>
    <w:p>
      <w:pPr>
        <w:pStyle w:val="Heading4"/>
        <w:numPr>
          <w:ilvl w:val="0"/>
          <w:numId w:val="0"/>
        </w:numPr>
        <w:bidi w:val="0"/>
        <w:ind w:hanging="0" w:start="0"/>
        <w:jc w:val="start"/>
        <w:rPr/>
      </w:pPr>
      <w:r>
        <w:rPr/>
        <w:t>4.6 The portfolio is NEVER perfectly balanced — and that's correct</w:t>
      </w:r>
    </w:p>
    <w:p>
      <w:pPr>
        <w:pStyle w:val="BodyText"/>
        <w:numPr>
          <w:ilvl w:val="0"/>
          <w:numId w:val="471"/>
        </w:numPr>
        <w:tabs>
          <w:tab w:val="clear" w:pos="709"/>
          <w:tab w:val="left" w:pos="709" w:leader="none"/>
        </w:tabs>
        <w:bidi w:val="0"/>
        <w:ind w:hanging="283" w:start="709"/>
        <w:jc w:val="start"/>
        <w:rPr/>
      </w:pPr>
      <w:r>
        <w:rPr/>
        <w:t xml:space="preserve">At any point in time you will </w:t>
      </w:r>
      <w:r>
        <w:rPr>
          <w:b/>
        </w:rPr>
        <w:t>not</w:t>
      </w:r>
      <w:r>
        <w:rPr/>
        <w:t xml:space="preserve"> have exactly the target weight in every stock, because not all stocks are at a buy point simultaneously.</w:t>
      </w:r>
    </w:p>
    <w:p>
      <w:pPr>
        <w:pStyle w:val="BodyText"/>
        <w:numPr>
          <w:ilvl w:val="0"/>
          <w:numId w:val="471"/>
        </w:numPr>
        <w:tabs>
          <w:tab w:val="clear" w:pos="709"/>
          <w:tab w:val="left" w:pos="709" w:leader="none"/>
        </w:tabs>
        <w:bidi w:val="0"/>
        <w:ind w:hanging="283" w:start="709"/>
        <w:jc w:val="start"/>
        <w:rPr/>
      </w:pPr>
      <w:r>
        <w:rPr/>
        <w:t xml:space="preserve">Illustration: NVIDIA overvalued → </w:t>
      </w:r>
      <w:r>
        <w:rPr>
          <w:b/>
        </w:rPr>
        <w:t>0% allocation</w:t>
      </w:r>
      <w:r>
        <w:rPr/>
        <w:t xml:space="preserve"> held; Amazon dropped all the way → </w:t>
      </w:r>
      <w:r>
        <w:rPr>
          <w:b/>
        </w:rPr>
        <w:t>full allocation</w:t>
      </w:r>
      <w:r>
        <w:rPr/>
        <w:t xml:space="preserve">; Apple dropped to only the 1st/2nd buy level → </w:t>
      </w:r>
      <w:r>
        <w:rPr>
          <w:b/>
        </w:rPr>
        <w:t>half allocation (5% instead of 10%)</w:t>
      </w:r>
      <w:r>
        <w:rPr/>
        <w:t>, the rest bought only if it falls further.</w:t>
      </w:r>
    </w:p>
    <w:p>
      <w:pPr>
        <w:pStyle w:val="BodyText"/>
        <w:numPr>
          <w:ilvl w:val="0"/>
          <w:numId w:val="471"/>
        </w:numPr>
        <w:tabs>
          <w:tab w:val="clear" w:pos="709"/>
          <w:tab w:val="left" w:pos="709" w:leader="none"/>
        </w:tabs>
        <w:bidi w:val="0"/>
        <w:ind w:hanging="283" w:start="709"/>
        <w:jc w:val="start"/>
        <w:rPr/>
      </w:pPr>
      <w:r>
        <w:rPr/>
        <w:t xml:space="preserve">Real snapshot from Adam's ~40-stock portfolio (full allocation = 2.5%): | Holding | Actual weight | Reason | |---|---|---| | Apple | </w:t>
      </w:r>
      <w:r>
        <w:rPr>
          <w:b/>
        </w:rPr>
        <w:t>1.7%</w:t>
      </w:r>
      <w:r>
        <w:rPr/>
        <w:t xml:space="preserve"> (also stated as 1.77%) | Only hit the 1st buy level; bought ¼ then it rallied away | | ServiceNow | </w:t>
      </w:r>
      <w:r>
        <w:rPr>
          <w:b/>
        </w:rPr>
        <w:t>~2.5%</w:t>
      </w:r>
      <w:r>
        <w:rPr/>
        <w:t xml:space="preserve"> | Full allocation achieved | | Meta | </w:t>
      </w:r>
      <w:r>
        <w:rPr>
          <w:b/>
        </w:rPr>
        <w:t>6.9%</w:t>
      </w:r>
      <w:r>
        <w:rPr/>
        <w:t xml:space="preserve"> | Grew </w:t>
      </w:r>
      <w:r>
        <w:rPr>
          <w:b/>
        </w:rPr>
        <w:t>organically</w:t>
      </w:r>
      <w:r>
        <w:rPr/>
        <w:t xml:space="preserve"> from 2.5% as the share price rose | | (new position, recently bought) | </w:t>
      </w:r>
      <w:r>
        <w:rPr>
          <w:b/>
        </w:rPr>
        <w:t>0.96%</w:t>
      </w:r>
      <w:r>
        <w:rPr/>
        <w:t xml:space="preserve"> | Bought a quarter position; slightly above ¼ because it rose after purchase |</w:t>
      </w:r>
    </w:p>
    <w:p>
      <w:pPr>
        <w:pStyle w:val="HorizontalLine"/>
        <w:bidi w:val="0"/>
        <w:jc w:val="start"/>
        <w:rPr/>
      </w:pPr>
      <w:r>
        <w:rPr/>
      </w:r>
    </w:p>
    <w:p>
      <w:pPr>
        <w:pStyle w:val="Heading3"/>
        <w:bidi w:val="0"/>
        <w:ind w:hanging="0" w:start="0"/>
        <w:jc w:val="start"/>
        <w:rPr/>
      </w:pPr>
      <w:r>
        <w:rPr/>
        <w:t>5. Rebalancing Rules (Both Directions = NO)</w:t>
      </w:r>
    </w:p>
    <w:tbl>
      <w:tblPr>
        <w:tblW w:w="5000" w:type="pct"/>
        <w:jc w:val="start"/>
        <w:tblInd w:w="-5" w:type="dxa"/>
        <w:tblLayout w:type="fixed"/>
        <w:tblCellMar>
          <w:top w:w="55" w:type="dxa"/>
          <w:start w:w="55" w:type="dxa"/>
          <w:bottom w:w="55" w:type="dxa"/>
          <w:end w:w="55" w:type="dxa"/>
        </w:tblCellMar>
      </w:tblPr>
      <w:tblGrid>
        <w:gridCol w:w="3212"/>
        <w:gridCol w:w="3213"/>
        <w:gridCol w:w="3213"/>
      </w:tblGrid>
      <w:tr>
        <w:trPr>
          <w:tblHeader w:val="true"/>
        </w:trPr>
        <w:tc>
          <w:tcPr>
            <w:tcW w:w="3212" w:type="dxa"/>
            <w:tcBorders>
              <w:top w:val="single" w:sz="4" w:space="0" w:color="000000"/>
              <w:start w:val="single" w:sz="4" w:space="0" w:color="000000"/>
              <w:bottom w:val="single" w:sz="4" w:space="0" w:color="000000"/>
            </w:tcBorders>
          </w:tcPr>
          <w:p>
            <w:pPr>
              <w:pStyle w:val="TableHeading"/>
              <w:bidi w:val="0"/>
              <w:jc w:val="start"/>
              <w:rPr/>
            </w:pPr>
            <w:r>
              <w:rPr/>
              <w:t>Situation</w:t>
            </w:r>
          </w:p>
        </w:tc>
        <w:tc>
          <w:tcPr>
            <w:tcW w:w="3213" w:type="dxa"/>
            <w:tcBorders>
              <w:top w:val="single" w:sz="4" w:space="0" w:color="000000"/>
              <w:start w:val="single" w:sz="4" w:space="0" w:color="000000"/>
              <w:bottom w:val="single" w:sz="4" w:space="0" w:color="000000"/>
            </w:tcBorders>
          </w:tcPr>
          <w:p>
            <w:pPr>
              <w:pStyle w:val="TableHeading"/>
              <w:bidi w:val="0"/>
              <w:jc w:val="start"/>
              <w:rPr/>
            </w:pPr>
            <w:r>
              <w:rPr/>
              <w:t>Action</w:t>
            </w:r>
          </w:p>
        </w:tc>
        <w:tc>
          <w:tcPr>
            <w:tcW w:w="3213"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Reasoning</w:t>
            </w:r>
          </w:p>
        </w:tc>
      </w:tr>
      <w:tr>
        <w:trPr/>
        <w:tc>
          <w:tcPr>
            <w:tcW w:w="3212" w:type="dxa"/>
            <w:tcBorders>
              <w:start w:val="single" w:sz="4" w:space="0" w:color="000000"/>
              <w:bottom w:val="single" w:sz="4" w:space="0" w:color="000000"/>
            </w:tcBorders>
          </w:tcPr>
          <w:p>
            <w:pPr>
              <w:pStyle w:val="TableContents"/>
              <w:bidi w:val="0"/>
              <w:jc w:val="start"/>
              <w:rPr/>
            </w:pPr>
            <w:r>
              <w:rPr/>
              <w:t xml:space="preserve">Position </w:t>
            </w:r>
            <w:r>
              <w:rPr>
                <w:b/>
              </w:rPr>
              <w:t>grows</w:t>
            </w:r>
            <w:r>
              <w:rPr/>
              <w:t xml:space="preserve"> above full allocation (e.g. Meta 2.5% → 6.9%; NVIDIA 5% → 10%)</w:t>
            </w:r>
          </w:p>
        </w:tc>
        <w:tc>
          <w:tcPr>
            <w:tcW w:w="3213" w:type="dxa"/>
            <w:tcBorders>
              <w:start w:val="single" w:sz="4" w:space="0" w:color="000000"/>
              <w:bottom w:val="single" w:sz="4" w:space="0" w:color="000000"/>
            </w:tcBorders>
          </w:tcPr>
          <w:p>
            <w:pPr>
              <w:pStyle w:val="TableContents"/>
              <w:bidi w:val="0"/>
              <w:jc w:val="start"/>
              <w:rPr/>
            </w:pPr>
            <w:r>
              <w:rPr>
                <w:b/>
              </w:rPr>
              <w:t>Do NOT sell to rebalance down</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 xml:space="preserve">As long as the company is still great, still growing, and </w:t>
            </w:r>
            <w:r>
              <w:rPr>
                <w:b/>
              </w:rPr>
              <w:t>not crazily overvalued</w:t>
            </w:r>
            <w:r>
              <w:rPr/>
              <w:t xml:space="preserve">, let it run. "Let it grow to its fullest potential. </w:t>
            </w:r>
            <w:r>
              <w:rPr>
                <w:b/>
              </w:rPr>
              <w:t>Do not cut your flowers.</w:t>
            </w:r>
            <w:r>
              <w:rPr/>
              <w:t>" This is what Buffett and Peter Lynch do.</w:t>
            </w:r>
          </w:p>
        </w:tc>
      </w:tr>
      <w:tr>
        <w:trPr/>
        <w:tc>
          <w:tcPr>
            <w:tcW w:w="3212" w:type="dxa"/>
            <w:tcBorders>
              <w:start w:val="single" w:sz="4" w:space="0" w:color="000000"/>
              <w:bottom w:val="single" w:sz="4" w:space="0" w:color="000000"/>
            </w:tcBorders>
          </w:tcPr>
          <w:p>
            <w:pPr>
              <w:pStyle w:val="TableContents"/>
              <w:bidi w:val="0"/>
              <w:jc w:val="start"/>
              <w:rPr/>
            </w:pPr>
            <w:r>
              <w:rPr/>
              <w:t xml:space="preserve">Position </w:t>
            </w:r>
            <w:r>
              <w:rPr>
                <w:b/>
              </w:rPr>
              <w:t>falls</w:t>
            </w:r>
            <w:r>
              <w:rPr/>
              <w:t xml:space="preserve"> below full allocation (e.g. 2.5% → 1.25%, or 5% → 2.5%) purely from price decline</w:t>
            </w:r>
          </w:p>
        </w:tc>
        <w:tc>
          <w:tcPr>
            <w:tcW w:w="3213" w:type="dxa"/>
            <w:tcBorders>
              <w:start w:val="single" w:sz="4" w:space="0" w:color="000000"/>
              <w:bottom w:val="single" w:sz="4" w:space="0" w:color="000000"/>
            </w:tcBorders>
          </w:tcPr>
          <w:p>
            <w:pPr>
              <w:pStyle w:val="TableContents"/>
              <w:bidi w:val="0"/>
              <w:jc w:val="start"/>
              <w:rPr/>
            </w:pPr>
            <w:r>
              <w:rPr>
                <w:b/>
              </w:rPr>
              <w:t>Do NOT top up to restore the weight</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Once the full allocation has been bought, that's it — the position "either grows organically or drops organically."</w:t>
            </w:r>
          </w:p>
        </w:tc>
      </w:tr>
      <w:tr>
        <w:trPr/>
        <w:tc>
          <w:tcPr>
            <w:tcW w:w="3212" w:type="dxa"/>
            <w:tcBorders>
              <w:start w:val="single" w:sz="4" w:space="0" w:color="000000"/>
              <w:bottom w:val="single" w:sz="4" w:space="0" w:color="000000"/>
            </w:tcBorders>
          </w:tcPr>
          <w:p>
            <w:pPr>
              <w:pStyle w:val="TableContents"/>
              <w:bidi w:val="0"/>
              <w:jc w:val="start"/>
              <w:rPr/>
            </w:pPr>
            <w:r>
              <w:rPr/>
              <w:t>Buying more before full allocation is reached</w:t>
            </w:r>
          </w:p>
        </w:tc>
        <w:tc>
          <w:tcPr>
            <w:tcW w:w="3213" w:type="dxa"/>
            <w:tcBorders>
              <w:start w:val="single" w:sz="4" w:space="0" w:color="000000"/>
              <w:bottom w:val="single" w:sz="4" w:space="0" w:color="000000"/>
            </w:tcBorders>
          </w:tcPr>
          <w:p>
            <w:pPr>
              <w:pStyle w:val="TableContents"/>
              <w:bidi w:val="0"/>
              <w:jc w:val="start"/>
              <w:rPr/>
            </w:pPr>
            <w:r>
              <w:rPr>
                <w:b/>
              </w:rPr>
              <w:t>Allowed</w:t>
            </w:r>
            <w:r>
              <w:rPr/>
              <w:t>, but only if undervalued + at support + not yet full</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The tranche-building rule (§4.4)</w:t>
            </w:r>
          </w:p>
        </w:tc>
      </w:tr>
      <w:tr>
        <w:trPr/>
        <w:tc>
          <w:tcPr>
            <w:tcW w:w="3212" w:type="dxa"/>
            <w:tcBorders>
              <w:start w:val="single" w:sz="4" w:space="0" w:color="000000"/>
              <w:bottom w:val="single" w:sz="4" w:space="0" w:color="000000"/>
            </w:tcBorders>
          </w:tcPr>
          <w:p>
            <w:pPr>
              <w:pStyle w:val="TableContents"/>
              <w:bidi w:val="0"/>
              <w:jc w:val="start"/>
              <w:rPr/>
            </w:pPr>
            <w:r>
              <w:rPr/>
              <w:t>Adding new annual capital</w:t>
            </w:r>
          </w:p>
        </w:tc>
        <w:tc>
          <w:tcPr>
            <w:tcW w:w="3213" w:type="dxa"/>
            <w:tcBorders>
              <w:start w:val="single" w:sz="4" w:space="0" w:color="000000"/>
              <w:bottom w:val="single" w:sz="4" w:space="0" w:color="000000"/>
            </w:tcBorders>
          </w:tcPr>
          <w:p>
            <w:pPr>
              <w:pStyle w:val="TableContents"/>
              <w:bidi w:val="0"/>
              <w:jc w:val="start"/>
              <w:rPr/>
            </w:pPr>
            <w:r>
              <w:rPr/>
              <w:t>Divide the new money across the target stock count again and top up per the buy rules</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r>
          </w:p>
        </w:tc>
      </w:tr>
    </w:tbl>
    <w:p>
      <w:pPr>
        <w:pStyle w:val="BodyText"/>
        <w:bidi w:val="0"/>
        <w:jc w:val="start"/>
        <w:rPr/>
      </w:pPr>
      <w:r>
        <w:rPr/>
      </w:r>
    </w:p>
    <w:p>
      <w:pPr>
        <w:pStyle w:val="BodyText"/>
        <w:numPr>
          <w:ilvl w:val="0"/>
          <w:numId w:val="472"/>
        </w:numPr>
        <w:tabs>
          <w:tab w:val="clear" w:pos="709"/>
          <w:tab w:val="left" w:pos="709" w:leader="none"/>
        </w:tabs>
        <w:bidi w:val="0"/>
        <w:ind w:hanging="283" w:start="709"/>
        <w:jc w:val="start"/>
        <w:rPr/>
      </w:pPr>
      <w:r>
        <w:rPr/>
        <w:t xml:space="preserve">The classic mistake called out explicitly: selling the stocks that went up a lot and using the money to buy the ones that went down — </w:t>
      </w:r>
      <w:r>
        <w:rPr>
          <w:b/>
        </w:rPr>
        <w:t>"cutting your flowers and watering the weeds in your garden."</w:t>
      </w:r>
    </w:p>
    <w:p>
      <w:pPr>
        <w:pStyle w:val="BodyText"/>
        <w:numPr>
          <w:ilvl w:val="0"/>
          <w:numId w:val="472"/>
        </w:numPr>
        <w:tabs>
          <w:tab w:val="clear" w:pos="709"/>
          <w:tab w:val="left" w:pos="709" w:leader="none"/>
        </w:tabs>
        <w:bidi w:val="0"/>
        <w:ind w:hanging="283" w:start="709"/>
        <w:jc w:val="start"/>
        <w:rPr/>
      </w:pPr>
      <w:r>
        <w:rPr/>
        <w:t>Fund managers do this. VMI investors do not.</w:t>
      </w:r>
    </w:p>
    <w:p>
      <w:pPr>
        <w:pStyle w:val="HorizontalLine"/>
        <w:bidi w:val="0"/>
        <w:jc w:val="start"/>
        <w:rPr/>
      </w:pPr>
      <w:r>
        <w:rPr/>
      </w:r>
    </w:p>
    <w:p>
      <w:pPr>
        <w:pStyle w:val="Heading3"/>
        <w:bidi w:val="0"/>
        <w:ind w:hanging="0" w:start="0"/>
        <w:jc w:val="start"/>
        <w:rPr/>
      </w:pPr>
      <w:r>
        <w:rPr/>
        <w:t>6. The Three Broad Stock TYPES (by economic behaviour)</w:t>
      </w:r>
    </w:p>
    <w:tbl>
      <w:tblPr>
        <w:tblW w:w="5000" w:type="pct"/>
        <w:jc w:val="start"/>
        <w:tblInd w:w="-5" w:type="dxa"/>
        <w:tblLayout w:type="fixed"/>
        <w:tblCellMar>
          <w:top w:w="55" w:type="dxa"/>
          <w:start w:w="55" w:type="dxa"/>
          <w:bottom w:w="55" w:type="dxa"/>
          <w:end w:w="55" w:type="dxa"/>
        </w:tblCellMar>
      </w:tblPr>
      <w:tblGrid>
        <w:gridCol w:w="1606"/>
        <w:gridCol w:w="1606"/>
        <w:gridCol w:w="1607"/>
        <w:gridCol w:w="1606"/>
        <w:gridCol w:w="1606"/>
        <w:gridCol w:w="1607"/>
      </w:tblGrid>
      <w:tr>
        <w:trPr>
          <w:tblHeader w:val="true"/>
        </w:trPr>
        <w:tc>
          <w:tcPr>
            <w:tcW w:w="1606" w:type="dxa"/>
            <w:tcBorders>
              <w:top w:val="single" w:sz="4" w:space="0" w:color="000000"/>
              <w:start w:val="single" w:sz="4" w:space="0" w:color="000000"/>
              <w:bottom w:val="single" w:sz="4" w:space="0" w:color="000000"/>
            </w:tcBorders>
          </w:tcPr>
          <w:p>
            <w:pPr>
              <w:pStyle w:val="TableHeading"/>
              <w:bidi w:val="0"/>
              <w:jc w:val="start"/>
              <w:rPr/>
            </w:pPr>
            <w:r>
              <w:rPr/>
              <w:t>Type</w:t>
            </w:r>
          </w:p>
        </w:tc>
        <w:tc>
          <w:tcPr>
            <w:tcW w:w="1606" w:type="dxa"/>
            <w:tcBorders>
              <w:top w:val="single" w:sz="4" w:space="0" w:color="000000"/>
              <w:start w:val="single" w:sz="4" w:space="0" w:color="000000"/>
              <w:bottom w:val="single" w:sz="4" w:space="0" w:color="000000"/>
            </w:tcBorders>
          </w:tcPr>
          <w:p>
            <w:pPr>
              <w:pStyle w:val="TableHeading"/>
              <w:bidi w:val="0"/>
              <w:jc w:val="start"/>
              <w:rPr/>
            </w:pPr>
            <w:r>
              <w:rPr/>
              <w:t>Product/service</w:t>
            </w:r>
          </w:p>
        </w:tc>
        <w:tc>
          <w:tcPr>
            <w:tcW w:w="1607" w:type="dxa"/>
            <w:tcBorders>
              <w:top w:val="single" w:sz="4" w:space="0" w:color="000000"/>
              <w:start w:val="single" w:sz="4" w:space="0" w:color="000000"/>
              <w:bottom w:val="single" w:sz="4" w:space="0" w:color="000000"/>
            </w:tcBorders>
          </w:tcPr>
          <w:p>
            <w:pPr>
              <w:pStyle w:val="TableHeading"/>
              <w:bidi w:val="0"/>
              <w:jc w:val="start"/>
              <w:rPr/>
            </w:pPr>
            <w:r>
              <w:rPr/>
              <w:t>Growth profile</w:t>
            </w:r>
          </w:p>
        </w:tc>
        <w:tc>
          <w:tcPr>
            <w:tcW w:w="1606" w:type="dxa"/>
            <w:tcBorders>
              <w:top w:val="single" w:sz="4" w:space="0" w:color="000000"/>
              <w:start w:val="single" w:sz="4" w:space="0" w:color="000000"/>
              <w:bottom w:val="single" w:sz="4" w:space="0" w:color="000000"/>
            </w:tcBorders>
          </w:tcPr>
          <w:p>
            <w:pPr>
              <w:pStyle w:val="TableHeading"/>
              <w:bidi w:val="0"/>
              <w:jc w:val="start"/>
              <w:rPr/>
            </w:pPr>
            <w:r>
              <w:rPr/>
              <w:t>Volatility</w:t>
            </w:r>
          </w:p>
        </w:tc>
        <w:tc>
          <w:tcPr>
            <w:tcW w:w="1606" w:type="dxa"/>
            <w:tcBorders>
              <w:top w:val="single" w:sz="4" w:space="0" w:color="000000"/>
              <w:start w:val="single" w:sz="4" w:space="0" w:color="000000"/>
              <w:bottom w:val="single" w:sz="4" w:space="0" w:color="000000"/>
            </w:tcBorders>
          </w:tcPr>
          <w:p>
            <w:pPr>
              <w:pStyle w:val="TableHeading"/>
              <w:bidi w:val="0"/>
              <w:jc w:val="start"/>
              <w:rPr/>
            </w:pPr>
            <w:r>
              <w:rPr/>
              <w:t>Outperforms when</w:t>
            </w:r>
          </w:p>
        </w:tc>
        <w:tc>
          <w:tcPr>
            <w:tcW w:w="1607"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Underperforms when</w:t>
            </w:r>
          </w:p>
        </w:tc>
      </w:tr>
      <w:tr>
        <w:trPr/>
        <w:tc>
          <w:tcPr>
            <w:tcW w:w="1606" w:type="dxa"/>
            <w:tcBorders>
              <w:start w:val="single" w:sz="4" w:space="0" w:color="000000"/>
              <w:bottom w:val="single" w:sz="4" w:space="0" w:color="000000"/>
            </w:tcBorders>
          </w:tcPr>
          <w:p>
            <w:pPr>
              <w:pStyle w:val="TableContents"/>
              <w:bidi w:val="0"/>
              <w:jc w:val="start"/>
              <w:rPr/>
            </w:pPr>
            <w:r>
              <w:rPr>
                <w:b/>
              </w:rPr>
              <w:t>Defensive</w:t>
            </w:r>
          </w:p>
        </w:tc>
        <w:tc>
          <w:tcPr>
            <w:tcW w:w="1606" w:type="dxa"/>
            <w:tcBorders>
              <w:start w:val="single" w:sz="4" w:space="0" w:color="000000"/>
              <w:bottom w:val="single" w:sz="4" w:space="0" w:color="000000"/>
            </w:tcBorders>
          </w:tcPr>
          <w:p>
            <w:pPr>
              <w:pStyle w:val="TableContents"/>
              <w:bidi w:val="0"/>
              <w:jc w:val="start"/>
              <w:rPr/>
            </w:pPr>
            <w:r>
              <w:rPr/>
              <w:t>Low-priced necessities (detergent, toothpaste, sanitary pads, batteries, shaving cream/razors, potato chips)</w:t>
            </w:r>
          </w:p>
        </w:tc>
        <w:tc>
          <w:tcPr>
            <w:tcW w:w="1607" w:type="dxa"/>
            <w:tcBorders>
              <w:start w:val="single" w:sz="4" w:space="0" w:color="000000"/>
              <w:bottom w:val="single" w:sz="4" w:space="0" w:color="000000"/>
            </w:tcBorders>
          </w:tcPr>
          <w:p>
            <w:pPr>
              <w:pStyle w:val="TableContents"/>
              <w:bidi w:val="0"/>
              <w:jc w:val="start"/>
              <w:rPr/>
            </w:pPr>
            <w:r>
              <w:rPr/>
              <w:t xml:space="preserve">Low to moderate, </w:t>
            </w:r>
            <w:r>
              <w:rPr>
                <w:b/>
              </w:rPr>
              <w:t>single digits 5–10%</w:t>
            </w:r>
            <w:r>
              <w:rPr/>
              <w:t>, very consistent</w:t>
            </w:r>
          </w:p>
        </w:tc>
        <w:tc>
          <w:tcPr>
            <w:tcW w:w="1606" w:type="dxa"/>
            <w:tcBorders>
              <w:start w:val="single" w:sz="4" w:space="0" w:color="000000"/>
              <w:bottom w:val="single" w:sz="4" w:space="0" w:color="000000"/>
            </w:tcBorders>
          </w:tcPr>
          <w:p>
            <w:pPr>
              <w:pStyle w:val="TableContents"/>
              <w:bidi w:val="0"/>
              <w:jc w:val="start"/>
              <w:rPr/>
            </w:pPr>
            <w:r>
              <w:rPr/>
              <w:t>Low, even in recessions</w:t>
            </w:r>
          </w:p>
        </w:tc>
        <w:tc>
          <w:tcPr>
            <w:tcW w:w="1606" w:type="dxa"/>
            <w:tcBorders>
              <w:start w:val="single" w:sz="4" w:space="0" w:color="000000"/>
              <w:bottom w:val="single" w:sz="4" w:space="0" w:color="000000"/>
            </w:tcBorders>
          </w:tcPr>
          <w:p>
            <w:pPr>
              <w:pStyle w:val="TableContents"/>
              <w:bidi w:val="0"/>
              <w:jc w:val="start"/>
              <w:rPr/>
            </w:pPr>
            <w:r>
              <w:rPr/>
              <w:t>Recessions, recession fears, bear markets</w:t>
            </w:r>
          </w:p>
        </w:tc>
        <w:tc>
          <w:tcPr>
            <w:tcW w:w="1607" w:type="dxa"/>
            <w:tcBorders>
              <w:start w:val="single" w:sz="4" w:space="0" w:color="000000"/>
              <w:bottom w:val="single" w:sz="4" w:space="0" w:color="000000"/>
              <w:end w:val="single" w:sz="4" w:space="0" w:color="000000"/>
            </w:tcBorders>
          </w:tcPr>
          <w:p>
            <w:pPr>
              <w:pStyle w:val="TableContents"/>
              <w:bidi w:val="0"/>
              <w:jc w:val="start"/>
              <w:rPr/>
            </w:pPr>
            <w:r>
              <w:rPr/>
              <w:t>Booming economy (money rotates out into cyclicals/growth)</w:t>
            </w:r>
          </w:p>
        </w:tc>
      </w:tr>
      <w:tr>
        <w:trPr/>
        <w:tc>
          <w:tcPr>
            <w:tcW w:w="1606" w:type="dxa"/>
            <w:tcBorders>
              <w:start w:val="single" w:sz="4" w:space="0" w:color="000000"/>
              <w:bottom w:val="single" w:sz="4" w:space="0" w:color="000000"/>
            </w:tcBorders>
          </w:tcPr>
          <w:p>
            <w:pPr>
              <w:pStyle w:val="TableContents"/>
              <w:bidi w:val="0"/>
              <w:jc w:val="start"/>
              <w:rPr/>
            </w:pPr>
            <w:r>
              <w:rPr>
                <w:b/>
              </w:rPr>
              <w:t>Cyclical</w:t>
            </w:r>
            <w:r>
              <w:rPr/>
              <w:t xml:space="preserve"> ("moody" stocks)</w:t>
            </w:r>
          </w:p>
        </w:tc>
        <w:tc>
          <w:tcPr>
            <w:tcW w:w="1606" w:type="dxa"/>
            <w:tcBorders>
              <w:start w:val="single" w:sz="4" w:space="0" w:color="000000"/>
              <w:bottom w:val="single" w:sz="4" w:space="0" w:color="000000"/>
            </w:tcBorders>
          </w:tcPr>
          <w:p>
            <w:pPr>
              <w:pStyle w:val="TableContents"/>
              <w:bidi w:val="0"/>
              <w:jc w:val="start"/>
              <w:rPr/>
            </w:pPr>
            <w:r>
              <w:rPr/>
              <w:t>Higher-priced / luxury / economy-dependent (cars, houses, construction &amp; renovation, industrial equipment, bank borrowing)</w:t>
            </w:r>
          </w:p>
        </w:tc>
        <w:tc>
          <w:tcPr>
            <w:tcW w:w="1607" w:type="dxa"/>
            <w:tcBorders>
              <w:start w:val="single" w:sz="4" w:space="0" w:color="000000"/>
              <w:bottom w:val="single" w:sz="4" w:space="0" w:color="000000"/>
            </w:tcBorders>
          </w:tcPr>
          <w:p>
            <w:pPr>
              <w:pStyle w:val="TableContents"/>
              <w:bidi w:val="0"/>
              <w:jc w:val="start"/>
              <w:rPr/>
            </w:pPr>
            <w:r>
              <w:rPr/>
              <w:t xml:space="preserve">High profits in expansions, lower profits or </w:t>
            </w:r>
            <w:r>
              <w:rPr>
                <w:b/>
              </w:rPr>
              <w:t>losses</w:t>
            </w:r>
            <w:r>
              <w:rPr/>
              <w:t xml:space="preserve"> in recessions</w:t>
            </w:r>
          </w:p>
        </w:tc>
        <w:tc>
          <w:tcPr>
            <w:tcW w:w="1606" w:type="dxa"/>
            <w:tcBorders>
              <w:start w:val="single" w:sz="4" w:space="0" w:color="000000"/>
              <w:bottom w:val="single" w:sz="4" w:space="0" w:color="000000"/>
            </w:tcBorders>
          </w:tcPr>
          <w:p>
            <w:pPr>
              <w:pStyle w:val="TableContents"/>
              <w:bidi w:val="0"/>
              <w:jc w:val="start"/>
              <w:rPr/>
            </w:pPr>
            <w:r>
              <w:rPr/>
              <w:t>High</w:t>
            </w:r>
          </w:p>
        </w:tc>
        <w:tc>
          <w:tcPr>
            <w:tcW w:w="1606" w:type="dxa"/>
            <w:tcBorders>
              <w:start w:val="single" w:sz="4" w:space="0" w:color="000000"/>
              <w:bottom w:val="single" w:sz="4" w:space="0" w:color="000000"/>
            </w:tcBorders>
          </w:tcPr>
          <w:p>
            <w:pPr>
              <w:pStyle w:val="TableContents"/>
              <w:bidi w:val="0"/>
              <w:jc w:val="start"/>
              <w:rPr/>
            </w:pPr>
            <w:r>
              <w:rPr/>
              <w:t>Economic boom — first to fly up</w:t>
            </w:r>
          </w:p>
        </w:tc>
        <w:tc>
          <w:tcPr>
            <w:tcW w:w="1607" w:type="dxa"/>
            <w:tcBorders>
              <w:start w:val="single" w:sz="4" w:space="0" w:color="000000"/>
              <w:bottom w:val="single" w:sz="4" w:space="0" w:color="000000"/>
              <w:end w:val="single" w:sz="4" w:space="0" w:color="000000"/>
            </w:tcBorders>
          </w:tcPr>
          <w:p>
            <w:pPr>
              <w:pStyle w:val="TableContents"/>
              <w:bidi w:val="0"/>
              <w:jc w:val="start"/>
              <w:rPr/>
            </w:pPr>
            <w:r>
              <w:rPr/>
              <w:t>Expected recession / bear market — "drop the most like flies"</w:t>
            </w:r>
          </w:p>
        </w:tc>
      </w:tr>
      <w:tr>
        <w:trPr/>
        <w:tc>
          <w:tcPr>
            <w:tcW w:w="1606" w:type="dxa"/>
            <w:tcBorders>
              <w:start w:val="single" w:sz="4" w:space="0" w:color="000000"/>
              <w:bottom w:val="single" w:sz="4" w:space="0" w:color="000000"/>
            </w:tcBorders>
          </w:tcPr>
          <w:p>
            <w:pPr>
              <w:pStyle w:val="TableContents"/>
              <w:bidi w:val="0"/>
              <w:jc w:val="start"/>
              <w:rPr/>
            </w:pPr>
            <w:r>
              <w:rPr>
                <w:b/>
              </w:rPr>
              <w:t>Growth (moderately cyclical)</w:t>
            </w:r>
          </w:p>
        </w:tc>
        <w:tc>
          <w:tcPr>
            <w:tcW w:w="1606" w:type="dxa"/>
            <w:tcBorders>
              <w:start w:val="single" w:sz="4" w:space="0" w:color="000000"/>
              <w:bottom w:val="single" w:sz="4" w:space="0" w:color="000000"/>
            </w:tcBorders>
          </w:tcPr>
          <w:p>
            <w:pPr>
              <w:pStyle w:val="TableContents"/>
              <w:bidi w:val="0"/>
              <w:jc w:val="start"/>
              <w:rPr/>
            </w:pPr>
            <w:r>
              <w:rPr/>
              <w:t>Tech, digital, secular growth industries</w:t>
            </w:r>
          </w:p>
        </w:tc>
        <w:tc>
          <w:tcPr>
            <w:tcW w:w="1607" w:type="dxa"/>
            <w:tcBorders>
              <w:start w:val="single" w:sz="4" w:space="0" w:color="000000"/>
              <w:bottom w:val="single" w:sz="4" w:space="0" w:color="000000"/>
            </w:tcBorders>
          </w:tcPr>
          <w:p>
            <w:pPr>
              <w:pStyle w:val="TableContents"/>
              <w:bidi w:val="0"/>
              <w:jc w:val="start"/>
              <w:rPr/>
            </w:pPr>
            <w:r>
              <w:rPr>
                <w:b/>
              </w:rPr>
              <w:t>High growth</w:t>
            </w:r>
            <w:r>
              <w:rPr/>
              <w:t>, revenues/profits more consistent through cycles</w:t>
            </w:r>
          </w:p>
        </w:tc>
        <w:tc>
          <w:tcPr>
            <w:tcW w:w="1606" w:type="dxa"/>
            <w:tcBorders>
              <w:start w:val="single" w:sz="4" w:space="0" w:color="000000"/>
              <w:bottom w:val="single" w:sz="4" w:space="0" w:color="000000"/>
            </w:tcBorders>
          </w:tcPr>
          <w:p>
            <w:pPr>
              <w:pStyle w:val="TableContents"/>
              <w:bidi w:val="0"/>
              <w:jc w:val="start"/>
              <w:rPr/>
            </w:pPr>
            <w:r>
              <w:rPr/>
              <w:t>Moderate–high</w:t>
            </w:r>
          </w:p>
        </w:tc>
        <w:tc>
          <w:tcPr>
            <w:tcW w:w="1606" w:type="dxa"/>
            <w:tcBorders>
              <w:start w:val="single" w:sz="4" w:space="0" w:color="000000"/>
              <w:bottom w:val="single" w:sz="4" w:space="0" w:color="000000"/>
            </w:tcBorders>
          </w:tcPr>
          <w:p>
            <w:pPr>
              <w:pStyle w:val="TableContents"/>
              <w:bidi w:val="0"/>
              <w:jc w:val="start"/>
              <w:rPr/>
            </w:pPr>
            <w:r>
              <w:rPr/>
              <w:t>Most of the time; core engine of the portfolio</w:t>
            </w:r>
          </w:p>
        </w:tc>
        <w:tc>
          <w:tcPr>
            <w:tcW w:w="1607" w:type="dxa"/>
            <w:tcBorders>
              <w:start w:val="single" w:sz="4" w:space="0" w:color="000000"/>
              <w:bottom w:val="single" w:sz="4" w:space="0" w:color="000000"/>
              <w:end w:val="single" w:sz="4" w:space="0" w:color="000000"/>
            </w:tcBorders>
          </w:tcPr>
          <w:p>
            <w:pPr>
              <w:pStyle w:val="TableContents"/>
              <w:bidi w:val="0"/>
              <w:jc w:val="start"/>
              <w:rPr/>
            </w:pPr>
            <w:r>
              <w:rPr/>
              <w:t>Sharp risk-off periods</w:t>
            </w:r>
          </w:p>
        </w:tc>
      </w:tr>
    </w:tbl>
    <w:p>
      <w:pPr>
        <w:pStyle w:val="BodyText"/>
        <w:bidi w:val="0"/>
        <w:jc w:val="start"/>
        <w:rPr/>
      </w:pPr>
      <w:r>
        <w:rPr/>
      </w:r>
    </w:p>
    <w:p>
      <w:pPr>
        <w:pStyle w:val="BodyText"/>
        <w:numPr>
          <w:ilvl w:val="0"/>
          <w:numId w:val="473"/>
        </w:numPr>
        <w:tabs>
          <w:tab w:val="clear" w:pos="709"/>
          <w:tab w:val="left" w:pos="709" w:leader="none"/>
        </w:tabs>
        <w:bidi w:val="0"/>
        <w:ind w:hanging="283" w:start="709"/>
        <w:jc w:val="start"/>
        <w:rPr/>
      </w:pPr>
      <w:r>
        <w:rPr/>
        <w:t xml:space="preserve">Defensive stocks are also called </w:t>
      </w:r>
      <w:r>
        <w:rPr>
          <w:b/>
        </w:rPr>
        <w:t>"boring businesses."</w:t>
      </w:r>
      <w:r>
        <w:rPr/>
        <w:t xml:space="preserve"> Boring ≠ bad: </w:t>
      </w:r>
      <w:r>
        <w:rPr>
          <w:b/>
        </w:rPr>
        <w:t>Warren Buffett loves boring companies</w:t>
      </w:r>
      <w:r>
        <w:rPr/>
        <w:t xml:space="preserve"> because boring = </w:t>
      </w:r>
      <w:r>
        <w:rPr>
          <w:b/>
        </w:rPr>
        <w:t>predictable</w:t>
      </w:r>
      <w:r>
        <w:rPr/>
        <w:t>, consistent sales and profits, and few new competitors want to enter a boring industry.</w:t>
      </w:r>
    </w:p>
    <w:p>
      <w:pPr>
        <w:pStyle w:val="BodyText"/>
        <w:numPr>
          <w:ilvl w:val="0"/>
          <w:numId w:val="473"/>
        </w:numPr>
        <w:tabs>
          <w:tab w:val="clear" w:pos="709"/>
          <w:tab w:val="left" w:pos="709" w:leader="none"/>
        </w:tabs>
        <w:bidi w:val="0"/>
        <w:ind w:hanging="283" w:start="709"/>
        <w:jc w:val="start"/>
        <w:rPr/>
      </w:pPr>
      <w:r>
        <w:rPr/>
        <w:t xml:space="preserve">Tactic: </w:t>
      </w:r>
      <w:r>
        <w:rPr>
          <w:b/>
        </w:rPr>
        <w:t>buy defensive stocks when they are down, cheap and unwanted</w:t>
      </w:r>
      <w:r>
        <w:rPr/>
        <w:t xml:space="preserve"> — then they protect the portfolio in the next recession/bear market.</w:t>
      </w:r>
    </w:p>
    <w:p>
      <w:pPr>
        <w:pStyle w:val="HorizontalLine"/>
        <w:bidi w:val="0"/>
        <w:jc w:val="start"/>
        <w:rPr/>
      </w:pPr>
      <w:r>
        <w:rPr/>
      </w:r>
    </w:p>
    <w:p>
      <w:pPr>
        <w:pStyle w:val="Heading3"/>
        <w:bidi w:val="0"/>
        <w:ind w:hanging="0" w:start="0"/>
        <w:jc w:val="start"/>
        <w:rPr/>
      </w:pPr>
      <w:r>
        <w:rPr/>
        <w:t>7. The 11 Sectors — Full Sector-by-Sector Breakdown</w:t>
      </w:r>
    </w:p>
    <w:p>
      <w:pPr>
        <w:pStyle w:val="BodyText"/>
        <w:bidi w:val="0"/>
        <w:jc w:val="start"/>
        <w:rPr/>
      </w:pPr>
      <w:r>
        <w:rPr>
          <w:b/>
        </w:rPr>
        <w:t>Classification:</w:t>
      </w:r>
      <w:r>
        <w:rPr/>
        <w:t xml:space="preserve"> 3 defensive + 5 cyclical + 3 growth/moderately-cyclical.</w:t>
      </w:r>
    </w:p>
    <w:p>
      <w:pPr>
        <w:pStyle w:val="Heading4"/>
        <w:bidi w:val="0"/>
        <w:ind w:hanging="0" w:start="0"/>
        <w:jc w:val="start"/>
        <w:rPr/>
      </w:pPr>
      <w:r>
        <w:rPr/>
        <w:t>7.1 DEFENSIVE SECTORS (3)</w:t>
      </w:r>
    </w:p>
    <w:p>
      <w:pPr>
        <w:pStyle w:val="Heading5"/>
        <w:bidi w:val="0"/>
        <w:ind w:hanging="0" w:start="0"/>
        <w:jc w:val="start"/>
        <w:rPr/>
      </w:pPr>
      <w:r>
        <w:rPr/>
        <w:t xml:space="preserve">Healthcare — ETF </w:t>
      </w:r>
      <w:r>
        <w:rPr>
          <w:b/>
        </w:rPr>
        <w:t>XLV</w:t>
      </w:r>
      <w:r>
        <w:rPr/>
        <w:t xml:space="preserve"> — </w:t>
      </w:r>
      <w:r>
        <w:rPr>
          <w:i/>
        </w:rPr>
        <w:t>one of his favourite sectors</w:t>
      </w:r>
    </w:p>
    <w:p>
      <w:pPr>
        <w:pStyle w:val="BodyText"/>
        <w:numPr>
          <w:ilvl w:val="0"/>
          <w:numId w:val="474"/>
        </w:numPr>
        <w:tabs>
          <w:tab w:val="clear" w:pos="709"/>
          <w:tab w:val="left" w:pos="709" w:leader="none"/>
        </w:tabs>
        <w:bidi w:val="0"/>
        <w:ind w:hanging="283" w:start="709"/>
        <w:jc w:val="start"/>
        <w:rPr/>
      </w:pPr>
      <w:r>
        <w:rPr>
          <w:b/>
        </w:rPr>
        <w:t>Why:</w:t>
      </w:r>
      <w:r>
        <w:rPr/>
        <w:t xml:space="preserve"> it is </w:t>
      </w:r>
      <w:r>
        <w:rPr>
          <w:b/>
        </w:rPr>
        <w:t>both defensive AND has good growth potential</w:t>
      </w:r>
      <w:r>
        <w:rPr/>
        <w:t xml:space="preserve">; sits in a long-term </w:t>
      </w:r>
      <w:r>
        <w:rPr>
          <w:b/>
        </w:rPr>
        <w:t>mega-trend: the global aging population</w:t>
      </w:r>
      <w:r>
        <w:rPr/>
        <w:t>.</w:t>
      </w:r>
    </w:p>
    <w:p>
      <w:pPr>
        <w:pStyle w:val="BodyText"/>
        <w:numPr>
          <w:ilvl w:val="0"/>
          <w:numId w:val="474"/>
        </w:numPr>
        <w:tabs>
          <w:tab w:val="clear" w:pos="709"/>
          <w:tab w:val="left" w:pos="709" w:leader="none"/>
        </w:tabs>
        <w:bidi w:val="0"/>
        <w:ind w:hanging="283" w:start="709"/>
        <w:jc w:val="start"/>
        <w:rPr/>
      </w:pPr>
      <w:r>
        <w:rPr/>
        <w:t xml:space="preserve">Performance: </w:t>
      </w:r>
      <w:r>
        <w:rPr>
          <w:b/>
        </w:rPr>
        <w:t>on par with the S&amp;P 500</w:t>
      </w:r>
      <w:r>
        <w:rPr/>
        <w:t xml:space="preserve"> over the long run.</w:t>
      </w:r>
    </w:p>
    <w:p>
      <w:pPr>
        <w:pStyle w:val="BodyText"/>
        <w:numPr>
          <w:ilvl w:val="0"/>
          <w:numId w:val="474"/>
        </w:numPr>
        <w:tabs>
          <w:tab w:val="clear" w:pos="709"/>
          <w:tab w:val="left" w:pos="709" w:leader="none"/>
        </w:tabs>
        <w:bidi w:val="0"/>
        <w:ind w:hanging="283" w:start="709"/>
        <w:jc w:val="start"/>
        <w:rPr/>
      </w:pPr>
      <w:r>
        <w:rPr/>
        <w:t xml:space="preserve">Sub-industries: | Sub-industry | Verdict | Names given | |---|---|---| | </w:t>
      </w:r>
      <w:r>
        <w:rPr>
          <w:b/>
        </w:rPr>
        <w:t>Biotechnology</w:t>
      </w:r>
      <w:r>
        <w:rPr/>
        <w:t xml:space="preserve"> | </w:t>
      </w:r>
      <w:r>
        <w:rPr>
          <w:b/>
        </w:rPr>
        <w:t>Avoid for long-term investing.</w:t>
      </w:r>
      <w:r>
        <w:rPr/>
        <w:t xml:space="preserve"> Most don't make money or lack consistent profits; one or two make a lot. Super high risk / super high return — "great for speculation" only | — | | </w:t>
      </w:r>
      <w:r>
        <w:rPr>
          <w:b/>
        </w:rPr>
        <w:t>Pharmaceuticals</w:t>
      </w:r>
      <w:r>
        <w:rPr/>
        <w:t xml:space="preserve"> | </w:t>
      </w:r>
      <w:r>
        <w:rPr>
          <w:b/>
        </w:rPr>
        <w:t>Normally avoid.</w:t>
      </w:r>
      <w:r>
        <w:rPr/>
        <w:t xml:space="preserve"> Most lack consistent profits. Patents last only ~</w:t>
      </w:r>
      <w:r>
        <w:rPr>
          <w:b/>
        </w:rPr>
        <w:t>20 years</w:t>
      </w:r>
      <w:r>
        <w:rPr/>
        <w:t xml:space="preserve">; once expired they need new drugs in the pipeline → </w:t>
      </w:r>
      <w:r>
        <w:rPr>
          <w:b/>
        </w:rPr>
        <w:t>limited economic moat</w:t>
      </w:r>
      <w:r>
        <w:rPr/>
        <w:t xml:space="preserve"> | Only two with consistent profits: </w:t>
      </w:r>
      <w:r>
        <w:rPr>
          <w:b/>
        </w:rPr>
        <w:t>Eli Lilly</w:t>
      </w:r>
      <w:r>
        <w:rPr/>
        <w:t xml:space="preserve"> and </w:t>
      </w:r>
      <w:r>
        <w:rPr>
          <w:b/>
        </w:rPr>
        <w:t>Novo Nordisk</w:t>
      </w:r>
      <w:r>
        <w:rPr/>
        <w:t xml:space="preserve">. He admits breaking his own rule buying Novo Nordisk cheap last year — still below his average cost, "punished by the market gods" | | </w:t>
      </w:r>
      <w:r>
        <w:rPr>
          <w:b/>
        </w:rPr>
        <w:t>Hospitals</w:t>
      </w:r>
      <w:r>
        <w:rPr/>
        <w:t xml:space="preserve"> | </w:t>
      </w:r>
      <w:r>
        <w:rPr>
          <w:b/>
        </w:rPr>
        <w:t>Loves them</w:t>
      </w:r>
      <w:r>
        <w:rPr/>
        <w:t xml:space="preserve"> — very, very predictable | </w:t>
      </w:r>
      <w:r>
        <w:rPr>
          <w:b/>
        </w:rPr>
        <w:t>HCA Healthcare</w:t>
      </w:r>
      <w:r>
        <w:rPr/>
        <w:t xml:space="preserve"> — "has done very well for me" | | </w:t>
      </w:r>
      <w:r>
        <w:rPr>
          <w:b/>
        </w:rPr>
        <w:t>Medical equipment / supplies</w:t>
      </w:r>
      <w:r>
        <w:rPr/>
        <w:t xml:space="preserve"> | </w:t>
      </w:r>
      <w:r>
        <w:rPr>
          <w:b/>
        </w:rPr>
        <w:t>Likes</w:t>
      </w:r>
      <w:r>
        <w:rPr/>
        <w:t xml:space="preserve"> — more predictable, no 20-year patent cliff | </w:t>
      </w:r>
      <w:r>
        <w:rPr>
          <w:b/>
        </w:rPr>
        <w:t>IDEXX Laboratories</w:t>
      </w:r>
      <w:r>
        <w:rPr/>
        <w:t xml:space="preserve">, </w:t>
      </w:r>
      <w:r>
        <w:rPr>
          <w:b/>
        </w:rPr>
        <w:t>Thermo Fisher</w:t>
      </w:r>
      <w:r>
        <w:rPr/>
        <w:t xml:space="preserve"> | | </w:t>
      </w:r>
      <w:r>
        <w:rPr>
          <w:b/>
        </w:rPr>
        <w:t>Health insurance / managed care</w:t>
      </w:r>
      <w:r>
        <w:rPr/>
        <w:t xml:space="preserve"> | Positive long term; recent regulatory hits judged short-term | Market leader </w:t>
      </w:r>
      <w:r>
        <w:rPr>
          <w:b/>
        </w:rPr>
        <w:t>UnitedHealth Group</w:t>
      </w:r>
      <w:r>
        <w:rPr/>
        <w:t xml:space="preserve"> | | (Other healthcare names in his portfolio) | | </w:t>
      </w:r>
      <w:r>
        <w:rPr>
          <w:b/>
        </w:rPr>
        <w:t>Abbott Laboratories</w:t>
      </w:r>
      <w:r>
        <w:rPr/>
        <w:t xml:space="preserve"> |</w:t>
      </w:r>
    </w:p>
    <w:p>
      <w:pPr>
        <w:pStyle w:val="BodyText"/>
        <w:numPr>
          <w:ilvl w:val="0"/>
          <w:numId w:val="474"/>
        </w:numPr>
        <w:tabs>
          <w:tab w:val="clear" w:pos="709"/>
          <w:tab w:val="left" w:pos="709" w:leader="none"/>
        </w:tabs>
        <w:bidi w:val="0"/>
        <w:ind w:hanging="283" w:start="709"/>
        <w:jc w:val="start"/>
        <w:rPr/>
      </w:pPr>
      <w:r>
        <w:rPr/>
        <w:t xml:space="preserve">Industry ETF he owns: </w:t>
      </w:r>
      <w:r>
        <w:rPr>
          <w:b/>
        </w:rPr>
        <w:t>IHI</w:t>
      </w:r>
      <w:r>
        <w:rPr/>
        <w:t xml:space="preserve"> (healthcare medical devices).</w:t>
      </w:r>
    </w:p>
    <w:p>
      <w:pPr>
        <w:pStyle w:val="Heading5"/>
        <w:numPr>
          <w:ilvl w:val="0"/>
          <w:numId w:val="0"/>
        </w:numPr>
        <w:bidi w:val="0"/>
        <w:ind w:hanging="0" w:start="0"/>
        <w:jc w:val="start"/>
        <w:rPr/>
      </w:pPr>
      <w:r>
        <w:rPr/>
        <w:t xml:space="preserve">Consumer Staples — ETF </w:t>
      </w:r>
      <w:r>
        <w:rPr>
          <w:b/>
        </w:rPr>
        <w:t>XLP</w:t>
      </w:r>
    </w:p>
    <w:p>
      <w:pPr>
        <w:pStyle w:val="BodyText"/>
        <w:numPr>
          <w:ilvl w:val="0"/>
          <w:numId w:val="475"/>
        </w:numPr>
        <w:tabs>
          <w:tab w:val="clear" w:pos="709"/>
          <w:tab w:val="left" w:pos="709" w:leader="none"/>
        </w:tabs>
        <w:bidi w:val="0"/>
        <w:ind w:hanging="283" w:start="709"/>
        <w:jc w:val="start"/>
        <w:rPr/>
      </w:pPr>
      <w:r>
        <w:rPr>
          <w:b/>
        </w:rPr>
        <w:t>Definition:</w:t>
      </w:r>
      <w:r>
        <w:rPr/>
        <w:t xml:space="preserve"> manufacturing of food, beverages, household and personal products; also includes education and training services companies.</w:t>
      </w:r>
    </w:p>
    <w:p>
      <w:pPr>
        <w:pStyle w:val="BodyText"/>
        <w:numPr>
          <w:ilvl w:val="0"/>
          <w:numId w:val="475"/>
        </w:numPr>
        <w:tabs>
          <w:tab w:val="clear" w:pos="709"/>
          <w:tab w:val="left" w:pos="709" w:leader="none"/>
        </w:tabs>
        <w:bidi w:val="0"/>
        <w:ind w:hanging="283" w:start="709"/>
        <w:jc w:val="start"/>
        <w:rPr/>
      </w:pPr>
      <w:r>
        <w:rPr/>
        <w:t xml:space="preserve">Essentials bought regularly at the grocery store / supermarket; </w:t>
      </w:r>
      <w:r>
        <w:rPr>
          <w:b/>
        </w:rPr>
        <w:t>low-priced items</w:t>
      </w:r>
      <w:r>
        <w:rPr/>
        <w:t xml:space="preserve"> — toiletries, soft drinks, energy drinks, snack foods.</w:t>
      </w:r>
    </w:p>
    <w:p>
      <w:pPr>
        <w:pStyle w:val="BodyText"/>
        <w:numPr>
          <w:ilvl w:val="0"/>
          <w:numId w:val="475"/>
        </w:numPr>
        <w:tabs>
          <w:tab w:val="clear" w:pos="709"/>
          <w:tab w:val="left" w:pos="709" w:leader="none"/>
        </w:tabs>
        <w:bidi w:val="0"/>
        <w:ind w:hanging="283" w:start="709"/>
        <w:jc w:val="start"/>
        <w:rPr/>
      </w:pPr>
      <w:r>
        <w:rPr>
          <w:b/>
        </w:rPr>
        <w:t>Growth: very, very slow.</w:t>
      </w:r>
      <w:r>
        <w:rPr/>
        <w:t xml:space="preserve"> </w:t>
      </w:r>
      <w:r>
        <w:rPr>
          <w:b/>
        </w:rPr>
        <w:t>Underperforms the S&amp;P 500</w:t>
      </w:r>
      <w:r>
        <w:rPr/>
        <w:t xml:space="preserve"> over the long run.</w:t>
      </w:r>
    </w:p>
    <w:p>
      <w:pPr>
        <w:pStyle w:val="BodyText"/>
        <w:numPr>
          <w:ilvl w:val="0"/>
          <w:numId w:val="475"/>
        </w:numPr>
        <w:tabs>
          <w:tab w:val="clear" w:pos="709"/>
          <w:tab w:val="left" w:pos="709" w:leader="none"/>
        </w:tabs>
        <w:bidi w:val="0"/>
        <w:ind w:hanging="283" w:start="709"/>
        <w:jc w:val="start"/>
        <w:rPr/>
      </w:pPr>
      <w:r>
        <w:rPr>
          <w:b/>
        </w:rPr>
        <w:t>How he trades them (different from growth stocks):</w:t>
      </w:r>
      <w:r>
        <w:rPr/>
        <w:t xml:space="preserve"> buy when </w:t>
      </w:r>
      <w:r>
        <w:rPr>
          <w:b/>
        </w:rPr>
        <w:t>very, very undervalued</w:t>
      </w:r>
      <w:r>
        <w:rPr/>
        <w:t xml:space="preserve">; </w:t>
      </w:r>
      <w:r>
        <w:rPr>
          <w:b/>
        </w:rPr>
        <w:t>sell when overvalued</w:t>
      </w:r>
      <w:r>
        <w:rPr/>
        <w:t xml:space="preserve">; buy back when undervalued again. He does </w:t>
      </w:r>
      <w:r>
        <w:rPr>
          <w:b/>
        </w:rPr>
        <w:t>not</w:t>
      </w:r>
      <w:r>
        <w:rPr/>
        <w:t xml:space="preserve"> hold consumer staples long term. (Growth stocks, by contrast, he holds through ups and downs and does not trade in/out.)</w:t>
      </w:r>
    </w:p>
    <w:p>
      <w:pPr>
        <w:pStyle w:val="BodyText"/>
        <w:numPr>
          <w:ilvl w:val="0"/>
          <w:numId w:val="475"/>
        </w:numPr>
        <w:tabs>
          <w:tab w:val="clear" w:pos="709"/>
          <w:tab w:val="left" w:pos="709" w:leader="none"/>
        </w:tabs>
        <w:bidi w:val="0"/>
        <w:ind w:hanging="283" w:start="709"/>
        <w:jc w:val="start"/>
        <w:rPr/>
      </w:pPr>
      <w:r>
        <w:rPr>
          <w:b/>
        </w:rPr>
        <w:t>Why hold them at all:</w:t>
      </w:r>
      <w:r>
        <w:rPr/>
        <w:t xml:space="preserve"> in a recession staples </w:t>
      </w:r>
      <w:r>
        <w:rPr>
          <w:b/>
        </w:rPr>
        <w:t>hold their price</w:t>
      </w:r>
      <w:r>
        <w:rPr/>
        <w:t xml:space="preserve"> and protect the portfolio.</w:t>
      </w:r>
    </w:p>
    <w:p>
      <w:pPr>
        <w:pStyle w:val="BodyText"/>
        <w:numPr>
          <w:ilvl w:val="0"/>
          <w:numId w:val="475"/>
        </w:numPr>
        <w:tabs>
          <w:tab w:val="clear" w:pos="709"/>
          <w:tab w:val="left" w:pos="709" w:leader="none"/>
        </w:tabs>
        <w:bidi w:val="0"/>
        <w:ind w:hanging="283" w:start="709"/>
        <w:jc w:val="start"/>
        <w:rPr/>
      </w:pPr>
      <w:r>
        <w:rPr/>
        <w:t xml:space="preserve">Names: </w:t>
      </w:r>
      <w:r>
        <w:rPr>
          <w:b/>
        </w:rPr>
        <w:t>Monster Beverage</w:t>
      </w:r>
      <w:r>
        <w:rPr/>
        <w:t xml:space="preserve"> (high growth exception), </w:t>
      </w:r>
      <w:r>
        <w:rPr>
          <w:b/>
        </w:rPr>
        <w:t>Celsius</w:t>
      </w:r>
      <w:r>
        <w:rPr/>
        <w:t xml:space="preserve"> (up-and-coming energy drink in the health niche — an exception with high growth), </w:t>
      </w:r>
      <w:r>
        <w:rPr>
          <w:b/>
        </w:rPr>
        <w:t>PepsiCo</w:t>
      </w:r>
      <w:r>
        <w:rPr/>
        <w:t xml:space="preserve"> (very low growth), </w:t>
      </w:r>
      <w:r>
        <w:rPr>
          <w:b/>
        </w:rPr>
        <w:t>Coca-Cola</w:t>
      </w:r>
      <w:r>
        <w:rPr/>
        <w:t xml:space="preserve"> (very low growth), </w:t>
      </w:r>
      <w:r>
        <w:rPr>
          <w:b/>
        </w:rPr>
        <w:t>Walmart</w:t>
      </w:r>
      <w:r>
        <w:rPr/>
        <w:t xml:space="preserve">, </w:t>
      </w:r>
      <w:r>
        <w:rPr>
          <w:b/>
        </w:rPr>
        <w:t>Costco</w:t>
      </w:r>
      <w:r>
        <w:rPr/>
        <w:t xml:space="preserve">, </w:t>
      </w:r>
      <w:r>
        <w:rPr>
          <w:b/>
        </w:rPr>
        <w:t>Hershey's</w:t>
      </w:r>
      <w:r>
        <w:rPr/>
        <w:t xml:space="preserve">, </w:t>
      </w:r>
      <w:r>
        <w:rPr>
          <w:b/>
        </w:rPr>
        <w:t>McDonald's</w:t>
      </w:r>
      <w:r>
        <w:rPr/>
        <w:t>.</w:t>
      </w:r>
    </w:p>
    <w:p>
      <w:pPr>
        <w:pStyle w:val="Heading5"/>
        <w:numPr>
          <w:ilvl w:val="0"/>
          <w:numId w:val="0"/>
        </w:numPr>
        <w:bidi w:val="0"/>
        <w:ind w:hanging="0" w:start="0"/>
        <w:jc w:val="start"/>
        <w:rPr/>
      </w:pPr>
      <w:r>
        <w:rPr/>
        <w:t xml:space="preserve">Utilities — ETF </w:t>
      </w:r>
      <w:r>
        <w:rPr>
          <w:b/>
        </w:rPr>
        <w:t>XLU</w:t>
      </w:r>
    </w:p>
    <w:p>
      <w:pPr>
        <w:pStyle w:val="BodyText"/>
        <w:numPr>
          <w:ilvl w:val="0"/>
          <w:numId w:val="476"/>
        </w:numPr>
        <w:tabs>
          <w:tab w:val="clear" w:pos="709"/>
          <w:tab w:val="left" w:pos="709" w:leader="none"/>
        </w:tabs>
        <w:bidi w:val="0"/>
        <w:ind w:hanging="283" w:start="709"/>
        <w:jc w:val="start"/>
        <w:rPr/>
      </w:pPr>
      <w:r>
        <w:rPr/>
        <w:t>Electricity, gas and utilities to residential homes and organisations.</w:t>
      </w:r>
    </w:p>
    <w:p>
      <w:pPr>
        <w:pStyle w:val="BodyText"/>
        <w:numPr>
          <w:ilvl w:val="0"/>
          <w:numId w:val="476"/>
        </w:numPr>
        <w:tabs>
          <w:tab w:val="clear" w:pos="709"/>
          <w:tab w:val="left" w:pos="709" w:leader="none"/>
        </w:tabs>
        <w:bidi w:val="0"/>
        <w:ind w:hanging="283" w:start="709"/>
        <w:jc w:val="start"/>
        <w:rPr/>
      </w:pPr>
      <w:r>
        <w:rPr>
          <w:b/>
        </w:rPr>
        <w:t>Generally he does not touch utilities.</w:t>
      </w:r>
      <w:r>
        <w:rPr/>
        <w:t xml:space="preserve"> Demand for electricity grows </w:t>
      </w:r>
      <w:r>
        <w:rPr>
          <w:b/>
        </w:rPr>
        <w:t>less than 2% per year</w:t>
      </w:r>
      <w:r>
        <w:rPr/>
        <w:t xml:space="preserve"> — very low growth. People buy them for </w:t>
      </w:r>
      <w:r>
        <w:rPr>
          <w:b/>
        </w:rPr>
        <w:t>dividends, not growth</w:t>
      </w:r>
      <w:r>
        <w:rPr/>
        <w:t>. Fairly defensive.</w:t>
      </w:r>
    </w:p>
    <w:p>
      <w:pPr>
        <w:pStyle w:val="BodyText"/>
        <w:numPr>
          <w:ilvl w:val="0"/>
          <w:numId w:val="476"/>
        </w:numPr>
        <w:tabs>
          <w:tab w:val="clear" w:pos="709"/>
          <w:tab w:val="left" w:pos="709" w:leader="none"/>
        </w:tabs>
        <w:bidi w:val="0"/>
        <w:ind w:hanging="283" w:start="709"/>
        <w:jc w:val="start"/>
        <w:rPr/>
      </w:pPr>
      <w:r>
        <w:rPr>
          <w:b/>
        </w:rPr>
        <w:t>Underperforms the S&amp;P 500</w:t>
      </w:r>
      <w:r>
        <w:rPr/>
        <w:t xml:space="preserve"> long run → avoided.</w:t>
      </w:r>
    </w:p>
    <w:p>
      <w:pPr>
        <w:pStyle w:val="BodyText"/>
        <w:numPr>
          <w:ilvl w:val="0"/>
          <w:numId w:val="476"/>
        </w:numPr>
        <w:tabs>
          <w:tab w:val="clear" w:pos="709"/>
          <w:tab w:val="left" w:pos="709" w:leader="none"/>
        </w:tabs>
        <w:bidi w:val="0"/>
        <w:spacing w:before="0" w:after="0"/>
        <w:ind w:hanging="283" w:start="709"/>
        <w:jc w:val="start"/>
        <w:rPr/>
      </w:pPr>
      <w:r>
        <w:rPr>
          <w:b/>
        </w:rPr>
        <w:t>AI-driven exception:</w:t>
      </w:r>
      <w:r>
        <w:rPr/>
        <w:t xml:space="preserve"> demand for energy to drive </w:t>
      </w:r>
      <w:r>
        <w:rPr>
          <w:b/>
        </w:rPr>
        <w:t>data centres</w:t>
      </w:r>
      <w:r>
        <w:rPr/>
        <w:t xml:space="preserve"> means some utilities are now growing </w:t>
      </w:r>
      <w:r>
        <w:rPr>
          <w:b/>
        </w:rPr>
        <w:t>double digits</w:t>
      </w:r>
      <w:r>
        <w:rPr/>
        <w:t xml:space="preserve"> — specifically </w:t>
      </w:r>
      <w:r>
        <w:rPr>
          <w:b/>
        </w:rPr>
        <w:t>IPPs (Independent Power Producers)</w:t>
      </w:r>
      <w:r>
        <w:rPr/>
        <w:t xml:space="preserve"> which can set their own market price.</w:t>
      </w:r>
    </w:p>
    <w:p>
      <w:pPr>
        <w:pStyle w:val="BodyText"/>
        <w:numPr>
          <w:ilvl w:val="1"/>
          <w:numId w:val="476"/>
        </w:numPr>
        <w:tabs>
          <w:tab w:val="clear" w:pos="709"/>
          <w:tab w:val="left" w:pos="1418" w:leader="none"/>
        </w:tabs>
        <w:bidi w:val="0"/>
        <w:ind w:hanging="283" w:start="1418"/>
        <w:jc w:val="start"/>
        <w:rPr/>
      </w:pPr>
      <w:r>
        <w:rPr/>
        <w:t xml:space="preserve">IPP names: </w:t>
      </w:r>
      <w:r>
        <w:rPr>
          <w:b/>
        </w:rPr>
        <w:t>Constellation Energy, Vistra, Talen Energy, NRG Energy.</w:t>
      </w:r>
    </w:p>
    <w:p>
      <w:pPr>
        <w:pStyle w:val="BodyText"/>
        <w:numPr>
          <w:ilvl w:val="1"/>
          <w:numId w:val="476"/>
        </w:numPr>
        <w:tabs>
          <w:tab w:val="clear" w:pos="709"/>
          <w:tab w:val="left" w:pos="1418" w:leader="none"/>
        </w:tabs>
        <w:bidi w:val="0"/>
        <w:ind w:hanging="283" w:start="1418"/>
        <w:jc w:val="start"/>
        <w:rPr/>
      </w:pPr>
      <w:r>
        <w:rPr/>
        <w:t xml:space="preserve">Problem: at time of recording many are </w:t>
      </w:r>
      <w:r>
        <w:rPr>
          <w:b/>
        </w:rPr>
        <w:t>quite overvalued</w:t>
      </w:r>
      <w:r>
        <w:rPr/>
        <w:t xml:space="preserve"> and lack a consistent profit track record → </w:t>
      </w:r>
      <w:r>
        <w:rPr>
          <w:b/>
        </w:rPr>
        <w:t>he doesn't own them individually; he owns them via an ETF, ticker AIPO.</w:t>
      </w:r>
    </w:p>
    <w:p>
      <w:pPr>
        <w:pStyle w:val="BodyText"/>
        <w:numPr>
          <w:ilvl w:val="0"/>
          <w:numId w:val="476"/>
        </w:numPr>
        <w:tabs>
          <w:tab w:val="clear" w:pos="709"/>
          <w:tab w:val="left" w:pos="709" w:leader="none"/>
        </w:tabs>
        <w:bidi w:val="0"/>
        <w:ind w:hanging="283" w:start="709"/>
        <w:jc w:val="start"/>
        <w:rPr/>
      </w:pPr>
      <w:r>
        <w:rPr>
          <w:b/>
        </w:rPr>
        <w:t>Regulated utilities</w:t>
      </w:r>
      <w:r>
        <w:rPr/>
        <w:t xml:space="preserve"> — price set by the state government → very low growth → </w:t>
      </w:r>
      <w:r>
        <w:rPr>
          <w:b/>
        </w:rPr>
        <w:t>avoids these</w:t>
      </w:r>
      <w:r>
        <w:rPr/>
        <w:t xml:space="preserve">: </w:t>
      </w:r>
      <w:r>
        <w:rPr>
          <w:b/>
        </w:rPr>
        <w:t>NextEra Energy, Southern Company.</w:t>
      </w:r>
    </w:p>
    <w:p>
      <w:pPr>
        <w:pStyle w:val="BodyText"/>
        <w:bidi w:val="0"/>
        <w:jc w:val="start"/>
        <w:rPr/>
      </w:pPr>
      <w:r>
        <w:rPr>
          <w:b/>
        </w:rPr>
        <w:t>Defensive summary:</w:t>
      </w:r>
      <w:r>
        <w:rPr/>
        <w:t xml:space="preserve"> buys a lot of </w:t>
      </w:r>
      <w:r>
        <w:rPr>
          <w:b/>
        </w:rPr>
        <w:t>healthcare</w:t>
      </w:r>
      <w:r>
        <w:rPr/>
        <w:t xml:space="preserve">, some </w:t>
      </w:r>
      <w:r>
        <w:rPr>
          <w:b/>
        </w:rPr>
        <w:t>consumer staples</w:t>
      </w:r>
      <w:r>
        <w:rPr/>
        <w:t xml:space="preserve">, generally </w:t>
      </w:r>
      <w:r>
        <w:rPr>
          <w:b/>
        </w:rPr>
        <w:t>no utilities</w:t>
      </w:r>
      <w:r>
        <w:rPr/>
        <w:t>.</w:t>
      </w:r>
    </w:p>
    <w:p>
      <w:pPr>
        <w:pStyle w:val="Heading4"/>
        <w:bidi w:val="0"/>
        <w:ind w:hanging="0" w:start="0"/>
        <w:jc w:val="start"/>
        <w:rPr/>
      </w:pPr>
      <w:r>
        <w:rPr/>
        <w:t>7.2 CYCLICAL SECTORS (5)</w:t>
      </w:r>
    </w:p>
    <w:p>
      <w:pPr>
        <w:pStyle w:val="Heading5"/>
        <w:bidi w:val="0"/>
        <w:ind w:hanging="0" w:start="0"/>
        <w:jc w:val="start"/>
        <w:rPr/>
      </w:pPr>
      <w:r>
        <w:rPr/>
        <w:t>Basic Materials / Commodities</w:t>
      </w:r>
    </w:p>
    <w:p>
      <w:pPr>
        <w:pStyle w:val="BodyText"/>
        <w:numPr>
          <w:ilvl w:val="0"/>
          <w:numId w:val="477"/>
        </w:numPr>
        <w:tabs>
          <w:tab w:val="clear" w:pos="709"/>
          <w:tab w:val="left" w:pos="709" w:leader="none"/>
        </w:tabs>
        <w:bidi w:val="0"/>
        <w:ind w:hanging="283" w:start="709"/>
        <w:jc w:val="start"/>
        <w:rPr/>
      </w:pPr>
      <w:r>
        <w:rPr/>
        <w:t>Chemicals, building materials, paper; commodity exploration and processing — gold, silver, steel, aluminium, fertilizer.</w:t>
      </w:r>
    </w:p>
    <w:p>
      <w:pPr>
        <w:pStyle w:val="BodyText"/>
        <w:numPr>
          <w:ilvl w:val="0"/>
          <w:numId w:val="477"/>
        </w:numPr>
        <w:tabs>
          <w:tab w:val="clear" w:pos="709"/>
          <w:tab w:val="left" w:pos="709" w:leader="none"/>
        </w:tabs>
        <w:bidi w:val="0"/>
        <w:ind w:hanging="283" w:start="709"/>
        <w:jc w:val="start"/>
        <w:rPr/>
      </w:pPr>
      <w:r>
        <w:rPr/>
        <w:t xml:space="preserve">Names: </w:t>
      </w:r>
      <w:r>
        <w:rPr>
          <w:b/>
        </w:rPr>
        <w:t>Steel Dynamics, Nucor, Alcoa, DuPont, Freeport, Linde.</w:t>
      </w:r>
    </w:p>
    <w:p>
      <w:pPr>
        <w:pStyle w:val="BodyText"/>
        <w:numPr>
          <w:ilvl w:val="0"/>
          <w:numId w:val="477"/>
        </w:numPr>
        <w:tabs>
          <w:tab w:val="clear" w:pos="709"/>
          <w:tab w:val="left" w:pos="709" w:leader="none"/>
        </w:tabs>
        <w:bidi w:val="0"/>
        <w:spacing w:before="0" w:after="0"/>
        <w:ind w:hanging="283" w:start="709"/>
        <w:jc w:val="start"/>
        <w:rPr/>
      </w:pPr>
      <w:r>
        <w:rPr>
          <w:b/>
        </w:rPr>
        <w:t>Avoids the sector.</w:t>
      </w:r>
      <w:r>
        <w:rPr/>
        <w:t xml:space="preserve"> Reasons:</w:t>
      </w:r>
    </w:p>
    <w:p>
      <w:pPr>
        <w:pStyle w:val="BodyText"/>
        <w:numPr>
          <w:ilvl w:val="1"/>
          <w:numId w:val="477"/>
        </w:numPr>
        <w:tabs>
          <w:tab w:val="clear" w:pos="709"/>
          <w:tab w:val="left" w:pos="1418" w:leader="none"/>
        </w:tabs>
        <w:bidi w:val="0"/>
        <w:ind w:hanging="283" w:start="1418"/>
        <w:jc w:val="start"/>
        <w:rPr/>
      </w:pPr>
      <w:r>
        <w:rPr/>
        <w:t xml:space="preserve">Revenue and profits are </w:t>
      </w:r>
      <w:r>
        <w:rPr>
          <w:b/>
        </w:rPr>
        <w:t>tied to commodity prices</w:t>
      </w:r>
      <w:r>
        <w:rPr/>
        <w:t xml:space="preserve"> → very unpredictable, very cyclical. He wants </w:t>
      </w:r>
      <w:r>
        <w:rPr>
          <w:b/>
        </w:rPr>
        <w:t>consistency and predictability</w:t>
      </w:r>
      <w:r>
        <w:rPr/>
        <w:t>.</w:t>
      </w:r>
    </w:p>
    <w:p>
      <w:pPr>
        <w:pStyle w:val="BodyText"/>
        <w:numPr>
          <w:ilvl w:val="1"/>
          <w:numId w:val="477"/>
        </w:numPr>
        <w:tabs>
          <w:tab w:val="clear" w:pos="709"/>
          <w:tab w:val="left" w:pos="1418" w:leader="none"/>
        </w:tabs>
        <w:bidi w:val="0"/>
        <w:ind w:hanging="283" w:start="1418"/>
        <w:jc w:val="start"/>
        <w:rPr/>
      </w:pPr>
      <w:r>
        <w:rPr>
          <w:b/>
        </w:rPr>
        <w:t>Very low profit margins</w:t>
      </w:r>
      <w:r>
        <w:rPr/>
        <w:t xml:space="preserve"> (heavy competition).</w:t>
      </w:r>
    </w:p>
    <w:p>
      <w:pPr>
        <w:pStyle w:val="BodyText"/>
        <w:numPr>
          <w:ilvl w:val="1"/>
          <w:numId w:val="477"/>
        </w:numPr>
        <w:tabs>
          <w:tab w:val="clear" w:pos="709"/>
          <w:tab w:val="left" w:pos="1418" w:leader="none"/>
        </w:tabs>
        <w:bidi w:val="0"/>
        <w:ind w:hanging="283" w:start="1418"/>
        <w:jc w:val="start"/>
        <w:rPr/>
      </w:pPr>
      <w:r>
        <w:rPr>
          <w:b/>
        </w:rPr>
        <w:t>Lower return on equity.</w:t>
      </w:r>
    </w:p>
    <w:p>
      <w:pPr>
        <w:pStyle w:val="BodyText"/>
        <w:numPr>
          <w:ilvl w:val="1"/>
          <w:numId w:val="477"/>
        </w:numPr>
        <w:tabs>
          <w:tab w:val="clear" w:pos="709"/>
          <w:tab w:val="left" w:pos="1418" w:leader="none"/>
        </w:tabs>
        <w:bidi w:val="0"/>
        <w:ind w:hanging="283" w:start="1418"/>
        <w:jc w:val="start"/>
        <w:rPr/>
      </w:pPr>
      <w:r>
        <w:rPr>
          <w:b/>
        </w:rPr>
        <w:t>High debt / highly leveraged.</w:t>
      </w:r>
    </w:p>
    <w:p>
      <w:pPr>
        <w:pStyle w:val="BodyText"/>
        <w:numPr>
          <w:ilvl w:val="0"/>
          <w:numId w:val="477"/>
        </w:numPr>
        <w:tabs>
          <w:tab w:val="clear" w:pos="709"/>
          <w:tab w:val="left" w:pos="709" w:leader="none"/>
        </w:tabs>
        <w:bidi w:val="0"/>
        <w:ind w:hanging="283" w:start="709"/>
        <w:jc w:val="start"/>
        <w:rPr/>
      </w:pPr>
      <w:r>
        <w:rPr/>
        <w:t>Underperforms the S&amp;P long run.</w:t>
      </w:r>
    </w:p>
    <w:p>
      <w:pPr>
        <w:pStyle w:val="BodyText"/>
        <w:numPr>
          <w:ilvl w:val="0"/>
          <w:numId w:val="477"/>
        </w:numPr>
        <w:tabs>
          <w:tab w:val="clear" w:pos="709"/>
          <w:tab w:val="left" w:pos="709" w:leader="none"/>
        </w:tabs>
        <w:bidi w:val="0"/>
        <w:ind w:hanging="283" w:start="709"/>
        <w:jc w:val="start"/>
        <w:rPr/>
      </w:pPr>
      <w:r>
        <w:rPr>
          <w:b/>
        </w:rPr>
        <w:t>Exception he owns: Linde PLC (LIN)</w:t>
      </w:r>
      <w:r>
        <w:rPr/>
        <w:t xml:space="preserve"> — industrial gas. They </w:t>
      </w:r>
      <w:r>
        <w:rPr>
          <w:b/>
        </w:rPr>
        <w:t>do not mine</w:t>
      </w:r>
      <w:r>
        <w:rPr/>
        <w:t xml:space="preserve"> the gas; they </w:t>
      </w:r>
      <w:r>
        <w:rPr>
          <w:b/>
        </w:rPr>
        <w:t>produce industrial gas in a factory</w:t>
      </w:r>
      <w:r>
        <w:rPr/>
        <w:t xml:space="preserve">, so the price is </w:t>
      </w:r>
      <w:r>
        <w:rPr>
          <w:b/>
        </w:rPr>
        <w:t>not affected by normal commodity cyclicality</w:t>
      </w:r>
      <w:r>
        <w:rPr/>
        <w:t xml:space="preserve"> → the company is predictable despite the sector label.</w:t>
      </w:r>
    </w:p>
    <w:p>
      <w:pPr>
        <w:pStyle w:val="Heading5"/>
        <w:numPr>
          <w:ilvl w:val="0"/>
          <w:numId w:val="0"/>
        </w:numPr>
        <w:bidi w:val="0"/>
        <w:ind w:hanging="0" w:start="0"/>
        <w:jc w:val="start"/>
        <w:rPr/>
      </w:pPr>
      <w:r>
        <w:rPr/>
        <w:t>Energy</w:t>
      </w:r>
    </w:p>
    <w:p>
      <w:pPr>
        <w:pStyle w:val="BodyText"/>
        <w:numPr>
          <w:ilvl w:val="0"/>
          <w:numId w:val="478"/>
        </w:numPr>
        <w:tabs>
          <w:tab w:val="clear" w:pos="709"/>
          <w:tab w:val="left" w:pos="709" w:leader="none"/>
        </w:tabs>
        <w:bidi w:val="0"/>
        <w:ind w:hanging="283" w:start="709"/>
        <w:jc w:val="start"/>
        <w:rPr/>
      </w:pPr>
      <w:r>
        <w:rPr/>
        <w:t>Oil and gas, oil field services and equipment, coal.</w:t>
      </w:r>
    </w:p>
    <w:p>
      <w:pPr>
        <w:pStyle w:val="BodyText"/>
        <w:numPr>
          <w:ilvl w:val="0"/>
          <w:numId w:val="478"/>
        </w:numPr>
        <w:tabs>
          <w:tab w:val="clear" w:pos="709"/>
          <w:tab w:val="left" w:pos="709" w:leader="none"/>
        </w:tabs>
        <w:bidi w:val="0"/>
        <w:ind w:hanging="283" w:start="709"/>
        <w:jc w:val="start"/>
        <w:rPr/>
      </w:pPr>
      <w:r>
        <w:rPr/>
        <w:t xml:space="preserve">Names: </w:t>
      </w:r>
      <w:r>
        <w:rPr>
          <w:b/>
        </w:rPr>
        <w:t>ConocoPhillips, Chevron, British Petroleum, ExxonMobil.</w:t>
      </w:r>
    </w:p>
    <w:p>
      <w:pPr>
        <w:pStyle w:val="BodyText"/>
        <w:numPr>
          <w:ilvl w:val="0"/>
          <w:numId w:val="478"/>
        </w:numPr>
        <w:tabs>
          <w:tab w:val="clear" w:pos="709"/>
          <w:tab w:val="left" w:pos="709" w:leader="none"/>
        </w:tabs>
        <w:bidi w:val="0"/>
        <w:ind w:hanging="283" w:start="709"/>
        <w:jc w:val="start"/>
        <w:rPr/>
      </w:pPr>
      <w:r>
        <w:rPr>
          <w:b/>
        </w:rPr>
        <w:t>Stays away.</w:t>
      </w:r>
      <w:r>
        <w:rPr/>
        <w:t xml:space="preserve"> Share prices are very up and down over the long run and very unpredictable — e.g. big years when Middle East conflict pushes oil prices up; collapse when oil prices fall (COVID).</w:t>
      </w:r>
    </w:p>
    <w:p>
      <w:pPr>
        <w:pStyle w:val="BodyText"/>
        <w:numPr>
          <w:ilvl w:val="0"/>
          <w:numId w:val="478"/>
        </w:numPr>
        <w:tabs>
          <w:tab w:val="clear" w:pos="709"/>
          <w:tab w:val="left" w:pos="709" w:leader="none"/>
        </w:tabs>
        <w:bidi w:val="0"/>
        <w:ind w:hanging="283" w:start="709"/>
        <w:jc w:val="start"/>
        <w:rPr/>
      </w:pPr>
      <w:r>
        <w:rPr/>
        <w:t xml:space="preserve">Verdict: </w:t>
      </w:r>
      <w:r>
        <w:rPr>
          <w:b/>
        </w:rPr>
        <w:t>good for speculation / swing trading / short-term momentum trading — not for long-term investing.</w:t>
      </w:r>
      <w:r>
        <w:rPr/>
        <w:t xml:space="preserve"> Underperforms S&amp;P long run.</w:t>
      </w:r>
    </w:p>
    <w:p>
      <w:pPr>
        <w:pStyle w:val="Heading5"/>
        <w:numPr>
          <w:ilvl w:val="0"/>
          <w:numId w:val="0"/>
        </w:numPr>
        <w:bidi w:val="0"/>
        <w:ind w:hanging="0" w:start="0"/>
        <w:jc w:val="start"/>
        <w:rPr/>
      </w:pPr>
      <w:r>
        <w:rPr/>
        <w:t xml:space="preserve">Financials — </w:t>
      </w:r>
      <w:r>
        <w:rPr>
          <w:i/>
        </w:rPr>
        <w:t>the one cyclical sector he focuses on</w:t>
      </w:r>
    </w:p>
    <w:p>
      <w:pPr>
        <w:pStyle w:val="BodyText"/>
        <w:numPr>
          <w:ilvl w:val="0"/>
          <w:numId w:val="479"/>
        </w:numPr>
        <w:tabs>
          <w:tab w:val="clear" w:pos="709"/>
          <w:tab w:val="left" w:pos="709" w:leader="none"/>
        </w:tabs>
        <w:bidi w:val="0"/>
        <w:ind w:hanging="283" w:start="709"/>
        <w:jc w:val="start"/>
        <w:rPr/>
      </w:pPr>
      <w:r>
        <w:rPr/>
        <w:t>Includes banks, savings &amp; loans, asset management, credit services, brokerage firms, financial ratings and analytics firms, payment technology companies, insurance companies.</w:t>
      </w:r>
    </w:p>
    <w:p>
      <w:pPr>
        <w:pStyle w:val="BodyText"/>
        <w:numPr>
          <w:ilvl w:val="0"/>
          <w:numId w:val="479"/>
        </w:numPr>
        <w:tabs>
          <w:tab w:val="clear" w:pos="709"/>
          <w:tab w:val="left" w:pos="709" w:leader="none"/>
        </w:tabs>
        <w:bidi w:val="0"/>
        <w:ind w:hanging="283" w:start="709"/>
        <w:jc w:val="start"/>
        <w:rPr/>
      </w:pPr>
      <w:r>
        <w:rPr/>
        <w:t xml:space="preserve">Sector is cyclical overall; growth generally </w:t>
      </w:r>
      <w:r>
        <w:rPr>
          <w:b/>
        </w:rPr>
        <w:t>high single digits</w:t>
      </w:r>
      <w:r>
        <w:rPr/>
        <w:t xml:space="preserve">, not double digits — </w:t>
      </w:r>
      <w:r>
        <w:rPr>
          <w:b/>
        </w:rPr>
        <w:t>but</w:t>
      </w:r>
      <w:r>
        <w:rPr/>
        <w:t xml:space="preserve"> some </w:t>
      </w:r>
      <w:r>
        <w:rPr>
          <w:b/>
        </w:rPr>
        <w:t>fintech</w:t>
      </w:r>
      <w:r>
        <w:rPr/>
        <w:t xml:space="preserve"> names do have high growth rates, and some companies within it are far less cyclical.</w:t>
      </w:r>
    </w:p>
    <w:p>
      <w:pPr>
        <w:pStyle w:val="BodyText"/>
        <w:numPr>
          <w:ilvl w:val="0"/>
          <w:numId w:val="479"/>
        </w:numPr>
        <w:tabs>
          <w:tab w:val="clear" w:pos="709"/>
          <w:tab w:val="left" w:pos="709" w:leader="none"/>
        </w:tabs>
        <w:bidi w:val="0"/>
        <w:spacing w:before="0" w:after="0"/>
        <w:ind w:hanging="283" w:start="709"/>
        <w:jc w:val="start"/>
        <w:rPr/>
      </w:pPr>
      <w:r>
        <w:rPr>
          <w:b/>
        </w:rPr>
        <w:t>Banks — be careful.</w:t>
      </w:r>
      <w:r>
        <w:rPr/>
        <w:t xml:space="preserve"> Banks are </w:t>
      </w:r>
      <w:r>
        <w:rPr>
          <w:b/>
        </w:rPr>
        <w:t>very highly leveraged</w:t>
      </w:r>
      <w:r>
        <w:rPr/>
        <w:t xml:space="preserve"> and </w:t>
      </w:r>
      <w:r>
        <w:rPr>
          <w:b/>
        </w:rPr>
        <w:t>could easily go to zero</w:t>
      </w:r>
      <w:r>
        <w:rPr/>
        <w:t xml:space="preserve"> if they carry toxic assets on the balance sheet, which is very hard to detect unless you are a professional bank analyst.</w:t>
      </w:r>
    </w:p>
    <w:p>
      <w:pPr>
        <w:pStyle w:val="BodyText"/>
        <w:numPr>
          <w:ilvl w:val="1"/>
          <w:numId w:val="479"/>
        </w:numPr>
        <w:tabs>
          <w:tab w:val="clear" w:pos="709"/>
          <w:tab w:val="left" w:pos="1418" w:leader="none"/>
        </w:tabs>
        <w:bidi w:val="0"/>
        <w:ind w:hanging="283" w:start="1418"/>
        <w:jc w:val="start"/>
        <w:rPr/>
      </w:pPr>
      <w:r>
        <w:rPr/>
        <w:t xml:space="preserve">Avoids </w:t>
      </w:r>
      <w:r>
        <w:rPr>
          <w:b/>
        </w:rPr>
        <w:t>regional banks</w:t>
      </w:r>
      <w:r>
        <w:rPr/>
        <w:t>.</w:t>
      </w:r>
    </w:p>
    <w:p>
      <w:pPr>
        <w:pStyle w:val="BodyText"/>
        <w:numPr>
          <w:ilvl w:val="1"/>
          <w:numId w:val="479"/>
        </w:numPr>
        <w:tabs>
          <w:tab w:val="clear" w:pos="709"/>
          <w:tab w:val="left" w:pos="1418" w:leader="none"/>
        </w:tabs>
        <w:bidi w:val="0"/>
        <w:ind w:hanging="283" w:start="1418"/>
        <w:jc w:val="start"/>
        <w:rPr/>
      </w:pPr>
      <w:r>
        <w:rPr/>
        <w:t xml:space="preserve">Would only consider </w:t>
      </w:r>
      <w:r>
        <w:rPr>
          <w:b/>
        </w:rPr>
        <w:t>top global banks</w:t>
      </w:r>
      <w:r>
        <w:rPr/>
        <w:t xml:space="preserve"> at a good price: </w:t>
      </w:r>
      <w:r>
        <w:rPr>
          <w:b/>
        </w:rPr>
        <w:t>JP Morgan, Goldman Sachs</w:t>
      </w:r>
      <w:r>
        <w:rPr/>
        <w:t>.</w:t>
      </w:r>
    </w:p>
    <w:p>
      <w:pPr>
        <w:pStyle w:val="BodyText"/>
        <w:numPr>
          <w:ilvl w:val="1"/>
          <w:numId w:val="479"/>
        </w:numPr>
        <w:tabs>
          <w:tab w:val="clear" w:pos="709"/>
          <w:tab w:val="left" w:pos="1418" w:leader="none"/>
        </w:tabs>
        <w:bidi w:val="0"/>
        <w:ind w:hanging="283" w:start="1418"/>
        <w:jc w:val="start"/>
        <w:rPr/>
      </w:pPr>
      <w:r>
        <w:rPr>
          <w:b/>
        </w:rPr>
        <w:t>Big fan of the three Singapore banks</w:t>
      </w:r>
      <w:r>
        <w:rPr/>
        <w:t xml:space="preserve"> — very conservative, very good dividends: </w:t>
      </w:r>
      <w:r>
        <w:rPr>
          <w:b/>
        </w:rPr>
        <w:t>DBS, UOB, OCBC</w:t>
      </w:r>
      <w:r>
        <w:rPr/>
        <w:t>.</w:t>
      </w:r>
    </w:p>
    <w:p>
      <w:pPr>
        <w:pStyle w:val="BodyText"/>
        <w:numPr>
          <w:ilvl w:val="0"/>
          <w:numId w:val="479"/>
        </w:numPr>
        <w:tabs>
          <w:tab w:val="clear" w:pos="709"/>
          <w:tab w:val="left" w:pos="709" w:leader="none"/>
        </w:tabs>
        <w:bidi w:val="0"/>
        <w:ind w:hanging="283" w:start="709"/>
        <w:jc w:val="start"/>
        <w:rPr/>
      </w:pPr>
      <w:r>
        <w:rPr>
          <w:b/>
        </w:rPr>
        <w:t>Asset managers:</w:t>
      </w:r>
      <w:r>
        <w:rPr/>
        <w:t xml:space="preserve"> "okay, not bad investments" — high single digit, worth buying when undervalued. Two main ones: </w:t>
      </w:r>
      <w:r>
        <w:rPr>
          <w:b/>
        </w:rPr>
        <w:t>Blackstone</w:t>
      </w:r>
      <w:r>
        <w:rPr/>
        <w:t xml:space="preserve"> and </w:t>
      </w:r>
      <w:r>
        <w:rPr>
          <w:b/>
        </w:rPr>
        <w:t>BlackRock</w:t>
      </w:r>
      <w:r>
        <w:rPr/>
        <w:t xml:space="preserve">. He used to own them; </w:t>
      </w:r>
      <w:r>
        <w:rPr>
          <w:b/>
        </w:rPr>
        <w:t>currently owns neither.</w:t>
      </w:r>
    </w:p>
    <w:p>
      <w:pPr>
        <w:pStyle w:val="BodyText"/>
        <w:numPr>
          <w:ilvl w:val="0"/>
          <w:numId w:val="479"/>
        </w:numPr>
        <w:tabs>
          <w:tab w:val="clear" w:pos="709"/>
          <w:tab w:val="left" w:pos="709" w:leader="none"/>
        </w:tabs>
        <w:bidi w:val="0"/>
        <w:spacing w:before="0" w:after="0"/>
        <w:ind w:hanging="283" w:start="709"/>
        <w:jc w:val="start"/>
        <w:rPr/>
      </w:pPr>
      <w:r>
        <w:rPr>
          <w:b/>
        </w:rPr>
        <w:t>His favourite financial sub-group: financial ratings &amp; analytics companies and companies that own stock exchanges</w:t>
      </w:r>
      <w:r>
        <w:rPr/>
        <w:t xml:space="preserve"> — these are </w:t>
      </w:r>
      <w:r>
        <w:rPr>
          <w:b/>
        </w:rPr>
        <w:t>"toll-booth" companies</w:t>
      </w:r>
      <w:r>
        <w:rPr/>
        <w:t>, monopolistic, little or no competition in their region.</w:t>
      </w:r>
    </w:p>
    <w:p>
      <w:pPr>
        <w:pStyle w:val="BodyText"/>
        <w:numPr>
          <w:ilvl w:val="1"/>
          <w:numId w:val="479"/>
        </w:numPr>
        <w:tabs>
          <w:tab w:val="clear" w:pos="709"/>
          <w:tab w:val="left" w:pos="1418" w:leader="none"/>
        </w:tabs>
        <w:bidi w:val="0"/>
        <w:ind w:hanging="283" w:start="1418"/>
        <w:jc w:val="start"/>
        <w:rPr/>
      </w:pPr>
      <w:r>
        <w:rPr/>
        <w:t xml:space="preserve">Favourites: </w:t>
      </w:r>
      <w:r>
        <w:rPr>
          <w:b/>
        </w:rPr>
        <w:t>S&amp;P Global</w:t>
      </w:r>
      <w:r>
        <w:rPr/>
        <w:t xml:space="preserve">, </w:t>
      </w:r>
      <w:r>
        <w:rPr>
          <w:b/>
        </w:rPr>
        <w:t>MSCI</w:t>
      </w:r>
      <w:r>
        <w:rPr/>
        <w:t>.</w:t>
      </w:r>
    </w:p>
    <w:p>
      <w:pPr>
        <w:pStyle w:val="BodyText"/>
        <w:numPr>
          <w:ilvl w:val="0"/>
          <w:numId w:val="479"/>
        </w:numPr>
        <w:tabs>
          <w:tab w:val="clear" w:pos="709"/>
          <w:tab w:val="left" w:pos="709" w:leader="none"/>
        </w:tabs>
        <w:bidi w:val="0"/>
        <w:ind w:hanging="283" w:start="709"/>
        <w:jc w:val="start"/>
        <w:rPr/>
      </w:pPr>
      <w:r>
        <w:rPr>
          <w:b/>
        </w:rPr>
        <w:t>Payment technology favourites: Visa and MasterCard.</w:t>
      </w:r>
    </w:p>
    <w:p>
      <w:pPr>
        <w:pStyle w:val="BodyText"/>
        <w:numPr>
          <w:ilvl w:val="0"/>
          <w:numId w:val="479"/>
        </w:numPr>
        <w:tabs>
          <w:tab w:val="clear" w:pos="709"/>
          <w:tab w:val="left" w:pos="709" w:leader="none"/>
        </w:tabs>
        <w:bidi w:val="0"/>
        <w:ind w:hanging="283" w:start="709"/>
        <w:jc w:val="start"/>
        <w:rPr/>
      </w:pPr>
      <w:r>
        <w:rPr>
          <w:b/>
        </w:rPr>
        <w:t>Insurance:</w:t>
      </w:r>
      <w:r>
        <w:rPr/>
        <w:t xml:space="preserve"> likes the strong ones. One of the strongest insurers in the world: </w:t>
      </w:r>
      <w:r>
        <w:rPr>
          <w:b/>
        </w:rPr>
        <w:t>Chubb</w:t>
      </w:r>
      <w:r>
        <w:rPr/>
        <w:t xml:space="preserve">. Also </w:t>
      </w:r>
      <w:r>
        <w:rPr>
          <w:b/>
        </w:rPr>
        <w:t>Arch Capital (ACGL)</w:t>
      </w:r>
      <w:r>
        <w:rPr/>
        <w:t>.</w:t>
      </w:r>
    </w:p>
    <w:p>
      <w:pPr>
        <w:pStyle w:val="Heading5"/>
        <w:numPr>
          <w:ilvl w:val="0"/>
          <w:numId w:val="0"/>
        </w:numPr>
        <w:bidi w:val="0"/>
        <w:ind w:hanging="0" w:start="0"/>
        <w:jc w:val="start"/>
        <w:rPr/>
      </w:pPr>
      <w:r>
        <w:rPr/>
        <w:t xml:space="preserve">Real Estate — </w:t>
      </w:r>
      <w:r>
        <w:rPr>
          <w:i/>
        </w:rPr>
        <w:t>avoids the entire sector</w:t>
      </w:r>
    </w:p>
    <w:p>
      <w:pPr>
        <w:pStyle w:val="BodyText"/>
        <w:numPr>
          <w:ilvl w:val="0"/>
          <w:numId w:val="480"/>
        </w:numPr>
        <w:tabs>
          <w:tab w:val="clear" w:pos="709"/>
          <w:tab w:val="left" w:pos="709" w:leader="none"/>
        </w:tabs>
        <w:bidi w:val="0"/>
        <w:ind w:hanging="283" w:start="709"/>
        <w:jc w:val="start"/>
        <w:rPr/>
      </w:pPr>
      <w:r>
        <w:rPr/>
        <w:t xml:space="preserve">Includes mortgage companies, property management companies, and </w:t>
      </w:r>
      <w:r>
        <w:rPr>
          <w:b/>
        </w:rPr>
        <w:t>REITs</w:t>
      </w:r>
      <w:r>
        <w:rPr/>
        <w:t>.</w:t>
      </w:r>
    </w:p>
    <w:p>
      <w:pPr>
        <w:pStyle w:val="BodyText"/>
        <w:numPr>
          <w:ilvl w:val="0"/>
          <w:numId w:val="480"/>
        </w:numPr>
        <w:tabs>
          <w:tab w:val="clear" w:pos="709"/>
          <w:tab w:val="left" w:pos="709" w:leader="none"/>
        </w:tabs>
        <w:bidi w:val="0"/>
        <w:ind w:hanging="283" w:start="709"/>
        <w:jc w:val="start"/>
        <w:rPr/>
      </w:pPr>
      <w:r>
        <w:rPr/>
        <w:t xml:space="preserve">Why avoided: </w:t>
      </w:r>
      <w:r>
        <w:rPr>
          <w:b/>
        </w:rPr>
        <w:t>high debt, low profit margins, no strong economic moats, weak return on equity</w:t>
      </w:r>
      <w:r>
        <w:rPr/>
        <w:t xml:space="preserve"> (very competitive sector). Worst long-run underperformer versus S&amp;P among the sectors shown.</w:t>
      </w:r>
    </w:p>
    <w:p>
      <w:pPr>
        <w:pStyle w:val="BodyText"/>
        <w:numPr>
          <w:ilvl w:val="0"/>
          <w:numId w:val="480"/>
        </w:numPr>
        <w:tabs>
          <w:tab w:val="clear" w:pos="709"/>
          <w:tab w:val="left" w:pos="709" w:leader="none"/>
        </w:tabs>
        <w:bidi w:val="0"/>
        <w:ind w:hanging="283" w:start="709"/>
        <w:jc w:val="start"/>
        <w:rPr/>
      </w:pPr>
      <w:r>
        <w:rPr/>
        <w:t xml:space="preserve">Names: </w:t>
      </w:r>
      <w:r>
        <w:rPr>
          <w:b/>
        </w:rPr>
        <w:t>Regency Centers Corp, Extra Space Storage, Iron Mountain, SL Green/"SX" Property Trust.</w:t>
      </w:r>
    </w:p>
    <w:p>
      <w:pPr>
        <w:pStyle w:val="BodyText"/>
        <w:numPr>
          <w:ilvl w:val="0"/>
          <w:numId w:val="480"/>
        </w:numPr>
        <w:tabs>
          <w:tab w:val="clear" w:pos="709"/>
          <w:tab w:val="left" w:pos="709" w:leader="none"/>
        </w:tabs>
        <w:bidi w:val="0"/>
        <w:spacing w:before="0" w:after="0"/>
        <w:ind w:hanging="283" w:start="709"/>
        <w:jc w:val="start"/>
        <w:rPr/>
      </w:pPr>
      <w:r>
        <w:rPr>
          <w:b/>
        </w:rPr>
        <w:t>REIT exception — dividends only, never capital gain</w:t>
      </w:r>
      <w:r>
        <w:rPr/>
        <w:t xml:space="preserve">, and </w:t>
      </w:r>
      <w:r>
        <w:rPr>
          <w:b/>
        </w:rPr>
        <w:t>only Singapore-listed REITs</w:t>
      </w:r>
      <w:r>
        <w:rPr/>
        <w:t>:</w:t>
      </w:r>
    </w:p>
    <w:p>
      <w:pPr>
        <w:pStyle w:val="BodyText"/>
        <w:numPr>
          <w:ilvl w:val="1"/>
          <w:numId w:val="480"/>
        </w:numPr>
        <w:tabs>
          <w:tab w:val="clear" w:pos="709"/>
          <w:tab w:val="left" w:pos="1418" w:leader="none"/>
        </w:tabs>
        <w:bidi w:val="0"/>
        <w:ind w:hanging="283" w:start="1418"/>
        <w:jc w:val="start"/>
        <w:rPr/>
      </w:pPr>
      <w:r>
        <w:rPr/>
        <w:t xml:space="preserve">Singapore REITs have among the </w:t>
      </w:r>
      <w:r>
        <w:rPr>
          <w:b/>
        </w:rPr>
        <w:t>highest dividend yields in the world</w:t>
      </w:r>
      <w:r>
        <w:rPr/>
        <w:t xml:space="preserve"> and the </w:t>
      </w:r>
      <w:r>
        <w:rPr>
          <w:b/>
        </w:rPr>
        <w:t>dividend is tax free</w:t>
      </w:r>
      <w:r>
        <w:rPr/>
        <w:t>.</w:t>
      </w:r>
    </w:p>
    <w:p>
      <w:pPr>
        <w:pStyle w:val="BodyText"/>
        <w:numPr>
          <w:ilvl w:val="1"/>
          <w:numId w:val="480"/>
        </w:numPr>
        <w:tabs>
          <w:tab w:val="clear" w:pos="709"/>
          <w:tab w:val="left" w:pos="1418" w:leader="none"/>
        </w:tabs>
        <w:bidi w:val="0"/>
        <w:ind w:hanging="283" w:start="1418"/>
        <w:jc w:val="start"/>
        <w:rPr/>
      </w:pPr>
      <w:r>
        <w:rPr>
          <w:b/>
        </w:rPr>
        <w:t>US-listed REITs: 30% withholding tax on dividends</w:t>
      </w:r>
      <w:r>
        <w:rPr/>
        <w:t xml:space="preserve"> → doesn't make sense after tax; they also carry much </w:t>
      </w:r>
      <w:r>
        <w:rPr>
          <w:b/>
        </w:rPr>
        <w:t>higher leverage/debt</w:t>
      </w:r>
      <w:r>
        <w:rPr/>
        <w:t>.</w:t>
      </w:r>
    </w:p>
    <w:p>
      <w:pPr>
        <w:pStyle w:val="Heading5"/>
        <w:numPr>
          <w:ilvl w:val="0"/>
          <w:numId w:val="0"/>
        </w:numPr>
        <w:bidi w:val="0"/>
        <w:ind w:hanging="0" w:start="0"/>
        <w:jc w:val="start"/>
        <w:rPr/>
      </w:pPr>
      <w:r>
        <w:rPr/>
        <w:t>Industrials</w:t>
      </w:r>
    </w:p>
    <w:p>
      <w:pPr>
        <w:pStyle w:val="BodyText"/>
        <w:numPr>
          <w:ilvl w:val="0"/>
          <w:numId w:val="481"/>
        </w:numPr>
        <w:tabs>
          <w:tab w:val="clear" w:pos="709"/>
          <w:tab w:val="left" w:pos="709" w:leader="none"/>
        </w:tabs>
        <w:bidi w:val="0"/>
        <w:ind w:hanging="283" w:start="709"/>
        <w:jc w:val="start"/>
        <w:rPr/>
      </w:pPr>
      <w:r>
        <w:rPr/>
        <w:t xml:space="preserve">Machinery, tools, industrial products; includes </w:t>
      </w:r>
      <w:r>
        <w:rPr>
          <w:b/>
        </w:rPr>
        <w:t>aerospace &amp; defense</w:t>
      </w:r>
      <w:r>
        <w:rPr/>
        <w:t>, transportation, logistics services.</w:t>
      </w:r>
    </w:p>
    <w:p>
      <w:pPr>
        <w:pStyle w:val="BodyText"/>
        <w:numPr>
          <w:ilvl w:val="0"/>
          <w:numId w:val="481"/>
        </w:numPr>
        <w:tabs>
          <w:tab w:val="clear" w:pos="709"/>
          <w:tab w:val="left" w:pos="709" w:leader="none"/>
        </w:tabs>
        <w:bidi w:val="0"/>
        <w:ind w:hanging="283" w:start="709"/>
        <w:jc w:val="start"/>
        <w:rPr/>
      </w:pPr>
      <w:r>
        <w:rPr/>
        <w:t xml:space="preserve">Generally avoided/underweighted: </w:t>
      </w:r>
      <w:r>
        <w:rPr>
          <w:b/>
        </w:rPr>
        <w:t>higher debt, lower profit margins, weaker economic moats.</w:t>
      </w:r>
      <w:r>
        <w:rPr/>
        <w:t xml:space="preserve"> Only </w:t>
      </w:r>
      <w:r>
        <w:rPr>
          <w:b/>
        </w:rPr>
        <w:t>2%</w:t>
      </w:r>
      <w:r>
        <w:rPr/>
        <w:t xml:space="preserve"> of his portfolio.</w:t>
      </w:r>
    </w:p>
    <w:p>
      <w:pPr>
        <w:pStyle w:val="BodyText"/>
        <w:numPr>
          <w:ilvl w:val="0"/>
          <w:numId w:val="481"/>
        </w:numPr>
        <w:tabs>
          <w:tab w:val="clear" w:pos="709"/>
          <w:tab w:val="left" w:pos="709" w:leader="none"/>
        </w:tabs>
        <w:bidi w:val="0"/>
        <w:ind w:hanging="283" w:start="709"/>
        <w:jc w:val="start"/>
        <w:rPr/>
      </w:pPr>
      <w:r>
        <w:rPr/>
        <w:t xml:space="preserve">Big names, but too cyclical with inconsistent profits → he doesn't like to hold: </w:t>
      </w:r>
      <w:r>
        <w:rPr>
          <w:b/>
        </w:rPr>
        <w:t>Deere (DE), Honeywell (HON), Caterpillar (CAT).</w:t>
      </w:r>
    </w:p>
    <w:p>
      <w:pPr>
        <w:pStyle w:val="BodyText"/>
        <w:numPr>
          <w:ilvl w:val="0"/>
          <w:numId w:val="481"/>
        </w:numPr>
        <w:tabs>
          <w:tab w:val="clear" w:pos="709"/>
          <w:tab w:val="left" w:pos="709" w:leader="none"/>
        </w:tabs>
        <w:bidi w:val="0"/>
        <w:spacing w:before="0" w:after="0"/>
        <w:ind w:hanging="283" w:start="709"/>
        <w:jc w:val="start"/>
        <w:rPr/>
      </w:pPr>
      <w:r>
        <w:rPr>
          <w:b/>
        </w:rPr>
        <w:t>The rare industrials he DOES own:</w:t>
      </w:r>
    </w:p>
    <w:p>
      <w:pPr>
        <w:pStyle w:val="BodyText"/>
        <w:numPr>
          <w:ilvl w:val="1"/>
          <w:numId w:val="481"/>
        </w:numPr>
        <w:tabs>
          <w:tab w:val="clear" w:pos="709"/>
          <w:tab w:val="left" w:pos="1418" w:leader="none"/>
        </w:tabs>
        <w:bidi w:val="0"/>
        <w:ind w:hanging="283" w:start="1418"/>
        <w:jc w:val="start"/>
        <w:rPr/>
      </w:pPr>
      <w:r>
        <w:rPr>
          <w:b/>
        </w:rPr>
        <w:t>Waste Management</w:t>
      </w:r>
      <w:r>
        <w:rPr/>
        <w:t xml:space="preserve"> — clears waste; very predictable, very consistent profits and revenues.</w:t>
      </w:r>
    </w:p>
    <w:p>
      <w:pPr>
        <w:pStyle w:val="BodyText"/>
        <w:numPr>
          <w:ilvl w:val="1"/>
          <w:numId w:val="481"/>
        </w:numPr>
        <w:tabs>
          <w:tab w:val="clear" w:pos="709"/>
          <w:tab w:val="left" w:pos="1418" w:leader="none"/>
        </w:tabs>
        <w:bidi w:val="0"/>
        <w:ind w:hanging="283" w:start="1418"/>
        <w:jc w:val="start"/>
        <w:rPr/>
      </w:pPr>
      <w:r>
        <w:rPr>
          <w:b/>
        </w:rPr>
        <w:t>Pool Corporation</w:t>
      </w:r>
      <w:r>
        <w:rPr/>
        <w:t xml:space="preserve"> — largest manufacturer and wholesale distributor of swimming pools and pool maintenance in the US.</w:t>
      </w:r>
    </w:p>
    <w:p>
      <w:pPr>
        <w:pStyle w:val="BodyText"/>
        <w:numPr>
          <w:ilvl w:val="1"/>
          <w:numId w:val="481"/>
        </w:numPr>
        <w:tabs>
          <w:tab w:val="clear" w:pos="709"/>
          <w:tab w:val="left" w:pos="1418" w:leader="none"/>
        </w:tabs>
        <w:bidi w:val="0"/>
        <w:ind w:hanging="283" w:start="1418"/>
        <w:jc w:val="start"/>
        <w:rPr/>
      </w:pPr>
      <w:r>
        <w:rPr>
          <w:b/>
        </w:rPr>
        <w:t>Copart (CPRT)</w:t>
      </w:r>
      <w:r>
        <w:rPr/>
        <w:t xml:space="preserve"> — leading vehicle auction / salvage company.</w:t>
      </w:r>
    </w:p>
    <w:p>
      <w:pPr>
        <w:pStyle w:val="BodyText"/>
        <w:numPr>
          <w:ilvl w:val="1"/>
          <w:numId w:val="481"/>
        </w:numPr>
        <w:tabs>
          <w:tab w:val="clear" w:pos="709"/>
          <w:tab w:val="left" w:pos="1418" w:leader="none"/>
        </w:tabs>
        <w:bidi w:val="0"/>
        <w:ind w:hanging="283" w:start="1418"/>
        <w:jc w:val="start"/>
        <w:rPr/>
      </w:pPr>
      <w:r>
        <w:rPr>
          <w:b/>
        </w:rPr>
        <w:t>Lockheed Martin</w:t>
      </w:r>
      <w:r>
        <w:rPr/>
        <w:t xml:space="preserve"> named as a leading military defense company (also </w:t>
      </w:r>
      <w:r>
        <w:rPr>
          <w:b/>
        </w:rPr>
        <w:t>Raytheon</w:t>
      </w:r>
      <w:r>
        <w:rPr/>
        <w:t xml:space="preserve">, </w:t>
      </w:r>
      <w:r>
        <w:rPr>
          <w:b/>
        </w:rPr>
        <w:t>General Dynamics</w:t>
      </w:r>
      <w:r>
        <w:rPr/>
        <w:t xml:space="preserve">) — but </w:t>
      </w:r>
      <w:r>
        <w:rPr>
          <w:b/>
        </w:rPr>
        <w:t>he does not own them right now</w:t>
      </w:r>
      <w:r>
        <w:rPr/>
        <w:t>.</w:t>
      </w:r>
    </w:p>
    <w:p>
      <w:pPr>
        <w:pStyle w:val="BodyText"/>
        <w:bidi w:val="0"/>
        <w:jc w:val="start"/>
        <w:rPr/>
      </w:pPr>
      <w:r>
        <w:rPr>
          <w:b/>
        </w:rPr>
        <w:t>Cyclical summary:</w:t>
      </w:r>
      <w:r>
        <w:rPr/>
        <w:t xml:space="preserve"> of the 5 cyclical sectors he focuses mainly on </w:t>
      </w:r>
      <w:r>
        <w:rPr>
          <w:b/>
        </w:rPr>
        <w:t>Financials</w:t>
      </w:r>
      <w:r>
        <w:rPr/>
        <w:t>; buys a bit of the rest, but not much.</w:t>
      </w:r>
    </w:p>
    <w:p>
      <w:pPr>
        <w:pStyle w:val="Heading4"/>
        <w:bidi w:val="0"/>
        <w:ind w:hanging="0" w:start="0"/>
        <w:jc w:val="start"/>
        <w:rPr/>
      </w:pPr>
      <w:r>
        <w:rPr/>
        <w:t>7.3 GROWTH / MODERATELY CYCLICAL SECTORS (3) — the majority of his buying</w:t>
      </w:r>
    </w:p>
    <w:p>
      <w:pPr>
        <w:pStyle w:val="BlockQuotation"/>
        <w:bidi w:val="0"/>
        <w:jc w:val="start"/>
        <w:rPr/>
      </w:pPr>
      <w:r>
        <w:rPr/>
        <w:t>"The majority of stocks that I buy are not from the defensive sector, not from the cyclical sector, but from the growth sectors." Revenues and profits stay more consistent whether in recession or boom.</w:t>
      </w:r>
    </w:p>
    <w:p>
      <w:pPr>
        <w:pStyle w:val="Heading5"/>
        <w:bidi w:val="0"/>
        <w:ind w:hanging="0" w:start="0"/>
        <w:jc w:val="start"/>
        <w:rPr/>
      </w:pPr>
      <w:r>
        <w:rPr/>
        <w:t xml:space="preserve">Technology — ETF </w:t>
      </w:r>
      <w:r>
        <w:rPr>
          <w:b/>
        </w:rPr>
        <w:t>XLK</w:t>
      </w:r>
      <w:r>
        <w:rPr/>
        <w:t xml:space="preserve"> — </w:t>
      </w:r>
      <w:r>
        <w:rPr>
          <w:b/>
        </w:rPr>
        <w:t>highest long-run growth of all sectors; his biggest holding at 27%</w:t>
      </w:r>
    </w:p>
    <w:p>
      <w:pPr>
        <w:pStyle w:val="BodyText"/>
        <w:numPr>
          <w:ilvl w:val="0"/>
          <w:numId w:val="482"/>
        </w:numPr>
        <w:tabs>
          <w:tab w:val="clear" w:pos="709"/>
          <w:tab w:val="left" w:pos="709" w:leader="none"/>
        </w:tabs>
        <w:bidi w:val="0"/>
        <w:ind w:hanging="283" w:start="709"/>
        <w:jc w:val="start"/>
        <w:rPr/>
      </w:pPr>
      <w:r>
        <w:rPr/>
        <w:t>Design, development and support of computer applications; manufacture of computer equipment and components.</w:t>
      </w:r>
    </w:p>
    <w:p>
      <w:pPr>
        <w:pStyle w:val="BodyText"/>
        <w:numPr>
          <w:ilvl w:val="0"/>
          <w:numId w:val="482"/>
        </w:numPr>
        <w:tabs>
          <w:tab w:val="clear" w:pos="709"/>
          <w:tab w:val="left" w:pos="709" w:leader="none"/>
        </w:tabs>
        <w:bidi w:val="0"/>
        <w:ind w:hanging="283" w:start="709"/>
        <w:jc w:val="start"/>
        <w:rPr/>
      </w:pPr>
      <w:r>
        <w:rPr/>
        <w:t xml:space="preserve">Names he owns: </w:t>
      </w:r>
      <w:r>
        <w:rPr>
          <w:b/>
        </w:rPr>
        <w:t>Apple, Microsoft, ServiceNow, Palo Alto Networks</w:t>
      </w:r>
      <w:r>
        <w:rPr/>
        <w:t xml:space="preserve"> (cybersecurity), </w:t>
      </w:r>
      <w:r>
        <w:rPr>
          <w:b/>
        </w:rPr>
        <w:t>NVIDIA</w:t>
      </w:r>
      <w:r>
        <w:rPr/>
        <w:t xml:space="preserve"> (semiconductors), </w:t>
      </w:r>
      <w:r>
        <w:rPr>
          <w:b/>
        </w:rPr>
        <w:t>Palantir</w:t>
      </w:r>
      <w:r>
        <w:rPr/>
        <w:t xml:space="preserve"> (AI enterprise), </w:t>
      </w:r>
      <w:r>
        <w:rPr>
          <w:b/>
        </w:rPr>
        <w:t>Salesforce</w:t>
      </w:r>
      <w:r>
        <w:rPr/>
        <w:t xml:space="preserve">, </w:t>
      </w:r>
      <w:r>
        <w:rPr>
          <w:b/>
        </w:rPr>
        <w:t>Veeva Systems</w:t>
      </w:r>
      <w:r>
        <w:rPr/>
        <w:t>, "and a couple more."</w:t>
      </w:r>
    </w:p>
    <w:p>
      <w:pPr>
        <w:pStyle w:val="BodyText"/>
        <w:numPr>
          <w:ilvl w:val="0"/>
          <w:numId w:val="482"/>
        </w:numPr>
        <w:tabs>
          <w:tab w:val="clear" w:pos="709"/>
          <w:tab w:val="left" w:pos="709" w:leader="none"/>
        </w:tabs>
        <w:bidi w:val="0"/>
        <w:ind w:hanging="283" w:start="709"/>
        <w:jc w:val="start"/>
        <w:rPr/>
      </w:pPr>
      <w:r>
        <w:rPr/>
        <w:t xml:space="preserve">Industry ETFs owned: </w:t>
      </w:r>
      <w:r>
        <w:rPr>
          <w:b/>
        </w:rPr>
        <w:t>SOXX</w:t>
      </w:r>
      <w:r>
        <w:rPr/>
        <w:t xml:space="preserve"> (semiconductors); cybersecurity ETFs named: </w:t>
      </w:r>
      <w:r>
        <w:rPr>
          <w:b/>
        </w:rPr>
        <w:t>IHAK</w:t>
      </w:r>
      <w:r>
        <w:rPr/>
        <w:t xml:space="preserve">, </w:t>
      </w:r>
      <w:r>
        <w:rPr>
          <w:b/>
        </w:rPr>
        <w:t>HACK</w:t>
      </w:r>
      <w:r>
        <w:rPr/>
        <w:t>.</w:t>
      </w:r>
    </w:p>
    <w:p>
      <w:pPr>
        <w:pStyle w:val="Heading5"/>
        <w:numPr>
          <w:ilvl w:val="0"/>
          <w:numId w:val="0"/>
        </w:numPr>
        <w:bidi w:val="0"/>
        <w:ind w:hanging="0" w:start="0"/>
        <w:jc w:val="start"/>
        <w:rPr/>
      </w:pPr>
      <w:r>
        <w:rPr/>
        <w:t xml:space="preserve">Consumer Discretionary — ETF </w:t>
      </w:r>
      <w:r>
        <w:rPr>
          <w:b/>
        </w:rPr>
        <w:t>XLY</w:t>
      </w:r>
      <w:r>
        <w:rPr/>
        <w:t xml:space="preserve"> — </w:t>
      </w:r>
      <w:r>
        <w:rPr>
          <w:b/>
        </w:rPr>
        <w:t>second-highest long-run growth; 22% of portfolio</w:t>
      </w:r>
    </w:p>
    <w:p>
      <w:pPr>
        <w:pStyle w:val="BodyText"/>
        <w:numPr>
          <w:ilvl w:val="0"/>
          <w:numId w:val="483"/>
        </w:numPr>
        <w:tabs>
          <w:tab w:val="clear" w:pos="709"/>
          <w:tab w:val="left" w:pos="709" w:leader="none"/>
        </w:tabs>
        <w:bidi w:val="0"/>
        <w:ind w:hanging="283" w:start="709"/>
        <w:jc w:val="start"/>
        <w:rPr/>
      </w:pPr>
      <w:r>
        <w:rPr/>
        <w:t>Retail stores, auto and auto-parts manufacturers, residential construction (</w:t>
      </w:r>
      <w:r>
        <w:rPr>
          <w:b/>
        </w:rPr>
        <w:t>this part he does not buy</w:t>
      </w:r>
      <w:r>
        <w:rPr/>
        <w:t>), lodging facilities, restaurants, entertainment companies.</w:t>
      </w:r>
    </w:p>
    <w:p>
      <w:pPr>
        <w:pStyle w:val="BodyText"/>
        <w:numPr>
          <w:ilvl w:val="0"/>
          <w:numId w:val="483"/>
        </w:numPr>
        <w:tabs>
          <w:tab w:val="clear" w:pos="709"/>
          <w:tab w:val="left" w:pos="709" w:leader="none"/>
        </w:tabs>
        <w:bidi w:val="0"/>
        <w:ind w:hanging="283" w:start="709"/>
        <w:jc w:val="start"/>
        <w:rPr/>
      </w:pPr>
      <w:r>
        <w:rPr/>
        <w:t xml:space="preserve">Definition vs. staples: </w:t>
      </w:r>
      <w:r>
        <w:rPr>
          <w:b/>
        </w:rPr>
        <w:t>higher-priced branded goods you have to think about before buying</w:t>
      </w:r>
      <w:r>
        <w:rPr/>
        <w:t>, versus staples which are low-priced and bought without thinking.</w:t>
      </w:r>
    </w:p>
    <w:p>
      <w:pPr>
        <w:pStyle w:val="BodyText"/>
        <w:numPr>
          <w:ilvl w:val="0"/>
          <w:numId w:val="483"/>
        </w:numPr>
        <w:tabs>
          <w:tab w:val="clear" w:pos="709"/>
          <w:tab w:val="left" w:pos="709" w:leader="none"/>
        </w:tabs>
        <w:bidi w:val="0"/>
        <w:ind w:hanging="283" w:start="709"/>
        <w:jc w:val="start"/>
        <w:rPr/>
      </w:pPr>
      <w:r>
        <w:rPr/>
        <w:t xml:space="preserve">Favourites owned: </w:t>
      </w:r>
      <w:r>
        <w:rPr>
          <w:b/>
        </w:rPr>
        <w:t>Booking.com</w:t>
      </w:r>
      <w:r>
        <w:rPr/>
        <w:t xml:space="preserve"> (world's biggest online travel agent), </w:t>
      </w:r>
      <w:r>
        <w:rPr>
          <w:b/>
        </w:rPr>
        <w:t>MercadoLibre</w:t>
      </w:r>
      <w:r>
        <w:rPr/>
        <w:t xml:space="preserve"> ("the Amazon of Latin America"), </w:t>
      </w:r>
      <w:r>
        <w:rPr>
          <w:b/>
        </w:rPr>
        <w:t>Amazon</w:t>
      </w:r>
      <w:r>
        <w:rPr/>
        <w:t xml:space="preserve"> (biggest e-commerce company in the US and the world — note Amazon is also big in </w:t>
      </w:r>
      <w:r>
        <w:rPr>
          <w:b/>
        </w:rPr>
        <w:t>digital advertising</w:t>
      </w:r>
      <w:r>
        <w:rPr/>
        <w:t xml:space="preserve"> and </w:t>
      </w:r>
      <w:r>
        <w:rPr>
          <w:b/>
        </w:rPr>
        <w:t>AWS</w:t>
      </w:r>
      <w:r>
        <w:rPr/>
        <w:t xml:space="preserve">, which is really technology), </w:t>
      </w:r>
      <w:r>
        <w:rPr>
          <w:b/>
        </w:rPr>
        <w:t>Lowe's</w:t>
      </w:r>
      <w:r>
        <w:rPr/>
        <w:t xml:space="preserve">, </w:t>
      </w:r>
      <w:r>
        <w:rPr>
          <w:b/>
        </w:rPr>
        <w:t>Home Depot</w:t>
      </w:r>
      <w:r>
        <w:rPr/>
        <w:t xml:space="preserve">, </w:t>
      </w:r>
      <w:r>
        <w:rPr>
          <w:b/>
        </w:rPr>
        <w:t>Nike</w:t>
      </w:r>
      <w:r>
        <w:rPr/>
        <w:t>.</w:t>
      </w:r>
    </w:p>
    <w:p>
      <w:pPr>
        <w:pStyle w:val="Heading5"/>
        <w:numPr>
          <w:ilvl w:val="0"/>
          <w:numId w:val="0"/>
        </w:numPr>
        <w:bidi w:val="0"/>
        <w:ind w:hanging="0" w:start="0"/>
        <w:jc w:val="start"/>
        <w:rPr/>
      </w:pPr>
      <w:r>
        <w:rPr/>
        <w:t xml:space="preserve">Communication Services — </w:t>
      </w:r>
      <w:r>
        <w:rPr>
          <w:b/>
        </w:rPr>
        <w:t>12% of portfolio</w:t>
      </w:r>
    </w:p>
    <w:p>
      <w:pPr>
        <w:pStyle w:val="BodyText"/>
        <w:numPr>
          <w:ilvl w:val="0"/>
          <w:numId w:val="484"/>
        </w:numPr>
        <w:tabs>
          <w:tab w:val="clear" w:pos="709"/>
          <w:tab w:val="left" w:pos="709" w:leader="none"/>
        </w:tabs>
        <w:bidi w:val="0"/>
        <w:ind w:hanging="283" w:start="709"/>
        <w:jc w:val="start"/>
        <w:rPr/>
      </w:pPr>
      <w:r>
        <w:rPr/>
        <w:t>Old-style telcos (</w:t>
      </w:r>
      <w:r>
        <w:rPr>
          <w:b/>
        </w:rPr>
        <w:t>AT&amp;T</w:t>
      </w:r>
      <w:r>
        <w:rPr/>
        <w:t xml:space="preserve">, phone lines) — </w:t>
      </w:r>
      <w:r>
        <w:rPr>
          <w:b/>
        </w:rPr>
        <w:t>does not invest</w:t>
      </w:r>
      <w:r>
        <w:rPr/>
        <w:t xml:space="preserve"> in these.</w:t>
      </w:r>
    </w:p>
    <w:p>
      <w:pPr>
        <w:pStyle w:val="BodyText"/>
        <w:numPr>
          <w:ilvl w:val="0"/>
          <w:numId w:val="484"/>
        </w:numPr>
        <w:tabs>
          <w:tab w:val="clear" w:pos="709"/>
          <w:tab w:val="left" w:pos="709" w:leader="none"/>
        </w:tabs>
        <w:bidi w:val="0"/>
        <w:spacing w:before="0" w:after="0"/>
        <w:ind w:hanging="283" w:start="709"/>
        <w:jc w:val="start"/>
        <w:rPr/>
      </w:pPr>
      <w:r>
        <w:rPr/>
        <w:t xml:space="preserve">What he does invest in: </w:t>
      </w:r>
      <w:r>
        <w:rPr>
          <w:b/>
        </w:rPr>
        <w:t>social media</w:t>
      </w:r>
      <w:r>
        <w:rPr/>
        <w:t>.</w:t>
      </w:r>
    </w:p>
    <w:p>
      <w:pPr>
        <w:pStyle w:val="BodyText"/>
        <w:numPr>
          <w:ilvl w:val="1"/>
          <w:numId w:val="484"/>
        </w:numPr>
        <w:tabs>
          <w:tab w:val="clear" w:pos="709"/>
          <w:tab w:val="left" w:pos="1418" w:leader="none"/>
        </w:tabs>
        <w:bidi w:val="0"/>
        <w:ind w:hanging="283" w:start="1418"/>
        <w:jc w:val="start"/>
        <w:rPr/>
      </w:pPr>
      <w:r>
        <w:rPr>
          <w:b/>
        </w:rPr>
        <w:t>Meta Platforms</w:t>
      </w:r>
      <w:r>
        <w:rPr/>
        <w:t xml:space="preserve"> — owns Facebook, WhatsApp, Instagram, Messenger.</w:t>
      </w:r>
    </w:p>
    <w:p>
      <w:pPr>
        <w:pStyle w:val="BodyText"/>
        <w:numPr>
          <w:ilvl w:val="1"/>
          <w:numId w:val="484"/>
        </w:numPr>
        <w:tabs>
          <w:tab w:val="clear" w:pos="709"/>
          <w:tab w:val="left" w:pos="1418" w:leader="none"/>
        </w:tabs>
        <w:bidi w:val="0"/>
        <w:ind w:hanging="283" w:start="1418"/>
        <w:jc w:val="start"/>
        <w:rPr/>
      </w:pPr>
      <w:r>
        <w:rPr>
          <w:b/>
        </w:rPr>
        <w:t>Alphabet / Google</w:t>
      </w:r>
      <w:r>
        <w:rPr/>
        <w:t xml:space="preserve"> — owns YouTube.</w:t>
      </w:r>
    </w:p>
    <w:p>
      <w:pPr>
        <w:pStyle w:val="BodyText"/>
        <w:numPr>
          <w:ilvl w:val="1"/>
          <w:numId w:val="484"/>
        </w:numPr>
        <w:tabs>
          <w:tab w:val="clear" w:pos="709"/>
          <w:tab w:val="left" w:pos="1418" w:leader="none"/>
        </w:tabs>
        <w:bidi w:val="0"/>
        <w:ind w:hanging="283" w:start="1418"/>
        <w:jc w:val="start"/>
        <w:rPr/>
      </w:pPr>
      <w:r>
        <w:rPr>
          <w:b/>
        </w:rPr>
        <w:t>Netflix</w:t>
      </w:r>
      <w:r>
        <w:rPr/>
        <w:t xml:space="preserve"> — added recently; he never owned it in the past and regrets it, so bought once it got cheap again.</w:t>
      </w:r>
    </w:p>
    <w:p>
      <w:pPr>
        <w:pStyle w:val="Heading4"/>
        <w:numPr>
          <w:ilvl w:val="0"/>
          <w:numId w:val="0"/>
        </w:numPr>
        <w:bidi w:val="0"/>
        <w:ind w:hanging="0" w:start="0"/>
        <w:jc w:val="start"/>
        <w:rPr/>
      </w:pPr>
      <w:r>
        <w:rPr/>
        <w:t>7.4 Long-run sector performance vs. S&amp;P 500 (as presented)</w:t>
      </w:r>
    </w:p>
    <w:tbl>
      <w:tblPr>
        <w:tblW w:w="5000" w:type="pct"/>
        <w:jc w:val="start"/>
        <w:tblInd w:w="-5" w:type="dxa"/>
        <w:tblLayout w:type="fixed"/>
        <w:tblCellMar>
          <w:top w:w="55" w:type="dxa"/>
          <w:start w:w="55" w:type="dxa"/>
          <w:bottom w:w="55" w:type="dxa"/>
          <w:end w:w="55" w:type="dxa"/>
        </w:tblCellMar>
      </w:tblPr>
      <w:tblGrid>
        <w:gridCol w:w="4819"/>
        <w:gridCol w:w="4819"/>
      </w:tblGrid>
      <w:tr>
        <w:trPr>
          <w:tblHeader w:val="true"/>
        </w:trPr>
        <w:tc>
          <w:tcPr>
            <w:tcW w:w="4819" w:type="dxa"/>
            <w:tcBorders>
              <w:top w:val="single" w:sz="4" w:space="0" w:color="000000"/>
              <w:start w:val="single" w:sz="4" w:space="0" w:color="000000"/>
              <w:bottom w:val="single" w:sz="4" w:space="0" w:color="000000"/>
            </w:tcBorders>
          </w:tcPr>
          <w:p>
            <w:pPr>
              <w:pStyle w:val="TableHeading"/>
              <w:bidi w:val="0"/>
              <w:jc w:val="start"/>
              <w:rPr/>
            </w:pPr>
            <w:r>
              <w:rPr/>
              <w:t>Rank / verdict</w:t>
            </w:r>
          </w:p>
        </w:tc>
        <w:tc>
          <w:tcPr>
            <w:tcW w:w="4819"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Sectors</w:t>
            </w:r>
          </w:p>
        </w:tc>
      </w:tr>
      <w:tr>
        <w:trPr/>
        <w:tc>
          <w:tcPr>
            <w:tcW w:w="4819" w:type="dxa"/>
            <w:tcBorders>
              <w:start w:val="single" w:sz="4" w:space="0" w:color="000000"/>
              <w:bottom w:val="single" w:sz="4" w:space="0" w:color="000000"/>
            </w:tcBorders>
          </w:tcPr>
          <w:p>
            <w:pPr>
              <w:pStyle w:val="TableContents"/>
              <w:bidi w:val="0"/>
              <w:jc w:val="start"/>
              <w:rPr/>
            </w:pPr>
            <w:r>
              <w:rPr>
                <w:b/>
              </w:rPr>
              <w:t>Beat the S&amp;P clearly</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b/>
              </w:rPr>
              <w:t>Technology</w:t>
            </w:r>
            <w:r>
              <w:rPr/>
              <w:t xml:space="preserve"> (highest), then </w:t>
            </w:r>
            <w:r>
              <w:rPr>
                <w:b/>
              </w:rPr>
              <w:t>Consumer Discretionary (XLY)</w:t>
            </w:r>
          </w:p>
        </w:tc>
      </w:tr>
      <w:tr>
        <w:trPr/>
        <w:tc>
          <w:tcPr>
            <w:tcW w:w="4819" w:type="dxa"/>
            <w:tcBorders>
              <w:start w:val="single" w:sz="4" w:space="0" w:color="000000"/>
              <w:bottom w:val="single" w:sz="4" w:space="0" w:color="000000"/>
            </w:tcBorders>
          </w:tcPr>
          <w:p>
            <w:pPr>
              <w:pStyle w:val="TableContents"/>
              <w:bidi w:val="0"/>
              <w:jc w:val="start"/>
              <w:rPr/>
            </w:pPr>
            <w:r>
              <w:rPr>
                <w:b/>
              </w:rPr>
              <w:t>On par with the S&amp;P</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b/>
              </w:rPr>
              <w:t>Healthcare</w:t>
            </w:r>
          </w:p>
        </w:tc>
      </w:tr>
      <w:tr>
        <w:trPr/>
        <w:tc>
          <w:tcPr>
            <w:tcW w:w="4819" w:type="dxa"/>
            <w:tcBorders>
              <w:start w:val="single" w:sz="4" w:space="0" w:color="000000"/>
              <w:bottom w:val="single" w:sz="4" w:space="0" w:color="000000"/>
            </w:tcBorders>
          </w:tcPr>
          <w:p>
            <w:pPr>
              <w:pStyle w:val="TableContents"/>
              <w:bidi w:val="0"/>
              <w:jc w:val="start"/>
              <w:rPr/>
            </w:pPr>
            <w:r>
              <w:rPr>
                <w:b/>
              </w:rPr>
              <w:t>Underperform — avoided</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b/>
              </w:rPr>
              <w:t>Real Estate, Energy, Utilities, Materials</w:t>
            </w:r>
          </w:p>
        </w:tc>
      </w:tr>
      <w:tr>
        <w:trPr/>
        <w:tc>
          <w:tcPr>
            <w:tcW w:w="4819" w:type="dxa"/>
            <w:tcBorders>
              <w:start w:val="single" w:sz="4" w:space="0" w:color="000000"/>
              <w:bottom w:val="single" w:sz="4" w:space="0" w:color="000000"/>
            </w:tcBorders>
          </w:tcPr>
          <w:p>
            <w:pPr>
              <w:pStyle w:val="TableContents"/>
              <w:bidi w:val="0"/>
              <w:jc w:val="start"/>
              <w:rPr/>
            </w:pPr>
            <w:r>
              <w:rPr>
                <w:b/>
              </w:rPr>
              <w:t>Underperforms but held anyway</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b/>
              </w:rPr>
              <w:t>Consumer Staples</w:t>
            </w:r>
            <w:r>
              <w:rPr/>
              <w:t xml:space="preserve"> — kept because they are defensive and useful in a bear market/recession</w:t>
            </w:r>
          </w:p>
        </w:tc>
      </w:tr>
    </w:tbl>
    <w:p>
      <w:pPr>
        <w:pStyle w:val="BodyText"/>
        <w:bidi w:val="0"/>
        <w:jc w:val="start"/>
        <w:rPr/>
      </w:pPr>
      <w:r>
        <w:rPr/>
      </w:r>
    </w:p>
    <w:p>
      <w:pPr>
        <w:pStyle w:val="HorizontalLine"/>
        <w:bidi w:val="0"/>
        <w:jc w:val="start"/>
        <w:rPr/>
      </w:pPr>
      <w:r>
        <w:rPr/>
      </w:r>
    </w:p>
    <w:p>
      <w:pPr>
        <w:pStyle w:val="Heading3"/>
        <w:bidi w:val="0"/>
        <w:ind w:hanging="0" w:start="0"/>
        <w:jc w:val="start"/>
        <w:rPr/>
      </w:pPr>
      <w:r>
        <w:rPr/>
        <w:t>8. The 8 Stock Investment Categories (Investment Thesis Framework)</w:t>
      </w:r>
    </w:p>
    <w:p>
      <w:pPr>
        <w:pStyle w:val="BlockQuotation"/>
        <w:bidi w:val="0"/>
        <w:jc w:val="start"/>
        <w:rPr/>
      </w:pPr>
      <w:r>
        <w:rPr/>
        <w:t xml:space="preserve">Before you buy any stock you must state </w:t>
      </w:r>
      <w:r>
        <w:rPr>
          <w:b/>
        </w:rPr>
        <w:t>why</w:t>
      </w:r>
      <w:r>
        <w:rPr/>
        <w:t xml:space="preserve"> you are buying it. It has to fit into one of these eight categories. </w:t>
      </w:r>
      <w:r>
        <w:rPr>
          <w:b/>
        </w:rPr>
        <w:t>If it doesn't fit, don't buy it.</w:t>
      </w:r>
    </w:p>
    <w:p>
      <w:pPr>
        <w:pStyle w:val="BodyText"/>
        <w:bidi w:val="0"/>
        <w:jc w:val="start"/>
        <w:rPr/>
      </w:pPr>
      <w:r>
        <w:rPr>
          <w:b/>
        </w:rPr>
        <w:t>Balanced-diet analogy:</w:t>
      </w:r>
    </w:p>
    <w:p>
      <w:pPr>
        <w:pStyle w:val="BodyText"/>
        <w:numPr>
          <w:ilvl w:val="0"/>
          <w:numId w:val="485"/>
        </w:numPr>
        <w:tabs>
          <w:tab w:val="clear" w:pos="709"/>
          <w:tab w:val="left" w:pos="709" w:leader="none"/>
        </w:tabs>
        <w:bidi w:val="0"/>
        <w:ind w:hanging="283" w:start="709"/>
        <w:jc w:val="start"/>
        <w:rPr/>
      </w:pPr>
      <w:r>
        <w:rPr>
          <w:b/>
        </w:rPr>
        <w:t>Protein / meat</w:t>
      </w:r>
      <w:r>
        <w:rPr/>
        <w:t xml:space="preserve"> = growth stocks (build the portfolio, great when younger; too much when older can be unhealthy).</w:t>
      </w:r>
    </w:p>
    <w:p>
      <w:pPr>
        <w:pStyle w:val="BodyText"/>
        <w:numPr>
          <w:ilvl w:val="0"/>
          <w:numId w:val="485"/>
        </w:numPr>
        <w:tabs>
          <w:tab w:val="clear" w:pos="709"/>
          <w:tab w:val="left" w:pos="709" w:leader="none"/>
        </w:tabs>
        <w:bidi w:val="0"/>
        <w:ind w:hanging="283" w:start="709"/>
        <w:jc w:val="start"/>
        <w:rPr/>
      </w:pPr>
      <w:r>
        <w:rPr>
          <w:b/>
        </w:rPr>
        <w:t>Carbohydrates</w:t>
      </w:r>
      <w:r>
        <w:rPr/>
        <w:t xml:space="preserve"> = predictable stocks (balance the growth stocks).</w:t>
      </w:r>
    </w:p>
    <w:p>
      <w:pPr>
        <w:pStyle w:val="BodyText"/>
        <w:numPr>
          <w:ilvl w:val="0"/>
          <w:numId w:val="485"/>
        </w:numPr>
        <w:tabs>
          <w:tab w:val="clear" w:pos="709"/>
          <w:tab w:val="left" w:pos="709" w:leader="none"/>
        </w:tabs>
        <w:bidi w:val="0"/>
        <w:ind w:hanging="283" w:start="709"/>
        <w:jc w:val="start"/>
        <w:rPr/>
      </w:pPr>
      <w:r>
        <w:rPr>
          <w:b/>
        </w:rPr>
        <w:t>Spice / chilli</w:t>
      </w:r>
      <w:r>
        <w:rPr/>
        <w:t xml:space="preserve"> = speculative growth stocks (great in small amounts; too much = indigestion).</w:t>
      </w:r>
    </w:p>
    <w:p>
      <w:pPr>
        <w:pStyle w:val="BodyText"/>
        <w:numPr>
          <w:ilvl w:val="0"/>
          <w:numId w:val="485"/>
        </w:numPr>
        <w:tabs>
          <w:tab w:val="clear" w:pos="709"/>
          <w:tab w:val="left" w:pos="709" w:leader="none"/>
        </w:tabs>
        <w:bidi w:val="0"/>
        <w:ind w:hanging="283" w:start="709"/>
        <w:jc w:val="start"/>
        <w:rPr/>
      </w:pPr>
      <w:r>
        <w:rPr>
          <w:b/>
        </w:rPr>
        <w:t>Vegetables / fibre</w:t>
      </w:r>
      <w:r>
        <w:rPr/>
        <w:t xml:space="preserve"> = dividend stocks (consistent income).</w:t>
      </w:r>
    </w:p>
    <w:p>
      <w:pPr>
        <w:pStyle w:val="Heading4"/>
        <w:numPr>
          <w:ilvl w:val="0"/>
          <w:numId w:val="0"/>
        </w:numPr>
        <w:bidi w:val="0"/>
        <w:ind w:hanging="0" w:start="0"/>
        <w:jc w:val="start"/>
        <w:rPr/>
      </w:pPr>
      <w:r>
        <w:rPr/>
        <w:t>Category comparison table</w:t>
      </w:r>
    </w:p>
    <w:tbl>
      <w:tblPr>
        <w:tblW w:w="5000" w:type="pct"/>
        <w:jc w:val="start"/>
        <w:tblInd w:w="-5" w:type="dxa"/>
        <w:tblLayout w:type="fixed"/>
        <w:tblCellMar>
          <w:top w:w="55" w:type="dxa"/>
          <w:start w:w="55" w:type="dxa"/>
          <w:bottom w:w="55" w:type="dxa"/>
          <w:end w:w="55" w:type="dxa"/>
        </w:tblCellMar>
      </w:tblPr>
      <w:tblGrid>
        <w:gridCol w:w="1376"/>
        <w:gridCol w:w="1377"/>
        <w:gridCol w:w="1377"/>
        <w:gridCol w:w="1377"/>
        <w:gridCol w:w="1377"/>
        <w:gridCol w:w="1377"/>
        <w:gridCol w:w="1377"/>
      </w:tblGrid>
      <w:tr>
        <w:trPr>
          <w:tblHeader w:val="true"/>
        </w:trPr>
        <w:tc>
          <w:tcPr>
            <w:tcW w:w="1376" w:type="dxa"/>
            <w:tcBorders>
              <w:top w:val="single" w:sz="4" w:space="0" w:color="000000"/>
              <w:start w:val="single" w:sz="4" w:space="0" w:color="000000"/>
              <w:bottom w:val="single" w:sz="4" w:space="0" w:color="000000"/>
            </w:tcBorders>
          </w:tcPr>
          <w:p>
            <w:pPr>
              <w:pStyle w:val="TableHeading"/>
              <w:bidi w:val="0"/>
              <w:jc w:val="start"/>
              <w:rPr/>
            </w:pPr>
            <w:r>
              <w:rPr/>
              <w:t>#</w:t>
            </w:r>
          </w:p>
        </w:tc>
        <w:tc>
          <w:tcPr>
            <w:tcW w:w="1377" w:type="dxa"/>
            <w:tcBorders>
              <w:top w:val="single" w:sz="4" w:space="0" w:color="000000"/>
              <w:start w:val="single" w:sz="4" w:space="0" w:color="000000"/>
              <w:bottom w:val="single" w:sz="4" w:space="0" w:color="000000"/>
            </w:tcBorders>
          </w:tcPr>
          <w:p>
            <w:pPr>
              <w:pStyle w:val="TableHeading"/>
              <w:bidi w:val="0"/>
              <w:jc w:val="start"/>
              <w:rPr/>
            </w:pPr>
            <w:r>
              <w:rPr/>
              <w:t>Category</w:t>
            </w:r>
          </w:p>
        </w:tc>
        <w:tc>
          <w:tcPr>
            <w:tcW w:w="1377" w:type="dxa"/>
            <w:tcBorders>
              <w:top w:val="single" w:sz="4" w:space="0" w:color="000000"/>
              <w:start w:val="single" w:sz="4" w:space="0" w:color="000000"/>
              <w:bottom w:val="single" w:sz="4" w:space="0" w:color="000000"/>
            </w:tcBorders>
          </w:tcPr>
          <w:p>
            <w:pPr>
              <w:pStyle w:val="TableHeading"/>
              <w:bidi w:val="0"/>
              <w:jc w:val="start"/>
              <w:rPr/>
            </w:pPr>
            <w:r>
              <w:rPr/>
              <w:t>Mascot / label</w:t>
            </w:r>
          </w:p>
        </w:tc>
        <w:tc>
          <w:tcPr>
            <w:tcW w:w="1377" w:type="dxa"/>
            <w:tcBorders>
              <w:top w:val="single" w:sz="4" w:space="0" w:color="000000"/>
              <w:start w:val="single" w:sz="4" w:space="0" w:color="000000"/>
              <w:bottom w:val="single" w:sz="4" w:space="0" w:color="000000"/>
            </w:tcBorders>
          </w:tcPr>
          <w:p>
            <w:pPr>
              <w:pStyle w:val="TableHeading"/>
              <w:bidi w:val="0"/>
              <w:jc w:val="start"/>
              <w:rPr/>
            </w:pPr>
            <w:r>
              <w:rPr/>
              <w:t>Defining criteria</w:t>
            </w:r>
          </w:p>
        </w:tc>
        <w:tc>
          <w:tcPr>
            <w:tcW w:w="1377" w:type="dxa"/>
            <w:tcBorders>
              <w:top w:val="single" w:sz="4" w:space="0" w:color="000000"/>
              <w:start w:val="single" w:sz="4" w:space="0" w:color="000000"/>
              <w:bottom w:val="single" w:sz="4" w:space="0" w:color="000000"/>
            </w:tcBorders>
          </w:tcPr>
          <w:p>
            <w:pPr>
              <w:pStyle w:val="TableHeading"/>
              <w:bidi w:val="0"/>
              <w:jc w:val="start"/>
              <w:rPr/>
            </w:pPr>
            <w:r>
              <w:rPr/>
              <w:t>Growth / return profile</w:t>
            </w:r>
          </w:p>
        </w:tc>
        <w:tc>
          <w:tcPr>
            <w:tcW w:w="1377" w:type="dxa"/>
            <w:tcBorders>
              <w:top w:val="single" w:sz="4" w:space="0" w:color="000000"/>
              <w:start w:val="single" w:sz="4" w:space="0" w:color="000000"/>
              <w:bottom w:val="single" w:sz="4" w:space="0" w:color="000000"/>
            </w:tcBorders>
          </w:tcPr>
          <w:p>
            <w:pPr>
              <w:pStyle w:val="TableHeading"/>
              <w:bidi w:val="0"/>
              <w:jc w:val="start"/>
              <w:rPr/>
            </w:pPr>
            <w:r>
              <w:rPr/>
              <w:t>Risk</w:t>
            </w:r>
          </w:p>
        </w:tc>
        <w:tc>
          <w:tcPr>
            <w:tcW w:w="1377"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Position size</w:t>
            </w:r>
          </w:p>
        </w:tc>
      </w:tr>
      <w:tr>
        <w:trPr/>
        <w:tc>
          <w:tcPr>
            <w:tcW w:w="1376" w:type="dxa"/>
            <w:tcBorders>
              <w:start w:val="single" w:sz="4" w:space="0" w:color="000000"/>
              <w:bottom w:val="single" w:sz="4" w:space="0" w:color="000000"/>
            </w:tcBorders>
          </w:tcPr>
          <w:p>
            <w:pPr>
              <w:pStyle w:val="TableContents"/>
              <w:bidi w:val="0"/>
              <w:jc w:val="start"/>
              <w:rPr/>
            </w:pPr>
            <w:r>
              <w:rPr/>
              <w:t>1</w:t>
            </w:r>
          </w:p>
        </w:tc>
        <w:tc>
          <w:tcPr>
            <w:tcW w:w="1377" w:type="dxa"/>
            <w:tcBorders>
              <w:start w:val="single" w:sz="4" w:space="0" w:color="000000"/>
              <w:bottom w:val="single" w:sz="4" w:space="0" w:color="000000"/>
            </w:tcBorders>
          </w:tcPr>
          <w:p>
            <w:pPr>
              <w:pStyle w:val="TableContents"/>
              <w:bidi w:val="0"/>
              <w:jc w:val="start"/>
              <w:rPr/>
            </w:pPr>
            <w:r>
              <w:rPr>
                <w:b/>
              </w:rPr>
              <w:t>Dividend Cash Cows (Income stocks)</w:t>
            </w:r>
          </w:p>
        </w:tc>
        <w:tc>
          <w:tcPr>
            <w:tcW w:w="1377" w:type="dxa"/>
            <w:tcBorders>
              <w:start w:val="single" w:sz="4" w:space="0" w:color="000000"/>
              <w:bottom w:val="single" w:sz="4" w:space="0" w:color="000000"/>
            </w:tcBorders>
          </w:tcPr>
          <w:p>
            <w:pPr>
              <w:pStyle w:val="TableContents"/>
              <w:bidi w:val="0"/>
              <w:jc w:val="start"/>
              <w:rPr/>
            </w:pPr>
            <w:r>
              <w:rPr/>
              <w:t>—</w:t>
            </w:r>
          </w:p>
        </w:tc>
        <w:tc>
          <w:tcPr>
            <w:tcW w:w="1377" w:type="dxa"/>
            <w:tcBorders>
              <w:start w:val="single" w:sz="4" w:space="0" w:color="000000"/>
              <w:bottom w:val="single" w:sz="4" w:space="0" w:color="000000"/>
            </w:tcBorders>
          </w:tcPr>
          <w:p>
            <w:pPr>
              <w:pStyle w:val="TableContents"/>
              <w:bidi w:val="0"/>
              <w:jc w:val="start"/>
              <w:rPr/>
            </w:pPr>
            <w:r>
              <w:rPr/>
              <w:t>Yield ≥5% (SG), rising DPS 5 yrs, defensive sector</w:t>
            </w:r>
          </w:p>
        </w:tc>
        <w:tc>
          <w:tcPr>
            <w:tcW w:w="1377" w:type="dxa"/>
            <w:tcBorders>
              <w:start w:val="single" w:sz="4" w:space="0" w:color="000000"/>
              <w:bottom w:val="single" w:sz="4" w:space="0" w:color="000000"/>
            </w:tcBorders>
          </w:tcPr>
          <w:p>
            <w:pPr>
              <w:pStyle w:val="TableContents"/>
              <w:bidi w:val="0"/>
              <w:jc w:val="start"/>
              <w:rPr/>
            </w:pPr>
            <w:r>
              <w:rPr/>
              <w:t>Low capital appreciation; income</w:t>
            </w:r>
          </w:p>
        </w:tc>
        <w:tc>
          <w:tcPr>
            <w:tcW w:w="1377" w:type="dxa"/>
            <w:tcBorders>
              <w:start w:val="single" w:sz="4" w:space="0" w:color="000000"/>
              <w:bottom w:val="single" w:sz="4" w:space="0" w:color="000000"/>
            </w:tcBorders>
          </w:tcPr>
          <w:p>
            <w:pPr>
              <w:pStyle w:val="TableContents"/>
              <w:bidi w:val="0"/>
              <w:jc w:val="start"/>
              <w:rPr/>
            </w:pPr>
            <w:r>
              <w:rPr/>
              <w:t>Low</w:t>
            </w:r>
          </w:p>
        </w:tc>
        <w:tc>
          <w:tcPr>
            <w:tcW w:w="1377" w:type="dxa"/>
            <w:tcBorders>
              <w:start w:val="single" w:sz="4" w:space="0" w:color="000000"/>
              <w:bottom w:val="single" w:sz="4" w:space="0" w:color="000000"/>
              <w:end w:val="single" w:sz="4" w:space="0" w:color="000000"/>
            </w:tcBorders>
          </w:tcPr>
          <w:p>
            <w:pPr>
              <w:pStyle w:val="TableContents"/>
              <w:bidi w:val="0"/>
              <w:jc w:val="start"/>
              <w:rPr/>
            </w:pPr>
            <w:r>
              <w:rPr/>
              <w:t>Separate portfolio</w:t>
            </w:r>
          </w:p>
        </w:tc>
      </w:tr>
      <w:tr>
        <w:trPr/>
        <w:tc>
          <w:tcPr>
            <w:tcW w:w="1376" w:type="dxa"/>
            <w:tcBorders>
              <w:start w:val="single" w:sz="4" w:space="0" w:color="000000"/>
              <w:bottom w:val="single" w:sz="4" w:space="0" w:color="000000"/>
            </w:tcBorders>
          </w:tcPr>
          <w:p>
            <w:pPr>
              <w:pStyle w:val="TableContents"/>
              <w:bidi w:val="0"/>
              <w:jc w:val="start"/>
              <w:rPr/>
            </w:pPr>
            <w:r>
              <w:rPr/>
              <w:t>2</w:t>
            </w:r>
          </w:p>
        </w:tc>
        <w:tc>
          <w:tcPr>
            <w:tcW w:w="1377" w:type="dxa"/>
            <w:tcBorders>
              <w:start w:val="single" w:sz="4" w:space="0" w:color="000000"/>
              <w:bottom w:val="single" w:sz="4" w:space="0" w:color="000000"/>
            </w:tcBorders>
          </w:tcPr>
          <w:p>
            <w:pPr>
              <w:pStyle w:val="TableContents"/>
              <w:bidi w:val="0"/>
              <w:jc w:val="start"/>
              <w:rPr/>
            </w:pPr>
            <w:r>
              <w:rPr>
                <w:b/>
              </w:rPr>
              <w:t>Predictable Companies</w:t>
            </w:r>
          </w:p>
        </w:tc>
        <w:tc>
          <w:tcPr>
            <w:tcW w:w="1377" w:type="dxa"/>
            <w:tcBorders>
              <w:start w:val="single" w:sz="4" w:space="0" w:color="000000"/>
              <w:bottom w:val="single" w:sz="4" w:space="0" w:color="000000"/>
            </w:tcBorders>
          </w:tcPr>
          <w:p>
            <w:pPr>
              <w:pStyle w:val="TableContents"/>
              <w:bidi w:val="0"/>
              <w:jc w:val="start"/>
              <w:rPr/>
            </w:pPr>
            <w:r>
              <w:rPr/>
              <w:t xml:space="preserve">Loyal </w:t>
            </w:r>
            <w:r>
              <w:rPr>
                <w:b/>
              </w:rPr>
              <w:t>dog</w:t>
            </w:r>
          </w:p>
        </w:tc>
        <w:tc>
          <w:tcPr>
            <w:tcW w:w="1377" w:type="dxa"/>
            <w:tcBorders>
              <w:start w:val="single" w:sz="4" w:space="0" w:color="000000"/>
              <w:bottom w:val="single" w:sz="4" w:space="0" w:color="000000"/>
            </w:tcBorders>
          </w:tcPr>
          <w:p>
            <w:pPr>
              <w:pStyle w:val="TableContents"/>
              <w:bidi w:val="0"/>
              <w:jc w:val="start"/>
              <w:rPr/>
            </w:pPr>
            <w:r>
              <w:rPr/>
              <w:t>Wide moat, predictable earnings &amp; CFO, product never obsolete</w:t>
            </w:r>
          </w:p>
        </w:tc>
        <w:tc>
          <w:tcPr>
            <w:tcW w:w="1377" w:type="dxa"/>
            <w:tcBorders>
              <w:start w:val="single" w:sz="4" w:space="0" w:color="000000"/>
              <w:bottom w:val="single" w:sz="4" w:space="0" w:color="000000"/>
            </w:tcBorders>
          </w:tcPr>
          <w:p>
            <w:pPr>
              <w:pStyle w:val="TableContents"/>
              <w:bidi w:val="0"/>
              <w:jc w:val="start"/>
              <w:rPr/>
            </w:pPr>
            <w:r>
              <w:rPr>
                <w:b/>
              </w:rPr>
              <w:t>5–10%</w:t>
            </w:r>
            <w:r>
              <w:rPr/>
              <w:t xml:space="preserve"> (single/high-single digit); can still deliver double-digit EPS via buybacks</w:t>
            </w:r>
          </w:p>
        </w:tc>
        <w:tc>
          <w:tcPr>
            <w:tcW w:w="1377" w:type="dxa"/>
            <w:tcBorders>
              <w:start w:val="single" w:sz="4" w:space="0" w:color="000000"/>
              <w:bottom w:val="single" w:sz="4" w:space="0" w:color="000000"/>
            </w:tcBorders>
          </w:tcPr>
          <w:p>
            <w:pPr>
              <w:pStyle w:val="TableContents"/>
              <w:bidi w:val="0"/>
              <w:jc w:val="start"/>
              <w:rPr/>
            </w:pPr>
            <w:r>
              <w:rPr/>
              <w:t>Low</w:t>
            </w:r>
          </w:p>
        </w:tc>
        <w:tc>
          <w:tcPr>
            <w:tcW w:w="1377" w:type="dxa"/>
            <w:tcBorders>
              <w:start w:val="single" w:sz="4" w:space="0" w:color="000000"/>
              <w:bottom w:val="single" w:sz="4" w:space="0" w:color="000000"/>
              <w:end w:val="single" w:sz="4" w:space="0" w:color="000000"/>
            </w:tcBorders>
          </w:tcPr>
          <w:p>
            <w:pPr>
              <w:pStyle w:val="TableContents"/>
              <w:bidi w:val="0"/>
              <w:jc w:val="start"/>
              <w:rPr/>
            </w:pPr>
            <w:r>
              <w:rPr/>
              <w:t>Full allocation</w:t>
            </w:r>
          </w:p>
        </w:tc>
      </w:tr>
      <w:tr>
        <w:trPr/>
        <w:tc>
          <w:tcPr>
            <w:tcW w:w="1376" w:type="dxa"/>
            <w:tcBorders>
              <w:start w:val="single" w:sz="4" w:space="0" w:color="000000"/>
              <w:bottom w:val="single" w:sz="4" w:space="0" w:color="000000"/>
            </w:tcBorders>
          </w:tcPr>
          <w:p>
            <w:pPr>
              <w:pStyle w:val="TableContents"/>
              <w:bidi w:val="0"/>
              <w:jc w:val="start"/>
              <w:rPr/>
            </w:pPr>
            <w:r>
              <w:rPr/>
              <w:t>3</w:t>
            </w:r>
          </w:p>
        </w:tc>
        <w:tc>
          <w:tcPr>
            <w:tcW w:w="1377" w:type="dxa"/>
            <w:tcBorders>
              <w:start w:val="single" w:sz="4" w:space="0" w:color="000000"/>
              <w:bottom w:val="single" w:sz="4" w:space="0" w:color="000000"/>
            </w:tcBorders>
          </w:tcPr>
          <w:p>
            <w:pPr>
              <w:pStyle w:val="TableContents"/>
              <w:bidi w:val="0"/>
              <w:jc w:val="start"/>
              <w:rPr/>
            </w:pPr>
            <w:r>
              <w:rPr>
                <w:b/>
              </w:rPr>
              <w:t>Large Growth Companies</w:t>
            </w:r>
          </w:p>
        </w:tc>
        <w:tc>
          <w:tcPr>
            <w:tcW w:w="1377" w:type="dxa"/>
            <w:tcBorders>
              <w:start w:val="single" w:sz="4" w:space="0" w:color="000000"/>
              <w:bottom w:val="single" w:sz="4" w:space="0" w:color="000000"/>
            </w:tcBorders>
          </w:tcPr>
          <w:p>
            <w:pPr>
              <w:pStyle w:val="TableContents"/>
              <w:bidi w:val="0"/>
              <w:jc w:val="start"/>
              <w:rPr/>
            </w:pPr>
            <w:r>
              <w:rPr>
                <w:b/>
              </w:rPr>
              <w:t>Cheetah</w:t>
            </w:r>
          </w:p>
        </w:tc>
        <w:tc>
          <w:tcPr>
            <w:tcW w:w="1377" w:type="dxa"/>
            <w:tcBorders>
              <w:start w:val="single" w:sz="4" w:space="0" w:color="000000"/>
              <w:bottom w:val="single" w:sz="4" w:space="0" w:color="000000"/>
            </w:tcBorders>
          </w:tcPr>
          <w:p>
            <w:pPr>
              <w:pStyle w:val="TableContents"/>
              <w:bidi w:val="0"/>
              <w:jc w:val="start"/>
              <w:rPr/>
            </w:pPr>
            <w:r>
              <w:rPr/>
              <w:t xml:space="preserve">Big companies still growing </w:t>
            </w:r>
            <w:r>
              <w:rPr>
                <w:b/>
              </w:rPr>
              <w:t>above 20–25% p.a.</w:t>
            </w:r>
            <w:r>
              <w:rPr/>
              <w:t>; profitable ≥5 years</w:t>
            </w:r>
          </w:p>
        </w:tc>
        <w:tc>
          <w:tcPr>
            <w:tcW w:w="1377" w:type="dxa"/>
            <w:tcBorders>
              <w:start w:val="single" w:sz="4" w:space="0" w:color="000000"/>
              <w:bottom w:val="single" w:sz="4" w:space="0" w:color="000000"/>
            </w:tcBorders>
          </w:tcPr>
          <w:p>
            <w:pPr>
              <w:pStyle w:val="TableContents"/>
              <w:bidi w:val="0"/>
              <w:jc w:val="start"/>
              <w:rPr/>
            </w:pPr>
            <w:r>
              <w:rPr/>
              <w:t>Highest long-run compounding</w:t>
            </w:r>
          </w:p>
        </w:tc>
        <w:tc>
          <w:tcPr>
            <w:tcW w:w="1377" w:type="dxa"/>
            <w:tcBorders>
              <w:start w:val="single" w:sz="4" w:space="0" w:color="000000"/>
              <w:bottom w:val="single" w:sz="4" w:space="0" w:color="000000"/>
            </w:tcBorders>
          </w:tcPr>
          <w:p>
            <w:pPr>
              <w:pStyle w:val="TableContents"/>
              <w:bidi w:val="0"/>
              <w:jc w:val="start"/>
              <w:rPr/>
            </w:pPr>
            <w:r>
              <w:rPr/>
              <w:t>Moderate</w:t>
            </w:r>
          </w:p>
        </w:tc>
        <w:tc>
          <w:tcPr>
            <w:tcW w:w="1377" w:type="dxa"/>
            <w:tcBorders>
              <w:start w:val="single" w:sz="4" w:space="0" w:color="000000"/>
              <w:bottom w:val="single" w:sz="4" w:space="0" w:color="000000"/>
              <w:end w:val="single" w:sz="4" w:space="0" w:color="000000"/>
            </w:tcBorders>
          </w:tcPr>
          <w:p>
            <w:pPr>
              <w:pStyle w:val="TableContents"/>
              <w:bidi w:val="0"/>
              <w:jc w:val="start"/>
              <w:rPr/>
            </w:pPr>
            <w:r>
              <w:rPr/>
              <w:t>Full allocation (narrow-moat → smaller, esp. initially)</w:t>
            </w:r>
          </w:p>
        </w:tc>
      </w:tr>
      <w:tr>
        <w:trPr/>
        <w:tc>
          <w:tcPr>
            <w:tcW w:w="1376" w:type="dxa"/>
            <w:tcBorders>
              <w:start w:val="single" w:sz="4" w:space="0" w:color="000000"/>
              <w:bottom w:val="single" w:sz="4" w:space="0" w:color="000000"/>
            </w:tcBorders>
          </w:tcPr>
          <w:p>
            <w:pPr>
              <w:pStyle w:val="TableContents"/>
              <w:bidi w:val="0"/>
              <w:jc w:val="start"/>
              <w:rPr/>
            </w:pPr>
            <w:r>
              <w:rPr/>
              <w:t>4</w:t>
            </w:r>
          </w:p>
        </w:tc>
        <w:tc>
          <w:tcPr>
            <w:tcW w:w="1377" w:type="dxa"/>
            <w:tcBorders>
              <w:start w:val="single" w:sz="4" w:space="0" w:color="000000"/>
              <w:bottom w:val="single" w:sz="4" w:space="0" w:color="000000"/>
            </w:tcBorders>
          </w:tcPr>
          <w:p>
            <w:pPr>
              <w:pStyle w:val="TableContents"/>
              <w:bidi w:val="0"/>
              <w:jc w:val="start"/>
              <w:rPr/>
            </w:pPr>
            <w:r>
              <w:rPr>
                <w:b/>
              </w:rPr>
              <w:t>Speculative Growth</w:t>
            </w:r>
          </w:p>
        </w:tc>
        <w:tc>
          <w:tcPr>
            <w:tcW w:w="1377" w:type="dxa"/>
            <w:tcBorders>
              <w:start w:val="single" w:sz="4" w:space="0" w:color="000000"/>
              <w:bottom w:val="single" w:sz="4" w:space="0" w:color="000000"/>
            </w:tcBorders>
          </w:tcPr>
          <w:p>
            <w:pPr>
              <w:pStyle w:val="TableContents"/>
              <w:bidi w:val="0"/>
              <w:jc w:val="start"/>
              <w:rPr/>
            </w:pPr>
            <w:r>
              <w:rPr/>
              <w:t>—</w:t>
            </w:r>
          </w:p>
        </w:tc>
        <w:tc>
          <w:tcPr>
            <w:tcW w:w="1377" w:type="dxa"/>
            <w:tcBorders>
              <w:start w:val="single" w:sz="4" w:space="0" w:color="000000"/>
              <w:bottom w:val="single" w:sz="4" w:space="0" w:color="000000"/>
            </w:tcBorders>
          </w:tcPr>
          <w:p>
            <w:pPr>
              <w:pStyle w:val="TableContents"/>
              <w:bidi w:val="0"/>
              <w:jc w:val="start"/>
              <w:rPr/>
            </w:pPr>
            <w:r>
              <w:rPr/>
              <w:t xml:space="preserve">Revenue growth often </w:t>
            </w:r>
            <w:r>
              <w:rPr>
                <w:b/>
              </w:rPr>
              <w:t>&gt;100%</w:t>
            </w:r>
            <w:r>
              <w:rPr/>
              <w:t xml:space="preserve">; </w:t>
            </w:r>
            <w:r>
              <w:rPr>
                <w:b/>
              </w:rPr>
              <w:t>not yet consistently profitable</w:t>
            </w:r>
          </w:p>
        </w:tc>
        <w:tc>
          <w:tcPr>
            <w:tcW w:w="1377" w:type="dxa"/>
            <w:tcBorders>
              <w:start w:val="single" w:sz="4" w:space="0" w:color="000000"/>
              <w:bottom w:val="single" w:sz="4" w:space="0" w:color="000000"/>
            </w:tcBorders>
          </w:tcPr>
          <w:p>
            <w:pPr>
              <w:pStyle w:val="TableContents"/>
              <w:bidi w:val="0"/>
              <w:jc w:val="start"/>
              <w:rPr/>
            </w:pPr>
            <w:r>
              <w:rPr/>
              <w:t>5–10× potential; can also lose big</w:t>
            </w:r>
          </w:p>
        </w:tc>
        <w:tc>
          <w:tcPr>
            <w:tcW w:w="1377" w:type="dxa"/>
            <w:tcBorders>
              <w:start w:val="single" w:sz="4" w:space="0" w:color="000000"/>
              <w:bottom w:val="single" w:sz="4" w:space="0" w:color="000000"/>
            </w:tcBorders>
          </w:tcPr>
          <w:p>
            <w:pPr>
              <w:pStyle w:val="TableContents"/>
              <w:bidi w:val="0"/>
              <w:jc w:val="start"/>
              <w:rPr/>
            </w:pPr>
            <w:r>
              <w:rPr>
                <w:b/>
              </w:rPr>
              <w:t>Very high</w:t>
            </w:r>
          </w:p>
        </w:tc>
        <w:tc>
          <w:tcPr>
            <w:tcW w:w="1377" w:type="dxa"/>
            <w:tcBorders>
              <w:start w:val="single" w:sz="4" w:space="0" w:color="000000"/>
              <w:bottom w:val="single" w:sz="4" w:space="0" w:color="000000"/>
              <w:end w:val="single" w:sz="4" w:space="0" w:color="000000"/>
            </w:tcBorders>
          </w:tcPr>
          <w:p>
            <w:pPr>
              <w:pStyle w:val="TableContents"/>
              <w:bidi w:val="0"/>
              <w:jc w:val="start"/>
              <w:rPr/>
            </w:pPr>
            <w:r>
              <w:rPr>
                <w:b/>
              </w:rPr>
              <w:t>½ or ⅓ of normal</w:t>
            </w:r>
          </w:p>
        </w:tc>
      </w:tr>
      <w:tr>
        <w:trPr/>
        <w:tc>
          <w:tcPr>
            <w:tcW w:w="1376" w:type="dxa"/>
            <w:tcBorders>
              <w:start w:val="single" w:sz="4" w:space="0" w:color="000000"/>
              <w:bottom w:val="single" w:sz="4" w:space="0" w:color="000000"/>
            </w:tcBorders>
          </w:tcPr>
          <w:p>
            <w:pPr>
              <w:pStyle w:val="TableContents"/>
              <w:bidi w:val="0"/>
              <w:jc w:val="start"/>
              <w:rPr/>
            </w:pPr>
            <w:r>
              <w:rPr/>
              <w:t>5</w:t>
            </w:r>
          </w:p>
        </w:tc>
        <w:tc>
          <w:tcPr>
            <w:tcW w:w="1377" w:type="dxa"/>
            <w:tcBorders>
              <w:start w:val="single" w:sz="4" w:space="0" w:color="000000"/>
              <w:bottom w:val="single" w:sz="4" w:space="0" w:color="000000"/>
            </w:tcBorders>
          </w:tcPr>
          <w:p>
            <w:pPr>
              <w:pStyle w:val="TableContents"/>
              <w:bidi w:val="0"/>
              <w:jc w:val="start"/>
              <w:rPr/>
            </w:pPr>
            <w:r>
              <w:rPr>
                <w:b/>
              </w:rPr>
              <w:t>Deep Cyclicals</w:t>
            </w:r>
          </w:p>
        </w:tc>
        <w:tc>
          <w:tcPr>
            <w:tcW w:w="1377" w:type="dxa"/>
            <w:tcBorders>
              <w:start w:val="single" w:sz="4" w:space="0" w:color="000000"/>
              <w:bottom w:val="single" w:sz="4" w:space="0" w:color="000000"/>
            </w:tcBorders>
          </w:tcPr>
          <w:p>
            <w:pPr>
              <w:pStyle w:val="TableContents"/>
              <w:bidi w:val="0"/>
              <w:jc w:val="start"/>
              <w:rPr/>
            </w:pPr>
            <w:r>
              <w:rPr/>
              <w:t>—</w:t>
            </w:r>
          </w:p>
        </w:tc>
        <w:tc>
          <w:tcPr>
            <w:tcW w:w="1377" w:type="dxa"/>
            <w:tcBorders>
              <w:start w:val="single" w:sz="4" w:space="0" w:color="000000"/>
              <w:bottom w:val="single" w:sz="4" w:space="0" w:color="000000"/>
            </w:tcBorders>
          </w:tcPr>
          <w:p>
            <w:pPr>
              <w:pStyle w:val="TableContents"/>
              <w:bidi w:val="0"/>
              <w:jc w:val="start"/>
              <w:rPr/>
            </w:pPr>
            <w:r>
              <w:rPr/>
              <w:t>Capital-intensive, highly economy-sensitive, can't respond to demand fast</w:t>
            </w:r>
          </w:p>
        </w:tc>
        <w:tc>
          <w:tcPr>
            <w:tcW w:w="1377" w:type="dxa"/>
            <w:tcBorders>
              <w:start w:val="single" w:sz="4" w:space="0" w:color="000000"/>
              <w:bottom w:val="single" w:sz="4" w:space="0" w:color="000000"/>
            </w:tcBorders>
          </w:tcPr>
          <w:p>
            <w:pPr>
              <w:pStyle w:val="TableContents"/>
              <w:bidi w:val="0"/>
              <w:jc w:val="start"/>
              <w:rPr/>
            </w:pPr>
            <w:r>
              <w:rPr/>
              <w:t>Roller coaster; must trade the cycle</w:t>
            </w:r>
          </w:p>
        </w:tc>
        <w:tc>
          <w:tcPr>
            <w:tcW w:w="1377" w:type="dxa"/>
            <w:tcBorders>
              <w:start w:val="single" w:sz="4" w:space="0" w:color="000000"/>
              <w:bottom w:val="single" w:sz="4" w:space="0" w:color="000000"/>
            </w:tcBorders>
          </w:tcPr>
          <w:p>
            <w:pPr>
              <w:pStyle w:val="TableContents"/>
              <w:bidi w:val="0"/>
              <w:jc w:val="start"/>
              <w:rPr/>
            </w:pPr>
            <w:r>
              <w:rPr/>
              <w:t>High</w:t>
            </w:r>
          </w:p>
        </w:tc>
        <w:tc>
          <w:tcPr>
            <w:tcW w:w="1377" w:type="dxa"/>
            <w:tcBorders>
              <w:start w:val="single" w:sz="4" w:space="0" w:color="000000"/>
              <w:bottom w:val="single" w:sz="4" w:space="0" w:color="000000"/>
              <w:end w:val="single" w:sz="4" w:space="0" w:color="000000"/>
            </w:tcBorders>
          </w:tcPr>
          <w:p>
            <w:pPr>
              <w:pStyle w:val="TableContents"/>
              <w:bidi w:val="0"/>
              <w:jc w:val="start"/>
              <w:rPr/>
            </w:pPr>
            <w:r>
              <w:rPr/>
              <w:t>Rarely/never used by Adam</w:t>
            </w:r>
          </w:p>
        </w:tc>
      </w:tr>
      <w:tr>
        <w:trPr/>
        <w:tc>
          <w:tcPr>
            <w:tcW w:w="1376" w:type="dxa"/>
            <w:tcBorders>
              <w:start w:val="single" w:sz="4" w:space="0" w:color="000000"/>
              <w:bottom w:val="single" w:sz="4" w:space="0" w:color="000000"/>
            </w:tcBorders>
          </w:tcPr>
          <w:p>
            <w:pPr>
              <w:pStyle w:val="TableContents"/>
              <w:bidi w:val="0"/>
              <w:jc w:val="start"/>
              <w:rPr/>
            </w:pPr>
            <w:r>
              <w:rPr/>
              <w:t>6</w:t>
            </w:r>
          </w:p>
        </w:tc>
        <w:tc>
          <w:tcPr>
            <w:tcW w:w="1377" w:type="dxa"/>
            <w:tcBorders>
              <w:start w:val="single" w:sz="4" w:space="0" w:color="000000"/>
              <w:bottom w:val="single" w:sz="4" w:space="0" w:color="000000"/>
            </w:tcBorders>
          </w:tcPr>
          <w:p>
            <w:pPr>
              <w:pStyle w:val="TableContents"/>
              <w:bidi w:val="0"/>
              <w:jc w:val="start"/>
              <w:rPr/>
            </w:pPr>
            <w:r>
              <w:rPr>
                <w:b/>
              </w:rPr>
              <w:t>Deep Value ("cigar butts")</w:t>
            </w:r>
          </w:p>
        </w:tc>
        <w:tc>
          <w:tcPr>
            <w:tcW w:w="1377" w:type="dxa"/>
            <w:tcBorders>
              <w:start w:val="single" w:sz="4" w:space="0" w:color="000000"/>
              <w:bottom w:val="single" w:sz="4" w:space="0" w:color="000000"/>
            </w:tcBorders>
          </w:tcPr>
          <w:p>
            <w:pPr>
              <w:pStyle w:val="TableContents"/>
              <w:bidi w:val="0"/>
              <w:jc w:val="start"/>
              <w:rPr/>
            </w:pPr>
            <w:r>
              <w:rPr/>
              <w:t>Cigar butt</w:t>
            </w:r>
          </w:p>
        </w:tc>
        <w:tc>
          <w:tcPr>
            <w:tcW w:w="1377" w:type="dxa"/>
            <w:tcBorders>
              <w:start w:val="single" w:sz="4" w:space="0" w:color="000000"/>
              <w:bottom w:val="single" w:sz="4" w:space="0" w:color="000000"/>
            </w:tcBorders>
          </w:tcPr>
          <w:p>
            <w:pPr>
              <w:pStyle w:val="TableContents"/>
              <w:bidi w:val="0"/>
              <w:jc w:val="start"/>
              <w:rPr/>
            </w:pPr>
            <w:r>
              <w:rPr/>
              <w:t>Price below net-net liquidation value; lousy companies</w:t>
            </w:r>
          </w:p>
        </w:tc>
        <w:tc>
          <w:tcPr>
            <w:tcW w:w="1377" w:type="dxa"/>
            <w:tcBorders>
              <w:start w:val="single" w:sz="4" w:space="0" w:color="000000"/>
              <w:bottom w:val="single" w:sz="4" w:space="0" w:color="000000"/>
            </w:tcBorders>
          </w:tcPr>
          <w:p>
            <w:pPr>
              <w:pStyle w:val="TableContents"/>
              <w:bidi w:val="0"/>
              <w:jc w:val="start"/>
              <w:rPr/>
            </w:pPr>
            <w:r>
              <w:rPr/>
              <w:t>Slow, multi-year</w:t>
            </w:r>
          </w:p>
        </w:tc>
        <w:tc>
          <w:tcPr>
            <w:tcW w:w="1377" w:type="dxa"/>
            <w:tcBorders>
              <w:start w:val="single" w:sz="4" w:space="0" w:color="000000"/>
              <w:bottom w:val="single" w:sz="4" w:space="0" w:color="000000"/>
            </w:tcBorders>
          </w:tcPr>
          <w:p>
            <w:pPr>
              <w:pStyle w:val="TableContents"/>
              <w:bidi w:val="0"/>
              <w:jc w:val="start"/>
              <w:rPr/>
            </w:pPr>
            <w:r>
              <w:rPr/>
              <w:t>High + long dead money</w:t>
            </w:r>
          </w:p>
        </w:tc>
        <w:tc>
          <w:tcPr>
            <w:tcW w:w="1377" w:type="dxa"/>
            <w:tcBorders>
              <w:start w:val="single" w:sz="4" w:space="0" w:color="000000"/>
              <w:bottom w:val="single" w:sz="4" w:space="0" w:color="000000"/>
              <w:end w:val="single" w:sz="4" w:space="0" w:color="000000"/>
            </w:tcBorders>
          </w:tcPr>
          <w:p>
            <w:pPr>
              <w:pStyle w:val="TableContents"/>
              <w:bidi w:val="0"/>
              <w:jc w:val="start"/>
              <w:rPr/>
            </w:pPr>
            <w:r>
              <w:rPr/>
              <w:t>Not used by Adam</w:t>
            </w:r>
          </w:p>
        </w:tc>
      </w:tr>
      <w:tr>
        <w:trPr/>
        <w:tc>
          <w:tcPr>
            <w:tcW w:w="1376" w:type="dxa"/>
            <w:tcBorders>
              <w:start w:val="single" w:sz="4" w:space="0" w:color="000000"/>
              <w:bottom w:val="single" w:sz="4" w:space="0" w:color="000000"/>
            </w:tcBorders>
          </w:tcPr>
          <w:p>
            <w:pPr>
              <w:pStyle w:val="TableContents"/>
              <w:bidi w:val="0"/>
              <w:jc w:val="start"/>
              <w:rPr/>
            </w:pPr>
            <w:r>
              <w:rPr/>
              <w:t>7</w:t>
            </w:r>
          </w:p>
        </w:tc>
        <w:tc>
          <w:tcPr>
            <w:tcW w:w="1377" w:type="dxa"/>
            <w:tcBorders>
              <w:start w:val="single" w:sz="4" w:space="0" w:color="000000"/>
              <w:bottom w:val="single" w:sz="4" w:space="0" w:color="000000"/>
            </w:tcBorders>
          </w:tcPr>
          <w:p>
            <w:pPr>
              <w:pStyle w:val="TableContents"/>
              <w:bidi w:val="0"/>
              <w:jc w:val="start"/>
              <w:rPr/>
            </w:pPr>
            <w:r>
              <w:rPr>
                <w:b/>
              </w:rPr>
              <w:t>Turnaround Companies</w:t>
            </w:r>
          </w:p>
        </w:tc>
        <w:tc>
          <w:tcPr>
            <w:tcW w:w="1377" w:type="dxa"/>
            <w:tcBorders>
              <w:start w:val="single" w:sz="4" w:space="0" w:color="000000"/>
              <w:bottom w:val="single" w:sz="4" w:space="0" w:color="000000"/>
            </w:tcBorders>
          </w:tcPr>
          <w:p>
            <w:pPr>
              <w:pStyle w:val="TableContents"/>
              <w:bidi w:val="0"/>
              <w:jc w:val="start"/>
              <w:rPr/>
            </w:pPr>
            <w:r>
              <w:rPr/>
              <w:t>—</w:t>
            </w:r>
          </w:p>
        </w:tc>
        <w:tc>
          <w:tcPr>
            <w:tcW w:w="1377" w:type="dxa"/>
            <w:tcBorders>
              <w:start w:val="single" w:sz="4" w:space="0" w:color="000000"/>
              <w:bottom w:val="single" w:sz="4" w:space="0" w:color="000000"/>
            </w:tcBorders>
          </w:tcPr>
          <w:p>
            <w:pPr>
              <w:pStyle w:val="TableContents"/>
              <w:bidi w:val="0"/>
              <w:jc w:val="start"/>
              <w:rPr/>
            </w:pPr>
            <w:r>
              <w:rPr/>
              <w:t xml:space="preserve">Great company, profits </w:t>
            </w:r>
            <w:r>
              <w:rPr>
                <w:b/>
              </w:rPr>
              <w:t>−25% in one year</w:t>
            </w:r>
            <w:r>
              <w:rPr/>
              <w:t xml:space="preserve"> OR </w:t>
            </w:r>
            <w:r>
              <w:rPr>
                <w:b/>
              </w:rPr>
              <w:t>declining 2 consecutive years</w:t>
            </w:r>
            <w:r>
              <w:rPr/>
              <w:t>, moat intact</w:t>
            </w:r>
          </w:p>
        </w:tc>
        <w:tc>
          <w:tcPr>
            <w:tcW w:w="1377" w:type="dxa"/>
            <w:tcBorders>
              <w:start w:val="single" w:sz="4" w:space="0" w:color="000000"/>
              <w:bottom w:val="single" w:sz="4" w:space="0" w:color="000000"/>
            </w:tcBorders>
          </w:tcPr>
          <w:p>
            <w:pPr>
              <w:pStyle w:val="TableContents"/>
              <w:bidi w:val="0"/>
              <w:jc w:val="start"/>
              <w:rPr/>
            </w:pPr>
            <w:r>
              <w:rPr/>
              <w:t xml:space="preserve">Stock can be </w:t>
            </w:r>
            <w:r>
              <w:rPr>
                <w:b/>
              </w:rPr>
              <w:t>40–50% below intrinsic value</w:t>
            </w:r>
          </w:p>
        </w:tc>
        <w:tc>
          <w:tcPr>
            <w:tcW w:w="1377" w:type="dxa"/>
            <w:tcBorders>
              <w:start w:val="single" w:sz="4" w:space="0" w:color="000000"/>
              <w:bottom w:val="single" w:sz="4" w:space="0" w:color="000000"/>
            </w:tcBorders>
          </w:tcPr>
          <w:p>
            <w:pPr>
              <w:pStyle w:val="TableContents"/>
              <w:bidi w:val="0"/>
              <w:jc w:val="start"/>
              <w:rPr/>
            </w:pPr>
            <w:r>
              <w:rPr/>
              <w:t>Higher than growth/predictable</w:t>
            </w:r>
          </w:p>
        </w:tc>
        <w:tc>
          <w:tcPr>
            <w:tcW w:w="1377" w:type="dxa"/>
            <w:tcBorders>
              <w:start w:val="single" w:sz="4" w:space="0" w:color="000000"/>
              <w:bottom w:val="single" w:sz="4" w:space="0" w:color="000000"/>
              <w:end w:val="single" w:sz="4" w:space="0" w:color="000000"/>
            </w:tcBorders>
          </w:tcPr>
          <w:p>
            <w:pPr>
              <w:pStyle w:val="TableContents"/>
              <w:bidi w:val="0"/>
              <w:jc w:val="start"/>
              <w:rPr/>
            </w:pPr>
            <w:r>
              <w:rPr>
                <w:b/>
              </w:rPr>
              <w:t>Smaller than usual</w:t>
            </w:r>
          </w:p>
        </w:tc>
      </w:tr>
      <w:tr>
        <w:trPr/>
        <w:tc>
          <w:tcPr>
            <w:tcW w:w="1376" w:type="dxa"/>
            <w:tcBorders>
              <w:start w:val="single" w:sz="4" w:space="0" w:color="000000"/>
              <w:bottom w:val="single" w:sz="4" w:space="0" w:color="000000"/>
            </w:tcBorders>
          </w:tcPr>
          <w:p>
            <w:pPr>
              <w:pStyle w:val="TableContents"/>
              <w:bidi w:val="0"/>
              <w:jc w:val="start"/>
              <w:rPr/>
            </w:pPr>
            <w:r>
              <w:rPr/>
              <w:t>8</w:t>
            </w:r>
          </w:p>
        </w:tc>
        <w:tc>
          <w:tcPr>
            <w:tcW w:w="1377" w:type="dxa"/>
            <w:tcBorders>
              <w:start w:val="single" w:sz="4" w:space="0" w:color="000000"/>
              <w:bottom w:val="single" w:sz="4" w:space="0" w:color="000000"/>
            </w:tcBorders>
          </w:tcPr>
          <w:p>
            <w:pPr>
              <w:pStyle w:val="TableContents"/>
              <w:bidi w:val="0"/>
              <w:jc w:val="start"/>
              <w:rPr/>
            </w:pPr>
            <w:r>
              <w:rPr>
                <w:b/>
              </w:rPr>
              <w:t>ETFs</w:t>
            </w:r>
          </w:p>
        </w:tc>
        <w:tc>
          <w:tcPr>
            <w:tcW w:w="1377" w:type="dxa"/>
            <w:tcBorders>
              <w:start w:val="single" w:sz="4" w:space="0" w:color="000000"/>
              <w:bottom w:val="single" w:sz="4" w:space="0" w:color="000000"/>
            </w:tcBorders>
          </w:tcPr>
          <w:p>
            <w:pPr>
              <w:pStyle w:val="TableContents"/>
              <w:bidi w:val="0"/>
              <w:jc w:val="start"/>
              <w:rPr/>
            </w:pPr>
            <w:r>
              <w:rPr/>
              <w:t>—</w:t>
            </w:r>
          </w:p>
        </w:tc>
        <w:tc>
          <w:tcPr>
            <w:tcW w:w="1377" w:type="dxa"/>
            <w:tcBorders>
              <w:start w:val="single" w:sz="4" w:space="0" w:color="000000"/>
              <w:bottom w:val="single" w:sz="4" w:space="0" w:color="000000"/>
            </w:tcBorders>
          </w:tcPr>
          <w:p>
            <w:pPr>
              <w:pStyle w:val="TableContents"/>
              <w:bidi w:val="0"/>
              <w:jc w:val="start"/>
              <w:rPr/>
            </w:pPr>
            <w:r>
              <w:rPr/>
              <w:t>Basket — index, country, sector or industry</w:t>
            </w:r>
          </w:p>
        </w:tc>
        <w:tc>
          <w:tcPr>
            <w:tcW w:w="1377" w:type="dxa"/>
            <w:tcBorders>
              <w:start w:val="single" w:sz="4" w:space="0" w:color="000000"/>
              <w:bottom w:val="single" w:sz="4" w:space="0" w:color="000000"/>
            </w:tcBorders>
          </w:tcPr>
          <w:p>
            <w:pPr>
              <w:pStyle w:val="TableContents"/>
              <w:bidi w:val="0"/>
              <w:jc w:val="start"/>
              <w:rPr/>
            </w:pPr>
            <w:r>
              <w:rPr/>
              <w:t>Market-like</w:t>
            </w:r>
          </w:p>
        </w:tc>
        <w:tc>
          <w:tcPr>
            <w:tcW w:w="1377" w:type="dxa"/>
            <w:tcBorders>
              <w:start w:val="single" w:sz="4" w:space="0" w:color="000000"/>
              <w:bottom w:val="single" w:sz="4" w:space="0" w:color="000000"/>
            </w:tcBorders>
          </w:tcPr>
          <w:p>
            <w:pPr>
              <w:pStyle w:val="TableContents"/>
              <w:bidi w:val="0"/>
              <w:jc w:val="start"/>
              <w:rPr/>
            </w:pPr>
            <w:r>
              <w:rPr/>
              <w:t>Low (no company-specific risk)</w:t>
            </w:r>
          </w:p>
        </w:tc>
        <w:tc>
          <w:tcPr>
            <w:tcW w:w="1377" w:type="dxa"/>
            <w:tcBorders>
              <w:start w:val="single" w:sz="4" w:space="0" w:color="000000"/>
              <w:bottom w:val="single" w:sz="4" w:space="0" w:color="000000"/>
              <w:end w:val="single" w:sz="4" w:space="0" w:color="000000"/>
            </w:tcBorders>
          </w:tcPr>
          <w:p>
            <w:pPr>
              <w:pStyle w:val="TableContents"/>
              <w:bidi w:val="0"/>
              <w:jc w:val="start"/>
              <w:rPr/>
            </w:pPr>
            <w:r>
              <w:rPr/>
              <w:t>—</w:t>
            </w:r>
          </w:p>
        </w:tc>
      </w:tr>
    </w:tbl>
    <w:p>
      <w:pPr>
        <w:pStyle w:val="BodyText"/>
        <w:bidi w:val="0"/>
        <w:jc w:val="start"/>
        <w:rPr/>
      </w:pPr>
      <w:r>
        <w:rPr/>
      </w:r>
    </w:p>
    <w:p>
      <w:pPr>
        <w:pStyle w:val="HorizontalLine"/>
        <w:bidi w:val="0"/>
        <w:jc w:val="start"/>
        <w:rPr/>
      </w:pPr>
      <w:r>
        <w:rPr/>
      </w:r>
    </w:p>
    <w:p>
      <w:pPr>
        <w:pStyle w:val="Heading4"/>
        <w:bidi w:val="0"/>
        <w:ind w:hanging="0" w:start="0"/>
        <w:jc w:val="start"/>
        <w:rPr/>
      </w:pPr>
      <w:r>
        <w:rPr/>
        <w:t>8.1 Category 1 — Dividend Cash Cows / Income Stocks</w:t>
      </w:r>
    </w:p>
    <w:p>
      <w:pPr>
        <w:pStyle w:val="BodyText"/>
        <w:bidi w:val="0"/>
        <w:jc w:val="start"/>
        <w:rPr/>
      </w:pPr>
      <w:r>
        <w:rPr>
          <w:b/>
        </w:rPr>
        <w:t>Who it's for:</w:t>
      </w:r>
      <w:r>
        <w:rPr/>
        <w:t xml:space="preserve"> older investors, near-retirees, retirees. Younger investors may skip the category entirely — dividend stocks "don't really grow your wealth very much" (low capital appreciation). Adam (age 50 at recording) keeps a </w:t>
      </w:r>
      <w:r>
        <w:rPr>
          <w:b/>
        </w:rPr>
        <w:t>separate portfolio just for dividends.</w:t>
      </w:r>
    </w:p>
    <w:p>
      <w:pPr>
        <w:pStyle w:val="BodyText"/>
        <w:bidi w:val="0"/>
        <w:jc w:val="start"/>
        <w:rPr/>
      </w:pPr>
      <w:r>
        <w:rPr>
          <w:b/>
        </w:rPr>
        <w:t>Selection criteria — same "great company" criteria PLUS these additional metrics:</w:t>
      </w:r>
    </w:p>
    <w:p>
      <w:pPr>
        <w:pStyle w:val="BodyText"/>
        <w:numPr>
          <w:ilvl w:val="0"/>
          <w:numId w:val="486"/>
        </w:numPr>
        <w:tabs>
          <w:tab w:val="clear" w:pos="709"/>
          <w:tab w:val="left" w:pos="709" w:leader="none"/>
        </w:tabs>
        <w:bidi w:val="0"/>
        <w:spacing w:before="0" w:after="0"/>
        <w:ind w:hanging="283" w:start="709"/>
        <w:jc w:val="start"/>
        <w:rPr/>
      </w:pPr>
      <w:r>
        <w:rPr>
          <w:b/>
        </w:rPr>
        <w:t>Dividend yield ≥ 5%</w:t>
      </w:r>
      <w:r>
        <w:rPr/>
        <w:t xml:space="preserve"> (rule of thumb given today's interest-rate environment; may change over time).</w:t>
      </w:r>
    </w:p>
    <w:p>
      <w:pPr>
        <w:pStyle w:val="BodyText"/>
        <w:numPr>
          <w:ilvl w:val="1"/>
          <w:numId w:val="486"/>
        </w:numPr>
        <w:tabs>
          <w:tab w:val="clear" w:pos="709"/>
          <w:tab w:val="left" w:pos="1418" w:leader="none"/>
        </w:tabs>
        <w:bidi w:val="0"/>
        <w:ind w:hanging="283" w:start="1418"/>
        <w:jc w:val="start"/>
        <w:rPr/>
      </w:pPr>
      <w:r>
        <w:rPr>
          <w:rFonts w:ascii="Liberation Mono" w:hAnsi="Liberation Mono"/>
        </w:rPr>
        <w:t>Dividend yield = dividend per share (trailing 12 months) ÷ current share price</w:t>
      </w:r>
    </w:p>
    <w:p>
      <w:pPr>
        <w:pStyle w:val="BodyText"/>
        <w:numPr>
          <w:ilvl w:val="1"/>
          <w:numId w:val="486"/>
        </w:numPr>
        <w:tabs>
          <w:tab w:val="clear" w:pos="709"/>
          <w:tab w:val="left" w:pos="1418" w:leader="none"/>
        </w:tabs>
        <w:bidi w:val="0"/>
        <w:ind w:hanging="283" w:start="1418"/>
        <w:jc w:val="start"/>
        <w:rPr/>
      </w:pPr>
      <w:r>
        <w:rPr/>
        <w:t xml:space="preserve">Example: $2.50 DPS ÷ $50 share price = </w:t>
      </w:r>
      <w:r>
        <w:rPr>
          <w:b/>
        </w:rPr>
        <w:t>5% yield</w:t>
      </w:r>
      <w:r>
        <w:rPr/>
        <w:t>.</w:t>
      </w:r>
    </w:p>
    <w:p>
      <w:pPr>
        <w:pStyle w:val="BodyText"/>
        <w:numPr>
          <w:ilvl w:val="0"/>
          <w:numId w:val="486"/>
        </w:numPr>
        <w:tabs>
          <w:tab w:val="clear" w:pos="709"/>
          <w:tab w:val="left" w:pos="709" w:leader="none"/>
        </w:tabs>
        <w:bidi w:val="0"/>
        <w:ind w:hanging="283" w:start="709"/>
        <w:jc w:val="start"/>
        <w:rPr/>
      </w:pPr>
      <w:r>
        <w:rPr>
          <w:b/>
        </w:rPr>
        <w:t>Consistently INCREASING dividend per share for at least the last 5 years.</w:t>
      </w:r>
    </w:p>
    <w:p>
      <w:pPr>
        <w:pStyle w:val="BodyText"/>
        <w:numPr>
          <w:ilvl w:val="0"/>
          <w:numId w:val="486"/>
        </w:numPr>
        <w:tabs>
          <w:tab w:val="clear" w:pos="709"/>
          <w:tab w:val="left" w:pos="709" w:leader="none"/>
        </w:tabs>
        <w:bidi w:val="0"/>
        <w:ind w:hanging="283" w:start="709"/>
        <w:jc w:val="start"/>
        <w:rPr/>
      </w:pPr>
      <w:r>
        <w:rPr>
          <w:b/>
        </w:rPr>
        <w:t>Consistently increasing net income AND cash flow from operations for the last 5 years.</w:t>
      </w:r>
    </w:p>
    <w:p>
      <w:pPr>
        <w:pStyle w:val="BodyText"/>
        <w:numPr>
          <w:ilvl w:val="0"/>
          <w:numId w:val="486"/>
        </w:numPr>
        <w:tabs>
          <w:tab w:val="clear" w:pos="709"/>
          <w:tab w:val="left" w:pos="709" w:leader="none"/>
        </w:tabs>
        <w:bidi w:val="0"/>
        <w:ind w:hanging="283" w:start="709"/>
        <w:jc w:val="start"/>
        <w:rPr/>
      </w:pPr>
      <w:r>
        <w:rPr>
          <w:b/>
        </w:rPr>
        <w:t>Stable share price over the last 5 years</w:t>
      </w:r>
      <w:r>
        <w:rPr/>
        <w:t xml:space="preserve"> — either trending upward or ranging. It must not be consistently declining. (Sideways is fine; you're collecting 5%.)</w:t>
      </w:r>
    </w:p>
    <w:p>
      <w:pPr>
        <w:pStyle w:val="BodyText"/>
        <w:numPr>
          <w:ilvl w:val="0"/>
          <w:numId w:val="486"/>
        </w:numPr>
        <w:tabs>
          <w:tab w:val="clear" w:pos="709"/>
          <w:tab w:val="left" w:pos="709" w:leader="none"/>
        </w:tabs>
        <w:bidi w:val="0"/>
        <w:ind w:hanging="283" w:start="709"/>
        <w:jc w:val="start"/>
        <w:rPr/>
      </w:pPr>
      <w:r>
        <w:rPr>
          <w:b/>
        </w:rPr>
        <w:t>Avoid very cyclical companies</w:t>
      </w:r>
      <w:r>
        <w:rPr/>
        <w:t xml:space="preserve"> — airlines, commodity companies, shipping companies, property companies — because in a downturn their profits drop and </w:t>
      </w:r>
      <w:r>
        <w:rPr>
          <w:b/>
        </w:rPr>
        <w:t>they cut dividends</w:t>
      </w:r>
      <w:r>
        <w:rPr/>
        <w:t xml:space="preserve">. Buy </w:t>
      </w:r>
      <w:r>
        <w:rPr>
          <w:b/>
        </w:rPr>
        <w:t>defensive</w:t>
      </w:r>
      <w:r>
        <w:rPr/>
        <w:t xml:space="preserve"> companies that can keep increasing dividends through recessions.</w:t>
      </w:r>
    </w:p>
    <w:p>
      <w:pPr>
        <w:pStyle w:val="BodyText"/>
        <w:numPr>
          <w:ilvl w:val="0"/>
          <w:numId w:val="486"/>
        </w:numPr>
        <w:tabs>
          <w:tab w:val="clear" w:pos="709"/>
          <w:tab w:val="left" w:pos="709" w:leader="none"/>
        </w:tabs>
        <w:bidi w:val="0"/>
        <w:ind w:hanging="283" w:start="709"/>
        <w:jc w:val="start"/>
        <w:rPr/>
      </w:pPr>
      <w:r>
        <w:rPr>
          <w:b/>
        </w:rPr>
        <w:t>Conservative debt:</w:t>
      </w:r>
      <w:r>
        <w:rPr/>
        <w:t xml:space="preserve"> debt servicing ratio </w:t>
      </w:r>
      <w:r>
        <w:rPr>
          <w:b/>
        </w:rPr>
        <w:t>&lt; 30%</w:t>
      </w:r>
      <w:r>
        <w:rPr/>
        <w:t xml:space="preserve">; current ratio </w:t>
      </w:r>
      <w:r>
        <w:rPr>
          <w:b/>
        </w:rPr>
        <w:t>&gt; 1</w:t>
      </w:r>
      <w:r>
        <w:rPr/>
        <w:t>.</w:t>
      </w:r>
    </w:p>
    <w:p>
      <w:pPr>
        <w:pStyle w:val="BodyText"/>
        <w:numPr>
          <w:ilvl w:val="0"/>
          <w:numId w:val="486"/>
        </w:numPr>
        <w:tabs>
          <w:tab w:val="clear" w:pos="709"/>
          <w:tab w:val="left" w:pos="709" w:leader="none"/>
        </w:tabs>
        <w:bidi w:val="0"/>
        <w:spacing w:before="0" w:after="0"/>
        <w:ind w:hanging="283" w:start="709"/>
        <w:jc w:val="start"/>
        <w:rPr/>
      </w:pPr>
      <w:r>
        <w:rPr>
          <w:b/>
        </w:rPr>
        <w:t>Dividend payout ratio between 20% and 100% — never above 100%.</w:t>
      </w:r>
    </w:p>
    <w:p>
      <w:pPr>
        <w:pStyle w:val="BodyText"/>
        <w:numPr>
          <w:ilvl w:val="1"/>
          <w:numId w:val="486"/>
        </w:numPr>
        <w:tabs>
          <w:tab w:val="clear" w:pos="709"/>
          <w:tab w:val="left" w:pos="1418" w:leader="none"/>
        </w:tabs>
        <w:bidi w:val="0"/>
        <w:ind w:hanging="283" w:start="1418"/>
        <w:jc w:val="start"/>
        <w:rPr/>
      </w:pPr>
      <w:r>
        <w:rPr>
          <w:rFonts w:ascii="Liberation Mono" w:hAnsi="Liberation Mono"/>
        </w:rPr>
        <w:t>Payout ratio = dividend per share ÷ earnings per share</w:t>
      </w:r>
    </w:p>
    <w:p>
      <w:pPr>
        <w:pStyle w:val="BodyText"/>
        <w:numPr>
          <w:ilvl w:val="1"/>
          <w:numId w:val="486"/>
        </w:numPr>
        <w:tabs>
          <w:tab w:val="clear" w:pos="709"/>
          <w:tab w:val="left" w:pos="1418" w:leader="none"/>
        </w:tabs>
        <w:bidi w:val="0"/>
        <w:ind w:hanging="283" w:start="1418"/>
        <w:jc w:val="start"/>
        <w:rPr/>
      </w:pPr>
      <w:r>
        <w:rPr/>
        <w:t xml:space="preserve">$1.00 EPS paying $0.50 dividends = </w:t>
      </w:r>
      <w:r>
        <w:rPr>
          <w:b/>
        </w:rPr>
        <w:t>50% payout — very good.</w:t>
      </w:r>
    </w:p>
    <w:p>
      <w:pPr>
        <w:pStyle w:val="BodyText"/>
        <w:numPr>
          <w:ilvl w:val="1"/>
          <w:numId w:val="486"/>
        </w:numPr>
        <w:tabs>
          <w:tab w:val="clear" w:pos="709"/>
          <w:tab w:val="left" w:pos="1418" w:leader="none"/>
        </w:tabs>
        <w:bidi w:val="0"/>
        <w:ind w:hanging="283" w:start="1418"/>
        <w:jc w:val="start"/>
        <w:rPr/>
      </w:pPr>
      <w:r>
        <w:rPr/>
        <w:t xml:space="preserve">$1.00 EPS paying $1.20 dividends = </w:t>
      </w:r>
      <w:r>
        <w:rPr>
          <w:b/>
        </w:rPr>
        <w:t>&gt;100% — bad</w:t>
      </w:r>
      <w:r>
        <w:rPr/>
        <w:t xml:space="preserve">: the dividend isn't coming from profit, it's coming from somewhere else and is </w:t>
      </w:r>
      <w:r>
        <w:rPr>
          <w:b/>
        </w:rPr>
        <w:t>not sustainable</w:t>
      </w:r>
      <w:r>
        <w:rPr/>
        <w:t>.</w:t>
      </w:r>
    </w:p>
    <w:p>
      <w:pPr>
        <w:pStyle w:val="BodyText"/>
        <w:bidi w:val="0"/>
        <w:jc w:val="start"/>
        <w:rPr/>
      </w:pPr>
      <w:r>
        <w:rPr>
          <w:b/>
        </w:rPr>
        <w:t>The yield trap warning:</w:t>
      </w:r>
      <w:r>
        <w:rPr/>
        <w:t xml:space="preserve"> A high dividend yield can coexist with a </w:t>
      </w:r>
      <w:r>
        <w:rPr>
          <w:b/>
        </w:rPr>
        <w:t>falling</w:t>
      </w:r>
      <w:r>
        <w:rPr/>
        <w:t xml:space="preserve"> dividend per share — this happens when DPS drops but the </w:t>
      </w:r>
      <w:r>
        <w:rPr>
          <w:b/>
        </w:rPr>
        <w:t>share price drops even more</w:t>
      </w:r>
      <w:r>
        <w:rPr/>
        <w:t>. Never look at yield alone; DPS must be rising consistently for 5+ years.</w:t>
      </w:r>
    </w:p>
    <w:p>
      <w:pPr>
        <w:pStyle w:val="BodyText"/>
        <w:bidi w:val="0"/>
        <w:jc w:val="start"/>
        <w:rPr/>
      </w:pPr>
      <w:r>
        <w:rPr>
          <w:b/>
        </w:rPr>
        <w:t>Market choice — why Singapore, not the US, for dividends:</w:t>
      </w:r>
      <w:r>
        <w:rPr/>
        <w:t xml:space="preserve"> | | US-listed | Singapore-listed | |---|---|---| | Typical high-quality yield | Very low; </w:t>
      </w:r>
      <w:r>
        <w:rPr>
          <w:b/>
        </w:rPr>
        <w:t>3% is already considered pretty good</w:t>
      </w:r>
      <w:r>
        <w:rPr/>
        <w:t xml:space="preserve">; you cannot get 5% on quality names | </w:t>
      </w:r>
      <w:r>
        <w:rPr>
          <w:b/>
        </w:rPr>
        <w:t>4%, 5%, 6%</w:t>
      </w:r>
      <w:r>
        <w:rPr/>
        <w:t xml:space="preserve"> | | Dividend tax (for foreigners/Singaporeans) | </w:t>
      </w:r>
      <w:r>
        <w:rPr>
          <w:b/>
        </w:rPr>
        <w:t>30% withholding tax</w:t>
      </w:r>
      <w:r>
        <w:rPr/>
        <w:t xml:space="preserve"> | </w:t>
      </w:r>
      <w:r>
        <w:rPr>
          <w:b/>
        </w:rPr>
        <w:t>Tax free</w:t>
      </w:r>
      <w:r>
        <w:rPr/>
        <w:t xml:space="preserve"> | | Capital gains tax | Tax free (for Singaporeans) | — | | Verdict | Best market for </w:t>
      </w:r>
      <w:r>
        <w:rPr>
          <w:b/>
        </w:rPr>
        <w:t>capital gain</w:t>
      </w:r>
      <w:r>
        <w:rPr/>
        <w:t>, not dividends | Used exclusively for dividends |</w:t>
      </w:r>
    </w:p>
    <w:p>
      <w:pPr>
        <w:pStyle w:val="BodyText"/>
        <w:numPr>
          <w:ilvl w:val="0"/>
          <w:numId w:val="487"/>
        </w:numPr>
        <w:tabs>
          <w:tab w:val="clear" w:pos="709"/>
          <w:tab w:val="left" w:pos="709" w:leader="none"/>
        </w:tabs>
        <w:bidi w:val="0"/>
        <w:ind w:hanging="283" w:start="709"/>
        <w:jc w:val="start"/>
        <w:rPr/>
      </w:pPr>
      <w:r>
        <w:rPr/>
        <w:t xml:space="preserve">His Singapore dividend universe is deliberately narrow: </w:t>
      </w:r>
      <w:r>
        <w:rPr>
          <w:b/>
        </w:rPr>
        <w:t>the 3 banks (DBS, UOB, OCBC)</w:t>
      </w:r>
      <w:r>
        <w:rPr/>
        <w:t xml:space="preserve"> plus </w:t>
      </w:r>
      <w:r>
        <w:rPr>
          <w:b/>
        </w:rPr>
        <w:t>selected high-quality REITs</w:t>
      </w:r>
      <w:r>
        <w:rPr/>
        <w:t>.</w:t>
      </w:r>
    </w:p>
    <w:p>
      <w:pPr>
        <w:pStyle w:val="BodyText"/>
        <w:bidi w:val="0"/>
        <w:jc w:val="start"/>
        <w:rPr/>
      </w:pPr>
      <w:r>
        <w:rPr>
          <w:b/>
        </w:rPr>
        <w:t>Screening for US dividend stocks (Finviz — free screener), if you want them anyway:</w:t>
      </w:r>
    </w:p>
    <w:p>
      <w:pPr>
        <w:pStyle w:val="BodyText"/>
        <w:numPr>
          <w:ilvl w:val="0"/>
          <w:numId w:val="488"/>
        </w:numPr>
        <w:tabs>
          <w:tab w:val="clear" w:pos="709"/>
          <w:tab w:val="left" w:pos="709" w:leader="none"/>
        </w:tabs>
        <w:bidi w:val="0"/>
        <w:ind w:hanging="283" w:start="709"/>
        <w:jc w:val="start"/>
        <w:rPr/>
      </w:pPr>
      <w:r>
        <w:rPr>
          <w:i/>
        </w:rPr>
        <w:t>Descriptive</w:t>
      </w:r>
      <w:r>
        <w:rPr/>
        <w:t xml:space="preserve"> tab → </w:t>
      </w:r>
      <w:r>
        <w:rPr>
          <w:b/>
        </w:rPr>
        <w:t>Dividend yield over 3%</w:t>
      </w:r>
    </w:p>
    <w:p>
      <w:pPr>
        <w:pStyle w:val="BodyText"/>
        <w:numPr>
          <w:ilvl w:val="0"/>
          <w:numId w:val="488"/>
        </w:numPr>
        <w:tabs>
          <w:tab w:val="clear" w:pos="709"/>
          <w:tab w:val="left" w:pos="709" w:leader="none"/>
        </w:tabs>
        <w:bidi w:val="0"/>
        <w:ind w:hanging="283" w:start="709"/>
        <w:jc w:val="start"/>
        <w:rPr/>
      </w:pPr>
      <w:r>
        <w:rPr>
          <w:i/>
        </w:rPr>
        <w:t>Descriptive</w:t>
      </w:r>
      <w:r>
        <w:rPr/>
        <w:t xml:space="preserve"> tab → market cap </w:t>
      </w:r>
      <w:r>
        <w:rPr>
          <w:b/>
        </w:rPr>
        <w:t>mid to large</w:t>
      </w:r>
      <w:r>
        <w:rPr/>
        <w:t xml:space="preserve"> (companies </w:t>
      </w:r>
      <w:r>
        <w:rPr>
          <w:b/>
        </w:rPr>
        <w:t>over $2 billion</w:t>
      </w:r>
      <w:r>
        <w:rPr/>
        <w:t>)</w:t>
      </w:r>
    </w:p>
    <w:p>
      <w:pPr>
        <w:pStyle w:val="BodyText"/>
        <w:numPr>
          <w:ilvl w:val="0"/>
          <w:numId w:val="488"/>
        </w:numPr>
        <w:tabs>
          <w:tab w:val="clear" w:pos="709"/>
          <w:tab w:val="left" w:pos="709" w:leader="none"/>
        </w:tabs>
        <w:bidi w:val="0"/>
        <w:ind w:hanging="283" w:start="709"/>
        <w:jc w:val="start"/>
        <w:rPr/>
      </w:pPr>
      <w:r>
        <w:rPr>
          <w:i/>
        </w:rPr>
        <w:t>Fundamental</w:t>
      </w:r>
      <w:r>
        <w:rPr/>
        <w:t xml:space="preserve"> tab → </w:t>
      </w:r>
      <w:r>
        <w:rPr>
          <w:b/>
        </w:rPr>
        <w:t>EPS growth positive past 5 years</w:t>
      </w:r>
    </w:p>
    <w:p>
      <w:pPr>
        <w:pStyle w:val="BodyText"/>
        <w:numPr>
          <w:ilvl w:val="0"/>
          <w:numId w:val="488"/>
        </w:numPr>
        <w:tabs>
          <w:tab w:val="clear" w:pos="709"/>
          <w:tab w:val="left" w:pos="709" w:leader="none"/>
        </w:tabs>
        <w:bidi w:val="0"/>
        <w:ind w:hanging="283" w:start="709"/>
        <w:jc w:val="start"/>
        <w:rPr/>
      </w:pPr>
      <w:r>
        <w:rPr>
          <w:i/>
        </w:rPr>
        <w:t>Fundamental</w:t>
      </w:r>
      <w:r>
        <w:rPr/>
        <w:t xml:space="preserve"> tab → </w:t>
      </w:r>
      <w:r>
        <w:rPr>
          <w:b/>
        </w:rPr>
        <w:t>Sales growth positive past 5 years</w:t>
      </w:r>
    </w:p>
    <w:p>
      <w:pPr>
        <w:pStyle w:val="BodyText"/>
        <w:numPr>
          <w:ilvl w:val="0"/>
          <w:numId w:val="488"/>
        </w:numPr>
        <w:tabs>
          <w:tab w:val="clear" w:pos="709"/>
          <w:tab w:val="left" w:pos="709" w:leader="none"/>
        </w:tabs>
        <w:bidi w:val="0"/>
        <w:ind w:hanging="283" w:start="709"/>
        <w:jc w:val="start"/>
        <w:rPr/>
      </w:pPr>
      <w:r>
        <w:rPr>
          <w:i/>
        </w:rPr>
        <w:t>Fundamental</w:t>
      </w:r>
      <w:r>
        <w:rPr/>
        <w:t xml:space="preserve"> tab → </w:t>
      </w:r>
      <w:r>
        <w:rPr>
          <w:b/>
        </w:rPr>
        <w:t>EPS growth next 5 years ≥ 5%</w:t>
      </w:r>
    </w:p>
    <w:p>
      <w:pPr>
        <w:pStyle w:val="BodyText"/>
        <w:numPr>
          <w:ilvl w:val="0"/>
          <w:numId w:val="488"/>
        </w:numPr>
        <w:tabs>
          <w:tab w:val="clear" w:pos="709"/>
          <w:tab w:val="left" w:pos="709" w:leader="none"/>
        </w:tabs>
        <w:bidi w:val="0"/>
        <w:ind w:hanging="283" w:start="709"/>
        <w:jc w:val="start"/>
        <w:rPr/>
      </w:pPr>
      <w:r>
        <w:rPr>
          <w:i/>
        </w:rPr>
        <w:t>Fundamental</w:t>
      </w:r>
      <w:r>
        <w:rPr/>
        <w:t xml:space="preserve"> tab → </w:t>
      </w:r>
      <w:r>
        <w:rPr>
          <w:b/>
        </w:rPr>
        <w:t>Current ratio over 1</w:t>
      </w:r>
    </w:p>
    <w:p>
      <w:pPr>
        <w:pStyle w:val="BodyText"/>
        <w:numPr>
          <w:ilvl w:val="0"/>
          <w:numId w:val="488"/>
        </w:numPr>
        <w:tabs>
          <w:tab w:val="clear" w:pos="709"/>
          <w:tab w:val="left" w:pos="709" w:leader="none"/>
        </w:tabs>
        <w:bidi w:val="0"/>
        <w:ind w:hanging="283" w:start="709"/>
        <w:jc w:val="start"/>
        <w:rPr/>
      </w:pPr>
      <w:r>
        <w:rPr/>
        <w:t xml:space="preserve">Result: out of </w:t>
      </w:r>
      <w:r>
        <w:rPr>
          <w:b/>
        </w:rPr>
        <w:t>~6,000 US stocks, only 49 stocks</w:t>
      </w:r>
      <w:r>
        <w:rPr/>
        <w:t xml:space="preserve"> pass.</w:t>
      </w:r>
    </w:p>
    <w:p>
      <w:pPr>
        <w:pStyle w:val="BodyText"/>
        <w:numPr>
          <w:ilvl w:val="0"/>
          <w:numId w:val="488"/>
        </w:numPr>
        <w:tabs>
          <w:tab w:val="clear" w:pos="709"/>
          <w:tab w:val="left" w:pos="709" w:leader="none"/>
        </w:tabs>
        <w:bidi w:val="0"/>
        <w:ind w:hanging="283" w:start="709"/>
        <w:jc w:val="start"/>
        <w:rPr/>
      </w:pPr>
      <w:r>
        <w:rPr/>
        <w:t xml:space="preserve">Then manually </w:t>
      </w:r>
      <w:r>
        <w:rPr>
          <w:b/>
        </w:rPr>
        <w:t>exclude the very cyclical sectors</w:t>
      </w:r>
      <w:r>
        <w:rPr/>
        <w:t xml:space="preserve"> — real estate, commodities, energy.</w:t>
      </w:r>
    </w:p>
    <w:p>
      <w:pPr>
        <w:pStyle w:val="BodyText"/>
        <w:numPr>
          <w:ilvl w:val="0"/>
          <w:numId w:val="488"/>
        </w:numPr>
        <w:tabs>
          <w:tab w:val="clear" w:pos="709"/>
          <w:tab w:val="left" w:pos="709" w:leader="none"/>
        </w:tabs>
        <w:bidi w:val="0"/>
        <w:ind w:hanging="283" w:start="709"/>
        <w:jc w:val="start"/>
        <w:rPr/>
      </w:pPr>
      <w:r>
        <w:rPr/>
        <w:t xml:space="preserve">Names surfaced by the screen in the demo: </w:t>
      </w:r>
      <w:r>
        <w:rPr>
          <w:b/>
        </w:rPr>
        <w:t>Bank of America, Cisco, Gilead Sciences.</w:t>
      </w:r>
    </w:p>
    <w:p>
      <w:pPr>
        <w:pStyle w:val="BodyText"/>
        <w:numPr>
          <w:ilvl w:val="0"/>
          <w:numId w:val="488"/>
        </w:numPr>
        <w:tabs>
          <w:tab w:val="clear" w:pos="709"/>
          <w:tab w:val="left" w:pos="709" w:leader="none"/>
        </w:tabs>
        <w:bidi w:val="0"/>
        <w:ind w:hanging="283" w:start="709"/>
        <w:jc w:val="start"/>
        <w:rPr/>
      </w:pPr>
      <w:r>
        <w:rPr>
          <w:b/>
        </w:rPr>
        <w:t>Yahoo Finance → Statistics tab</w:t>
      </w:r>
      <w:r>
        <w:rPr/>
        <w:t xml:space="preserve"> shows dividend info; Cisco example: </w:t>
      </w:r>
      <w:r>
        <w:rPr>
          <w:b/>
        </w:rPr>
        <w:t>trailing dividend yield 3%</w:t>
      </w:r>
      <w:r>
        <w:rPr/>
        <w:t xml:space="preserve">, </w:t>
      </w:r>
      <w:r>
        <w:rPr>
          <w:b/>
        </w:rPr>
        <w:t>forward dividend yield 3%</w:t>
      </w:r>
      <w:r>
        <w:rPr/>
        <w:t>.</w:t>
      </w:r>
    </w:p>
    <w:p>
      <w:pPr>
        <w:pStyle w:val="BodyText"/>
        <w:numPr>
          <w:ilvl w:val="0"/>
          <w:numId w:val="488"/>
        </w:numPr>
        <w:tabs>
          <w:tab w:val="clear" w:pos="709"/>
          <w:tab w:val="left" w:pos="709" w:leader="none"/>
        </w:tabs>
        <w:bidi w:val="0"/>
        <w:spacing w:before="0" w:after="0"/>
        <w:ind w:hanging="283" w:start="709"/>
        <w:jc w:val="start"/>
        <w:rPr/>
      </w:pPr>
      <w:r>
        <w:rPr>
          <w:b/>
        </w:rPr>
        <w:t>Stock Oracle</w:t>
      </w:r>
      <w:r>
        <w:rPr/>
        <w:t xml:space="preserve"> (his tool) → Overview page for standard dividend info; dedicated </w:t>
      </w:r>
      <w:r>
        <w:rPr>
          <w:b/>
        </w:rPr>
        <w:t>Dividends tab</w:t>
      </w:r>
      <w:r>
        <w:rPr/>
        <w:t xml:space="preserve"> shows payout ratio, current &amp; forward yield, </w:t>
      </w:r>
      <w:r>
        <w:rPr>
          <w:b/>
        </w:rPr>
        <w:t>dividend growth rate over 3, 5 and 10 years</w:t>
      </w:r>
      <w:r>
        <w:rPr/>
        <w:t>, next pay date and ex-dividend date, charts of yield history over 10 years, DPS (purple line), EPS supporting the rising dividend, payout ratio and full dividend history table.</w:t>
      </w:r>
    </w:p>
    <w:p>
      <w:pPr>
        <w:pStyle w:val="BodyText"/>
        <w:numPr>
          <w:ilvl w:val="1"/>
          <w:numId w:val="488"/>
        </w:numPr>
        <w:tabs>
          <w:tab w:val="clear" w:pos="709"/>
          <w:tab w:val="left" w:pos="1418" w:leader="none"/>
        </w:tabs>
        <w:bidi w:val="0"/>
        <w:ind w:hanging="283" w:start="1418"/>
        <w:jc w:val="start"/>
        <w:rPr/>
      </w:pPr>
      <w:r>
        <w:rPr/>
        <w:t xml:space="preserve">PepsiCo example shown: next pay date </w:t>
      </w:r>
      <w:r>
        <w:rPr>
          <w:b/>
        </w:rPr>
        <w:t>31 March 2026</w:t>
      </w:r>
      <w:r>
        <w:rPr/>
        <w:t xml:space="preserve">, ex-dividend date </w:t>
      </w:r>
      <w:r>
        <w:rPr>
          <w:b/>
        </w:rPr>
        <w:t>6 March 2026</w:t>
      </w:r>
      <w:r>
        <w:rPr/>
        <w:t xml:space="preserve">. Rule: hold the shares </w:t>
      </w:r>
      <w:r>
        <w:rPr>
          <w:b/>
        </w:rPr>
        <w:t>before the ex-dividend date (6 Mar)</w:t>
      </w:r>
      <w:r>
        <w:rPr/>
        <w:t xml:space="preserve"> to receive the dividend on the pay date (31 Mar).</w:t>
      </w:r>
    </w:p>
    <w:p>
      <w:pPr>
        <w:pStyle w:val="BodyText"/>
        <w:bidi w:val="0"/>
        <w:jc w:val="start"/>
        <w:rPr/>
      </w:pPr>
      <w:r>
        <w:rPr>
          <w:b/>
        </w:rPr>
        <w:t>Higher-yield alternatives beyond dividend stocks (for income investors):</w:t>
      </w:r>
      <w:r>
        <w:rPr/>
        <w:t xml:space="preserve"> | Instrument | Yield stated | |---|---| | Corporate bonds | </w:t>
      </w:r>
      <w:r>
        <w:rPr>
          <w:b/>
        </w:rPr>
        <w:t>~4.4%</w:t>
      </w:r>
      <w:r>
        <w:rPr/>
        <w:t xml:space="preserve"> | | Treasury bonds | </w:t>
      </w:r>
      <w:r>
        <w:rPr>
          <w:b/>
        </w:rPr>
        <w:t>~4%</w:t>
      </w:r>
      <w:r>
        <w:rPr/>
        <w:t xml:space="preserve"> | | High-yield bond funds | </w:t>
      </w:r>
      <w:r>
        <w:rPr>
          <w:b/>
        </w:rPr>
        <w:t>5.77%</w:t>
      </w:r>
      <w:r>
        <w:rPr/>
        <w:t xml:space="preserve"> quoted; the one he just bought yields </w:t>
      </w:r>
      <w:r>
        <w:rPr>
          <w:b/>
        </w:rPr>
        <w:t>~8–9%</w:t>
      </w:r>
      <w:r>
        <w:rPr/>
        <w:t xml:space="preserve"> | | </w:t>
      </w:r>
      <w:r>
        <w:rPr>
          <w:b/>
        </w:rPr>
        <w:t>Private credit BDCs</w:t>
      </w:r>
      <w:r>
        <w:rPr/>
        <w:t xml:space="preserve"> (Business Development Companies) | </w:t>
      </w:r>
      <w:r>
        <w:rPr>
          <w:b/>
        </w:rPr>
        <w:t>8–9%</w:t>
      </w:r>
      <w:r>
        <w:rPr/>
        <w:t xml:space="preserve"> normally; </w:t>
      </w:r>
      <w:r>
        <w:rPr>
          <w:b/>
        </w:rPr>
        <w:t>~12% at time of recording</w:t>
      </w:r>
      <w:r>
        <w:rPr/>
        <w:t xml:space="preserve"> due to bad news in the private credit market | | Other income funds | — |</w:t>
      </w:r>
    </w:p>
    <w:p>
      <w:pPr>
        <w:pStyle w:val="BodyText"/>
        <w:numPr>
          <w:ilvl w:val="0"/>
          <w:numId w:val="489"/>
        </w:numPr>
        <w:tabs>
          <w:tab w:val="clear" w:pos="709"/>
          <w:tab w:val="left" w:pos="709" w:leader="none"/>
        </w:tabs>
        <w:bidi w:val="0"/>
        <w:spacing w:before="0" w:after="0"/>
        <w:ind w:hanging="283" w:start="709"/>
        <w:jc w:val="start"/>
        <w:rPr/>
      </w:pPr>
      <w:r>
        <w:rPr>
          <w:b/>
        </w:rPr>
        <w:t>BDCs are the ONLY kind of US-listed security he buys for dividends.</w:t>
      </w:r>
    </w:p>
    <w:p>
      <w:pPr>
        <w:pStyle w:val="BodyText"/>
        <w:numPr>
          <w:ilvl w:val="1"/>
          <w:numId w:val="489"/>
        </w:numPr>
        <w:tabs>
          <w:tab w:val="clear" w:pos="709"/>
          <w:tab w:val="left" w:pos="1418" w:leader="none"/>
        </w:tabs>
        <w:bidi w:val="0"/>
        <w:ind w:hanging="283" w:start="1418"/>
        <w:jc w:val="start"/>
        <w:rPr/>
      </w:pPr>
      <w:r>
        <w:rPr/>
        <w:t xml:space="preserve">They are </w:t>
      </w:r>
      <w:r>
        <w:rPr>
          <w:b/>
        </w:rPr>
        <w:t>not analysed like normal companies</w:t>
      </w:r>
      <w:r>
        <w:rPr/>
        <w:t xml:space="preserve"> — unique structure.</w:t>
      </w:r>
    </w:p>
    <w:p>
      <w:pPr>
        <w:pStyle w:val="BodyText"/>
        <w:numPr>
          <w:ilvl w:val="1"/>
          <w:numId w:val="489"/>
        </w:numPr>
        <w:tabs>
          <w:tab w:val="clear" w:pos="709"/>
          <w:tab w:val="left" w:pos="1418" w:leader="none"/>
        </w:tabs>
        <w:bidi w:val="0"/>
        <w:ind w:hanging="283" w:start="1418"/>
        <w:jc w:val="start"/>
        <w:rPr/>
      </w:pPr>
      <w:r>
        <w:rPr>
          <w:b/>
        </w:rPr>
        <w:t>Legally required to pay out 90%</w:t>
      </w:r>
      <w:r>
        <w:rPr/>
        <w:t xml:space="preserve"> of profits / net investment income as dividends.</w:t>
      </w:r>
    </w:p>
    <w:p>
      <w:pPr>
        <w:pStyle w:val="BodyText"/>
        <w:numPr>
          <w:ilvl w:val="1"/>
          <w:numId w:val="489"/>
        </w:numPr>
        <w:tabs>
          <w:tab w:val="clear" w:pos="709"/>
          <w:tab w:val="left" w:pos="1418" w:leader="none"/>
        </w:tabs>
        <w:bidi w:val="0"/>
        <w:ind w:hanging="283" w:start="1418"/>
        <w:jc w:val="start"/>
        <w:rPr/>
      </w:pPr>
      <w:r>
        <w:rPr/>
        <w:t xml:space="preserve">Because of that structure they are </w:t>
      </w:r>
      <w:r>
        <w:rPr>
          <w:b/>
        </w:rPr>
        <w:t>not subject to the 30% withholding tax</w:t>
      </w:r>
      <w:r>
        <w:rPr/>
        <w:t xml:space="preserve">. (Interactive Brokers does withhold 30% but </w:t>
      </w:r>
      <w:r>
        <w:rPr>
          <w:b/>
        </w:rPr>
        <w:t>refunds it the following year</w:t>
      </w:r>
      <w:r>
        <w:rPr/>
        <w:t>.)</w:t>
      </w:r>
    </w:p>
    <w:p>
      <w:pPr>
        <w:pStyle w:val="BodyText"/>
        <w:numPr>
          <w:ilvl w:val="1"/>
          <w:numId w:val="489"/>
        </w:numPr>
        <w:tabs>
          <w:tab w:val="clear" w:pos="709"/>
          <w:tab w:val="left" w:pos="1418" w:leader="none"/>
        </w:tabs>
        <w:bidi w:val="0"/>
        <w:ind w:hanging="283" w:start="1418"/>
        <w:jc w:val="start"/>
        <w:rPr/>
      </w:pPr>
      <w:r>
        <w:rPr/>
        <w:t xml:space="preserve">He buys only the </w:t>
      </w:r>
      <w:r>
        <w:rPr>
          <w:b/>
        </w:rPr>
        <w:t>highest-quality private credit BDCs</w:t>
      </w:r>
      <w:r>
        <w:rPr/>
        <w:t xml:space="preserve"> — that's how he gets very high yield with long-term safety.</w:t>
      </w:r>
    </w:p>
    <w:p>
      <w:pPr>
        <w:pStyle w:val="HorizontalLine"/>
        <w:bidi w:val="0"/>
        <w:jc w:val="start"/>
        <w:rPr/>
      </w:pPr>
      <w:r>
        <w:rPr/>
      </w:r>
    </w:p>
    <w:p>
      <w:pPr>
        <w:pStyle w:val="Heading4"/>
        <w:bidi w:val="0"/>
        <w:ind w:hanging="0" w:start="0"/>
        <w:jc w:val="start"/>
        <w:rPr/>
      </w:pPr>
      <w:r>
        <w:rPr/>
        <w:t>8.2 Category 2 — Predictable Companies (mascot: the loyal dog)</w:t>
      </w:r>
    </w:p>
    <w:p>
      <w:pPr>
        <w:pStyle w:val="BodyText"/>
        <w:bidi w:val="0"/>
        <w:jc w:val="start"/>
        <w:rPr/>
      </w:pPr>
      <w:r>
        <w:rPr>
          <w:b/>
        </w:rPr>
        <w:t>Definition:</w:t>
      </w:r>
      <w:r>
        <w:rPr/>
        <w:t xml:space="preserve"> companies selling a product or service </w:t>
      </w:r>
      <w:r>
        <w:rPr>
          <w:b/>
        </w:rPr>
        <w:t>you use regularly</w:t>
      </w:r>
      <w:r>
        <w:rPr/>
        <w:t>, so revenue and profits are very predictable.</w:t>
      </w:r>
    </w:p>
    <w:p>
      <w:pPr>
        <w:pStyle w:val="BodyText"/>
        <w:bidi w:val="0"/>
        <w:jc w:val="start"/>
        <w:rPr/>
      </w:pPr>
      <w:r>
        <w:rPr>
          <w:b/>
        </w:rPr>
        <w:t>Criteria:</w:t>
      </w:r>
    </w:p>
    <w:p>
      <w:pPr>
        <w:pStyle w:val="BodyText"/>
        <w:numPr>
          <w:ilvl w:val="0"/>
          <w:numId w:val="490"/>
        </w:numPr>
        <w:tabs>
          <w:tab w:val="clear" w:pos="709"/>
          <w:tab w:val="left" w:pos="709" w:leader="none"/>
        </w:tabs>
        <w:bidi w:val="0"/>
        <w:ind w:hanging="283" w:start="709"/>
        <w:jc w:val="start"/>
        <w:rPr/>
      </w:pPr>
      <w:r>
        <w:rPr>
          <w:b/>
        </w:rPr>
        <w:t>Large</w:t>
      </w:r>
      <w:r>
        <w:rPr/>
        <w:t xml:space="preserve"> companies with </w:t>
      </w:r>
      <w:r>
        <w:rPr>
          <w:b/>
        </w:rPr>
        <w:t>wide economic moats</w:t>
      </w:r>
      <w:r>
        <w:rPr/>
        <w:t>.</w:t>
      </w:r>
    </w:p>
    <w:p>
      <w:pPr>
        <w:pStyle w:val="BodyText"/>
        <w:numPr>
          <w:ilvl w:val="0"/>
          <w:numId w:val="490"/>
        </w:numPr>
        <w:tabs>
          <w:tab w:val="clear" w:pos="709"/>
          <w:tab w:val="left" w:pos="709" w:leader="none"/>
        </w:tabs>
        <w:bidi w:val="0"/>
        <w:ind w:hanging="283" w:start="709"/>
        <w:jc w:val="start"/>
        <w:rPr/>
      </w:pPr>
      <w:r>
        <w:rPr>
          <w:b/>
        </w:rPr>
        <w:t>Predictable earnings and cash flow from operations.</w:t>
      </w:r>
    </w:p>
    <w:p>
      <w:pPr>
        <w:pStyle w:val="BodyText"/>
        <w:numPr>
          <w:ilvl w:val="0"/>
          <w:numId w:val="490"/>
        </w:numPr>
        <w:tabs>
          <w:tab w:val="clear" w:pos="709"/>
          <w:tab w:val="left" w:pos="709" w:leader="none"/>
        </w:tabs>
        <w:bidi w:val="0"/>
        <w:ind w:hanging="283" w:start="709"/>
        <w:jc w:val="start"/>
        <w:rPr/>
      </w:pPr>
      <w:r>
        <w:rPr/>
        <w:t xml:space="preserve">Sell a product/service that </w:t>
      </w:r>
      <w:r>
        <w:rPr>
          <w:b/>
        </w:rPr>
        <w:t>never goes obsolete</w:t>
      </w:r>
      <w:r>
        <w:rPr/>
        <w:t xml:space="preserve"> — hamburgers, soft drinks, chocolate.</w:t>
      </w:r>
    </w:p>
    <w:p>
      <w:pPr>
        <w:pStyle w:val="BodyText"/>
        <w:numPr>
          <w:ilvl w:val="0"/>
          <w:numId w:val="490"/>
        </w:numPr>
        <w:tabs>
          <w:tab w:val="clear" w:pos="709"/>
          <w:tab w:val="left" w:pos="709" w:leader="none"/>
        </w:tabs>
        <w:bidi w:val="0"/>
        <w:ind w:hanging="283" w:start="709"/>
        <w:jc w:val="start"/>
        <w:rPr/>
      </w:pPr>
      <w:r>
        <w:rPr>
          <w:b/>
        </w:rPr>
        <w:t>Very low uncertainty</w:t>
      </w:r>
      <w:r>
        <w:rPr/>
        <w:t xml:space="preserve"> in net income and cash flow.</w:t>
      </w:r>
    </w:p>
    <w:p>
      <w:pPr>
        <w:pStyle w:val="BodyText"/>
        <w:numPr>
          <w:ilvl w:val="0"/>
          <w:numId w:val="490"/>
        </w:numPr>
        <w:tabs>
          <w:tab w:val="clear" w:pos="709"/>
          <w:tab w:val="left" w:pos="709" w:leader="none"/>
        </w:tabs>
        <w:bidi w:val="0"/>
        <w:ind w:hanging="283" w:start="709"/>
        <w:jc w:val="start"/>
        <w:rPr/>
      </w:pPr>
      <w:r>
        <w:rPr>
          <w:b/>
        </w:rPr>
        <w:t>Slow but steady capital appreciation.</w:t>
      </w:r>
    </w:p>
    <w:p>
      <w:pPr>
        <w:pStyle w:val="BodyText"/>
        <w:bidi w:val="0"/>
        <w:jc w:val="start"/>
        <w:rPr/>
      </w:pPr>
      <w:r>
        <w:rPr>
          <w:b/>
        </w:rPr>
        <w:t>Growth profile:</w:t>
      </w:r>
      <w:r>
        <w:rPr/>
        <w:t xml:space="preserve"> </w:t>
      </w:r>
      <w:r>
        <w:rPr>
          <w:b/>
        </w:rPr>
        <w:t>NOT</w:t>
      </w:r>
      <w:r>
        <w:rPr/>
        <w:t xml:space="preserve"> 20–30%. Typically </w:t>
      </w:r>
      <w:r>
        <w:rPr>
          <w:b/>
        </w:rPr>
        <w:t>single digit to high single digit — 5% to 10%.</w:t>
      </w:r>
    </w:p>
    <w:p>
      <w:pPr>
        <w:pStyle w:val="BodyText"/>
        <w:bidi w:val="0"/>
        <w:jc w:val="start"/>
        <w:rPr/>
      </w:pPr>
      <w:r>
        <w:rPr>
          <w:b/>
        </w:rPr>
        <w:t>Two sub-types:</w:t>
      </w:r>
      <w:r>
        <w:rPr/>
        <w:t xml:space="preserve"> | Sub-type | Sectors | Examples given | |---|---|---| | </w:t>
      </w:r>
      <w:r>
        <w:rPr>
          <w:b/>
        </w:rPr>
        <w:t>Defensive predictables</w:t>
      </w:r>
      <w:r>
        <w:rPr/>
        <w:t xml:space="preserve"> | Healthcare, Consumer Staples | </w:t>
      </w:r>
      <w:r>
        <w:rPr>
          <w:b/>
        </w:rPr>
        <w:t>PepsiCo (PEP)</w:t>
      </w:r>
      <w:r>
        <w:rPr/>
        <w:t xml:space="preserve"> — beverage &amp; snacks; </w:t>
      </w:r>
      <w:r>
        <w:rPr>
          <w:b/>
        </w:rPr>
        <w:t>McDonald's</w:t>
      </w:r>
      <w:r>
        <w:rPr/>
        <w:t xml:space="preserve"> (fairly defensive); </w:t>
      </w:r>
      <w:r>
        <w:rPr>
          <w:b/>
        </w:rPr>
        <w:t>Waste Management</w:t>
      </w:r>
      <w:r>
        <w:rPr/>
        <w:t xml:space="preserve"> (very defensive); </w:t>
      </w:r>
      <w:r>
        <w:rPr>
          <w:b/>
        </w:rPr>
        <w:t>Monster Beverage</w:t>
      </w:r>
      <w:r>
        <w:rPr/>
        <w:t xml:space="preserve">; </w:t>
      </w:r>
      <w:r>
        <w:rPr>
          <w:b/>
        </w:rPr>
        <w:t>Thermo Fisher</w:t>
      </w:r>
      <w:r>
        <w:rPr/>
        <w:t xml:space="preserve"> (healthcare medical devices &amp; instruments) | | </w:t>
      </w:r>
      <w:r>
        <w:rPr>
          <w:b/>
        </w:rPr>
        <w:t>Moderately cyclical predictables</w:t>
      </w:r>
      <w:r>
        <w:rPr/>
        <w:t xml:space="preserve"> | Finance, Consumer Discretionary (also predictable Technology) | </w:t>
      </w:r>
      <w:r>
        <w:rPr>
          <w:b/>
        </w:rPr>
        <w:t>Chubb</w:t>
      </w:r>
      <w:r>
        <w:rPr/>
        <w:t xml:space="preserve"> (insurance); </w:t>
      </w:r>
      <w:r>
        <w:rPr>
          <w:b/>
        </w:rPr>
        <w:t>S&amp;P Global</w:t>
      </w:r>
      <w:r>
        <w:rPr/>
        <w:t xml:space="preserve"> (global ratings &amp; data analytics); </w:t>
      </w:r>
      <w:r>
        <w:rPr>
          <w:b/>
        </w:rPr>
        <w:t>MasterCard</w:t>
      </w:r>
      <w:r>
        <w:rPr/>
        <w:t xml:space="preserve"> (payment technology); </w:t>
      </w:r>
      <w:r>
        <w:rPr>
          <w:b/>
        </w:rPr>
        <w:t>Visa</w:t>
      </w:r>
      <w:r>
        <w:rPr/>
        <w:t xml:space="preserve">; </w:t>
      </w:r>
      <w:r>
        <w:rPr>
          <w:b/>
        </w:rPr>
        <w:t>Apple</w:t>
      </w:r>
      <w:r>
        <w:rPr/>
        <w:t xml:space="preserve"> (predictable technology) |</w:t>
      </w:r>
    </w:p>
    <w:p>
      <w:pPr>
        <w:pStyle w:val="BodyText"/>
        <w:bidi w:val="0"/>
        <w:jc w:val="start"/>
        <w:rPr/>
      </w:pPr>
      <w:r>
        <w:rPr>
          <w:b/>
        </w:rPr>
        <w:t>Why they still work as investments despite low revenue growth:</w:t>
      </w:r>
    </w:p>
    <w:p>
      <w:pPr>
        <w:pStyle w:val="BodyText"/>
        <w:numPr>
          <w:ilvl w:val="0"/>
          <w:numId w:val="491"/>
        </w:numPr>
        <w:tabs>
          <w:tab w:val="clear" w:pos="709"/>
          <w:tab w:val="left" w:pos="709" w:leader="none"/>
        </w:tabs>
        <w:bidi w:val="0"/>
        <w:ind w:hanging="283" w:start="709"/>
        <w:jc w:val="start"/>
        <w:rPr/>
      </w:pPr>
      <w:r>
        <w:rPr/>
        <w:t xml:space="preserve">Heavy </w:t>
      </w:r>
      <w:r>
        <w:rPr>
          <w:b/>
        </w:rPr>
        <w:t>share buybacks</w:t>
      </w:r>
      <w:r>
        <w:rPr/>
        <w:t xml:space="preserve"> let them grow </w:t>
      </w:r>
      <w:r>
        <w:rPr>
          <w:b/>
        </w:rPr>
        <w:t>EPS by double digits</w:t>
      </w:r>
      <w:r>
        <w:rPr/>
        <w:t xml:space="preserve"> even with low revenue growth.</w:t>
      </w:r>
    </w:p>
    <w:p>
      <w:pPr>
        <w:pStyle w:val="BodyText"/>
        <w:numPr>
          <w:ilvl w:val="0"/>
          <w:numId w:val="491"/>
        </w:numPr>
        <w:tabs>
          <w:tab w:val="clear" w:pos="709"/>
          <w:tab w:val="left" w:pos="709" w:leader="none"/>
        </w:tabs>
        <w:bidi w:val="0"/>
        <w:ind w:hanging="283" w:start="709"/>
        <w:jc w:val="start"/>
        <w:rPr/>
      </w:pPr>
      <w:r>
        <w:rPr/>
        <w:t xml:space="preserve">You can still get </w:t>
      </w:r>
      <w:r>
        <w:rPr>
          <w:b/>
        </w:rPr>
        <w:t>high double-digit returns and beat the market</w:t>
      </w:r>
      <w:r>
        <w:rPr/>
        <w:t xml:space="preserve"> by buying them </w:t>
      </w:r>
      <w:r>
        <w:rPr>
          <w:b/>
        </w:rPr>
        <w:t>at big discounts during temporary crises</w:t>
      </w:r>
      <w:r>
        <w:rPr/>
        <w:t>.</w:t>
      </w:r>
    </w:p>
    <w:p>
      <w:pPr>
        <w:pStyle w:val="BodyText"/>
        <w:numPr>
          <w:ilvl w:val="0"/>
          <w:numId w:val="491"/>
        </w:numPr>
        <w:tabs>
          <w:tab w:val="clear" w:pos="709"/>
          <w:tab w:val="left" w:pos="709" w:leader="none"/>
        </w:tabs>
        <w:bidi w:val="0"/>
        <w:ind w:hanging="283" w:start="709"/>
        <w:jc w:val="start"/>
        <w:rPr/>
      </w:pPr>
      <w:r>
        <w:rPr/>
        <w:t xml:space="preserve">When the price gets </w:t>
      </w:r>
      <w:r>
        <w:rPr>
          <w:b/>
        </w:rPr>
        <w:t>way overextended or overvalued</w:t>
      </w:r>
      <w:r>
        <w:rPr/>
        <w:t xml:space="preserve">, he combines the holding with </w:t>
      </w:r>
      <w:r>
        <w:rPr>
          <w:b/>
        </w:rPr>
        <w:t>selling covered call options</w:t>
      </w:r>
      <w:r>
        <w:rPr/>
        <w:t xml:space="preserve"> to create extra income and boost returns (covered in Lesson 12 — "turbocharging my portfolio using options").</w:t>
      </w:r>
    </w:p>
    <w:p>
      <w:pPr>
        <w:pStyle w:val="HorizontalLine"/>
        <w:bidi w:val="0"/>
        <w:jc w:val="start"/>
        <w:rPr/>
      </w:pPr>
      <w:r>
        <w:rPr/>
      </w:r>
    </w:p>
    <w:p>
      <w:pPr>
        <w:pStyle w:val="Heading4"/>
        <w:bidi w:val="0"/>
        <w:ind w:hanging="0" w:start="0"/>
        <w:jc w:val="start"/>
        <w:rPr/>
      </w:pPr>
      <w:r>
        <w:rPr/>
        <w:t xml:space="preserve">8.3 Category 3 — Large Growth Companies (mascot: the cheetah) — </w:t>
      </w:r>
      <w:r>
        <w:rPr>
          <w:i/>
        </w:rPr>
        <w:t>most of his stocks</w:t>
      </w:r>
    </w:p>
    <w:p>
      <w:pPr>
        <w:pStyle w:val="BodyText"/>
        <w:bidi w:val="0"/>
        <w:jc w:val="start"/>
        <w:rPr/>
      </w:pPr>
      <w:r>
        <w:rPr>
          <w:b/>
        </w:rPr>
        <w:t>Criteria:</w:t>
      </w:r>
    </w:p>
    <w:p>
      <w:pPr>
        <w:pStyle w:val="BodyText"/>
        <w:numPr>
          <w:ilvl w:val="0"/>
          <w:numId w:val="492"/>
        </w:numPr>
        <w:tabs>
          <w:tab w:val="clear" w:pos="709"/>
          <w:tab w:val="left" w:pos="709" w:leader="none"/>
        </w:tabs>
        <w:bidi w:val="0"/>
        <w:ind w:hanging="283" w:start="709"/>
        <w:jc w:val="start"/>
        <w:rPr/>
      </w:pPr>
      <w:r>
        <w:rPr>
          <w:b/>
        </w:rPr>
        <w:t>Big companies that still have huge growth potential — growing above 20% to 25% a year.</w:t>
      </w:r>
    </w:p>
    <w:p>
      <w:pPr>
        <w:pStyle w:val="BodyText"/>
        <w:numPr>
          <w:ilvl w:val="0"/>
          <w:numId w:val="492"/>
        </w:numPr>
        <w:tabs>
          <w:tab w:val="clear" w:pos="709"/>
          <w:tab w:val="left" w:pos="709" w:leader="none"/>
        </w:tabs>
        <w:bidi w:val="0"/>
        <w:ind w:hanging="283" w:start="709"/>
        <w:jc w:val="start"/>
        <w:rPr/>
      </w:pPr>
      <w:r>
        <w:rPr>
          <w:b/>
        </w:rPr>
        <w:t>Profitable for at least 5 years</w:t>
      </w:r>
      <w:r>
        <w:rPr/>
        <w:t xml:space="preserve"> (this is the dividing line vs. speculative growth).</w:t>
      </w:r>
    </w:p>
    <w:p>
      <w:pPr>
        <w:pStyle w:val="BodyText"/>
        <w:numPr>
          <w:ilvl w:val="0"/>
          <w:numId w:val="492"/>
        </w:numPr>
        <w:tabs>
          <w:tab w:val="clear" w:pos="709"/>
          <w:tab w:val="left" w:pos="709" w:leader="none"/>
        </w:tabs>
        <w:bidi w:val="0"/>
        <w:ind w:hanging="283" w:start="709"/>
        <w:jc w:val="start"/>
        <w:rPr/>
      </w:pPr>
      <w:r>
        <w:rPr/>
        <w:t xml:space="preserve">Majority are </w:t>
      </w:r>
      <w:r>
        <w:rPr>
          <w:b/>
        </w:rPr>
        <w:t>technology-related</w:t>
      </w:r>
      <w:r>
        <w:rPr/>
        <w:t xml:space="preserve">, plus companies in </w:t>
      </w:r>
      <w:r>
        <w:rPr>
          <w:b/>
        </w:rPr>
        <w:t>secular / long-term growth industries</w:t>
      </w:r>
      <w:r>
        <w:rPr/>
        <w:t xml:space="preserve">: </w:t>
      </w:r>
      <w:r>
        <w:rPr>
          <w:b/>
        </w:rPr>
        <w:t>cybersecurity, e-commerce, software</w:t>
      </w:r>
      <w:r>
        <w:rPr/>
        <w:t>.</w:t>
      </w:r>
    </w:p>
    <w:p>
      <w:pPr>
        <w:pStyle w:val="BodyText"/>
        <w:numPr>
          <w:ilvl w:val="0"/>
          <w:numId w:val="492"/>
        </w:numPr>
        <w:tabs>
          <w:tab w:val="clear" w:pos="709"/>
          <w:tab w:val="left" w:pos="709" w:leader="none"/>
        </w:tabs>
        <w:bidi w:val="0"/>
        <w:ind w:hanging="283" w:start="709"/>
        <w:jc w:val="start"/>
        <w:rPr/>
      </w:pPr>
      <w:r>
        <w:rPr/>
        <w:t xml:space="preserve">Usually the stock is </w:t>
      </w:r>
      <w:r>
        <w:rPr>
          <w:b/>
        </w:rPr>
        <w:t>overvalued</w:t>
      </w:r>
      <w:r>
        <w:rPr/>
        <w:t xml:space="preserve"> — you must be </w:t>
      </w:r>
      <w:r>
        <w:rPr>
          <w:b/>
        </w:rPr>
        <w:t>patient</w:t>
      </w:r>
      <w:r>
        <w:rPr/>
        <w:t xml:space="preserve">; they become undervalued during </w:t>
      </w:r>
      <w:r>
        <w:rPr>
          <w:b/>
        </w:rPr>
        <w:t>corrections, pullbacks and bear markets</w:t>
      </w:r>
      <w:r>
        <w:rPr/>
        <w:t xml:space="preserve">, and those are the times to </w:t>
      </w:r>
      <w:r>
        <w:rPr>
          <w:b/>
        </w:rPr>
        <w:t>build a strong position</w:t>
      </w:r>
      <w:r>
        <w:rPr/>
        <w:t>.</w:t>
      </w:r>
    </w:p>
    <w:p>
      <w:pPr>
        <w:pStyle w:val="BodyText"/>
        <w:bidi w:val="0"/>
        <w:jc w:val="start"/>
        <w:rPr/>
      </w:pPr>
      <w:r>
        <w:rPr>
          <w:b/>
        </w:rPr>
        <w:t>Two moat grades:</w:t>
      </w:r>
      <w:r>
        <w:rPr/>
        <w:t xml:space="preserve"> | Moat | Definition | Position sizing | Names | |---|---|---|---| | </w:t>
      </w:r>
      <w:r>
        <w:rPr>
          <w:b/>
        </w:rPr>
        <w:t>Wide moat</w:t>
      </w:r>
      <w:r>
        <w:rPr/>
        <w:t xml:space="preserve"> | Brand monopoly, high switching cost, network effect lasting </w:t>
      </w:r>
      <w:r>
        <w:rPr>
          <w:b/>
        </w:rPr>
        <w:t>at least 20 years</w:t>
      </w:r>
      <w:r>
        <w:rPr/>
        <w:t xml:space="preserve"> | Full allocation | </w:t>
      </w:r>
      <w:r>
        <w:rPr>
          <w:b/>
        </w:rPr>
        <w:t>Microsoft, NVIDIA, Google/Alphabet, Meta Platforms, Amazon, Adobe, MercadoLibre, Veeva Systems, Salesforce, ServiceNow</w:t>
      </w:r>
      <w:r>
        <w:rPr/>
        <w:t xml:space="preserve"> | | </w:t>
      </w:r>
      <w:r>
        <w:rPr>
          <w:b/>
        </w:rPr>
        <w:t>Narrow moat</w:t>
      </w:r>
      <w:r>
        <w:rPr/>
        <w:t xml:space="preserve"> | Competitive advantage lasting </w:t>
      </w:r>
      <w:r>
        <w:rPr>
          <w:b/>
        </w:rPr>
        <w:t>at least 10 years</w:t>
      </w:r>
      <w:r>
        <w:rPr/>
        <w:t xml:space="preserve"> | </w:t>
      </w:r>
      <w:r>
        <w:rPr>
          <w:b/>
        </w:rPr>
        <w:t>Smaller positions, especially initially</w:t>
      </w:r>
      <w:r>
        <w:rPr/>
        <w:t xml:space="preserve"> — a bit more risky | </w:t>
      </w:r>
      <w:r>
        <w:rPr>
          <w:b/>
        </w:rPr>
        <w:t>Booking.com, IDEXX, Tesla</w:t>
      </w:r>
      <w:r>
        <w:rPr/>
        <w:t xml:space="preserve"> |</w:t>
      </w:r>
    </w:p>
    <w:p>
      <w:pPr>
        <w:pStyle w:val="BodyText"/>
        <w:numPr>
          <w:ilvl w:val="0"/>
          <w:numId w:val="493"/>
        </w:numPr>
        <w:tabs>
          <w:tab w:val="clear" w:pos="709"/>
          <w:tab w:val="left" w:pos="709" w:leader="none"/>
        </w:tabs>
        <w:bidi w:val="0"/>
        <w:ind w:hanging="283" w:start="709"/>
        <w:jc w:val="start"/>
        <w:rPr/>
      </w:pPr>
      <w:r>
        <w:rPr>
          <w:b/>
        </w:rPr>
        <w:t>Tesla is explicitly NOT owned</w:t>
      </w:r>
      <w:r>
        <w:rPr/>
        <w:t xml:space="preserve"> despite being a high-quality narrow-moat growth company: they had to </w:t>
      </w:r>
      <w:r>
        <w:rPr>
          <w:b/>
        </w:rPr>
        <w:t>cut prices to fend off competition</w:t>
      </w:r>
      <w:r>
        <w:rPr/>
        <w:t xml:space="preserve">, which signals </w:t>
      </w:r>
      <w:r>
        <w:rPr>
          <w:b/>
        </w:rPr>
        <w:t>damaged pricing power — a red flag</w:t>
      </w:r>
      <w:r>
        <w:rPr/>
        <w:t>.</w:t>
      </w:r>
    </w:p>
    <w:p>
      <w:pPr>
        <w:pStyle w:val="BodyText"/>
        <w:bidi w:val="0"/>
        <w:jc w:val="start"/>
        <w:rPr/>
      </w:pPr>
      <w:r>
        <w:rPr>
          <w:b/>
        </w:rPr>
        <w:t>Capital-return behaviour:</w:t>
      </w:r>
      <w:r>
        <w:rPr/>
        <w:t xml:space="preserve"> in early growth stages they usually </w:t>
      </w:r>
      <w:r>
        <w:rPr>
          <w:b/>
        </w:rPr>
        <w:t>don't pay dividends</w:t>
      </w:r>
      <w:r>
        <w:rPr/>
        <w:t xml:space="preserve"> and may </w:t>
      </w:r>
      <w:r>
        <w:rPr>
          <w:b/>
        </w:rPr>
        <w:t>not do buybacks</w:t>
      </w:r>
      <w:r>
        <w:rPr/>
        <w:t xml:space="preserve"> — in fact they may </w:t>
      </w:r>
      <w:r>
        <w:rPr>
          <w:b/>
        </w:rPr>
        <w:t>issue more shares</w:t>
      </w:r>
      <w:r>
        <w:rPr/>
        <w:t xml:space="preserve"> and hand out heavy </w:t>
      </w:r>
      <w:r>
        <w:rPr>
          <w:b/>
        </w:rPr>
        <w:t>stock-based compensation</w:t>
      </w:r>
      <w:r>
        <w:rPr/>
        <w:t xml:space="preserve">. That's acceptable because high growth in revenue, profit and free cash flow outruns the share-count dilution, so </w:t>
      </w:r>
      <w:r>
        <w:rPr>
          <w:b/>
        </w:rPr>
        <w:t>FCF per share and EPS still grow double digits</w:t>
      </w:r>
      <w:r>
        <w:rPr/>
        <w:t>. At maturity (e.g. Microsoft) they start buybacks and dividends.</w:t>
      </w:r>
    </w:p>
    <w:p>
      <w:pPr>
        <w:pStyle w:val="HorizontalLine"/>
        <w:bidi w:val="0"/>
        <w:jc w:val="start"/>
        <w:rPr/>
      </w:pPr>
      <w:r>
        <w:rPr/>
      </w:r>
    </w:p>
    <w:p>
      <w:pPr>
        <w:pStyle w:val="Heading4"/>
        <w:bidi w:val="0"/>
        <w:ind w:hanging="0" w:start="0"/>
        <w:jc w:val="start"/>
        <w:rPr/>
      </w:pPr>
      <w:r>
        <w:rPr/>
        <w:t>8.4 Category 4 — Speculative Growth Stocks</w:t>
      </w:r>
    </w:p>
    <w:p>
      <w:pPr>
        <w:pStyle w:val="BodyText"/>
        <w:bidi w:val="0"/>
        <w:jc w:val="start"/>
        <w:rPr/>
      </w:pPr>
      <w:r>
        <w:rPr>
          <w:b/>
        </w:rPr>
        <w:t>Criteria:</w:t>
      </w:r>
    </w:p>
    <w:p>
      <w:pPr>
        <w:pStyle w:val="BodyText"/>
        <w:numPr>
          <w:ilvl w:val="0"/>
          <w:numId w:val="494"/>
        </w:numPr>
        <w:tabs>
          <w:tab w:val="clear" w:pos="709"/>
          <w:tab w:val="left" w:pos="709" w:leader="none"/>
        </w:tabs>
        <w:bidi w:val="0"/>
        <w:ind w:hanging="283" w:start="709"/>
        <w:jc w:val="start"/>
        <w:rPr/>
      </w:pPr>
      <w:r>
        <w:rPr/>
        <w:t xml:space="preserve">Relatively </w:t>
      </w:r>
      <w:r>
        <w:rPr>
          <w:b/>
        </w:rPr>
        <w:t>new</w:t>
      </w:r>
      <w:r>
        <w:rPr/>
        <w:t xml:space="preserve"> growth companies with the potential to become </w:t>
      </w:r>
      <w:r>
        <w:rPr>
          <w:b/>
        </w:rPr>
        <w:t>wide-moat industry dominators</w:t>
      </w:r>
      <w:r>
        <w:rPr/>
        <w:t xml:space="preserve">, but </w:t>
      </w:r>
      <w:r>
        <w:rPr>
          <w:b/>
        </w:rPr>
        <w:t>currently only a narrow moat — or no moat yet</w:t>
      </w:r>
      <w:r>
        <w:rPr/>
        <w:t xml:space="preserve"> (still building it).</w:t>
      </w:r>
    </w:p>
    <w:p>
      <w:pPr>
        <w:pStyle w:val="BodyText"/>
        <w:numPr>
          <w:ilvl w:val="0"/>
          <w:numId w:val="494"/>
        </w:numPr>
        <w:tabs>
          <w:tab w:val="clear" w:pos="709"/>
          <w:tab w:val="left" w:pos="709" w:leader="none"/>
        </w:tabs>
        <w:bidi w:val="0"/>
        <w:ind w:hanging="283" w:start="709"/>
        <w:jc w:val="start"/>
        <w:rPr/>
      </w:pPr>
      <w:r>
        <w:rPr>
          <w:b/>
        </w:rPr>
        <w:t>Revenue growing at very high rates, usually over 100%.</w:t>
      </w:r>
    </w:p>
    <w:p>
      <w:pPr>
        <w:pStyle w:val="BodyText"/>
        <w:numPr>
          <w:ilvl w:val="0"/>
          <w:numId w:val="494"/>
        </w:numPr>
        <w:tabs>
          <w:tab w:val="clear" w:pos="709"/>
          <w:tab w:val="left" w:pos="709" w:leader="none"/>
        </w:tabs>
        <w:bidi w:val="0"/>
        <w:ind w:hanging="283" w:start="709"/>
        <w:jc w:val="start"/>
        <w:rPr/>
      </w:pPr>
      <w:r>
        <w:rPr>
          <w:b/>
        </w:rPr>
        <w:t>Not yet generating consistent net profit and cash flow from operations</w:t>
      </w:r>
      <w:r>
        <w:rPr/>
        <w:t xml:space="preserve"> — often still loss-making due to high investment costs and lack of economies of scale.</w:t>
      </w:r>
    </w:p>
    <w:p>
      <w:pPr>
        <w:pStyle w:val="BodyText"/>
        <w:numPr>
          <w:ilvl w:val="0"/>
          <w:numId w:val="494"/>
        </w:numPr>
        <w:tabs>
          <w:tab w:val="clear" w:pos="709"/>
          <w:tab w:val="left" w:pos="709" w:leader="none"/>
        </w:tabs>
        <w:bidi w:val="0"/>
        <w:ind w:hanging="283" w:start="709"/>
        <w:jc w:val="start"/>
        <w:rPr/>
      </w:pPr>
      <w:r>
        <w:rPr>
          <w:b/>
        </w:rPr>
        <w:t>Difference vs. large growth stocks:</w:t>
      </w:r>
      <w:r>
        <w:rPr/>
        <w:t xml:space="preserve"> large growth stocks are </w:t>
      </w:r>
      <w:r>
        <w:rPr>
          <w:b/>
        </w:rPr>
        <w:t>already profitable for at least 5 years</w:t>
      </w:r>
      <w:r>
        <w:rPr/>
        <w:t xml:space="preserve">; these are not. Adam's own entry rule: </w:t>
      </w:r>
      <w:r>
        <w:rPr>
          <w:b/>
        </w:rPr>
        <w:t>buy them once they can turn a profit for at least the first year</w:t>
      </w:r>
      <w:r>
        <w:rPr/>
        <w:t xml:space="preserve"> (he does not require the 5-year track record) — but acknowledges they are </w:t>
      </w:r>
      <w:r>
        <w:rPr>
          <w:b/>
        </w:rPr>
        <w:t>a lot more risky</w:t>
      </w:r>
      <w:r>
        <w:rPr/>
        <w:t>.</w:t>
      </w:r>
    </w:p>
    <w:p>
      <w:pPr>
        <w:pStyle w:val="BodyText"/>
        <w:numPr>
          <w:ilvl w:val="0"/>
          <w:numId w:val="494"/>
        </w:numPr>
        <w:tabs>
          <w:tab w:val="clear" w:pos="709"/>
          <w:tab w:val="left" w:pos="709" w:leader="none"/>
        </w:tabs>
        <w:bidi w:val="0"/>
        <w:ind w:hanging="283" w:start="709"/>
        <w:jc w:val="start"/>
        <w:rPr/>
      </w:pPr>
      <w:r>
        <w:rPr>
          <w:b/>
        </w:rPr>
        <w:t>They do not yet pass all the steps of a great business.</w:t>
      </w:r>
    </w:p>
    <w:p>
      <w:pPr>
        <w:pStyle w:val="BodyText"/>
        <w:bidi w:val="0"/>
        <w:jc w:val="start"/>
        <w:rPr/>
      </w:pPr>
      <w:r>
        <w:rPr>
          <w:b/>
        </w:rPr>
        <w:t>Valuation method:</w:t>
      </w:r>
      <w:r>
        <w:rPr/>
        <w:t xml:space="preserve"> since there's no consistent profit/cash flow, use the </w:t>
      </w:r>
      <w:r>
        <w:rPr>
          <w:b/>
        </w:rPr>
        <w:t>Price-to-Sales-Growth (PSG) ratio</w:t>
      </w:r>
      <w:r>
        <w:rPr/>
        <w:t>:</w:t>
      </w:r>
    </w:p>
    <w:p>
      <w:pPr>
        <w:pStyle w:val="BlockQuotation"/>
        <w:bidi w:val="0"/>
        <w:jc w:val="start"/>
        <w:rPr/>
      </w:pPr>
      <w:r>
        <w:rPr>
          <w:b/>
        </w:rPr>
        <w:t>PSG = Price-to-Sales ratio ÷ projected revenue growth rate</w:t>
      </w:r>
    </w:p>
    <w:p>
      <w:pPr>
        <w:pStyle w:val="BodyText"/>
        <w:numPr>
          <w:ilvl w:val="0"/>
          <w:numId w:val="495"/>
        </w:numPr>
        <w:tabs>
          <w:tab w:val="clear" w:pos="709"/>
          <w:tab w:val="left" w:pos="709" w:leader="none"/>
        </w:tabs>
        <w:bidi w:val="0"/>
        <w:ind w:hanging="283" w:start="709"/>
        <w:jc w:val="start"/>
        <w:rPr/>
      </w:pPr>
      <w:r>
        <w:rPr>
          <w:b/>
        </w:rPr>
        <w:t>0.2 to 0.3 = fair value.</w:t>
      </w:r>
    </w:p>
    <w:p>
      <w:pPr>
        <w:pStyle w:val="BodyText"/>
        <w:numPr>
          <w:ilvl w:val="0"/>
          <w:numId w:val="495"/>
        </w:numPr>
        <w:tabs>
          <w:tab w:val="clear" w:pos="709"/>
          <w:tab w:val="left" w:pos="709" w:leader="none"/>
        </w:tabs>
        <w:bidi w:val="0"/>
        <w:ind w:hanging="283" w:start="709"/>
        <w:jc w:val="start"/>
        <w:rPr/>
      </w:pPr>
      <w:r>
        <w:rPr>
          <w:b/>
        </w:rPr>
        <w:t>Above 0.3 = overvalued.</w:t>
      </w:r>
    </w:p>
    <w:p>
      <w:pPr>
        <w:pStyle w:val="BodyText"/>
        <w:numPr>
          <w:ilvl w:val="0"/>
          <w:numId w:val="495"/>
        </w:numPr>
        <w:tabs>
          <w:tab w:val="clear" w:pos="709"/>
          <w:tab w:val="left" w:pos="709" w:leader="none"/>
        </w:tabs>
        <w:bidi w:val="0"/>
        <w:ind w:hanging="283" w:start="709"/>
        <w:jc w:val="start"/>
        <w:rPr/>
      </w:pPr>
      <w:r>
        <w:rPr>
          <w:b/>
        </w:rPr>
        <w:t>Below 0.3, and especially below 0.2 = really undervalued.</w:t>
      </w:r>
    </w:p>
    <w:p>
      <w:pPr>
        <w:pStyle w:val="BodyText"/>
        <w:numPr>
          <w:ilvl w:val="0"/>
          <w:numId w:val="495"/>
        </w:numPr>
        <w:tabs>
          <w:tab w:val="clear" w:pos="709"/>
          <w:tab w:val="left" w:pos="709" w:leader="none"/>
        </w:tabs>
        <w:bidi w:val="0"/>
        <w:ind w:hanging="283" w:start="709"/>
        <w:jc w:val="start"/>
        <w:rPr/>
      </w:pPr>
      <w:r>
        <w:rPr/>
        <w:t>Pre-calculated on Stock Oracle, or compute manually.</w:t>
      </w:r>
    </w:p>
    <w:p>
      <w:pPr>
        <w:pStyle w:val="BodyText"/>
        <w:numPr>
          <w:ilvl w:val="0"/>
          <w:numId w:val="495"/>
        </w:numPr>
        <w:tabs>
          <w:tab w:val="clear" w:pos="709"/>
          <w:tab w:val="left" w:pos="709" w:leader="none"/>
        </w:tabs>
        <w:bidi w:val="0"/>
        <w:ind w:hanging="283" w:start="709"/>
        <w:jc w:val="start"/>
        <w:rPr/>
      </w:pPr>
      <w:r>
        <w:rPr>
          <w:b/>
        </w:rPr>
        <w:t>Worked example — AST SpaceMobile:</w:t>
      </w:r>
      <w:r>
        <w:rPr/>
        <w:t xml:space="preserve"> projected revenue growth </w:t>
      </w:r>
      <w:r>
        <w:rPr>
          <w:b/>
        </w:rPr>
        <w:t>127.66%</w:t>
      </w:r>
      <w:r>
        <w:rPr/>
        <w:t xml:space="preserve">; price-to-sales ratio </w:t>
      </w:r>
      <w:r>
        <w:rPr>
          <w:b/>
        </w:rPr>
        <w:t>324</w:t>
      </w:r>
      <w:r>
        <w:rPr/>
        <w:t xml:space="preserve">; 324 ÷ 127.66 ≈ </w:t>
      </w:r>
      <w:r>
        <w:rPr>
          <w:b/>
        </w:rPr>
        <w:t>PSG 2.54 → way overvalued</w:t>
      </w:r>
      <w:r>
        <w:rPr/>
        <w:t xml:space="preserve"> → he has </w:t>
      </w:r>
      <w:r>
        <w:rPr>
          <w:b/>
        </w:rPr>
        <w:t>not entered a position</w:t>
      </w:r>
      <w:r>
        <w:rPr/>
        <w:t>.</w:t>
      </w:r>
    </w:p>
    <w:p>
      <w:pPr>
        <w:pStyle w:val="BodyText"/>
        <w:bidi w:val="0"/>
        <w:jc w:val="start"/>
        <w:rPr/>
      </w:pPr>
      <w:r>
        <w:rPr>
          <w:b/>
        </w:rPr>
        <w:t>Position sizing (critical):</w:t>
      </w:r>
      <w:r>
        <w:rPr/>
        <w:t xml:space="preserve"> </w:t>
      </w:r>
      <w:r>
        <w:rPr>
          <w:b/>
        </w:rPr>
        <w:t>half or one third of the usual position.</w:t>
      </w:r>
      <w:r>
        <w:rPr/>
        <w:t xml:space="preserve"> 5% normal → </w:t>
      </w:r>
      <w:r>
        <w:rPr>
          <w:b/>
        </w:rPr>
        <w:t>2.5%</w:t>
      </w:r>
      <w:r>
        <w:rPr/>
        <w:t xml:space="preserve">; 2% normal → </w:t>
      </w:r>
      <w:r>
        <w:rPr>
          <w:b/>
        </w:rPr>
        <w:t>1%</w:t>
      </w:r>
      <w:r>
        <w:rPr/>
        <w:t>.</w:t>
      </w:r>
    </w:p>
    <w:p>
      <w:pPr>
        <w:pStyle w:val="BodyText"/>
        <w:numPr>
          <w:ilvl w:val="0"/>
          <w:numId w:val="496"/>
        </w:numPr>
        <w:tabs>
          <w:tab w:val="clear" w:pos="709"/>
          <w:tab w:val="left" w:pos="709" w:leader="none"/>
        </w:tabs>
        <w:bidi w:val="0"/>
        <w:ind w:hanging="283" w:start="709"/>
        <w:jc w:val="start"/>
        <w:rPr/>
      </w:pPr>
      <w:r>
        <w:rPr>
          <w:b/>
        </w:rPr>
        <w:t>Downside math:</w:t>
      </w:r>
      <w:r>
        <w:rPr/>
        <w:t xml:space="preserve"> worst case (goes to zero) on a 1% position = </w:t>
      </w:r>
      <w:r>
        <w:rPr>
          <w:b/>
        </w:rPr>
        <w:t>−1% of portfolio</w:t>
      </w:r>
      <w:r>
        <w:rPr/>
        <w:t xml:space="preserve">. Realistically, failures lose about </w:t>
      </w:r>
      <w:r>
        <w:rPr>
          <w:b/>
        </w:rPr>
        <w:t>half</w:t>
      </w:r>
      <w:r>
        <w:rPr/>
        <w:t xml:space="preserve"> and never come back → </w:t>
      </w:r>
      <w:r>
        <w:rPr>
          <w:b/>
        </w:rPr>
        <w:t>−0.5% of portfolio</w:t>
      </w:r>
      <w:r>
        <w:rPr/>
        <w:t>, which is acceptable.</w:t>
      </w:r>
    </w:p>
    <w:p>
      <w:pPr>
        <w:pStyle w:val="BodyText"/>
        <w:numPr>
          <w:ilvl w:val="0"/>
          <w:numId w:val="496"/>
        </w:numPr>
        <w:tabs>
          <w:tab w:val="clear" w:pos="709"/>
          <w:tab w:val="left" w:pos="709" w:leader="none"/>
        </w:tabs>
        <w:bidi w:val="0"/>
        <w:ind w:hanging="283" w:start="709"/>
        <w:jc w:val="start"/>
        <w:rPr/>
      </w:pPr>
      <w:r>
        <w:rPr>
          <w:b/>
        </w:rPr>
        <w:t>Upside math:</w:t>
      </w:r>
      <w:r>
        <w:rPr/>
        <w:t xml:space="preserve"> winners can go up </w:t>
      </w:r>
      <w:r>
        <w:rPr>
          <w:b/>
        </w:rPr>
        <w:t>5× to 10×</w:t>
      </w:r>
      <w:r>
        <w:rPr/>
        <w:t xml:space="preserve"> the money invested.</w:t>
      </w:r>
    </w:p>
    <w:p>
      <w:pPr>
        <w:pStyle w:val="BodyText"/>
        <w:numPr>
          <w:ilvl w:val="0"/>
          <w:numId w:val="496"/>
        </w:numPr>
        <w:tabs>
          <w:tab w:val="clear" w:pos="709"/>
          <w:tab w:val="left" w:pos="709" w:leader="none"/>
        </w:tabs>
        <w:bidi w:val="0"/>
        <w:ind w:hanging="283" w:start="709"/>
        <w:jc w:val="start"/>
        <w:rPr/>
      </w:pPr>
      <w:r>
        <w:rPr/>
        <w:t xml:space="preserve">Verdict: </w:t>
      </w:r>
      <w:r>
        <w:rPr>
          <w:b/>
        </w:rPr>
        <w:t>super high risk, very high return → keep a small allocation.</w:t>
      </w:r>
    </w:p>
    <w:p>
      <w:pPr>
        <w:pStyle w:val="BodyText"/>
        <w:bidi w:val="0"/>
        <w:jc w:val="start"/>
        <w:rPr/>
      </w:pPr>
      <w:r>
        <w:rPr>
          <w:b/>
        </w:rPr>
        <w:t>Cautionary base rate:</w:t>
      </w:r>
      <w:r>
        <w:rPr/>
        <w:t xml:space="preserve"> </w:t>
      </w:r>
      <w:r>
        <w:rPr>
          <w:i/>
        </w:rPr>
        <w:t>"For every one Amazon that made it, 99 others didn't make it."</w:t>
      </w:r>
    </w:p>
    <w:p>
      <w:pPr>
        <w:pStyle w:val="BodyText"/>
        <w:numPr>
          <w:ilvl w:val="0"/>
          <w:numId w:val="497"/>
        </w:numPr>
        <w:tabs>
          <w:tab w:val="clear" w:pos="709"/>
          <w:tab w:val="left" w:pos="709" w:leader="none"/>
        </w:tabs>
        <w:bidi w:val="0"/>
        <w:ind w:hanging="283" w:start="709"/>
        <w:jc w:val="start"/>
        <w:rPr/>
      </w:pPr>
      <w:r>
        <w:rPr/>
        <w:t xml:space="preserve">Amazon itself was speculative: it </w:t>
      </w:r>
      <w:r>
        <w:rPr>
          <w:b/>
        </w:rPr>
        <w:t>did not make any money for its first 7 years</w:t>
      </w:r>
      <w:r>
        <w:rPr/>
        <w:t xml:space="preserve"> after listing, but revenue grew like crazy and the </w:t>
      </w:r>
      <w:r>
        <w:rPr>
          <w:b/>
        </w:rPr>
        <w:t>share price rose 15-fold</w:t>
      </w:r>
      <w:r>
        <w:rPr/>
        <w:t xml:space="preserve"> during that period.</w:t>
      </w:r>
    </w:p>
    <w:p>
      <w:pPr>
        <w:pStyle w:val="BodyText"/>
        <w:bidi w:val="0"/>
        <w:jc w:val="start"/>
        <w:rPr/>
      </w:pPr>
      <w:r>
        <w:rPr>
          <w:b/>
        </w:rPr>
        <w:t>His actual speculative positions:</w:t>
      </w:r>
      <w:r>
        <w:rPr/>
        <w:t xml:space="preserve"> | Stock | Story | |---|---| | </w:t>
      </w:r>
      <w:r>
        <w:rPr>
          <w:b/>
        </w:rPr>
        <w:t>Palantir</w:t>
      </w:r>
      <w:r>
        <w:rPr/>
        <w:t xml:space="preserve"> | Bought </w:t>
      </w:r>
      <w:r>
        <w:rPr>
          <w:b/>
        </w:rPr>
        <w:t>2022</w:t>
      </w:r>
      <w:r>
        <w:rPr/>
        <w:t xml:space="preserve">, before it had one year of net profits or free cash flow — entered </w:t>
      </w:r>
      <w:r>
        <w:rPr>
          <w:b/>
        </w:rPr>
        <w:t>the moment it had one quarter of profits</w:t>
      </w:r>
      <w:r>
        <w:rPr/>
        <w:t xml:space="preserve">. Bought before ChatGPT/AI hype; one of the first </w:t>
      </w:r>
      <w:r>
        <w:rPr>
          <w:b/>
        </w:rPr>
        <w:t>AI enterprise</w:t>
      </w:r>
      <w:r>
        <w:rPr/>
        <w:t xml:space="preserve"> companies transforming other businesses (e.g. Airbus). Invested </w:t>
      </w:r>
      <w:r>
        <w:rPr>
          <w:b/>
        </w:rPr>
        <w:t>just 1% of portfolio</w:t>
      </w:r>
      <w:r>
        <w:rPr/>
        <w:t xml:space="preserve">. After ~4 years it went up </w:t>
      </w:r>
      <w:r>
        <w:rPr>
          <w:b/>
        </w:rPr>
        <w:t>~20×</w:t>
      </w:r>
      <w:r>
        <w:rPr/>
        <w:t xml:space="preserve"> (also stated as "24"). He </w:t>
      </w:r>
      <w:r>
        <w:rPr>
          <w:b/>
        </w:rPr>
        <w:t>sold some</w:t>
      </w:r>
      <w:r>
        <w:rPr/>
        <w:t xml:space="preserve"> when it got really overvalued but still holds a sizable position. | | </w:t>
      </w:r>
      <w:r>
        <w:rPr>
          <w:b/>
        </w:rPr>
        <w:t>Celsius</w:t>
      </w:r>
      <w:r>
        <w:rPr/>
        <w:t xml:space="preserve"> | Bought about a year ago, before the 5-year consistent profit/cash-flow track record. Up "quite a bit" but not yet double/triple; he expects it will be. | | </w:t>
      </w:r>
      <w:r>
        <w:rPr>
          <w:b/>
        </w:rPr>
        <w:t>Uber</w:t>
      </w:r>
      <w:r>
        <w:rPr/>
        <w:t xml:space="preserve"> | Speculative growth stock he </w:t>
      </w:r>
      <w:r>
        <w:rPr>
          <w:b/>
        </w:rPr>
        <w:t>did NOT buy</w:t>
      </w:r>
      <w:r>
        <w:rPr/>
        <w:t xml:space="preserve"> — lacked the same conviction, though he thinks it's not a bad company. | | </w:t>
      </w:r>
      <w:r>
        <w:rPr>
          <w:b/>
        </w:rPr>
        <w:t>AST SpaceMobile</w:t>
      </w:r>
      <w:r>
        <w:rPr/>
        <w:t xml:space="preserve"> | Interesting; potential huge winner in the </w:t>
      </w:r>
      <w:r>
        <w:rPr>
          <w:b/>
        </w:rPr>
        <w:t>new space economy</w:t>
      </w:r>
      <w:r>
        <w:rPr/>
        <w:t xml:space="preserve"> — </w:t>
      </w:r>
      <w:r>
        <w:rPr>
          <w:b/>
        </w:rPr>
        <w:t>not bought: way overvalued</w:t>
      </w:r>
      <w:r>
        <w:rPr/>
        <w:t xml:space="preserve"> on PSG (2.54). Will consider if fairly priced or undervalued. | | </w:t>
      </w:r>
      <w:r>
        <w:rPr>
          <w:b/>
        </w:rPr>
        <w:t>Rocket Lab</w:t>
      </w:r>
      <w:r>
        <w:rPr/>
        <w:t xml:space="preserve"> | Same as above — new space economy, </w:t>
      </w:r>
      <w:r>
        <w:rPr>
          <w:b/>
        </w:rPr>
        <w:t>not bought yet, overvalued</w:t>
      </w:r>
      <w:r>
        <w:rPr/>
        <w:t>. |</w:t>
      </w:r>
    </w:p>
    <w:p>
      <w:pPr>
        <w:pStyle w:val="HorizontalLine"/>
        <w:bidi w:val="0"/>
        <w:jc w:val="start"/>
        <w:rPr/>
      </w:pPr>
      <w:r>
        <w:rPr/>
      </w:r>
    </w:p>
    <w:p>
      <w:pPr>
        <w:pStyle w:val="Heading4"/>
        <w:bidi w:val="0"/>
        <w:ind w:hanging="0" w:start="0"/>
        <w:jc w:val="start"/>
        <w:rPr/>
      </w:pPr>
      <w:r>
        <w:rPr/>
        <w:t>8.5 Category 5 — Deep Cyclical Stocks</w:t>
      </w:r>
    </w:p>
    <w:p>
      <w:pPr>
        <w:pStyle w:val="BodyText"/>
        <w:bidi w:val="0"/>
        <w:jc w:val="start"/>
        <w:rPr/>
      </w:pPr>
      <w:r>
        <w:rPr>
          <w:b/>
        </w:rPr>
        <w:t>Criteria:</w:t>
      </w:r>
      <w:r>
        <w:rPr/>
        <w:t xml:space="preserve"> capital-intensive industries — </w:t>
      </w:r>
      <w:r>
        <w:rPr>
          <w:b/>
        </w:rPr>
        <w:t>shipping, real estate, property development, commodities, oil and gas</w:t>
      </w:r>
      <w:r>
        <w:rPr/>
        <w:t xml:space="preserve"> (also offshore &amp; marine, industrial companies). Highly sensitive to the economic cycle and </w:t>
      </w:r>
      <w:r>
        <w:rPr>
          <w:b/>
        </w:rPr>
        <w:t>unable to respond to demand changes quickly</w:t>
      </w:r>
      <w:r>
        <w:rPr/>
        <w:t>.</w:t>
      </w:r>
    </w:p>
    <w:p>
      <w:pPr>
        <w:pStyle w:val="BodyText"/>
        <w:numPr>
          <w:ilvl w:val="0"/>
          <w:numId w:val="498"/>
        </w:numPr>
        <w:tabs>
          <w:tab w:val="clear" w:pos="709"/>
          <w:tab w:val="left" w:pos="709" w:leader="none"/>
        </w:tabs>
        <w:bidi w:val="0"/>
        <w:ind w:hanging="283" w:start="709"/>
        <w:jc w:val="start"/>
        <w:rPr/>
      </w:pPr>
      <w:r>
        <w:rPr/>
        <w:t xml:space="preserve">Big profits in booms; smaller profits or </w:t>
      </w:r>
      <w:r>
        <w:rPr>
          <w:b/>
        </w:rPr>
        <w:t>losses</w:t>
      </w:r>
      <w:r>
        <w:rPr/>
        <w:t xml:space="preserve"> in recessions. Revenue and profit charts zig-zag; share price is a roller coaster.</w:t>
      </w:r>
    </w:p>
    <w:p>
      <w:pPr>
        <w:pStyle w:val="BodyText"/>
        <w:numPr>
          <w:ilvl w:val="0"/>
          <w:numId w:val="498"/>
        </w:numPr>
        <w:tabs>
          <w:tab w:val="clear" w:pos="709"/>
          <w:tab w:val="left" w:pos="709" w:leader="none"/>
        </w:tabs>
        <w:bidi w:val="0"/>
        <w:ind w:hanging="283" w:start="709"/>
        <w:jc w:val="start"/>
        <w:rPr/>
      </w:pPr>
      <w:r>
        <w:rPr>
          <w:b/>
        </w:rPr>
        <w:t>Every drop can be as much as 50%.</w:t>
      </w:r>
    </w:p>
    <w:p>
      <w:pPr>
        <w:pStyle w:val="BodyText"/>
        <w:numPr>
          <w:ilvl w:val="0"/>
          <w:numId w:val="498"/>
        </w:numPr>
        <w:tabs>
          <w:tab w:val="clear" w:pos="709"/>
          <w:tab w:val="left" w:pos="709" w:leader="none"/>
        </w:tabs>
        <w:bidi w:val="0"/>
        <w:ind w:hanging="283" w:start="709"/>
        <w:jc w:val="start"/>
        <w:rPr/>
      </w:pPr>
      <w:r>
        <w:rPr>
          <w:b/>
        </w:rPr>
        <w:t>He very rarely invests here</w:t>
      </w:r>
      <w:r>
        <w:rPr/>
        <w:t xml:space="preserve"> and avoids them — but covers it because many investors focus on them.</w:t>
      </w:r>
    </w:p>
    <w:p>
      <w:pPr>
        <w:pStyle w:val="BodyText"/>
        <w:numPr>
          <w:ilvl w:val="0"/>
          <w:numId w:val="498"/>
        </w:numPr>
        <w:tabs>
          <w:tab w:val="clear" w:pos="709"/>
          <w:tab w:val="left" w:pos="709" w:leader="none"/>
        </w:tabs>
        <w:bidi w:val="0"/>
        <w:ind w:hanging="283" w:start="709"/>
        <w:jc w:val="start"/>
        <w:rPr/>
      </w:pPr>
      <w:r>
        <w:rPr>
          <w:b/>
        </w:rPr>
        <w:t>You cannot hold these long term.</w:t>
      </w:r>
      <w:r>
        <w:rPr/>
        <w:t xml:space="preserve"> Holding through the ups and downs produces poor returns because of the size of the drawdowns. You must </w:t>
      </w:r>
      <w:r>
        <w:rPr>
          <w:b/>
        </w:rPr>
        <w:t>get in and get out fast</w:t>
      </w:r>
      <w:r>
        <w:rPr/>
        <w:t xml:space="preserve"> — the opposite of predictable/growth companies which he holds for the long run to compound.</w:t>
      </w:r>
    </w:p>
    <w:p>
      <w:pPr>
        <w:pStyle w:val="BodyText"/>
        <w:bidi w:val="0"/>
        <w:jc w:val="start"/>
        <w:rPr/>
      </w:pPr>
      <w:r>
        <w:rPr>
          <w:b/>
        </w:rPr>
        <w:t>How to trade them (the inverted rules):</w:t>
      </w:r>
      <w:r>
        <w:rPr/>
        <w:t xml:space="preserve"> | | Deep cyclicals | Normal VMI stocks | |---|---|---| | </w:t>
      </w:r>
      <w:r>
        <w:rPr>
          <w:b/>
        </w:rPr>
        <w:t>Buy when</w:t>
      </w:r>
      <w:r>
        <w:rPr/>
        <w:t xml:space="preserve"> | Profits are </w:t>
      </w:r>
      <w:r>
        <w:rPr>
          <w:b/>
        </w:rPr>
        <w:t>low or in temporary loss</w:t>
      </w:r>
      <w:r>
        <w:rPr/>
        <w:t xml:space="preserve">, and the stock is </w:t>
      </w:r>
      <w:r>
        <w:rPr>
          <w:b/>
        </w:rPr>
        <w:t>very undervalued</w:t>
      </w:r>
      <w:r>
        <w:rPr/>
        <w:t xml:space="preserve"> | Profits growing, price below intrinsic value | | </w:t>
      </w:r>
      <w:r>
        <w:rPr>
          <w:b/>
        </w:rPr>
        <w:t>Sell when</w:t>
      </w:r>
      <w:r>
        <w:rPr/>
        <w:t xml:space="preserve"> | They are </w:t>
      </w:r>
      <w:r>
        <w:rPr>
          <w:b/>
        </w:rPr>
        <w:t>making a lot of money</w:t>
      </w:r>
      <w:r>
        <w:rPr/>
        <w:t xml:space="preserve"> and are </w:t>
      </w:r>
      <w:r>
        <w:rPr>
          <w:b/>
        </w:rPr>
        <w:t>overvalued</w:t>
      </w:r>
      <w:r>
        <w:rPr/>
        <w:t xml:space="preserve"> | Only on exit rules | | </w:t>
      </w:r>
      <w:r>
        <w:rPr>
          <w:b/>
        </w:rPr>
        <w:t>Chart timing</w:t>
      </w:r>
      <w:r>
        <w:rPr/>
        <w:t xml:space="preserve"> | Use </w:t>
      </w:r>
      <w:r>
        <w:rPr>
          <w:b/>
        </w:rPr>
        <w:t>weekly and monthly</w:t>
      </w:r>
      <w:r>
        <w:rPr/>
        <w:t xml:space="preserve"> charts; draw support and resistance; buy near </w:t>
      </w:r>
      <w:r>
        <w:rPr>
          <w:b/>
        </w:rPr>
        <w:t>support</w:t>
      </w:r>
      <w:r>
        <w:rPr/>
        <w:t xml:space="preserve">, sell near </w:t>
      </w:r>
      <w:r>
        <w:rPr>
          <w:b/>
        </w:rPr>
        <w:t>resistance</w:t>
      </w:r>
      <w:r>
        <w:rPr/>
        <w:t xml:space="preserve">. Buy after a </w:t>
      </w:r>
      <w:r>
        <w:rPr>
          <w:b/>
        </w:rPr>
        <w:t>40–50% drop</w:t>
      </w:r>
      <w:r>
        <w:rPr/>
        <w:t xml:space="preserve"> into a very strong support level — in the Caterpillar example, the </w:t>
      </w:r>
      <w:r>
        <w:rPr>
          <w:b/>
        </w:rPr>
        <w:t>200 moving average on monthly candles</w:t>
      </w:r>
      <w:r>
        <w:rPr/>
        <w:t xml:space="preserve"> | Daily/weekly support levels |</w:t>
      </w:r>
    </w:p>
    <w:p>
      <w:pPr>
        <w:pStyle w:val="BodyText"/>
        <w:numPr>
          <w:ilvl w:val="0"/>
          <w:numId w:val="499"/>
        </w:numPr>
        <w:tabs>
          <w:tab w:val="clear" w:pos="709"/>
          <w:tab w:val="left" w:pos="709" w:leader="none"/>
        </w:tabs>
        <w:bidi w:val="0"/>
        <w:ind w:hanging="283" w:start="709"/>
        <w:jc w:val="start"/>
        <w:rPr/>
      </w:pPr>
      <w:r>
        <w:rPr>
          <w:b/>
        </w:rPr>
        <w:t>Example used: Caterpillar (CAT)</w:t>
      </w:r>
      <w:r>
        <w:rPr/>
        <w:t xml:space="preserve"> — revenue and profit visibly cycle down/up/down/up, share price mirrors it, and every decline can be ~50%.</w:t>
      </w:r>
    </w:p>
    <w:p>
      <w:pPr>
        <w:pStyle w:val="HorizontalLine"/>
        <w:bidi w:val="0"/>
        <w:jc w:val="start"/>
        <w:rPr/>
      </w:pPr>
      <w:r>
        <w:rPr/>
      </w:r>
    </w:p>
    <w:p>
      <w:pPr>
        <w:pStyle w:val="Heading4"/>
        <w:bidi w:val="0"/>
        <w:ind w:hanging="0" w:start="0"/>
        <w:jc w:val="start"/>
        <w:rPr/>
      </w:pPr>
      <w:r>
        <w:rPr/>
        <w:t>8.6 Category 6 — Deep Value Stocks ("cigar butts")</w:t>
      </w:r>
    </w:p>
    <w:p>
      <w:pPr>
        <w:pStyle w:val="BodyText"/>
        <w:bidi w:val="0"/>
        <w:jc w:val="start"/>
        <w:rPr/>
      </w:pPr>
      <w:r>
        <w:rPr>
          <w:b/>
        </w:rPr>
        <w:t>Origin:</w:t>
      </w:r>
      <w:r>
        <w:rPr/>
        <w:t xml:space="preserve"> made popular by </w:t>
      </w:r>
      <w:r>
        <w:rPr>
          <w:b/>
        </w:rPr>
        <w:t>Benjamin Graham</w:t>
      </w:r>
      <w:r>
        <w:rPr/>
        <w:t xml:space="preserve">, the father of value investing, and used by </w:t>
      </w:r>
      <w:r>
        <w:rPr>
          <w:b/>
        </w:rPr>
        <w:t>Warren Buffett when he first started.</w:t>
      </w:r>
      <w:r>
        <w:rPr/>
        <w:t> </w:t>
      </w:r>
      <w:r>
        <w:rPr>
          <w:b/>
        </w:rPr>
        <w:t>Adam does not use this style and owns nothing in this category</w:t>
      </w:r>
      <w:r>
        <w:rPr/>
        <w:t xml:space="preserve"> — included only for completeness.</w:t>
      </w:r>
    </w:p>
    <w:p>
      <w:pPr>
        <w:pStyle w:val="BodyText"/>
        <w:bidi w:val="0"/>
        <w:jc w:val="start"/>
        <w:rPr/>
      </w:pPr>
      <w:r>
        <w:rPr>
          <w:b/>
        </w:rPr>
        <w:t>The concept:</w:t>
      </w:r>
      <w:r>
        <w:rPr/>
        <w:t xml:space="preserve"> deliberately buying </w:t>
      </w:r>
      <w:r>
        <w:rPr>
          <w:b/>
        </w:rPr>
        <w:t>mediocre or lousy companies</w:t>
      </w:r>
      <w:r>
        <w:rPr/>
        <w:t xml:space="preserve"> — but so cheap that the </w:t>
      </w:r>
      <w:r>
        <w:rPr>
          <w:b/>
        </w:rPr>
        <w:t>share price is below the liquidation value of the company</w:t>
      </w:r>
      <w:r>
        <w:rPr/>
        <w:t xml:space="preserve">. You are effectively hoping the company liquidates and what's left over exceeds what you paid. Often </w:t>
      </w:r>
      <w:r>
        <w:rPr>
          <w:b/>
        </w:rPr>
        <w:t>distressed assets</w:t>
      </w:r>
      <w:r>
        <w:rPr/>
        <w:t xml:space="preserve">. Buying below net cash means </w:t>
      </w:r>
      <w:r>
        <w:rPr>
          <w:b/>
        </w:rPr>
        <w:t>you get the business for free</w:t>
      </w:r>
      <w:r>
        <w:rPr/>
        <w:t>.</w:t>
      </w:r>
    </w:p>
    <w:p>
      <w:pPr>
        <w:pStyle w:val="BodyText"/>
        <w:bidi w:val="0"/>
        <w:jc w:val="start"/>
        <w:rPr/>
      </w:pPr>
      <w:r>
        <w:rPr>
          <w:b/>
        </w:rPr>
        <w:t>The core metric:</w:t>
      </w:r>
    </w:p>
    <w:p>
      <w:pPr>
        <w:pStyle w:val="BlockQuotation"/>
        <w:bidi w:val="0"/>
        <w:jc w:val="start"/>
        <w:rPr/>
      </w:pPr>
      <w:r>
        <w:rPr>
          <w:b/>
        </w:rPr>
        <w:t>(Current assets − Current liabilities − Long-term debt) ÷ Shares outstanding</w:t>
      </w:r>
    </w:p>
    <w:p>
      <w:pPr>
        <w:pStyle w:val="BlockQuotation"/>
        <w:bidi w:val="0"/>
        <w:jc w:val="start"/>
        <w:rPr/>
      </w:pPr>
      <w:r>
        <w:rPr/>
        <w:t xml:space="preserve">(Current assets − current liabilities = </w:t>
      </w:r>
      <w:r>
        <w:rPr>
          <w:b/>
        </w:rPr>
        <w:t>net working capital</w:t>
      </w:r>
      <w:r>
        <w:rPr/>
        <w:t>; then subtract long-term debt.)</w:t>
      </w:r>
    </w:p>
    <w:p>
      <w:pPr>
        <w:pStyle w:val="BlockQuotation"/>
        <w:bidi w:val="0"/>
        <w:jc w:val="start"/>
        <w:rPr/>
      </w:pPr>
      <w:r>
        <w:rPr>
          <w:b/>
        </w:rPr>
        <w:t>This figure must be HIGHER than the current share price.</w:t>
      </w:r>
    </w:p>
    <w:p>
      <w:pPr>
        <w:pStyle w:val="BodyText"/>
        <w:bidi w:val="0"/>
        <w:jc w:val="start"/>
        <w:rPr/>
      </w:pPr>
      <w:r>
        <w:rPr>
          <w:b/>
        </w:rPr>
        <w:t>Additional criteria if you do use it:</w:t>
      </w:r>
    </w:p>
    <w:p>
      <w:pPr>
        <w:pStyle w:val="BodyText"/>
        <w:numPr>
          <w:ilvl w:val="0"/>
          <w:numId w:val="500"/>
        </w:numPr>
        <w:tabs>
          <w:tab w:val="clear" w:pos="709"/>
          <w:tab w:val="left" w:pos="709" w:leader="none"/>
        </w:tabs>
        <w:bidi w:val="0"/>
        <w:ind w:hanging="283" w:start="709"/>
        <w:jc w:val="start"/>
        <w:rPr/>
      </w:pPr>
      <w:r>
        <w:rPr>
          <w:b/>
        </w:rPr>
        <w:t>Positive cash flow from operations for the last 12 months</w:t>
      </w:r>
      <w:r>
        <w:rPr/>
        <w:t xml:space="preserve"> — still profitable.</w:t>
      </w:r>
    </w:p>
    <w:p>
      <w:pPr>
        <w:pStyle w:val="BodyText"/>
        <w:numPr>
          <w:ilvl w:val="0"/>
          <w:numId w:val="500"/>
        </w:numPr>
        <w:tabs>
          <w:tab w:val="clear" w:pos="709"/>
          <w:tab w:val="left" w:pos="709" w:leader="none"/>
        </w:tabs>
        <w:bidi w:val="0"/>
        <w:ind w:hanging="283" w:start="709"/>
        <w:jc w:val="start"/>
        <w:rPr/>
      </w:pPr>
      <w:r>
        <w:rPr>
          <w:b/>
        </w:rPr>
        <w:t>Low debt: current ratio &gt; 1</w:t>
      </w:r>
      <w:r>
        <w:rPr/>
        <w:t xml:space="preserve">, </w:t>
      </w:r>
      <w:r>
        <w:rPr>
          <w:b/>
        </w:rPr>
        <w:t>debt-to-equity ratio &lt; 1</w:t>
      </w:r>
      <w:r>
        <w:rPr/>
        <w:t xml:space="preserve">, debt servicing ratio (stated in transcript as "more than 30%" — read alongside the standard VMI rule of </w:t>
      </w:r>
      <w:r>
        <w:rPr>
          <w:b/>
        </w:rPr>
        <w:t>&lt; 30%</w:t>
      </w:r>
      <w:r>
        <w:rPr/>
        <w:t>).</w:t>
      </w:r>
    </w:p>
    <w:p>
      <w:pPr>
        <w:pStyle w:val="BodyText"/>
        <w:numPr>
          <w:ilvl w:val="0"/>
          <w:numId w:val="500"/>
        </w:numPr>
        <w:tabs>
          <w:tab w:val="clear" w:pos="709"/>
          <w:tab w:val="left" w:pos="709" w:leader="none"/>
        </w:tabs>
        <w:bidi w:val="0"/>
        <w:ind w:hanging="283" w:start="709"/>
        <w:jc w:val="start"/>
        <w:rPr/>
      </w:pPr>
      <w:r>
        <w:rPr/>
        <w:t xml:space="preserve">Balance sheet </w:t>
      </w:r>
      <w:r>
        <w:rPr>
          <w:b/>
        </w:rPr>
        <w:t>not deteriorating</w:t>
      </w:r>
      <w:r>
        <w:rPr/>
        <w:t>.</w:t>
      </w:r>
    </w:p>
    <w:p>
      <w:pPr>
        <w:pStyle w:val="BodyText"/>
        <w:numPr>
          <w:ilvl w:val="0"/>
          <w:numId w:val="500"/>
        </w:numPr>
        <w:tabs>
          <w:tab w:val="clear" w:pos="709"/>
          <w:tab w:val="left" w:pos="709" w:leader="none"/>
        </w:tabs>
        <w:bidi w:val="0"/>
        <w:ind w:hanging="283" w:start="709"/>
        <w:jc w:val="start"/>
        <w:rPr/>
      </w:pPr>
      <w:r>
        <w:rPr>
          <w:b/>
        </w:rPr>
        <w:t>Avoid sunset industries</w:t>
      </w:r>
      <w:r>
        <w:rPr/>
        <w:t xml:space="preserve"> and companies whose products are becoming obsolete, no matter how cheap — the value of the company will keep eroding.</w:t>
      </w:r>
    </w:p>
    <w:p>
      <w:pPr>
        <w:pStyle w:val="BodyText"/>
        <w:numPr>
          <w:ilvl w:val="0"/>
          <w:numId w:val="500"/>
        </w:numPr>
        <w:tabs>
          <w:tab w:val="clear" w:pos="709"/>
          <w:tab w:val="left" w:pos="709" w:leader="none"/>
        </w:tabs>
        <w:bidi w:val="0"/>
        <w:ind w:hanging="283" w:start="709"/>
        <w:jc w:val="start"/>
        <w:rPr/>
      </w:pPr>
      <w:r>
        <w:rPr/>
        <w:t xml:space="preserve">Note that most deep value companies have </w:t>
      </w:r>
      <w:r>
        <w:rPr>
          <w:b/>
        </w:rPr>
        <w:t>no economic moat at all</w:t>
      </w:r>
      <w:r>
        <w:rPr/>
        <w:t>.</w:t>
      </w:r>
    </w:p>
    <w:p>
      <w:pPr>
        <w:pStyle w:val="BodyText"/>
        <w:bidi w:val="0"/>
        <w:jc w:val="start"/>
        <w:rPr/>
      </w:pPr>
      <w:r>
        <w:rPr>
          <w:b/>
        </w:rPr>
        <w:t>Entry / exit timing:</w:t>
      </w:r>
    </w:p>
    <w:p>
      <w:pPr>
        <w:pStyle w:val="BodyText"/>
        <w:numPr>
          <w:ilvl w:val="0"/>
          <w:numId w:val="501"/>
        </w:numPr>
        <w:tabs>
          <w:tab w:val="clear" w:pos="709"/>
          <w:tab w:val="left" w:pos="709" w:leader="none"/>
        </w:tabs>
        <w:bidi w:val="0"/>
        <w:ind w:hanging="283" w:start="709"/>
        <w:jc w:val="start"/>
        <w:rPr/>
      </w:pPr>
      <w:r>
        <w:rPr>
          <w:b/>
        </w:rPr>
        <w:t>Entry:</w:t>
      </w:r>
      <w:r>
        <w:rPr/>
        <w:t xml:space="preserve"> buy at a </w:t>
      </w:r>
      <w:r>
        <w:rPr>
          <w:b/>
        </w:rPr>
        <w:t>support level in a consolidation</w:t>
      </w:r>
      <w:r>
        <w:rPr/>
        <w:t xml:space="preserve">, or when it is </w:t>
      </w:r>
      <w:r>
        <w:rPr>
          <w:b/>
        </w:rPr>
        <w:t>reversing into a new uptrend</w:t>
      </w:r>
      <w:r>
        <w:rPr/>
        <w:t xml:space="preserve"> — defined as the </w:t>
      </w:r>
      <w:r>
        <w:rPr>
          <w:b/>
        </w:rPr>
        <w:t>50 MA above the 150 MA</w:t>
      </w:r>
      <w:r>
        <w:rPr/>
        <w:t>. Never buy in a downtrend.</w:t>
      </w:r>
    </w:p>
    <w:p>
      <w:pPr>
        <w:pStyle w:val="BodyText"/>
        <w:numPr>
          <w:ilvl w:val="0"/>
          <w:numId w:val="501"/>
        </w:numPr>
        <w:tabs>
          <w:tab w:val="clear" w:pos="709"/>
          <w:tab w:val="left" w:pos="709" w:leader="none"/>
        </w:tabs>
        <w:bidi w:val="0"/>
        <w:ind w:hanging="283" w:start="709"/>
        <w:jc w:val="start"/>
        <w:rPr/>
      </w:pPr>
      <w:r>
        <w:rPr>
          <w:b/>
        </w:rPr>
        <w:t>Exit:</w:t>
      </w:r>
      <w:r>
        <w:rPr/>
        <w:t xml:space="preserve"> when the </w:t>
      </w:r>
      <w:r>
        <w:rPr>
          <w:b/>
        </w:rPr>
        <w:t>50 MA crosses back below the 150 MA</w:t>
      </w:r>
      <w:r>
        <w:rPr/>
        <w:t xml:space="preserve">, or when the company </w:t>
      </w:r>
      <w:r>
        <w:rPr>
          <w:b/>
        </w:rPr>
        <w:t>starts to report a loss</w:t>
      </w:r>
      <w:r>
        <w:rPr/>
        <w:t>.</w:t>
      </w:r>
    </w:p>
    <w:p>
      <w:pPr>
        <w:pStyle w:val="BodyText"/>
        <w:bidi w:val="0"/>
        <w:jc w:val="start"/>
        <w:rPr/>
      </w:pPr>
      <w:r>
        <w:rPr>
          <w:b/>
        </w:rPr>
        <w:t>Why he dislikes it:</w:t>
      </w:r>
      <w:r>
        <w:rPr/>
        <w:t xml:space="preserve"> recovery is not immediate; it requires </w:t>
      </w:r>
      <w:r>
        <w:rPr>
          <w:b/>
        </w:rPr>
        <w:t>long-term patience</w:t>
      </w:r>
      <w:r>
        <w:rPr/>
        <w:t xml:space="preserve"> and may take </w:t>
      </w:r>
      <w:r>
        <w:rPr>
          <w:b/>
        </w:rPr>
        <w:t>several years</w:t>
      </w:r>
      <w:r>
        <w:rPr/>
        <w:t xml:space="preserve"> for the company and the share price to recover — money is tied up too long.</w:t>
      </w:r>
    </w:p>
    <w:p>
      <w:pPr>
        <w:pStyle w:val="HorizontalLine"/>
        <w:bidi w:val="0"/>
        <w:jc w:val="start"/>
        <w:rPr/>
      </w:pPr>
      <w:r>
        <w:rPr/>
      </w:r>
    </w:p>
    <w:p>
      <w:pPr>
        <w:pStyle w:val="Heading4"/>
        <w:bidi w:val="0"/>
        <w:ind w:hanging="0" w:start="0"/>
        <w:jc w:val="start"/>
        <w:rPr/>
      </w:pPr>
      <w:r>
        <w:rPr/>
        <w:t>8.7 Category 7 — Turnaround Companies</w:t>
      </w:r>
    </w:p>
    <w:p>
      <w:pPr>
        <w:pStyle w:val="BodyText"/>
        <w:bidi w:val="0"/>
        <w:jc w:val="start"/>
        <w:rPr/>
      </w:pPr>
      <w:r>
        <w:rPr>
          <w:b/>
        </w:rPr>
        <w:t>Definition:</w:t>
      </w:r>
      <w:r>
        <w:rPr/>
        <w:t xml:space="preserve"> </w:t>
      </w:r>
      <w:r>
        <w:rPr>
          <w:b/>
        </w:rPr>
        <w:t>great businesses</w:t>
      </w:r>
      <w:r>
        <w:rPr/>
        <w:t xml:space="preserve"> hit by </w:t>
      </w:r>
      <w:r>
        <w:rPr>
          <w:b/>
        </w:rPr>
        <w:t>temporary bad news</w:t>
      </w:r>
      <w:r>
        <w:rPr/>
        <w:t xml:space="preserve"> — a lawsuit, boycott, scandal, mismanagement, recession — that causes profits to fall temporarily.</w:t>
      </w:r>
    </w:p>
    <w:p>
      <w:pPr>
        <w:pStyle w:val="BodyText"/>
        <w:bidi w:val="0"/>
        <w:jc w:val="start"/>
        <w:rPr/>
      </w:pPr>
      <w:r>
        <w:rPr>
          <w:b/>
        </w:rPr>
        <w:t>The formal trigger (either one qualifies):</w:t>
      </w:r>
    </w:p>
    <w:p>
      <w:pPr>
        <w:pStyle w:val="BodyText"/>
        <w:numPr>
          <w:ilvl w:val="0"/>
          <w:numId w:val="502"/>
        </w:numPr>
        <w:tabs>
          <w:tab w:val="clear" w:pos="709"/>
          <w:tab w:val="left" w:pos="709" w:leader="none"/>
        </w:tabs>
        <w:bidi w:val="0"/>
        <w:ind w:hanging="283" w:start="709"/>
        <w:jc w:val="start"/>
        <w:rPr/>
      </w:pPr>
      <w:r>
        <w:rPr>
          <w:b/>
        </w:rPr>
        <w:t>Profits drop more than 25% in one year</w:t>
      </w:r>
      <w:r>
        <w:rPr/>
        <w:t xml:space="preserve">, </w:t>
      </w:r>
      <w:r>
        <w:rPr>
          <w:b/>
        </w:rPr>
        <w:t>OR</w:t>
      </w:r>
    </w:p>
    <w:p>
      <w:pPr>
        <w:pStyle w:val="BodyText"/>
        <w:numPr>
          <w:ilvl w:val="0"/>
          <w:numId w:val="502"/>
        </w:numPr>
        <w:tabs>
          <w:tab w:val="clear" w:pos="709"/>
          <w:tab w:val="left" w:pos="709" w:leader="none"/>
        </w:tabs>
        <w:bidi w:val="0"/>
        <w:ind w:hanging="283" w:start="709"/>
        <w:jc w:val="start"/>
        <w:rPr/>
      </w:pPr>
      <w:r>
        <w:rPr>
          <w:b/>
        </w:rPr>
        <w:t>Profits decline for two consecutive years.</w:t>
      </w:r>
    </w:p>
    <w:p>
      <w:pPr>
        <w:pStyle w:val="BodyText"/>
        <w:bidi w:val="0"/>
        <w:jc w:val="start"/>
        <w:rPr/>
      </w:pPr>
      <w:r>
        <w:rPr>
          <w:b/>
        </w:rPr>
        <w:t>Key requirement:</w:t>
      </w:r>
      <w:r>
        <w:rPr/>
        <w:t xml:space="preserve"> the </w:t>
      </w:r>
      <w:r>
        <w:rPr>
          <w:b/>
        </w:rPr>
        <w:t>economic moat / competitive advantage must remain intact.</w:t>
      </w:r>
    </w:p>
    <w:p>
      <w:pPr>
        <w:pStyle w:val="BodyText"/>
        <w:bidi w:val="0"/>
        <w:jc w:val="start"/>
        <w:rPr/>
      </w:pPr>
      <w:r>
        <w:rPr>
          <w:b/>
        </w:rPr>
        <w:t>Opportunity size:</w:t>
      </w:r>
      <w:r>
        <w:rPr/>
        <w:t xml:space="preserve"> in such cases the stock price can fall </w:t>
      </w:r>
      <w:r>
        <w:rPr>
          <w:b/>
        </w:rPr>
        <w:t>40% to 50% below intrinsic value</w:t>
      </w:r>
      <w:r>
        <w:rPr/>
        <w:t xml:space="preserve"> — the time to buy the great company.</w:t>
      </w:r>
    </w:p>
    <w:p>
      <w:pPr>
        <w:pStyle w:val="BodyText"/>
        <w:bidi w:val="0"/>
        <w:jc w:val="start"/>
        <w:rPr/>
      </w:pPr>
      <w:r>
        <w:rPr>
          <w:b/>
        </w:rPr>
        <w:t>Risk warning:</w:t>
      </w:r>
      <w:r>
        <w:rPr/>
        <w:t xml:space="preserve"> turnarounds are </w:t>
      </w:r>
      <w:r>
        <w:rPr>
          <w:b/>
        </w:rPr>
        <w:t>more risky than usual growth or predictable stocks</w:t>
      </w:r>
      <w:r>
        <w:rPr/>
        <w:t xml:space="preserve"> because:</w:t>
      </w:r>
    </w:p>
    <w:p>
      <w:pPr>
        <w:pStyle w:val="BodyText"/>
        <w:numPr>
          <w:ilvl w:val="0"/>
          <w:numId w:val="503"/>
        </w:numPr>
        <w:tabs>
          <w:tab w:val="clear" w:pos="709"/>
          <w:tab w:val="left" w:pos="709" w:leader="none"/>
        </w:tabs>
        <w:bidi w:val="0"/>
        <w:ind w:hanging="283" w:start="709"/>
        <w:jc w:val="start"/>
        <w:rPr/>
      </w:pPr>
      <w:r>
        <w:rPr/>
        <w:t xml:space="preserve">Some take a </w:t>
      </w:r>
      <w:r>
        <w:rPr>
          <w:b/>
        </w:rPr>
        <w:t>long time</w:t>
      </w:r>
      <w:r>
        <w:rPr/>
        <w:t xml:space="preserve"> to turn around.</w:t>
      </w:r>
    </w:p>
    <w:p>
      <w:pPr>
        <w:pStyle w:val="BodyText"/>
        <w:numPr>
          <w:ilvl w:val="0"/>
          <w:numId w:val="503"/>
        </w:numPr>
        <w:tabs>
          <w:tab w:val="clear" w:pos="709"/>
          <w:tab w:val="left" w:pos="709" w:leader="none"/>
        </w:tabs>
        <w:bidi w:val="0"/>
        <w:ind w:hanging="283" w:start="709"/>
        <w:jc w:val="start"/>
        <w:rPr/>
      </w:pPr>
      <w:r>
        <w:rPr/>
        <w:t xml:space="preserve">Some </w:t>
      </w:r>
      <w:r>
        <w:rPr>
          <w:b/>
        </w:rPr>
        <w:t>never</w:t>
      </w:r>
      <w:r>
        <w:rPr/>
        <w:t xml:space="preserve"> turn around — the short-term problem becomes a long-term problem, or the moat deteriorates because of the problem.</w:t>
      </w:r>
    </w:p>
    <w:p>
      <w:pPr>
        <w:pStyle w:val="BodyText"/>
        <w:bidi w:val="0"/>
        <w:jc w:val="start"/>
        <w:rPr/>
      </w:pPr>
      <w:r>
        <w:rPr>
          <w:b/>
        </w:rPr>
        <w:t>Position sizing:</w:t>
      </w:r>
      <w:r>
        <w:rPr/>
        <w:t xml:space="preserve"> </w:t>
      </w:r>
      <w:r>
        <w:rPr>
          <w:b/>
        </w:rPr>
        <w:t>smaller than usual allocation</w:t>
      </w:r>
      <w:r>
        <w:rPr/>
        <w:t xml:space="preserve"> (grouped with speculative growth as ½ or ⅓ of a normal position).</w:t>
      </w:r>
    </w:p>
    <w:p>
      <w:pPr>
        <w:pStyle w:val="BodyText"/>
        <w:bidi w:val="0"/>
        <w:jc w:val="start"/>
        <w:rPr/>
      </w:pPr>
      <w:r>
        <w:rPr>
          <w:b/>
        </w:rPr>
        <w:t>Case studies:</w:t>
      </w:r>
      <w:r>
        <w:rPr/>
        <w:t xml:space="preserve"> | Stock | Problem | Outcome | |---|---|---| | </w:t>
      </w:r>
      <w:r>
        <w:rPr>
          <w:b/>
        </w:rPr>
        <w:t>Meta Platforms</w:t>
      </w:r>
      <w:r>
        <w:rPr/>
        <w:t xml:space="preserve"> | 2021–2022: Apple's </w:t>
      </w:r>
      <w:r>
        <w:rPr>
          <w:b/>
        </w:rPr>
        <w:t>privacy changes</w:t>
      </w:r>
      <w:r>
        <w:rPr/>
        <w:t xml:space="preserve"> broke ad targeting + heavy </w:t>
      </w:r>
      <w:r>
        <w:rPr>
          <w:b/>
        </w:rPr>
        <w:t>metaverse</w:t>
      </w:r>
      <w:r>
        <w:rPr/>
        <w:t xml:space="preserve"> spending → </w:t>
      </w:r>
      <w:r>
        <w:rPr>
          <w:b/>
        </w:rPr>
        <w:t>profits dropped ~40%</w:t>
      </w:r>
      <w:r>
        <w:rPr/>
        <w:t xml:space="preserve">, panic, </w:t>
      </w:r>
      <w:r>
        <w:rPr>
          <w:b/>
        </w:rPr>
        <w:t>share price dropped 70%</w:t>
      </w:r>
      <w:r>
        <w:rPr/>
        <w:t xml:space="preserve"> | Bought more at the discount, roughly </w:t>
      </w:r>
      <w:r>
        <w:rPr>
          <w:b/>
        </w:rPr>
        <w:t>$70–$80 per share</w:t>
      </w:r>
      <w:r>
        <w:rPr/>
        <w:t xml:space="preserve">; now near </w:t>
      </w:r>
      <w:r>
        <w:rPr>
          <w:b/>
        </w:rPr>
        <w:t>$400 per share</w:t>
      </w:r>
      <w:r>
        <w:rPr/>
        <w:t xml:space="preserve">. </w:t>
      </w:r>
      <w:r>
        <w:rPr>
          <w:b/>
        </w:rPr>
        <w:t>Now one of his biggest positions and his most profitable stock.</w:t>
      </w:r>
      <w:r>
        <w:rPr/>
        <w:t xml:space="preserve"> Successful turnaround; reclassified back to a growth stock | | </w:t>
      </w:r>
      <w:r>
        <w:rPr>
          <w:b/>
        </w:rPr>
        <w:t>Boeing</w:t>
      </w:r>
      <w:r>
        <w:rPr/>
        <w:t xml:space="preserve"> | 2020: plane crashes, groundings, pandemic order cancellations, profits went negative; stock </w:t>
      </w:r>
      <w:r>
        <w:rPr>
          <w:b/>
        </w:rPr>
        <w:t>−70/−80%</w:t>
      </w:r>
      <w:r>
        <w:rPr/>
        <w:t xml:space="preserve"> | Already owned it, </w:t>
      </w:r>
      <w:r>
        <w:rPr>
          <w:b/>
        </w:rPr>
        <w:t>added more</w:t>
      </w:r>
      <w:r>
        <w:rPr/>
        <w:t xml:space="preserve">. Sold on the rebound for a </w:t>
      </w:r>
      <w:r>
        <w:rPr>
          <w:b/>
        </w:rPr>
        <w:t>small profit</w:t>
      </w:r>
      <w:r>
        <w:rPr/>
        <w:t xml:space="preserve"> and </w:t>
      </w:r>
      <w:r>
        <w:rPr>
          <w:b/>
        </w:rPr>
        <w:t>will not buy it back</w:t>
      </w:r>
      <w:r>
        <w:rPr/>
        <w:t xml:space="preserve">: since the crashes there have been more problems (doors falling off), the </w:t>
      </w:r>
      <w:r>
        <w:rPr>
          <w:b/>
        </w:rPr>
        <w:t>brand image has been punished by execution problems</w:t>
      </w:r>
      <w:r>
        <w:rPr/>
        <w:t xml:space="preserve"> and </w:t>
      </w:r>
      <w:r>
        <w:rPr>
          <w:b/>
        </w:rPr>
        <w:t>the moat is deteriorating</w:t>
      </w:r>
      <w:r>
        <w:rPr/>
        <w:t xml:space="preserve"> → </w:t>
      </w:r>
      <w:r>
        <w:rPr>
          <w:b/>
        </w:rPr>
        <w:t>no longer a great company</w:t>
      </w:r>
      <w:r>
        <w:rPr/>
        <w:t xml:space="preserve"> | | </w:t>
      </w:r>
      <w:r>
        <w:rPr>
          <w:b/>
        </w:rPr>
        <w:t>Estee Lauder</w:t>
      </w:r>
      <w:r>
        <w:rPr/>
        <w:t xml:space="preserve"> | COVID </w:t>
      </w:r>
      <w:r>
        <w:rPr>
          <w:b/>
        </w:rPr>
        <w:t>supply chain</w:t>
      </w:r>
      <w:r>
        <w:rPr/>
        <w:t xml:space="preserve"> problems + </w:t>
      </w:r>
      <w:r>
        <w:rPr>
          <w:b/>
        </w:rPr>
        <w:t>weak Chinese consumer</w:t>
      </w:r>
      <w:r>
        <w:rPr/>
        <w:t xml:space="preserve">; </w:t>
      </w:r>
      <w:r>
        <w:rPr>
          <w:b/>
        </w:rPr>
        <w:t>profits down two years in a row</w:t>
      </w:r>
      <w:r>
        <w:rPr/>
        <w:t xml:space="preserve"> | </w:t>
      </w:r>
      <w:r>
        <w:rPr>
          <w:b/>
        </w:rPr>
        <w:t>Still holding</w:t>
      </w:r>
      <w:r>
        <w:rPr/>
        <w:t xml:space="preserve">; has </w:t>
      </w:r>
      <w:r>
        <w:rPr>
          <w:b/>
        </w:rPr>
        <w:t>not yet turned around</w:t>
      </w:r>
      <w:r>
        <w:rPr/>
        <w:t xml:space="preserve">; expects a turn in </w:t>
      </w:r>
      <w:r>
        <w:rPr>
          <w:b/>
        </w:rPr>
        <w:t>1–2 years</w:t>
      </w:r>
      <w:r>
        <w:rPr/>
        <w:t xml:space="preserve"> | | </w:t>
      </w:r>
      <w:r>
        <w:rPr>
          <w:b/>
        </w:rPr>
        <w:t>Boston Beer</w:t>
      </w:r>
      <w:r>
        <w:rPr/>
        <w:t xml:space="preserve"> | Over-projected demand for </w:t>
      </w:r>
      <w:r>
        <w:rPr>
          <w:b/>
        </w:rPr>
        <w:t>hard seltzer</w:t>
      </w:r>
      <w:r>
        <w:rPr/>
        <w:t xml:space="preserve">, built too much capacity, demand dropped → short-term profit losses; </w:t>
      </w:r>
      <w:r>
        <w:rPr>
          <w:b/>
        </w:rPr>
        <w:t>share price −60%+</w:t>
      </w:r>
      <w:r>
        <w:rPr/>
        <w:t xml:space="preserve"> | </w:t>
      </w:r>
      <w:r>
        <w:rPr>
          <w:b/>
        </w:rPr>
        <w:t>Still holding</w:t>
      </w:r>
      <w:r>
        <w:rPr/>
        <w:t xml:space="preserve">; believes it is </w:t>
      </w:r>
      <w:r>
        <w:rPr>
          <w:b/>
        </w:rPr>
        <w:t>beginning to turn around now</w:t>
      </w:r>
      <w:r>
        <w:rPr/>
        <w:t xml:space="preserve"> | | </w:t>
      </w:r>
      <w:r>
        <w:rPr>
          <w:b/>
        </w:rPr>
        <w:t>Disney</w:t>
      </w:r>
      <w:r>
        <w:rPr/>
        <w:t xml:space="preserve"> | Struggling transition from </w:t>
      </w:r>
      <w:r>
        <w:rPr>
          <w:b/>
        </w:rPr>
        <w:t>cable TV to streaming TV</w:t>
      </w:r>
      <w:r>
        <w:rPr/>
        <w:t xml:space="preserve"> | Judged a </w:t>
      </w:r>
      <w:r>
        <w:rPr>
          <w:b/>
        </w:rPr>
        <w:t>long-term structural problem, not short-term</w:t>
      </w:r>
      <w:r>
        <w:rPr/>
        <w:t xml:space="preserve"> → </w:t>
      </w:r>
      <w:r>
        <w:rPr>
          <w:b/>
        </w:rPr>
        <w:t>sold at a loss</w:t>
      </w:r>
      <w:r>
        <w:rPr/>
        <w:t>. Down 26% in the 10-stock sample |</w:t>
      </w:r>
    </w:p>
    <w:p>
      <w:pPr>
        <w:pStyle w:val="HorizontalLine"/>
        <w:bidi w:val="0"/>
        <w:jc w:val="start"/>
        <w:rPr/>
      </w:pPr>
      <w:r>
        <w:rPr/>
      </w:r>
    </w:p>
    <w:p>
      <w:pPr>
        <w:pStyle w:val="Heading4"/>
        <w:bidi w:val="0"/>
        <w:ind w:hanging="0" w:start="0"/>
        <w:jc w:val="start"/>
        <w:rPr/>
      </w:pPr>
      <w:r>
        <w:rPr/>
        <w:t>8.8 Category 8 — ETFs</w:t>
      </w:r>
    </w:p>
    <w:p>
      <w:pPr>
        <w:pStyle w:val="BodyText"/>
        <w:bidi w:val="0"/>
        <w:jc w:val="start"/>
        <w:rPr/>
      </w:pPr>
      <w:r>
        <w:rPr>
          <w:b/>
        </w:rPr>
        <w:t>Types:</w:t>
      </w:r>
    </w:p>
    <w:p>
      <w:pPr>
        <w:pStyle w:val="BodyText"/>
        <w:numPr>
          <w:ilvl w:val="0"/>
          <w:numId w:val="504"/>
        </w:numPr>
        <w:tabs>
          <w:tab w:val="clear" w:pos="709"/>
          <w:tab w:val="left" w:pos="709" w:leader="none"/>
        </w:tabs>
        <w:bidi w:val="0"/>
        <w:ind w:hanging="283" w:start="709"/>
        <w:jc w:val="start"/>
        <w:rPr/>
      </w:pPr>
      <w:r>
        <w:rPr>
          <w:b/>
        </w:rPr>
        <w:t>Index ETFs</w:t>
      </w:r>
      <w:r>
        <w:rPr/>
        <w:t xml:space="preserve"> tracking an entire market — e.g. </w:t>
      </w:r>
      <w:r>
        <w:rPr>
          <w:b/>
        </w:rPr>
        <w:t>S&amp;P 500 ETF</w:t>
      </w:r>
      <w:r>
        <w:rPr/>
        <w:t xml:space="preserve">, </w:t>
      </w:r>
      <w:r>
        <w:rPr>
          <w:b/>
        </w:rPr>
        <w:t>China ETF</w:t>
      </w:r>
      <w:r>
        <w:rPr/>
        <w:t>.</w:t>
      </w:r>
    </w:p>
    <w:p>
      <w:pPr>
        <w:pStyle w:val="BodyText"/>
        <w:numPr>
          <w:ilvl w:val="0"/>
          <w:numId w:val="504"/>
        </w:numPr>
        <w:tabs>
          <w:tab w:val="clear" w:pos="709"/>
          <w:tab w:val="left" w:pos="709" w:leader="none"/>
        </w:tabs>
        <w:bidi w:val="0"/>
        <w:ind w:hanging="283" w:start="709"/>
        <w:jc w:val="start"/>
        <w:rPr/>
      </w:pPr>
      <w:r>
        <w:rPr>
          <w:b/>
        </w:rPr>
        <w:t>Sector ETFs</w:t>
      </w:r>
      <w:r>
        <w:rPr/>
        <w:t xml:space="preserve"> — </w:t>
      </w:r>
      <w:r>
        <w:rPr>
          <w:b/>
        </w:rPr>
        <w:t>XLV</w:t>
      </w:r>
      <w:r>
        <w:rPr/>
        <w:t xml:space="preserve"> (healthcare), </w:t>
      </w:r>
      <w:r>
        <w:rPr>
          <w:b/>
        </w:rPr>
        <w:t>XLK</w:t>
      </w:r>
      <w:r>
        <w:rPr/>
        <w:t xml:space="preserve"> (technology), </w:t>
      </w:r>
      <w:r>
        <w:rPr>
          <w:b/>
        </w:rPr>
        <w:t>XLY</w:t>
      </w:r>
      <w:r>
        <w:rPr/>
        <w:t xml:space="preserve"> (consumer discretionary), </w:t>
      </w:r>
      <w:r>
        <w:rPr>
          <w:b/>
        </w:rPr>
        <w:t>XLP</w:t>
      </w:r>
      <w:r>
        <w:rPr/>
        <w:t xml:space="preserve"> (consumer staples), </w:t>
      </w:r>
      <w:r>
        <w:rPr>
          <w:b/>
        </w:rPr>
        <w:t>XLU</w:t>
      </w:r>
      <w:r>
        <w:rPr/>
        <w:t xml:space="preserve"> (utilities).</w:t>
      </w:r>
    </w:p>
    <w:p>
      <w:pPr>
        <w:pStyle w:val="BodyText"/>
        <w:numPr>
          <w:ilvl w:val="0"/>
          <w:numId w:val="504"/>
        </w:numPr>
        <w:tabs>
          <w:tab w:val="clear" w:pos="709"/>
          <w:tab w:val="left" w:pos="709" w:leader="none"/>
        </w:tabs>
        <w:bidi w:val="0"/>
        <w:ind w:hanging="283" w:start="709"/>
        <w:jc w:val="start"/>
        <w:rPr/>
      </w:pPr>
      <w:r>
        <w:rPr>
          <w:b/>
        </w:rPr>
        <w:t>Industry ETFs</w:t>
      </w:r>
      <w:r>
        <w:rPr/>
        <w:t xml:space="preserve"> — cybersecurity: </w:t>
      </w:r>
      <w:r>
        <w:rPr>
          <w:b/>
        </w:rPr>
        <w:t>IHAK</w:t>
      </w:r>
      <w:r>
        <w:rPr/>
        <w:t xml:space="preserve">, </w:t>
      </w:r>
      <w:r>
        <w:rPr>
          <w:b/>
        </w:rPr>
        <w:t>HACK</w:t>
      </w:r>
      <w:r>
        <w:rPr/>
        <w:t xml:space="preserve">; medical devices: </w:t>
      </w:r>
      <w:r>
        <w:rPr>
          <w:b/>
        </w:rPr>
        <w:t>IHI</w:t>
      </w:r>
      <w:r>
        <w:rPr/>
        <w:t xml:space="preserve">; semiconductors: </w:t>
      </w:r>
      <w:r>
        <w:rPr>
          <w:b/>
        </w:rPr>
        <w:t>SOXX</w:t>
      </w:r>
      <w:r>
        <w:rPr/>
        <w:t xml:space="preserve">; AI-power/IPP: </w:t>
      </w:r>
      <w:r>
        <w:rPr>
          <w:b/>
        </w:rPr>
        <w:t>AIPO</w:t>
      </w:r>
      <w:r>
        <w:rPr/>
        <w:t>.</w:t>
      </w:r>
    </w:p>
    <w:p>
      <w:pPr>
        <w:pStyle w:val="BodyText"/>
        <w:numPr>
          <w:ilvl w:val="0"/>
          <w:numId w:val="504"/>
        </w:numPr>
        <w:tabs>
          <w:tab w:val="clear" w:pos="709"/>
          <w:tab w:val="left" w:pos="709" w:leader="none"/>
        </w:tabs>
        <w:bidi w:val="0"/>
        <w:ind w:hanging="283" w:start="709"/>
        <w:jc w:val="start"/>
        <w:rPr/>
      </w:pPr>
      <w:r>
        <w:rPr>
          <w:b/>
        </w:rPr>
        <w:t>Bond ETFs</w:t>
      </w:r>
      <w:r>
        <w:rPr/>
        <w:t xml:space="preserve"> and </w:t>
      </w:r>
      <w:r>
        <w:rPr>
          <w:b/>
        </w:rPr>
        <w:t>commodity ETFs</w:t>
      </w:r>
      <w:r>
        <w:rPr/>
        <w:t xml:space="preserve"> — commodity ETFs are for </w:t>
      </w:r>
      <w:r>
        <w:rPr>
          <w:b/>
        </w:rPr>
        <w:t>short-term speculative trades only, never long-term investments</w:t>
      </w:r>
      <w:r>
        <w:rPr/>
        <w:t>.</w:t>
      </w:r>
    </w:p>
    <w:p>
      <w:pPr>
        <w:pStyle w:val="BodyText"/>
        <w:bidi w:val="0"/>
        <w:jc w:val="start"/>
        <w:rPr/>
      </w:pPr>
      <w:r>
        <w:rPr>
          <w:b/>
        </w:rPr>
        <w:t>Why they're useful:</w:t>
      </w:r>
    </w:p>
    <w:p>
      <w:pPr>
        <w:pStyle w:val="BodyText"/>
        <w:numPr>
          <w:ilvl w:val="0"/>
          <w:numId w:val="505"/>
        </w:numPr>
        <w:tabs>
          <w:tab w:val="clear" w:pos="709"/>
          <w:tab w:val="left" w:pos="709" w:leader="none"/>
        </w:tabs>
        <w:bidi w:val="0"/>
        <w:ind w:hanging="283" w:start="709"/>
        <w:jc w:val="start"/>
        <w:rPr/>
      </w:pPr>
      <w:r>
        <w:rPr/>
        <w:t xml:space="preserve">You buy a </w:t>
      </w:r>
      <w:r>
        <w:rPr>
          <w:b/>
        </w:rPr>
        <w:t>basket of many companies</w:t>
      </w:r>
      <w:r>
        <w:rPr/>
        <w:t xml:space="preserve"> → </w:t>
      </w:r>
      <w:r>
        <w:rPr>
          <w:b/>
        </w:rPr>
        <w:t>no need to calculate intrinsic value</w:t>
      </w:r>
      <w:r>
        <w:rPr/>
        <w:t xml:space="preserve"> and </w:t>
      </w:r>
      <w:r>
        <w:rPr>
          <w:b/>
        </w:rPr>
        <w:t>no company-specific risk</w:t>
      </w:r>
      <w:r>
        <w:rPr/>
        <w:t>.</w:t>
      </w:r>
    </w:p>
    <w:p>
      <w:pPr>
        <w:pStyle w:val="BodyText"/>
        <w:bidi w:val="0"/>
        <w:jc w:val="start"/>
        <w:rPr/>
      </w:pPr>
      <w:r>
        <w:rPr>
          <w:b/>
        </w:rPr>
        <w:t>How to buy them:</w:t>
      </w:r>
      <w:r>
        <w:rPr/>
        <w:t xml:space="preserve"> </w:t>
      </w:r>
      <w:r>
        <w:rPr>
          <w:b/>
        </w:rPr>
        <w:t>purely on technical analysis</w:t>
      </w:r>
      <w:r>
        <w:rPr/>
        <w:t xml:space="preserve"> — trends, moving averages, support and resistance.</w:t>
      </w:r>
    </w:p>
    <w:p>
      <w:pPr>
        <w:pStyle w:val="BodyText"/>
        <w:numPr>
          <w:ilvl w:val="0"/>
          <w:numId w:val="506"/>
        </w:numPr>
        <w:tabs>
          <w:tab w:val="clear" w:pos="709"/>
          <w:tab w:val="left" w:pos="709" w:leader="none"/>
        </w:tabs>
        <w:bidi w:val="0"/>
        <w:ind w:hanging="283" w:start="709"/>
        <w:jc w:val="start"/>
        <w:rPr/>
      </w:pPr>
      <w:r>
        <w:rPr/>
        <w:t xml:space="preserve">Some ETFs publish a P/E and growth rate, giving a rough valuation: </w:t>
      </w:r>
      <w:r>
        <w:rPr>
          <w:b/>
        </w:rPr>
        <w:t>PEG = P/E ÷ earnings growth rate</w:t>
      </w:r>
      <w:r>
        <w:rPr/>
        <w:t xml:space="preserve">; </w:t>
      </w:r>
      <w:r>
        <w:rPr>
          <w:b/>
        </w:rPr>
        <w:t>PEG below about 2 = reasonably priced.</w:t>
      </w:r>
    </w:p>
    <w:p>
      <w:pPr>
        <w:pStyle w:val="BodyText"/>
        <w:bidi w:val="0"/>
        <w:jc w:val="start"/>
        <w:rPr/>
      </w:pPr>
      <w:r>
        <w:rPr>
          <w:b/>
        </w:rPr>
        <w:t>ETFs he owns:</w:t>
      </w:r>
      <w:r>
        <w:rPr/>
        <w:t xml:space="preserve"> </w:t>
      </w:r>
      <w:r>
        <w:rPr>
          <w:b/>
        </w:rPr>
        <w:t>IHI</w:t>
      </w:r>
      <w:r>
        <w:rPr/>
        <w:t xml:space="preserve"> (healthcare medical devices), </w:t>
      </w:r>
      <w:r>
        <w:rPr>
          <w:b/>
        </w:rPr>
        <w:t>SOXX</w:t>
      </w:r>
      <w:r>
        <w:rPr/>
        <w:t xml:space="preserve"> (semiconductors), </w:t>
      </w:r>
      <w:r>
        <w:rPr>
          <w:b/>
        </w:rPr>
        <w:t>AIPO</w:t>
      </w:r>
      <w:r>
        <w:rPr/>
        <w:t xml:space="preserve"> (AI/IPP power), </w:t>
      </w:r>
      <w:r>
        <w:rPr>
          <w:b/>
        </w:rPr>
        <w:t>China ETFs (3% of portfolio)</w:t>
      </w:r>
      <w:r>
        <w:rPr/>
        <w:t>.</w:t>
      </w:r>
    </w:p>
    <w:p>
      <w:pPr>
        <w:pStyle w:val="HorizontalLine"/>
        <w:bidi w:val="0"/>
        <w:jc w:val="start"/>
        <w:rPr/>
      </w:pPr>
      <w:r>
        <w:rPr/>
      </w:r>
    </w:p>
    <w:p>
      <w:pPr>
        <w:pStyle w:val="Heading3"/>
        <w:bidi w:val="0"/>
        <w:ind w:hanging="0" w:start="0"/>
        <w:jc w:val="start"/>
        <w:rPr/>
      </w:pPr>
      <w:r>
        <w:rPr/>
        <w:t>9. Category Migration — Stocks Move Between Buckets</w:t>
      </w:r>
    </w:p>
    <w:p>
      <w:pPr>
        <w:pStyle w:val="BodyText"/>
        <w:bidi w:val="0"/>
        <w:jc w:val="start"/>
        <w:rPr/>
      </w:pPr>
      <w:r>
        <w:rPr/>
        <w:t>A stock can transition from one category to another; the thesis must be updated.</w:t>
      </w:r>
    </w:p>
    <w:tbl>
      <w:tblPr>
        <w:tblW w:w="5000" w:type="pct"/>
        <w:jc w:val="start"/>
        <w:tblInd w:w="-5" w:type="dxa"/>
        <w:tblLayout w:type="fixed"/>
        <w:tblCellMar>
          <w:top w:w="55" w:type="dxa"/>
          <w:start w:w="55" w:type="dxa"/>
          <w:bottom w:w="55" w:type="dxa"/>
          <w:end w:w="55" w:type="dxa"/>
        </w:tblCellMar>
      </w:tblPr>
      <w:tblGrid>
        <w:gridCol w:w="3212"/>
        <w:gridCol w:w="3213"/>
        <w:gridCol w:w="3213"/>
      </w:tblGrid>
      <w:tr>
        <w:trPr>
          <w:tblHeader w:val="true"/>
        </w:trPr>
        <w:tc>
          <w:tcPr>
            <w:tcW w:w="3212" w:type="dxa"/>
            <w:tcBorders>
              <w:top w:val="single" w:sz="4" w:space="0" w:color="000000"/>
              <w:start w:val="single" w:sz="4" w:space="0" w:color="000000"/>
              <w:bottom w:val="single" w:sz="4" w:space="0" w:color="000000"/>
            </w:tcBorders>
          </w:tcPr>
          <w:p>
            <w:pPr>
              <w:pStyle w:val="TableHeading"/>
              <w:bidi w:val="0"/>
              <w:jc w:val="start"/>
              <w:rPr/>
            </w:pPr>
            <w:r>
              <w:rPr/>
              <w:t>Stock</w:t>
            </w:r>
          </w:p>
        </w:tc>
        <w:tc>
          <w:tcPr>
            <w:tcW w:w="3213" w:type="dxa"/>
            <w:tcBorders>
              <w:top w:val="single" w:sz="4" w:space="0" w:color="000000"/>
              <w:start w:val="single" w:sz="4" w:space="0" w:color="000000"/>
              <w:bottom w:val="single" w:sz="4" w:space="0" w:color="000000"/>
            </w:tcBorders>
          </w:tcPr>
          <w:p>
            <w:pPr>
              <w:pStyle w:val="TableHeading"/>
              <w:bidi w:val="0"/>
              <w:jc w:val="start"/>
              <w:rPr/>
            </w:pPr>
            <w:r>
              <w:rPr/>
              <w:t>From → To</w:t>
            </w:r>
          </w:p>
        </w:tc>
        <w:tc>
          <w:tcPr>
            <w:tcW w:w="3213"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Trigger</w:t>
            </w:r>
          </w:p>
        </w:tc>
      </w:tr>
      <w:tr>
        <w:trPr/>
        <w:tc>
          <w:tcPr>
            <w:tcW w:w="3212" w:type="dxa"/>
            <w:tcBorders>
              <w:start w:val="single" w:sz="4" w:space="0" w:color="000000"/>
              <w:bottom w:val="single" w:sz="4" w:space="0" w:color="000000"/>
            </w:tcBorders>
          </w:tcPr>
          <w:p>
            <w:pPr>
              <w:pStyle w:val="TableContents"/>
              <w:bidi w:val="0"/>
              <w:jc w:val="start"/>
              <w:rPr/>
            </w:pPr>
            <w:r>
              <w:rPr>
                <w:b/>
              </w:rPr>
              <w:t>Apple</w:t>
            </w:r>
          </w:p>
        </w:tc>
        <w:tc>
          <w:tcPr>
            <w:tcW w:w="3213" w:type="dxa"/>
            <w:tcBorders>
              <w:start w:val="single" w:sz="4" w:space="0" w:color="000000"/>
              <w:bottom w:val="single" w:sz="4" w:space="0" w:color="000000"/>
            </w:tcBorders>
          </w:tcPr>
          <w:p>
            <w:pPr>
              <w:pStyle w:val="TableContents"/>
              <w:bidi w:val="0"/>
              <w:jc w:val="start"/>
              <w:rPr/>
            </w:pPr>
            <w:r>
              <w:rPr/>
              <w:t xml:space="preserve">Growth → </w:t>
            </w:r>
            <w:r>
              <w:rPr>
                <w:b/>
              </w:rPr>
              <w:t>Predictable</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 xml:space="preserve">Grew &gt;20% p.a. for years; growth has now slowed below 20%, but sales/profits became more predictable thanks to </w:t>
            </w:r>
            <w:r>
              <w:rPr>
                <w:b/>
              </w:rPr>
              <w:t>recurring revenue from the services business</w:t>
            </w:r>
          </w:p>
        </w:tc>
      </w:tr>
      <w:tr>
        <w:trPr/>
        <w:tc>
          <w:tcPr>
            <w:tcW w:w="3212" w:type="dxa"/>
            <w:tcBorders>
              <w:start w:val="single" w:sz="4" w:space="0" w:color="000000"/>
              <w:bottom w:val="single" w:sz="4" w:space="0" w:color="000000"/>
            </w:tcBorders>
          </w:tcPr>
          <w:p>
            <w:pPr>
              <w:pStyle w:val="TableContents"/>
              <w:bidi w:val="0"/>
              <w:jc w:val="start"/>
              <w:rPr/>
            </w:pPr>
            <w:r>
              <w:rPr>
                <w:b/>
              </w:rPr>
              <w:t>Meta</w:t>
            </w:r>
          </w:p>
        </w:tc>
        <w:tc>
          <w:tcPr>
            <w:tcW w:w="3213" w:type="dxa"/>
            <w:tcBorders>
              <w:start w:val="single" w:sz="4" w:space="0" w:color="000000"/>
              <w:bottom w:val="single" w:sz="4" w:space="0" w:color="000000"/>
            </w:tcBorders>
          </w:tcPr>
          <w:p>
            <w:pPr>
              <w:pStyle w:val="TableContents"/>
              <w:bidi w:val="0"/>
              <w:jc w:val="start"/>
              <w:rPr/>
            </w:pPr>
            <w:r>
              <w:rPr/>
              <w:t xml:space="preserve">Growth → </w:t>
            </w:r>
            <w:r>
              <w:rPr>
                <w:b/>
              </w:rPr>
              <w:t>Turnaround</w:t>
            </w:r>
            <w:r>
              <w:rPr/>
              <w:t xml:space="preserve"> (2021–22) → </w:t>
            </w:r>
            <w:r>
              <w:rPr>
                <w:b/>
              </w:rPr>
              <w:t>Growth again</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Temporary bad news, then problems solved</w:t>
            </w:r>
          </w:p>
        </w:tc>
      </w:tr>
      <w:tr>
        <w:trPr/>
        <w:tc>
          <w:tcPr>
            <w:tcW w:w="3212" w:type="dxa"/>
            <w:tcBorders>
              <w:start w:val="single" w:sz="4" w:space="0" w:color="000000"/>
              <w:bottom w:val="single" w:sz="4" w:space="0" w:color="000000"/>
            </w:tcBorders>
          </w:tcPr>
          <w:p>
            <w:pPr>
              <w:pStyle w:val="TableContents"/>
              <w:bidi w:val="0"/>
              <w:jc w:val="start"/>
              <w:rPr/>
            </w:pPr>
            <w:r>
              <w:rPr>
                <w:b/>
              </w:rPr>
              <w:t>Palantir</w:t>
            </w:r>
          </w:p>
        </w:tc>
        <w:tc>
          <w:tcPr>
            <w:tcW w:w="3213" w:type="dxa"/>
            <w:tcBorders>
              <w:start w:val="single" w:sz="4" w:space="0" w:color="000000"/>
              <w:bottom w:val="single" w:sz="4" w:space="0" w:color="000000"/>
            </w:tcBorders>
          </w:tcPr>
          <w:p>
            <w:pPr>
              <w:pStyle w:val="TableContents"/>
              <w:bidi w:val="0"/>
              <w:jc w:val="start"/>
              <w:rPr/>
            </w:pPr>
            <w:r>
              <w:rPr>
                <w:b/>
              </w:rPr>
              <w:t>Speculative growth</w:t>
            </w:r>
            <w:r>
              <w:rPr/>
              <w:t xml:space="preserve"> → will upgrade to </w:t>
            </w:r>
            <w:r>
              <w:rPr>
                <w:b/>
              </w:rPr>
              <w:t>Growth</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 xml:space="preserve">Once it achieves </w:t>
            </w:r>
            <w:r>
              <w:rPr>
                <w:b/>
              </w:rPr>
              <w:t>5 years of consistent sales and profits</w:t>
            </w:r>
          </w:p>
        </w:tc>
      </w:tr>
    </w:tbl>
    <w:p>
      <w:pPr>
        <w:pStyle w:val="BodyText"/>
        <w:bidi w:val="0"/>
        <w:jc w:val="start"/>
        <w:rPr/>
      </w:pPr>
      <w:r>
        <w:rPr/>
      </w:r>
    </w:p>
    <w:p>
      <w:pPr>
        <w:pStyle w:val="HorizontalLine"/>
        <w:bidi w:val="0"/>
        <w:jc w:val="start"/>
        <w:rPr/>
      </w:pPr>
      <w:r>
        <w:rPr/>
      </w:r>
    </w:p>
    <w:p>
      <w:pPr>
        <w:pStyle w:val="Heading3"/>
        <w:bidi w:val="0"/>
        <w:ind w:hanging="0" w:start="0"/>
        <w:jc w:val="start"/>
        <w:rPr/>
      </w:pPr>
      <w:r>
        <w:rPr/>
        <w:t>10. The Pre-Purchase Checklist (Four Questions)</w:t>
      </w:r>
    </w:p>
    <w:p>
      <w:pPr>
        <w:pStyle w:val="BodyText"/>
        <w:bidi w:val="0"/>
        <w:jc w:val="start"/>
        <w:rPr/>
      </w:pPr>
      <w:r>
        <w:rPr/>
        <w:t xml:space="preserve">Different investors have different </w:t>
      </w:r>
      <w:r>
        <w:rPr>
          <w:b/>
        </w:rPr>
        <w:t>account sizes, risk profiles, objectives and portfolio strategies</w:t>
      </w:r>
      <w:r>
        <w:rPr/>
        <w:t xml:space="preserve"> — so run every candidate through this:</w:t>
      </w:r>
    </w:p>
    <w:p>
      <w:pPr>
        <w:pStyle w:val="BodyText"/>
        <w:numPr>
          <w:ilvl w:val="0"/>
          <w:numId w:val="507"/>
        </w:numPr>
        <w:tabs>
          <w:tab w:val="clear" w:pos="709"/>
          <w:tab w:val="left" w:pos="709" w:leader="none"/>
        </w:tabs>
        <w:bidi w:val="0"/>
        <w:ind w:hanging="283" w:start="709"/>
        <w:jc w:val="start"/>
        <w:rPr/>
      </w:pPr>
      <w:r>
        <w:rPr>
          <w:b/>
        </w:rPr>
        <w:t>Is this a great business?</w:t>
      </w:r>
      <w:r>
        <w:rPr/>
        <w:t xml:space="preserve"> Put it through the fundamental criteria — must pass the </w:t>
      </w:r>
      <w:r>
        <w:rPr>
          <w:b/>
        </w:rPr>
        <w:t>5 steps of a great business</w:t>
      </w:r>
      <w:r>
        <w:rPr/>
        <w:t>.</w:t>
      </w:r>
    </w:p>
    <w:p>
      <w:pPr>
        <w:pStyle w:val="BodyText"/>
        <w:numPr>
          <w:ilvl w:val="0"/>
          <w:numId w:val="507"/>
        </w:numPr>
        <w:tabs>
          <w:tab w:val="clear" w:pos="709"/>
          <w:tab w:val="left" w:pos="709" w:leader="none"/>
        </w:tabs>
        <w:bidi w:val="0"/>
        <w:ind w:hanging="283" w:start="709"/>
        <w:jc w:val="start"/>
        <w:rPr/>
      </w:pPr>
      <w:r>
        <w:rPr>
          <w:b/>
        </w:rPr>
        <w:t>Is the stock undervalued?</w:t>
      </w:r>
      <w:r>
        <w:rPr/>
        <w:t xml:space="preserve"> Share price </w:t>
      </w:r>
      <w:r>
        <w:rPr>
          <w:b/>
        </w:rPr>
        <w:t>below intrinsic value</w:t>
      </w:r>
      <w:r>
        <w:rPr/>
        <w:t xml:space="preserve"> AND price has </w:t>
      </w:r>
      <w:r>
        <w:rPr>
          <w:b/>
        </w:rPr>
        <w:t>retraced to a level of support</w:t>
      </w:r>
      <w:r>
        <w:rPr/>
        <w:t>.</w:t>
      </w:r>
    </w:p>
    <w:p>
      <w:pPr>
        <w:pStyle w:val="BodyText"/>
        <w:numPr>
          <w:ilvl w:val="0"/>
          <w:numId w:val="507"/>
        </w:numPr>
        <w:tabs>
          <w:tab w:val="clear" w:pos="709"/>
          <w:tab w:val="left" w:pos="709" w:leader="none"/>
        </w:tabs>
        <w:bidi w:val="0"/>
        <w:ind w:hanging="283" w:start="709"/>
        <w:jc w:val="start"/>
        <w:rPr/>
      </w:pPr>
      <w:r>
        <w:rPr>
          <w:b/>
        </w:rPr>
        <w:t>What type of stock is this — which of the 8 investment categories, and which sector?</w:t>
      </w:r>
      <w:r>
        <w:rPr/>
        <w:t xml:space="preserve"> Then ask: </w:t>
      </w:r>
      <w:r>
        <w:rPr>
          <w:b/>
        </w:rPr>
        <w:t>is this the kind of stock I want in my portfolio</w:t>
      </w:r>
      <w:r>
        <w:rPr/>
        <w:t>, given my strategy? (If you only want growth, you don't buy DBS Bank. If you want dividends, you don't buy NVIDIA or ServiceNow — they don't pay dividends.)</w:t>
      </w:r>
    </w:p>
    <w:p>
      <w:pPr>
        <w:pStyle w:val="BodyText"/>
        <w:numPr>
          <w:ilvl w:val="0"/>
          <w:numId w:val="507"/>
        </w:numPr>
        <w:tabs>
          <w:tab w:val="clear" w:pos="709"/>
          <w:tab w:val="left" w:pos="709" w:leader="none"/>
        </w:tabs>
        <w:bidi w:val="0"/>
        <w:ind w:hanging="283" w:start="709"/>
        <w:jc w:val="start"/>
        <w:rPr/>
      </w:pPr>
      <w:r>
        <w:rPr>
          <w:b/>
        </w:rPr>
        <w:t>Do I already have a full allocation for this stock?</w:t>
      </w:r>
      <w:r>
        <w:rPr/>
        <w:t xml:space="preserve"> If you plan 20 stocks, the maximum is </w:t>
      </w:r>
      <w:r>
        <w:rPr>
          <w:b/>
        </w:rPr>
        <w:t>5%</w:t>
      </w:r>
      <w:r>
        <w:rPr/>
        <w:t xml:space="preserve">. Once 5% is bought — </w:t>
      </w:r>
      <w:r>
        <w:rPr>
          <w:b/>
        </w:rPr>
        <w:t>do not buy more.</w:t>
      </w:r>
    </w:p>
    <w:p>
      <w:pPr>
        <w:pStyle w:val="BodyText"/>
        <w:bidi w:val="0"/>
        <w:jc w:val="start"/>
        <w:rPr/>
      </w:pPr>
      <w:r>
        <w:rPr>
          <w:b/>
        </w:rPr>
        <w:t>The comparison rule:</w:t>
      </w:r>
      <w:r>
        <w:rPr/>
        <w:t xml:space="preserve"> never compare across categories. </w:t>
      </w:r>
      <w:r>
        <w:rPr>
          <w:i/>
        </w:rPr>
        <w:t>"You can't compare a steak with an apple."</w:t>
      </w:r>
    </w:p>
    <w:p>
      <w:pPr>
        <w:pStyle w:val="BodyText"/>
        <w:numPr>
          <w:ilvl w:val="0"/>
          <w:numId w:val="508"/>
        </w:numPr>
        <w:tabs>
          <w:tab w:val="clear" w:pos="709"/>
          <w:tab w:val="left" w:pos="709" w:leader="none"/>
        </w:tabs>
        <w:bidi w:val="0"/>
        <w:ind w:hanging="283" w:start="709"/>
        <w:jc w:val="start"/>
        <w:rPr/>
      </w:pPr>
      <w:r>
        <w:rPr/>
        <w:t xml:space="preserve">NVIDIA (growth) must be compared to </w:t>
      </w:r>
      <w:r>
        <w:rPr>
          <w:b/>
        </w:rPr>
        <w:t>ServiceNow, Salesforce, Microsoft</w:t>
      </w:r>
      <w:r>
        <w:rPr/>
        <w:t xml:space="preserve"> — other growth stocks.</w:t>
      </w:r>
    </w:p>
    <w:p>
      <w:pPr>
        <w:pStyle w:val="BodyText"/>
        <w:numPr>
          <w:ilvl w:val="0"/>
          <w:numId w:val="508"/>
        </w:numPr>
        <w:tabs>
          <w:tab w:val="clear" w:pos="709"/>
          <w:tab w:val="left" w:pos="709" w:leader="none"/>
        </w:tabs>
        <w:bidi w:val="0"/>
        <w:ind w:hanging="283" w:start="709"/>
        <w:jc w:val="start"/>
        <w:rPr/>
      </w:pPr>
      <w:r>
        <w:rPr/>
        <w:t xml:space="preserve">DBS (dividend) must be compared to </w:t>
      </w:r>
      <w:r>
        <w:rPr>
          <w:b/>
        </w:rPr>
        <w:t>OCBC, UOB, CapitaLand Ascendas Trust</w:t>
      </w:r>
      <w:r>
        <w:rPr/>
        <w:t xml:space="preserve"> and other high-dividend stocks.</w:t>
      </w:r>
    </w:p>
    <w:p>
      <w:pPr>
        <w:pStyle w:val="BodyText"/>
        <w:bidi w:val="0"/>
        <w:jc w:val="start"/>
        <w:rPr/>
      </w:pPr>
      <w:r>
        <w:rPr>
          <w:b/>
        </w:rPr>
        <w:t>Mixed strategies are fine</w:t>
      </w:r>
      <w:r>
        <w:rPr/>
        <w:t xml:space="preserve"> — e.g. "50% growth, 20% dividend, 20% [other]" — but you must </w:t>
      </w:r>
      <w:r>
        <w:rPr>
          <w:b/>
        </w:rPr>
        <w:t>know your strategy first</w:t>
      </w:r>
      <w:r>
        <w:rPr/>
        <w:t>, then pick stocks that fit it.</w:t>
      </w:r>
    </w:p>
    <w:p>
      <w:pPr>
        <w:pStyle w:val="HorizontalLine"/>
        <w:bidi w:val="0"/>
        <w:jc w:val="start"/>
        <w:rPr/>
      </w:pPr>
      <w:r>
        <w:rPr/>
      </w:r>
    </w:p>
    <w:p>
      <w:pPr>
        <w:pStyle w:val="Heading3"/>
        <w:bidi w:val="0"/>
        <w:ind w:hanging="0" w:start="0"/>
        <w:jc w:val="start"/>
        <w:rPr/>
      </w:pPr>
      <w:r>
        <w:rPr/>
        <w:t>11. Adam's Own Category Allocation</w:t>
      </w:r>
    </w:p>
    <w:tbl>
      <w:tblPr>
        <w:tblW w:w="5000" w:type="pct"/>
        <w:jc w:val="start"/>
        <w:tblInd w:w="-5" w:type="dxa"/>
        <w:tblLayout w:type="fixed"/>
        <w:tblCellMar>
          <w:top w:w="55" w:type="dxa"/>
          <w:start w:w="55" w:type="dxa"/>
          <w:bottom w:w="55" w:type="dxa"/>
          <w:end w:w="55" w:type="dxa"/>
        </w:tblCellMar>
      </w:tblPr>
      <w:tblGrid>
        <w:gridCol w:w="4819"/>
        <w:gridCol w:w="4819"/>
      </w:tblGrid>
      <w:tr>
        <w:trPr>
          <w:tblHeader w:val="true"/>
        </w:trPr>
        <w:tc>
          <w:tcPr>
            <w:tcW w:w="4819" w:type="dxa"/>
            <w:tcBorders>
              <w:top w:val="single" w:sz="4" w:space="0" w:color="000000"/>
              <w:start w:val="single" w:sz="4" w:space="0" w:color="000000"/>
              <w:bottom w:val="single" w:sz="4" w:space="0" w:color="000000"/>
            </w:tcBorders>
          </w:tcPr>
          <w:p>
            <w:pPr>
              <w:pStyle w:val="TableHeading"/>
              <w:bidi w:val="0"/>
              <w:jc w:val="start"/>
              <w:rPr/>
            </w:pPr>
            <w:r>
              <w:rPr/>
              <w:t>Category</w:t>
            </w:r>
          </w:p>
        </w:tc>
        <w:tc>
          <w:tcPr>
            <w:tcW w:w="4819"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His holding</w:t>
            </w:r>
          </w:p>
        </w:tc>
      </w:tr>
      <w:tr>
        <w:trPr/>
        <w:tc>
          <w:tcPr>
            <w:tcW w:w="4819" w:type="dxa"/>
            <w:tcBorders>
              <w:start w:val="single" w:sz="4" w:space="0" w:color="000000"/>
              <w:bottom w:val="single" w:sz="4" w:space="0" w:color="000000"/>
            </w:tcBorders>
          </w:tcPr>
          <w:p>
            <w:pPr>
              <w:pStyle w:val="TableContents"/>
              <w:bidi w:val="0"/>
              <w:jc w:val="start"/>
              <w:rPr/>
            </w:pPr>
            <w:r>
              <w:rPr>
                <w:b/>
              </w:rPr>
              <w:t>Large growth</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b/>
              </w:rPr>
              <w:t>Almost half of his stocks</w:t>
            </w:r>
            <w:r>
              <w:rPr/>
              <w:t xml:space="preserve"> — the reason the portfolio beats the S&amp;P 500</w:t>
            </w:r>
          </w:p>
        </w:tc>
      </w:tr>
      <w:tr>
        <w:trPr/>
        <w:tc>
          <w:tcPr>
            <w:tcW w:w="4819" w:type="dxa"/>
            <w:tcBorders>
              <w:start w:val="single" w:sz="4" w:space="0" w:color="000000"/>
              <w:bottom w:val="single" w:sz="4" w:space="0" w:color="000000"/>
            </w:tcBorders>
          </w:tcPr>
          <w:p>
            <w:pPr>
              <w:pStyle w:val="TableContents"/>
              <w:bidi w:val="0"/>
              <w:jc w:val="start"/>
              <w:rPr/>
            </w:pPr>
            <w:r>
              <w:rPr>
                <w:b/>
              </w:rPr>
              <w:t>Predictable</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 xml:space="preserve">"Quite a number" — both defensive (healthcare, consumer staples) and moderately cyclical (predictable tech like </w:t>
            </w:r>
            <w:r>
              <w:rPr>
                <w:b/>
              </w:rPr>
              <w:t>Apple</w:t>
            </w:r>
            <w:r>
              <w:rPr/>
              <w:t xml:space="preserve">; financials like </w:t>
            </w:r>
            <w:r>
              <w:rPr>
                <w:b/>
              </w:rPr>
              <w:t>Visa, MasterCard</w:t>
            </w:r>
            <w:r>
              <w:rPr/>
              <w:t xml:space="preserve">). Held because they are </w:t>
            </w:r>
            <w:r>
              <w:rPr>
                <w:b/>
              </w:rPr>
              <w:t>resilient in a recession/bear market and balance the portfolio</w:t>
            </w:r>
          </w:p>
        </w:tc>
      </w:tr>
      <w:tr>
        <w:trPr/>
        <w:tc>
          <w:tcPr>
            <w:tcW w:w="4819" w:type="dxa"/>
            <w:tcBorders>
              <w:start w:val="single" w:sz="4" w:space="0" w:color="000000"/>
              <w:bottom w:val="single" w:sz="4" w:space="0" w:color="000000"/>
            </w:tcBorders>
          </w:tcPr>
          <w:p>
            <w:pPr>
              <w:pStyle w:val="TableContents"/>
              <w:bidi w:val="0"/>
              <w:jc w:val="start"/>
              <w:rPr/>
            </w:pPr>
            <w:r>
              <w:rPr>
                <w:b/>
              </w:rPr>
              <w:t>ETFs</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 xml:space="preserve">Some industry ETFs — </w:t>
            </w:r>
            <w:r>
              <w:rPr>
                <w:b/>
              </w:rPr>
              <w:t>IHI</w:t>
            </w:r>
            <w:r>
              <w:rPr/>
              <w:t xml:space="preserve"> (healthcare medical devices), </w:t>
            </w:r>
            <w:r>
              <w:rPr>
                <w:b/>
              </w:rPr>
              <w:t>SOXX</w:t>
            </w:r>
            <w:r>
              <w:rPr/>
              <w:t xml:space="preserve"> (semiconductors), plus </w:t>
            </w:r>
            <w:r>
              <w:rPr>
                <w:b/>
              </w:rPr>
              <w:t>3% China ETFs</w:t>
            </w:r>
          </w:p>
        </w:tc>
      </w:tr>
      <w:tr>
        <w:trPr/>
        <w:tc>
          <w:tcPr>
            <w:tcW w:w="4819" w:type="dxa"/>
            <w:tcBorders>
              <w:start w:val="single" w:sz="4" w:space="0" w:color="000000"/>
              <w:bottom w:val="single" w:sz="4" w:space="0" w:color="000000"/>
            </w:tcBorders>
          </w:tcPr>
          <w:p>
            <w:pPr>
              <w:pStyle w:val="TableContents"/>
              <w:bidi w:val="0"/>
              <w:jc w:val="start"/>
              <w:rPr/>
            </w:pPr>
            <w:r>
              <w:rPr>
                <w:b/>
              </w:rPr>
              <w:t>Speculative growth</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b/>
              </w:rPr>
              <w:t>Only one — Palantir</w:t>
            </w:r>
          </w:p>
        </w:tc>
      </w:tr>
      <w:tr>
        <w:trPr/>
        <w:tc>
          <w:tcPr>
            <w:tcW w:w="4819" w:type="dxa"/>
            <w:tcBorders>
              <w:start w:val="single" w:sz="4" w:space="0" w:color="000000"/>
              <w:bottom w:val="single" w:sz="4" w:space="0" w:color="000000"/>
            </w:tcBorders>
          </w:tcPr>
          <w:p>
            <w:pPr>
              <w:pStyle w:val="TableContents"/>
              <w:bidi w:val="0"/>
              <w:jc w:val="start"/>
              <w:rPr/>
            </w:pPr>
            <w:r>
              <w:rPr>
                <w:b/>
              </w:rPr>
              <w:t>Turnaround</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 xml:space="preserve">"A few" — </w:t>
            </w:r>
            <w:r>
              <w:rPr>
                <w:b/>
              </w:rPr>
              <w:t>Estee Lauder, Boston Beer</w:t>
            </w:r>
            <w:r>
              <w:rPr/>
              <w:t>. Deliberately keeps these few because they are riskier</w:t>
            </w:r>
          </w:p>
        </w:tc>
      </w:tr>
      <w:tr>
        <w:trPr/>
        <w:tc>
          <w:tcPr>
            <w:tcW w:w="4819" w:type="dxa"/>
            <w:tcBorders>
              <w:start w:val="single" w:sz="4" w:space="0" w:color="000000"/>
              <w:bottom w:val="single" w:sz="4" w:space="0" w:color="000000"/>
            </w:tcBorders>
          </w:tcPr>
          <w:p>
            <w:pPr>
              <w:pStyle w:val="TableContents"/>
              <w:bidi w:val="0"/>
              <w:jc w:val="start"/>
              <w:rPr/>
            </w:pPr>
            <w:r>
              <w:rPr>
                <w:b/>
              </w:rPr>
              <w:t>Deep value</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b/>
              </w:rPr>
              <w:t>None</w:t>
            </w:r>
          </w:p>
        </w:tc>
      </w:tr>
      <w:tr>
        <w:trPr/>
        <w:tc>
          <w:tcPr>
            <w:tcW w:w="4819" w:type="dxa"/>
            <w:tcBorders>
              <w:start w:val="single" w:sz="4" w:space="0" w:color="000000"/>
              <w:bottom w:val="single" w:sz="4" w:space="0" w:color="000000"/>
            </w:tcBorders>
          </w:tcPr>
          <w:p>
            <w:pPr>
              <w:pStyle w:val="TableContents"/>
              <w:bidi w:val="0"/>
              <w:jc w:val="start"/>
              <w:rPr/>
            </w:pPr>
            <w:r>
              <w:rPr>
                <w:b/>
              </w:rPr>
              <w:t>Deep cyclical</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b/>
              </w:rPr>
              <w:t>None</w:t>
            </w:r>
          </w:p>
        </w:tc>
      </w:tr>
      <w:tr>
        <w:trPr/>
        <w:tc>
          <w:tcPr>
            <w:tcW w:w="4819" w:type="dxa"/>
            <w:tcBorders>
              <w:start w:val="single" w:sz="4" w:space="0" w:color="000000"/>
              <w:bottom w:val="single" w:sz="4" w:space="0" w:color="000000"/>
            </w:tcBorders>
          </w:tcPr>
          <w:p>
            <w:pPr>
              <w:pStyle w:val="TableContents"/>
              <w:bidi w:val="0"/>
              <w:jc w:val="start"/>
              <w:rPr/>
            </w:pPr>
            <w:r>
              <w:rPr>
                <w:b/>
              </w:rPr>
              <w:t>Dividend</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b/>
              </w:rPr>
              <w:t>Entirely separate portfolio</w:t>
            </w:r>
            <w:r>
              <w:rPr/>
              <w:t xml:space="preserve"> — Singapore-listed banks + high-quality REITs, purely for dividend collection</w:t>
            </w:r>
          </w:p>
        </w:tc>
      </w:tr>
    </w:tbl>
    <w:p>
      <w:pPr>
        <w:pStyle w:val="BodyText"/>
        <w:bidi w:val="0"/>
        <w:jc w:val="start"/>
        <w:rPr/>
      </w:pPr>
      <w:r>
        <w:rPr/>
      </w:r>
    </w:p>
    <w:p>
      <w:pPr>
        <w:pStyle w:val="HorizontalLine"/>
        <w:bidi w:val="0"/>
        <w:jc w:val="start"/>
        <w:rPr/>
      </w:pPr>
      <w:r>
        <w:rPr/>
      </w:r>
    </w:p>
    <w:p>
      <w:pPr>
        <w:pStyle w:val="Heading3"/>
        <w:bidi w:val="0"/>
        <w:ind w:hanging="0" w:start="0"/>
        <w:jc w:val="start"/>
        <w:rPr/>
      </w:pPr>
      <w:r>
        <w:rPr/>
        <w:t>12. Maximizing Portfolio Returns — The 5% / 95% Rule</w:t>
      </w:r>
    </w:p>
    <w:p>
      <w:pPr>
        <w:pStyle w:val="BlockQuotation"/>
        <w:bidi w:val="0"/>
        <w:jc w:val="start"/>
        <w:rPr/>
      </w:pPr>
      <w:r>
        <w:rPr>
          <w:b/>
        </w:rPr>
        <w:t>Over time, 95% of your profits will come from only 5% of the companies that you buy.</w:t>
      </w:r>
    </w:p>
    <w:p>
      <w:pPr>
        <w:pStyle w:val="Heading4"/>
        <w:bidi w:val="0"/>
        <w:ind w:hanging="0" w:start="0"/>
        <w:jc w:val="start"/>
        <w:rPr/>
      </w:pPr>
      <w:r>
        <w:rPr/>
        <w:t>12.1 Buffett's evidence</w:t>
      </w:r>
    </w:p>
    <w:p>
      <w:pPr>
        <w:pStyle w:val="BodyText"/>
        <w:numPr>
          <w:ilvl w:val="0"/>
          <w:numId w:val="509"/>
        </w:numPr>
        <w:tabs>
          <w:tab w:val="clear" w:pos="709"/>
          <w:tab w:val="left" w:pos="709" w:leader="none"/>
        </w:tabs>
        <w:bidi w:val="0"/>
        <w:ind w:hanging="283" w:start="709"/>
        <w:jc w:val="start"/>
        <w:rPr/>
      </w:pPr>
      <w:r>
        <w:rPr/>
        <w:t xml:space="preserve">Berkshire Hathaway run for </w:t>
      </w:r>
      <w:r>
        <w:rPr>
          <w:b/>
        </w:rPr>
        <w:t>over 58 years</w:t>
      </w:r>
      <w:r>
        <w:rPr/>
        <w:t>.</w:t>
      </w:r>
    </w:p>
    <w:p>
      <w:pPr>
        <w:pStyle w:val="BodyText"/>
        <w:numPr>
          <w:ilvl w:val="0"/>
          <w:numId w:val="509"/>
        </w:numPr>
        <w:tabs>
          <w:tab w:val="clear" w:pos="709"/>
          <w:tab w:val="left" w:pos="709" w:leader="none"/>
        </w:tabs>
        <w:bidi w:val="0"/>
        <w:ind w:hanging="283" w:start="709"/>
        <w:jc w:val="start"/>
        <w:rPr/>
      </w:pPr>
      <w:r>
        <w:rPr/>
        <w:t xml:space="preserve">Berkshire grew </w:t>
      </w:r>
      <w:r>
        <w:rPr>
          <w:b/>
        </w:rPr>
        <w:t>170,000%</w:t>
      </w:r>
      <w:r>
        <w:rPr/>
        <w:t xml:space="preserve"> vs. the </w:t>
      </w:r>
      <w:r>
        <w:rPr>
          <w:b/>
        </w:rPr>
        <w:t>S&amp;P 500's 3,900%</w:t>
      </w:r>
      <w:r>
        <w:rPr/>
        <w:t xml:space="preserve"> — </w:t>
      </w:r>
      <w:r>
        <w:rPr>
          <w:b/>
        </w:rPr>
        <w:t>outperformance of 43×</w:t>
      </w:r>
      <w:r>
        <w:rPr/>
        <w:t>.</w:t>
      </w:r>
    </w:p>
    <w:p>
      <w:pPr>
        <w:pStyle w:val="BodyText"/>
        <w:numPr>
          <w:ilvl w:val="0"/>
          <w:numId w:val="509"/>
        </w:numPr>
        <w:tabs>
          <w:tab w:val="clear" w:pos="709"/>
          <w:tab w:val="left" w:pos="709" w:leader="none"/>
        </w:tabs>
        <w:bidi w:val="0"/>
        <w:ind w:hanging="283" w:start="709"/>
        <w:jc w:val="start"/>
        <w:rPr/>
      </w:pPr>
      <w:r>
        <w:rPr/>
        <w:t xml:space="preserve">From his shareholder letter, he describes his collection of businesses as: </w:t>
      </w:r>
      <w:r>
        <w:rPr>
          <w:b/>
        </w:rPr>
        <w:t>a few with truly extraordinary economics; many with very good economic characteristics; and a large group that are marginal.</w:t>
      </w:r>
    </w:p>
    <w:p>
      <w:pPr>
        <w:pStyle w:val="BodyText"/>
        <w:numPr>
          <w:ilvl w:val="0"/>
          <w:numId w:val="509"/>
        </w:numPr>
        <w:tabs>
          <w:tab w:val="clear" w:pos="709"/>
          <w:tab w:val="left" w:pos="709" w:leader="none"/>
        </w:tabs>
        <w:bidi w:val="0"/>
        <w:ind w:hanging="283" w:start="709"/>
        <w:jc w:val="start"/>
        <w:rPr/>
      </w:pPr>
      <w:r>
        <w:rPr/>
        <w:t xml:space="preserve">Translation: most of what he owns is so-so; </w:t>
      </w:r>
      <w:r>
        <w:rPr>
          <w:b/>
        </w:rPr>
        <w:t>the few account for all the profits.</w:t>
      </w:r>
    </w:p>
    <w:p>
      <w:pPr>
        <w:pStyle w:val="BodyText"/>
        <w:numPr>
          <w:ilvl w:val="0"/>
          <w:numId w:val="509"/>
        </w:numPr>
        <w:tabs>
          <w:tab w:val="clear" w:pos="709"/>
          <w:tab w:val="left" w:pos="709" w:leader="none"/>
        </w:tabs>
        <w:bidi w:val="0"/>
        <w:ind w:hanging="283" w:start="709"/>
        <w:jc w:val="start"/>
        <w:rPr/>
      </w:pPr>
      <w:r>
        <w:rPr/>
        <w:t xml:space="preserve">Over 58 years Buffett bought and owned </w:t>
      </w:r>
      <w:r>
        <w:rPr>
          <w:b/>
        </w:rPr>
        <w:t>over 210 stocks and businesses</w:t>
      </w:r>
      <w:r>
        <w:rPr/>
        <w:t xml:space="preserve">. Only </w:t>
      </w:r>
      <w:r>
        <w:rPr>
          <w:b/>
        </w:rPr>
        <w:t>5% — "about a dozen" (12 of 200+) — contributed 90% of all his gains.</w:t>
      </w:r>
    </w:p>
    <w:p>
      <w:pPr>
        <w:pStyle w:val="BodyText"/>
        <w:bidi w:val="0"/>
        <w:jc w:val="start"/>
        <w:rPr/>
      </w:pPr>
      <w:r>
        <w:rPr>
          <w:b/>
        </w:rPr>
        <w:t>Buffett's 5-year holding performance as presented (Apple, HPQ, AXP, CVX, Bank of America, Coca-Cola, Occidental Petroleum, NU, KHC, PARA):</w:t>
      </w:r>
    </w:p>
    <w:p>
      <w:pPr>
        <w:pStyle w:val="BodyText"/>
        <w:numPr>
          <w:ilvl w:val="0"/>
          <w:numId w:val="510"/>
        </w:numPr>
        <w:tabs>
          <w:tab w:val="clear" w:pos="709"/>
          <w:tab w:val="left" w:pos="709" w:leader="none"/>
        </w:tabs>
        <w:bidi w:val="0"/>
        <w:ind w:hanging="283" w:start="709"/>
        <w:jc w:val="start"/>
        <w:rPr/>
      </w:pPr>
      <w:r>
        <w:rPr/>
        <w:t xml:space="preserve">Only </w:t>
      </w:r>
      <w:r>
        <w:rPr>
          <w:b/>
        </w:rPr>
        <w:t>Apple</w:t>
      </w:r>
      <w:r>
        <w:rPr/>
        <w:t xml:space="preserve"> did very well.</w:t>
      </w:r>
    </w:p>
    <w:p>
      <w:pPr>
        <w:pStyle w:val="BodyText"/>
        <w:numPr>
          <w:ilvl w:val="0"/>
          <w:numId w:val="510"/>
        </w:numPr>
        <w:tabs>
          <w:tab w:val="clear" w:pos="709"/>
          <w:tab w:val="left" w:pos="709" w:leader="none"/>
        </w:tabs>
        <w:bidi w:val="0"/>
        <w:ind w:hanging="283" w:start="709"/>
        <w:jc w:val="start"/>
        <w:rPr/>
      </w:pPr>
      <w:r>
        <w:rPr>
          <w:b/>
        </w:rPr>
        <w:t>HPQ</w:t>
      </w:r>
      <w:r>
        <w:rPr/>
        <w:t xml:space="preserve"> and </w:t>
      </w:r>
      <w:r>
        <w:rPr>
          <w:b/>
        </w:rPr>
        <w:t>AXP</w:t>
      </w:r>
      <w:r>
        <w:rPr/>
        <w:t xml:space="preserve"> did slightly better than the S&amp;P 500.</w:t>
      </w:r>
    </w:p>
    <w:p>
      <w:pPr>
        <w:pStyle w:val="BodyText"/>
        <w:numPr>
          <w:ilvl w:val="0"/>
          <w:numId w:val="510"/>
        </w:numPr>
        <w:tabs>
          <w:tab w:val="clear" w:pos="709"/>
          <w:tab w:val="left" w:pos="709" w:leader="none"/>
        </w:tabs>
        <w:bidi w:val="0"/>
        <w:ind w:hanging="283" w:start="709"/>
        <w:jc w:val="start"/>
        <w:rPr/>
      </w:pPr>
      <w:r>
        <w:rPr>
          <w:b/>
        </w:rPr>
        <w:t>CVX, Bank of America, Coca-Cola, Occidental</w:t>
      </w:r>
      <w:r>
        <w:rPr/>
        <w:t xml:space="preserve"> made positive gains but </w:t>
      </w:r>
      <w:r>
        <w:rPr>
          <w:b/>
        </w:rPr>
        <w:t>underperformed</w:t>
      </w:r>
      <w:r>
        <w:rPr/>
        <w:t xml:space="preserve"> the S&amp;P 500.</w:t>
      </w:r>
    </w:p>
    <w:p>
      <w:pPr>
        <w:pStyle w:val="BodyText"/>
        <w:numPr>
          <w:ilvl w:val="0"/>
          <w:numId w:val="510"/>
        </w:numPr>
        <w:tabs>
          <w:tab w:val="clear" w:pos="709"/>
          <w:tab w:val="left" w:pos="709" w:leader="none"/>
        </w:tabs>
        <w:bidi w:val="0"/>
        <w:ind w:hanging="283" w:start="709"/>
        <w:jc w:val="start"/>
        <w:rPr/>
      </w:pPr>
      <w:r>
        <w:rPr>
          <w:b/>
        </w:rPr>
        <w:t>Three stocks made negative returns: −30%, −35%, −69%.</w:t>
      </w:r>
    </w:p>
    <w:p>
      <w:pPr>
        <w:pStyle w:val="Heading4"/>
        <w:numPr>
          <w:ilvl w:val="0"/>
          <w:numId w:val="0"/>
        </w:numPr>
        <w:bidi w:val="0"/>
        <w:ind w:hanging="0" w:start="0"/>
        <w:jc w:val="start"/>
        <w:rPr/>
      </w:pPr>
      <w:r>
        <w:rPr/>
        <w:t>12.2 The same distribution in Adam's own portfolio</w:t>
      </w:r>
    </w:p>
    <w:p>
      <w:pPr>
        <w:pStyle w:val="BodyText"/>
        <w:bidi w:val="0"/>
        <w:jc w:val="start"/>
        <w:rPr/>
      </w:pPr>
      <w:r>
        <w:rPr>
          <w:b/>
        </w:rPr>
        <w:t>Expected outcome per 10 stocks bought:</w:t>
      </w:r>
      <w:r>
        <w:rPr/>
        <w:t xml:space="preserve"> | Bucket | Count out of 10 | |---|---| | </w:t>
      </w:r>
      <w:r>
        <w:rPr>
          <w:b/>
        </w:rPr>
        <w:t>Exceptional outperformers</w:t>
      </w:r>
      <w:r>
        <w:rPr/>
        <w:t xml:space="preserve"> | </w:t>
      </w:r>
      <w:r>
        <w:rPr>
          <w:b/>
        </w:rPr>
        <w:t>2 to 3</w:t>
      </w:r>
      <w:r>
        <w:rPr/>
        <w:t xml:space="preserve"> | | </w:t>
      </w:r>
      <w:r>
        <w:rPr>
          <w:b/>
        </w:rPr>
        <w:t>Do well</w:t>
      </w:r>
      <w:r>
        <w:rPr/>
        <w:t xml:space="preserve"> | </w:t>
      </w:r>
      <w:r>
        <w:rPr>
          <w:b/>
        </w:rPr>
        <w:t>4 to 6</w:t>
      </w:r>
      <w:r>
        <w:rPr/>
        <w:t xml:space="preserve"> | | </w:t>
      </w:r>
      <w:r>
        <w:rPr>
          <w:b/>
        </w:rPr>
        <w:t>Suck (at least in the short term)</w:t>
      </w:r>
      <w:r>
        <w:rPr/>
        <w:t xml:space="preserve"> | </w:t>
      </w:r>
      <w:r>
        <w:rPr>
          <w:b/>
        </w:rPr>
        <w:t>2 to 3</w:t>
      </w:r>
      <w:r>
        <w:rPr/>
        <w:t xml:space="preserve"> |</w:t>
      </w:r>
    </w:p>
    <w:p>
      <w:pPr>
        <w:pStyle w:val="BodyText"/>
        <w:bidi w:val="0"/>
        <w:jc w:val="start"/>
        <w:rPr/>
      </w:pPr>
      <w:r>
        <w:rPr>
          <w:b/>
        </w:rPr>
        <w:t>Real 5-year sample of 10 of his ~40 holdings:</w:t>
      </w:r>
      <w:r>
        <w:rPr/>
        <w:t xml:space="preserve"> | Stock | 5-year return | Bucket | |---|---|---| | </w:t>
      </w:r>
      <w:r>
        <w:rPr>
          <w:b/>
        </w:rPr>
        <w:t>NVIDIA</w:t>
      </w:r>
      <w:r>
        <w:rPr/>
        <w:t xml:space="preserve"> | </w:t>
      </w:r>
      <w:r>
        <w:rPr>
          <w:b/>
        </w:rPr>
        <w:t>+700%</w:t>
      </w:r>
      <w:r>
        <w:rPr/>
        <w:t xml:space="preserve"> | Way outperformed S&amp;P | | </w:t>
      </w:r>
      <w:r>
        <w:rPr>
          <w:b/>
        </w:rPr>
        <w:t>ASML</w:t>
      </w:r>
      <w:r>
        <w:rPr/>
        <w:t xml:space="preserve"> | </w:t>
      </w:r>
      <w:r>
        <w:rPr>
          <w:b/>
        </w:rPr>
        <w:t>+281%</w:t>
      </w:r>
      <w:r>
        <w:rPr/>
        <w:t xml:space="preserve"> | Way outperformed S&amp;P | | </w:t>
      </w:r>
      <w:r>
        <w:rPr>
          <w:b/>
        </w:rPr>
        <w:t>Apple</w:t>
      </w:r>
      <w:r>
        <w:rPr/>
        <w:t xml:space="preserve"> | </w:t>
      </w:r>
      <w:r>
        <w:rPr>
          <w:b/>
        </w:rPr>
        <w:t>+257%</w:t>
      </w:r>
      <w:r>
        <w:rPr/>
        <w:t xml:space="preserve"> | Way outperformed S&amp;P | | </w:t>
      </w:r>
      <w:r>
        <w:rPr>
          <w:b/>
        </w:rPr>
        <w:t>Microsoft</w:t>
      </w:r>
      <w:r>
        <w:rPr/>
        <w:t xml:space="preserve"> | </w:t>
      </w:r>
      <w:r>
        <w:rPr>
          <w:b/>
        </w:rPr>
        <w:t>+237%</w:t>
      </w:r>
      <w:r>
        <w:rPr/>
        <w:t xml:space="preserve"> | Way outperformed S&amp;P | | </w:t>
      </w:r>
      <w:r>
        <w:rPr>
          <w:b/>
        </w:rPr>
        <w:t>Lowe's</w:t>
      </w:r>
      <w:r>
        <w:rPr/>
        <w:t xml:space="preserve"> | pretty good, slightly above S&amp;P | Did well | | </w:t>
      </w:r>
      <w:r>
        <w:rPr>
          <w:b/>
        </w:rPr>
        <w:t>Meta</w:t>
      </w:r>
      <w:r>
        <w:rPr/>
        <w:t xml:space="preserve"> | pretty good, slightly above S&amp;P | Did well | | </w:t>
      </w:r>
      <w:r>
        <w:rPr>
          <w:b/>
        </w:rPr>
        <w:t>Amazon</w:t>
      </w:r>
      <w:r>
        <w:rPr/>
        <w:t xml:space="preserve"> | just slightly below S&amp;P | Did well | | </w:t>
      </w:r>
      <w:r>
        <w:rPr>
          <w:b/>
        </w:rPr>
        <w:t>Estee Lauder</w:t>
      </w:r>
      <w:r>
        <w:rPr/>
        <w:t xml:space="preserve"> | </w:t>
      </w:r>
      <w:r>
        <w:rPr>
          <w:b/>
        </w:rPr>
        <w:t>−15%</w:t>
      </w:r>
      <w:r>
        <w:rPr/>
        <w:t xml:space="preserve"> | Underperformer | | </w:t>
      </w:r>
      <w:r>
        <w:rPr>
          <w:b/>
        </w:rPr>
        <w:t>Disney</w:t>
      </w:r>
      <w:r>
        <w:rPr/>
        <w:t xml:space="preserve"> | </w:t>
      </w:r>
      <w:r>
        <w:rPr>
          <w:b/>
        </w:rPr>
        <w:t>−26%</w:t>
      </w:r>
      <w:r>
        <w:rPr/>
        <w:t xml:space="preserve"> (already sold) | Underperformer | | </w:t>
      </w:r>
      <w:r>
        <w:rPr>
          <w:b/>
        </w:rPr>
        <w:t>Alibaba</w:t>
      </w:r>
      <w:r>
        <w:rPr/>
        <w:t xml:space="preserve"> | </w:t>
      </w:r>
      <w:r>
        <w:rPr>
          <w:b/>
        </w:rPr>
        <w:t>−41%</w:t>
      </w:r>
      <w:r>
        <w:rPr/>
        <w:t xml:space="preserve"> | Underperformer |</w:t>
      </w:r>
    </w:p>
    <w:p>
      <w:pPr>
        <w:pStyle w:val="Heading4"/>
        <w:bidi w:val="0"/>
        <w:ind w:hanging="0" w:start="0"/>
        <w:jc w:val="start"/>
        <w:rPr/>
      </w:pPr>
      <w:r>
        <w:rPr/>
        <w:t>12.3 The operating conclusion</w:t>
      </w:r>
    </w:p>
    <w:p>
      <w:pPr>
        <w:pStyle w:val="BodyText"/>
        <w:numPr>
          <w:ilvl w:val="0"/>
          <w:numId w:val="511"/>
        </w:numPr>
        <w:tabs>
          <w:tab w:val="clear" w:pos="709"/>
          <w:tab w:val="left" w:pos="709" w:leader="none"/>
        </w:tabs>
        <w:bidi w:val="0"/>
        <w:ind w:hanging="283" w:start="709"/>
        <w:jc w:val="start"/>
        <w:rPr/>
      </w:pPr>
      <w:r>
        <w:rPr>
          <w:b/>
        </w:rPr>
        <w:t>When you buy the 10 stocks you will never know which ones will outperform</w:t>
      </w:r>
      <w:r>
        <w:rPr/>
        <w:t xml:space="preserve"> and which will underperform. You only know after it happens — often after 5 years.</w:t>
      </w:r>
    </w:p>
    <w:p>
      <w:pPr>
        <w:pStyle w:val="BodyText"/>
        <w:numPr>
          <w:ilvl w:val="0"/>
          <w:numId w:val="511"/>
        </w:numPr>
        <w:tabs>
          <w:tab w:val="clear" w:pos="709"/>
          <w:tab w:val="left" w:pos="709" w:leader="none"/>
        </w:tabs>
        <w:bidi w:val="0"/>
        <w:ind w:hanging="283" w:start="709"/>
        <w:jc w:val="start"/>
        <w:rPr/>
      </w:pPr>
      <w:r>
        <w:rPr/>
        <w:t xml:space="preserve">Therefore: </w:t>
      </w:r>
      <w:r>
        <w:rPr>
          <w:b/>
        </w:rPr>
        <w:t>keep all of them</w:t>
      </w:r>
      <w:r>
        <w:rPr/>
        <w:t xml:space="preserve">, so the </w:t>
      </w:r>
      <w:r>
        <w:rPr>
          <w:b/>
        </w:rPr>
        <w:t>massive gains from the winners more than offset the temporary drops from the losers.</w:t>
      </w:r>
    </w:p>
    <w:p>
      <w:pPr>
        <w:pStyle w:val="BodyText"/>
        <w:numPr>
          <w:ilvl w:val="0"/>
          <w:numId w:val="511"/>
        </w:numPr>
        <w:tabs>
          <w:tab w:val="clear" w:pos="709"/>
          <w:tab w:val="left" w:pos="709" w:leader="none"/>
        </w:tabs>
        <w:bidi w:val="0"/>
        <w:ind w:hanging="283" w:start="709"/>
        <w:jc w:val="start"/>
        <w:rPr/>
      </w:pPr>
      <w:r>
        <w:rPr/>
        <w:t>Net-net the portfolio still grows and beats the S&amp;P 500.</w:t>
      </w:r>
    </w:p>
    <w:p>
      <w:pPr>
        <w:pStyle w:val="BodyText"/>
        <w:numPr>
          <w:ilvl w:val="0"/>
          <w:numId w:val="511"/>
        </w:numPr>
        <w:tabs>
          <w:tab w:val="clear" w:pos="709"/>
          <w:tab w:val="left" w:pos="709" w:leader="none"/>
        </w:tabs>
        <w:bidi w:val="0"/>
        <w:ind w:hanging="283" w:start="709"/>
        <w:jc w:val="start"/>
        <w:rPr/>
      </w:pPr>
      <w:r>
        <w:rPr/>
        <w:t xml:space="preserve">This is the mathematical justification for </w:t>
      </w:r>
      <w:r>
        <w:rPr>
          <w:b/>
        </w:rPr>
        <w:t>not rebalancing</w:t>
      </w:r>
      <w:r>
        <w:rPr/>
        <w:t xml:space="preserve">, </w:t>
      </w:r>
      <w:r>
        <w:rPr>
          <w:b/>
        </w:rPr>
        <w:t>not cutting winners</w:t>
      </w:r>
      <w:r>
        <w:rPr/>
        <w:t xml:space="preserve">, and </w:t>
      </w:r>
      <w:r>
        <w:rPr>
          <w:b/>
        </w:rPr>
        <w:t>not averaging into losers</w:t>
      </w:r>
      <w:r>
        <w:rPr/>
        <w:t>.</w:t>
      </w:r>
    </w:p>
    <w:p>
      <w:pPr>
        <w:pStyle w:val="HorizontalLine"/>
        <w:bidi w:val="0"/>
        <w:jc w:val="start"/>
        <w:rPr/>
      </w:pPr>
      <w:r>
        <w:rPr/>
      </w:r>
    </w:p>
    <w:p>
      <w:pPr>
        <w:pStyle w:val="Heading3"/>
        <w:bidi w:val="0"/>
        <w:ind w:hanging="0" w:start="0"/>
        <w:jc w:val="start"/>
        <w:rPr/>
      </w:pPr>
      <w:r>
        <w:rPr/>
        <w:t>13. Key Takeaways</w:t>
      </w:r>
    </w:p>
    <w:p>
      <w:pPr>
        <w:pStyle w:val="BodyText"/>
        <w:numPr>
          <w:ilvl w:val="0"/>
          <w:numId w:val="512"/>
        </w:numPr>
        <w:tabs>
          <w:tab w:val="clear" w:pos="709"/>
          <w:tab w:val="left" w:pos="709" w:leader="none"/>
        </w:tabs>
        <w:bidi w:val="0"/>
        <w:ind w:hanging="283" w:start="709"/>
        <w:jc w:val="start"/>
        <w:rPr/>
      </w:pPr>
      <w:r>
        <w:rPr>
          <w:b/>
        </w:rPr>
        <w:t>Never go all-in on one stock</w:t>
      </w:r>
      <w:r>
        <w:rPr/>
        <w:t xml:space="preserve"> — no matter how great the business. Boeing was a great company and lost 80% on events nobody could predict.</w:t>
      </w:r>
    </w:p>
    <w:p>
      <w:pPr>
        <w:pStyle w:val="BodyText"/>
        <w:numPr>
          <w:ilvl w:val="0"/>
          <w:numId w:val="512"/>
        </w:numPr>
        <w:tabs>
          <w:tab w:val="clear" w:pos="709"/>
          <w:tab w:val="left" w:pos="709" w:leader="none"/>
        </w:tabs>
        <w:bidi w:val="0"/>
        <w:ind w:hanging="283" w:start="709"/>
        <w:jc w:val="start"/>
        <w:rPr/>
      </w:pPr>
      <w:r>
        <w:rPr>
          <w:b/>
        </w:rPr>
        <w:t>Minimum 8 stocks, comfortably 8–30, hard ceiling 60</w:t>
      </w:r>
      <w:r>
        <w:rPr/>
        <w:t xml:space="preserve"> (top 1% of 6,000 US stocks). Adam runs ~40 only because he invests full time.</w:t>
      </w:r>
    </w:p>
    <w:p>
      <w:pPr>
        <w:pStyle w:val="BodyText"/>
        <w:numPr>
          <w:ilvl w:val="0"/>
          <w:numId w:val="512"/>
        </w:numPr>
        <w:tabs>
          <w:tab w:val="clear" w:pos="709"/>
          <w:tab w:val="left" w:pos="709" w:leader="none"/>
        </w:tabs>
        <w:bidi w:val="0"/>
        <w:ind w:hanging="283" w:start="709"/>
        <w:jc w:val="start"/>
        <w:rPr/>
      </w:pPr>
      <w:r>
        <w:rPr>
          <w:b/>
        </w:rPr>
        <w:t>Full allocation = 100% ÷ number of stocks.</w:t>
      </w:r>
      <w:r>
        <w:rPr/>
        <w:t xml:space="preserve"> 10 stocks → 10%; 20 → 5%; 30 → 3.33%; 40 → 2.5%.</w:t>
      </w:r>
    </w:p>
    <w:p>
      <w:pPr>
        <w:pStyle w:val="BodyText"/>
        <w:numPr>
          <w:ilvl w:val="0"/>
          <w:numId w:val="512"/>
        </w:numPr>
        <w:tabs>
          <w:tab w:val="clear" w:pos="709"/>
          <w:tab w:val="left" w:pos="709" w:leader="none"/>
        </w:tabs>
        <w:bidi w:val="0"/>
        <w:ind w:hanging="283" w:start="709"/>
        <w:jc w:val="start"/>
        <w:rPr/>
      </w:pPr>
      <w:r>
        <w:rPr>
          <w:b/>
        </w:rPr>
        <w:t>Speculative growth and turnaround positions get ½ or ⅓ of a normal position</w:t>
      </w:r>
      <w:r>
        <w:rPr/>
        <w:t xml:space="preserve"> — 1% instead of 2%, 2.5% instead of 5%.</w:t>
      </w:r>
    </w:p>
    <w:p>
      <w:pPr>
        <w:pStyle w:val="BodyText"/>
        <w:numPr>
          <w:ilvl w:val="0"/>
          <w:numId w:val="512"/>
        </w:numPr>
        <w:tabs>
          <w:tab w:val="clear" w:pos="709"/>
          <w:tab w:val="left" w:pos="709" w:leader="none"/>
        </w:tabs>
        <w:bidi w:val="0"/>
        <w:ind w:hanging="283" w:start="709"/>
        <w:jc w:val="start"/>
        <w:rPr/>
      </w:pPr>
      <w:r>
        <w:rPr>
          <w:b/>
        </w:rPr>
        <w:t>Three conditions to add shares:</w:t>
      </w:r>
      <w:r>
        <w:rPr/>
        <w:t xml:space="preserve"> undervalued + at support + not yet at full allocation. Once full, stop buying.</w:t>
      </w:r>
    </w:p>
    <w:p>
      <w:pPr>
        <w:pStyle w:val="BodyText"/>
        <w:numPr>
          <w:ilvl w:val="0"/>
          <w:numId w:val="512"/>
        </w:numPr>
        <w:tabs>
          <w:tab w:val="clear" w:pos="709"/>
          <w:tab w:val="left" w:pos="709" w:leader="none"/>
        </w:tabs>
        <w:bidi w:val="0"/>
        <w:ind w:hanging="283" w:start="709"/>
        <w:jc w:val="start"/>
        <w:rPr/>
      </w:pPr>
      <w:r>
        <w:rPr>
          <w:b/>
        </w:rPr>
        <w:t>Buy in 3–4 tranches</w:t>
      </w:r>
      <w:r>
        <w:rPr/>
        <w:t xml:space="preserve"> (quarters) at successive support levels, never all at once.</w:t>
      </w:r>
    </w:p>
    <w:p>
      <w:pPr>
        <w:pStyle w:val="BodyText"/>
        <w:numPr>
          <w:ilvl w:val="0"/>
          <w:numId w:val="512"/>
        </w:numPr>
        <w:tabs>
          <w:tab w:val="clear" w:pos="709"/>
          <w:tab w:val="left" w:pos="709" w:leader="none"/>
        </w:tabs>
        <w:bidi w:val="0"/>
        <w:ind w:hanging="283" w:start="709"/>
        <w:jc w:val="start"/>
        <w:rPr/>
      </w:pPr>
      <w:r>
        <w:rPr>
          <w:b/>
        </w:rPr>
        <w:t>Never rebalance in either direction.</w:t>
      </w:r>
      <w:r>
        <w:rPr/>
        <w:t xml:space="preserve"> Don't trim winners that grew organically (Meta 2.5% → 6.9% stays); don't top up losers back to target weight. </w:t>
      </w:r>
      <w:r>
        <w:rPr>
          <w:i/>
        </w:rPr>
        <w:t>"Do not cut your flowers… don't water the weeds."</w:t>
      </w:r>
    </w:p>
    <w:p>
      <w:pPr>
        <w:pStyle w:val="BodyText"/>
        <w:numPr>
          <w:ilvl w:val="0"/>
          <w:numId w:val="512"/>
        </w:numPr>
        <w:tabs>
          <w:tab w:val="clear" w:pos="709"/>
          <w:tab w:val="left" w:pos="709" w:leader="none"/>
        </w:tabs>
        <w:bidi w:val="0"/>
        <w:ind w:hanging="283" w:start="709"/>
        <w:jc w:val="start"/>
        <w:rPr/>
      </w:pPr>
      <w:r>
        <w:rPr>
          <w:b/>
        </w:rPr>
        <w:t>Diversify across sectors, industries and markets</w:t>
      </w:r>
      <w:r>
        <w:rPr/>
        <w:t>, not just across tickers. ~90% US, 3% China/HK, remainder Europe.</w:t>
      </w:r>
    </w:p>
    <w:p>
      <w:pPr>
        <w:pStyle w:val="BodyText"/>
        <w:numPr>
          <w:ilvl w:val="0"/>
          <w:numId w:val="512"/>
        </w:numPr>
        <w:tabs>
          <w:tab w:val="clear" w:pos="709"/>
          <w:tab w:val="left" w:pos="709" w:leader="none"/>
        </w:tabs>
        <w:bidi w:val="0"/>
        <w:ind w:hanging="283" w:start="709"/>
        <w:jc w:val="start"/>
        <w:rPr/>
      </w:pPr>
      <w:r>
        <w:rPr>
          <w:b/>
        </w:rPr>
        <w:t>The objective is never losing money over 2–4 years</w:t>
      </w:r>
      <w:r>
        <w:rPr/>
        <w:t>, not maximum gain. A portfolio of undervalued great companies held over time makes losing money effectively impossible.</w:t>
      </w:r>
    </w:p>
    <w:p>
      <w:pPr>
        <w:pStyle w:val="BodyText"/>
        <w:numPr>
          <w:ilvl w:val="0"/>
          <w:numId w:val="512"/>
        </w:numPr>
        <w:tabs>
          <w:tab w:val="clear" w:pos="709"/>
          <w:tab w:val="left" w:pos="709" w:leader="none"/>
        </w:tabs>
        <w:bidi w:val="0"/>
        <w:ind w:hanging="283" w:start="709"/>
        <w:jc w:val="start"/>
        <w:rPr/>
      </w:pPr>
      <w:r>
        <w:rPr>
          <w:b/>
        </w:rPr>
        <w:t>Win rate matters more than perfection:</w:t>
      </w:r>
      <w:r>
        <w:rPr/>
        <w:t xml:space="preserve"> aim to be right </w:t>
      </w:r>
      <w:r>
        <w:rPr>
          <w:b/>
        </w:rPr>
        <w:t>80–90%</w:t>
      </w:r>
      <w:r>
        <w:rPr/>
        <w:t xml:space="preserve"> of the time and cap losses on the failing 10–20%.</w:t>
      </w:r>
    </w:p>
    <w:p>
      <w:pPr>
        <w:pStyle w:val="BodyText"/>
        <w:numPr>
          <w:ilvl w:val="0"/>
          <w:numId w:val="512"/>
        </w:numPr>
        <w:tabs>
          <w:tab w:val="clear" w:pos="709"/>
          <w:tab w:val="left" w:pos="709" w:leader="none"/>
        </w:tabs>
        <w:bidi w:val="0"/>
        <w:ind w:hanging="283" w:start="709"/>
        <w:jc w:val="start"/>
        <w:rPr/>
      </w:pPr>
      <w:r>
        <w:rPr>
          <w:b/>
        </w:rPr>
        <w:t>Three stock types:</w:t>
      </w:r>
      <w:r>
        <w:rPr/>
        <w:t xml:space="preserve"> defensive (5–10% growth, protects in recessions), cyclical (boom/bust), growth/moderately cyclical (the core engine).</w:t>
      </w:r>
    </w:p>
    <w:p>
      <w:pPr>
        <w:pStyle w:val="BodyText"/>
        <w:numPr>
          <w:ilvl w:val="0"/>
          <w:numId w:val="512"/>
        </w:numPr>
        <w:tabs>
          <w:tab w:val="clear" w:pos="709"/>
          <w:tab w:val="left" w:pos="709" w:leader="none"/>
        </w:tabs>
        <w:bidi w:val="0"/>
        <w:ind w:hanging="283" w:start="709"/>
        <w:jc w:val="start"/>
        <w:rPr/>
      </w:pPr>
      <w:r>
        <w:rPr>
          <w:b/>
        </w:rPr>
        <w:t>Favourite sectors: Technology, Consumer Discretionary, Healthcare, and Financials</w:t>
      </w:r>
      <w:r>
        <w:rPr/>
        <w:t xml:space="preserve"> (the one cyclical sector he leans into, via toll-booth companies, payment networks and strong insurers).</w:t>
      </w:r>
    </w:p>
    <w:p>
      <w:pPr>
        <w:pStyle w:val="BodyText"/>
        <w:numPr>
          <w:ilvl w:val="0"/>
          <w:numId w:val="512"/>
        </w:numPr>
        <w:tabs>
          <w:tab w:val="clear" w:pos="709"/>
          <w:tab w:val="left" w:pos="709" w:leader="none"/>
        </w:tabs>
        <w:bidi w:val="0"/>
        <w:ind w:hanging="283" w:start="709"/>
        <w:jc w:val="start"/>
        <w:rPr/>
      </w:pPr>
      <w:r>
        <w:rPr>
          <w:b/>
        </w:rPr>
        <w:t>Avoided sectors: Real Estate, Energy, Basic Materials, Utilities</w:t>
      </w:r>
      <w:r>
        <w:rPr/>
        <w:t xml:space="preserve"> — all underperform the S&amp;P long run, with high debt, low margins, low ROE and unpredictable profits. Consumer staples underperform too but are kept as recession ballast.</w:t>
      </w:r>
    </w:p>
    <w:p>
      <w:pPr>
        <w:pStyle w:val="BodyText"/>
        <w:numPr>
          <w:ilvl w:val="0"/>
          <w:numId w:val="512"/>
        </w:numPr>
        <w:tabs>
          <w:tab w:val="clear" w:pos="709"/>
          <w:tab w:val="left" w:pos="709" w:leader="none"/>
        </w:tabs>
        <w:bidi w:val="0"/>
        <w:ind w:hanging="283" w:start="709"/>
        <w:jc w:val="start"/>
        <w:rPr/>
      </w:pPr>
      <w:r>
        <w:rPr>
          <w:b/>
        </w:rPr>
        <w:t>Every purchase needs a thesis</w:t>
      </w:r>
      <w:r>
        <w:rPr/>
        <w:t xml:space="preserve"> that fits one of the </w:t>
      </w:r>
      <w:r>
        <w:rPr>
          <w:b/>
        </w:rPr>
        <w:t>8 investment categories</w:t>
      </w:r>
      <w:r>
        <w:rPr/>
        <w:t>. If it doesn't fit, don't buy it. Only ever compare stocks within the same category.</w:t>
      </w:r>
    </w:p>
    <w:p>
      <w:pPr>
        <w:pStyle w:val="BodyText"/>
        <w:numPr>
          <w:ilvl w:val="0"/>
          <w:numId w:val="512"/>
        </w:numPr>
        <w:tabs>
          <w:tab w:val="clear" w:pos="709"/>
          <w:tab w:val="left" w:pos="709" w:leader="none"/>
        </w:tabs>
        <w:bidi w:val="0"/>
        <w:ind w:hanging="283" w:start="709"/>
        <w:jc w:val="start"/>
        <w:rPr/>
      </w:pPr>
      <w:r>
        <w:rPr>
          <w:b/>
        </w:rPr>
        <w:t>Dividends: Singapore, not the US.</w:t>
      </w:r>
      <w:r>
        <w:rPr/>
        <w:t xml:space="preserve"> US dividends are taxed </w:t>
      </w:r>
      <w:r>
        <w:rPr>
          <w:b/>
        </w:rPr>
        <w:t>30%</w:t>
      </w:r>
      <w:r>
        <w:rPr/>
        <w:t xml:space="preserve"> for foreigners and quality yields max out near 3%; Singapore yields 4–6% and are </w:t>
      </w:r>
      <w:r>
        <w:rPr>
          <w:b/>
        </w:rPr>
        <w:t>tax free</w:t>
      </w:r>
      <w:r>
        <w:rPr/>
        <w:t xml:space="preserve">. The exception is </w:t>
      </w:r>
      <w:r>
        <w:rPr>
          <w:b/>
        </w:rPr>
        <w:t>BDCs</w:t>
      </w:r>
      <w:r>
        <w:rPr/>
        <w:t>, the only US-listed income vehicle he buys (8–12% yields, exempt from the 30% withholding).</w:t>
      </w:r>
    </w:p>
    <w:p>
      <w:pPr>
        <w:pStyle w:val="BodyText"/>
        <w:numPr>
          <w:ilvl w:val="0"/>
          <w:numId w:val="512"/>
        </w:numPr>
        <w:tabs>
          <w:tab w:val="clear" w:pos="709"/>
          <w:tab w:val="left" w:pos="709" w:leader="none"/>
        </w:tabs>
        <w:bidi w:val="0"/>
        <w:ind w:hanging="283" w:start="709"/>
        <w:jc w:val="start"/>
        <w:rPr/>
      </w:pPr>
      <w:r>
        <w:rPr>
          <w:b/>
        </w:rPr>
        <w:t>Dividend selection metrics:</w:t>
      </w:r>
      <w:r>
        <w:rPr/>
        <w:t xml:space="preserve"> yield ≥5% (SG), rising DPS 5 years, rising net income and CFO 5 years, stable/rising price, payout ratio 20–100%, current ratio &gt;1, debt servicing &lt;30%, avoid cyclicals.</w:t>
      </w:r>
    </w:p>
    <w:p>
      <w:pPr>
        <w:pStyle w:val="BodyText"/>
        <w:numPr>
          <w:ilvl w:val="0"/>
          <w:numId w:val="512"/>
        </w:numPr>
        <w:tabs>
          <w:tab w:val="clear" w:pos="709"/>
          <w:tab w:val="left" w:pos="709" w:leader="none"/>
        </w:tabs>
        <w:bidi w:val="0"/>
        <w:ind w:hanging="283" w:start="709"/>
        <w:jc w:val="start"/>
        <w:rPr/>
      </w:pPr>
      <w:r>
        <w:rPr>
          <w:b/>
        </w:rPr>
        <w:t>Speculative growth valuation: PSG = P/S ÷ projected revenue growth. 0.2–0.3 = fair; &gt;0.3 = overvalued.</w:t>
      </w:r>
    </w:p>
    <w:p>
      <w:pPr>
        <w:pStyle w:val="BodyText"/>
        <w:numPr>
          <w:ilvl w:val="0"/>
          <w:numId w:val="512"/>
        </w:numPr>
        <w:tabs>
          <w:tab w:val="clear" w:pos="709"/>
          <w:tab w:val="left" w:pos="709" w:leader="none"/>
        </w:tabs>
        <w:bidi w:val="0"/>
        <w:ind w:hanging="283" w:start="709"/>
        <w:jc w:val="start"/>
        <w:rPr/>
      </w:pPr>
      <w:r>
        <w:rPr>
          <w:b/>
        </w:rPr>
        <w:t>Turnaround trigger: profits −25% in one year, or two consecutive years of decline</w:t>
      </w:r>
      <w:r>
        <w:rPr/>
        <w:t>, with the moat intact; stock can be 40–50% below intrinsic value.</w:t>
      </w:r>
    </w:p>
    <w:p>
      <w:pPr>
        <w:pStyle w:val="BodyText"/>
        <w:numPr>
          <w:ilvl w:val="0"/>
          <w:numId w:val="512"/>
        </w:numPr>
        <w:tabs>
          <w:tab w:val="clear" w:pos="709"/>
          <w:tab w:val="left" w:pos="709" w:leader="none"/>
        </w:tabs>
        <w:bidi w:val="0"/>
        <w:ind w:hanging="283" w:start="709"/>
        <w:jc w:val="start"/>
        <w:rPr/>
      </w:pPr>
      <w:r>
        <w:rPr>
          <w:b/>
        </w:rPr>
        <w:t>The 5%/95% rule:</w:t>
      </w:r>
      <w:r>
        <w:rPr/>
        <w:t xml:space="preserve"> 95% of profits come from 5% of holdings. Buffett: 12 of 210+ stocks produced 90% of gains over 58 years. Expect 2–3 winners, 4–6 decent, 2–3 duds per 10 stocks — and you can't know in advance which is which, so hold them all.</w:t>
      </w:r>
    </w:p>
    <w:p>
      <w:pPr>
        <w:pStyle w:val="BodyText"/>
        <w:numPr>
          <w:ilvl w:val="0"/>
          <w:numId w:val="512"/>
        </w:numPr>
        <w:tabs>
          <w:tab w:val="clear" w:pos="709"/>
          <w:tab w:val="left" w:pos="709" w:leader="none"/>
        </w:tabs>
        <w:bidi w:val="0"/>
        <w:ind w:hanging="283" w:start="709"/>
        <w:jc w:val="start"/>
        <w:rPr/>
      </w:pPr>
      <w:r>
        <w:rPr>
          <w:b/>
        </w:rPr>
        <w:t>Categories are not permanent</w:t>
      </w:r>
      <w:r>
        <w:rPr/>
        <w:t xml:space="preserve"> — Apple went growth → predictable, Meta went growth → turnaround → growth, Palantir will go speculative → growth once it has 5 years of consistent profits.</w:t>
      </w:r>
    </w:p>
    <w:p>
      <w:pPr>
        <w:pStyle w:val="HorizontalLine"/>
        <w:bidi w:val="0"/>
        <w:jc w:val="start"/>
        <w:rPr/>
      </w:pPr>
      <w:r>
        <w:rPr/>
      </w:r>
    </w:p>
    <w:p>
      <w:pPr>
        <w:pStyle w:val="Heading3"/>
        <w:bidi w:val="0"/>
        <w:ind w:hanging="0" w:start="0"/>
        <w:jc w:val="start"/>
        <w:rPr/>
      </w:pPr>
      <w:r>
        <w:rPr/>
        <w:t>14. Model Portfolio Blueprint</w:t>
      </w:r>
    </w:p>
    <w:p>
      <w:pPr>
        <w:pStyle w:val="Heading4"/>
        <w:bidi w:val="0"/>
        <w:ind w:hanging="0" w:start="0"/>
        <w:jc w:val="start"/>
        <w:rPr/>
      </w:pPr>
      <w:r>
        <w:rPr/>
        <w:t>14.1 Structure</w:t>
      </w:r>
    </w:p>
    <w:tbl>
      <w:tblPr>
        <w:tblW w:w="5000" w:type="pct"/>
        <w:jc w:val="start"/>
        <w:tblInd w:w="-5" w:type="dxa"/>
        <w:tblLayout w:type="fixed"/>
        <w:tblCellMar>
          <w:top w:w="55" w:type="dxa"/>
          <w:start w:w="55" w:type="dxa"/>
          <w:bottom w:w="55" w:type="dxa"/>
          <w:end w:w="55" w:type="dxa"/>
        </w:tblCellMar>
      </w:tblPr>
      <w:tblGrid>
        <w:gridCol w:w="4819"/>
        <w:gridCol w:w="4819"/>
      </w:tblGrid>
      <w:tr>
        <w:trPr>
          <w:tblHeader w:val="true"/>
        </w:trPr>
        <w:tc>
          <w:tcPr>
            <w:tcW w:w="4819" w:type="dxa"/>
            <w:tcBorders>
              <w:top w:val="single" w:sz="4" w:space="0" w:color="000000"/>
              <w:start w:val="single" w:sz="4" w:space="0" w:color="000000"/>
              <w:bottom w:val="single" w:sz="4" w:space="0" w:color="000000"/>
            </w:tcBorders>
          </w:tcPr>
          <w:p>
            <w:pPr>
              <w:pStyle w:val="TableHeading"/>
              <w:bidi w:val="0"/>
              <w:jc w:val="start"/>
              <w:rPr/>
            </w:pPr>
            <w:r>
              <w:rPr/>
              <w:t>Parameter</w:t>
            </w:r>
          </w:p>
        </w:tc>
        <w:tc>
          <w:tcPr>
            <w:tcW w:w="4819"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Value</w:t>
            </w:r>
          </w:p>
        </w:tc>
      </w:tr>
      <w:tr>
        <w:trPr/>
        <w:tc>
          <w:tcPr>
            <w:tcW w:w="4819" w:type="dxa"/>
            <w:tcBorders>
              <w:start w:val="single" w:sz="4" w:space="0" w:color="000000"/>
              <w:bottom w:val="single" w:sz="4" w:space="0" w:color="000000"/>
            </w:tcBorders>
          </w:tcPr>
          <w:p>
            <w:pPr>
              <w:pStyle w:val="TableContents"/>
              <w:bidi w:val="0"/>
              <w:jc w:val="start"/>
              <w:rPr/>
            </w:pPr>
            <w:r>
              <w:rPr/>
              <w:t>Minimum number of holdings</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b/>
              </w:rPr>
              <w:t>8</w:t>
            </w:r>
          </w:p>
        </w:tc>
      </w:tr>
      <w:tr>
        <w:trPr/>
        <w:tc>
          <w:tcPr>
            <w:tcW w:w="4819" w:type="dxa"/>
            <w:tcBorders>
              <w:start w:val="single" w:sz="4" w:space="0" w:color="000000"/>
              <w:bottom w:val="single" w:sz="4" w:space="0" w:color="000000"/>
            </w:tcBorders>
          </w:tcPr>
          <w:p>
            <w:pPr>
              <w:pStyle w:val="TableContents"/>
              <w:bidi w:val="0"/>
              <w:jc w:val="start"/>
              <w:rPr/>
            </w:pPr>
            <w:r>
              <w:rPr/>
              <w:t>Recommended range (part-time investor)</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b/>
              </w:rPr>
              <w:t>8 – 30</w:t>
            </w:r>
          </w:p>
        </w:tc>
      </w:tr>
      <w:tr>
        <w:trPr/>
        <w:tc>
          <w:tcPr>
            <w:tcW w:w="4819" w:type="dxa"/>
            <w:tcBorders>
              <w:start w:val="single" w:sz="4" w:space="0" w:color="000000"/>
              <w:bottom w:val="single" w:sz="4" w:space="0" w:color="000000"/>
            </w:tcBorders>
          </w:tcPr>
          <w:p>
            <w:pPr>
              <w:pStyle w:val="TableContents"/>
              <w:bidi w:val="0"/>
              <w:jc w:val="start"/>
              <w:rPr/>
            </w:pPr>
            <w:r>
              <w:rPr/>
              <w:t>Maximum (full-time investor)</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b/>
              </w:rPr>
              <w:t>~40</w:t>
            </w:r>
          </w:p>
        </w:tc>
      </w:tr>
      <w:tr>
        <w:trPr/>
        <w:tc>
          <w:tcPr>
            <w:tcW w:w="4819" w:type="dxa"/>
            <w:tcBorders>
              <w:start w:val="single" w:sz="4" w:space="0" w:color="000000"/>
              <w:bottom w:val="single" w:sz="4" w:space="0" w:color="000000"/>
            </w:tcBorders>
          </w:tcPr>
          <w:p>
            <w:pPr>
              <w:pStyle w:val="TableContents"/>
              <w:bidi w:val="0"/>
              <w:jc w:val="start"/>
              <w:rPr/>
            </w:pPr>
            <w:r>
              <w:rPr/>
              <w:t>Absolute ceiling (top 1% of 6,000 US stocks)</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b/>
              </w:rPr>
              <w:t>60</w:t>
            </w:r>
          </w:p>
        </w:tc>
      </w:tr>
      <w:tr>
        <w:trPr/>
        <w:tc>
          <w:tcPr>
            <w:tcW w:w="4819" w:type="dxa"/>
            <w:tcBorders>
              <w:start w:val="single" w:sz="4" w:space="0" w:color="000000"/>
              <w:bottom w:val="single" w:sz="4" w:space="0" w:color="000000"/>
            </w:tcBorders>
          </w:tcPr>
          <w:p>
            <w:pPr>
              <w:pStyle w:val="TableContents"/>
              <w:bidi w:val="0"/>
              <w:jc w:val="start"/>
              <w:rPr/>
            </w:pPr>
            <w:r>
              <w:rPr/>
              <w:t>Full position size</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b/>
              </w:rPr>
              <w:t>100% ÷ number of holdings</w:t>
            </w:r>
          </w:p>
        </w:tc>
      </w:tr>
      <w:tr>
        <w:trPr/>
        <w:tc>
          <w:tcPr>
            <w:tcW w:w="4819" w:type="dxa"/>
            <w:tcBorders>
              <w:start w:val="single" w:sz="4" w:space="0" w:color="000000"/>
              <w:bottom w:val="single" w:sz="4" w:space="0" w:color="000000"/>
            </w:tcBorders>
          </w:tcPr>
          <w:p>
            <w:pPr>
              <w:pStyle w:val="TableContents"/>
              <w:bidi w:val="0"/>
              <w:jc w:val="start"/>
              <w:rPr/>
            </w:pPr>
            <w:r>
              <w:rPr/>
              <w:t>Full position at 10 / 20 / 30 / 40 holdings</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b/>
              </w:rPr>
              <w:t>10% / 5% / 3.33% / 2.5%</w:t>
            </w:r>
          </w:p>
        </w:tc>
      </w:tr>
      <w:tr>
        <w:trPr/>
        <w:tc>
          <w:tcPr>
            <w:tcW w:w="4819" w:type="dxa"/>
            <w:tcBorders>
              <w:start w:val="single" w:sz="4" w:space="0" w:color="000000"/>
              <w:bottom w:val="single" w:sz="4" w:space="0" w:color="000000"/>
            </w:tcBorders>
          </w:tcPr>
          <w:p>
            <w:pPr>
              <w:pStyle w:val="TableContents"/>
              <w:bidi w:val="0"/>
              <w:jc w:val="start"/>
              <w:rPr/>
            </w:pPr>
            <w:r>
              <w:rPr/>
              <w:t>Position size for speculative growth &amp; turnarounds</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b/>
              </w:rPr>
              <w:t>½ or ⅓ of full</w:t>
            </w:r>
            <w:r>
              <w:rPr/>
              <w:t xml:space="preserve"> (e.g. 5% → 2.5%; 2% → 1%)</w:t>
            </w:r>
          </w:p>
        </w:tc>
      </w:tr>
      <w:tr>
        <w:trPr/>
        <w:tc>
          <w:tcPr>
            <w:tcW w:w="4819" w:type="dxa"/>
            <w:tcBorders>
              <w:start w:val="single" w:sz="4" w:space="0" w:color="000000"/>
              <w:bottom w:val="single" w:sz="4" w:space="0" w:color="000000"/>
            </w:tcBorders>
          </w:tcPr>
          <w:p>
            <w:pPr>
              <w:pStyle w:val="TableContents"/>
              <w:bidi w:val="0"/>
              <w:jc w:val="start"/>
              <w:rPr/>
            </w:pPr>
            <w:r>
              <w:rPr/>
              <w:t>Entry tranches per position</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b/>
              </w:rPr>
              <w:t>3–4</w:t>
            </w:r>
            <w:r>
              <w:rPr/>
              <w:t xml:space="preserve"> (quarter positions at successive support levels)</w:t>
            </w:r>
          </w:p>
        </w:tc>
      </w:tr>
      <w:tr>
        <w:trPr/>
        <w:tc>
          <w:tcPr>
            <w:tcW w:w="4819" w:type="dxa"/>
            <w:tcBorders>
              <w:start w:val="single" w:sz="4" w:space="0" w:color="000000"/>
              <w:bottom w:val="single" w:sz="4" w:space="0" w:color="000000"/>
            </w:tcBorders>
          </w:tcPr>
          <w:p>
            <w:pPr>
              <w:pStyle w:val="TableContents"/>
              <w:bidi w:val="0"/>
              <w:jc w:val="start"/>
              <w:rPr/>
            </w:pPr>
            <w:r>
              <w:rPr/>
              <w:t>Maximum position ever purchased</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b/>
              </w:rPr>
              <w:t>The full allocation — never more</w:t>
            </w:r>
          </w:p>
        </w:tc>
      </w:tr>
      <w:tr>
        <w:trPr/>
        <w:tc>
          <w:tcPr>
            <w:tcW w:w="4819" w:type="dxa"/>
            <w:tcBorders>
              <w:start w:val="single" w:sz="4" w:space="0" w:color="000000"/>
              <w:bottom w:val="single" w:sz="4" w:space="0" w:color="000000"/>
            </w:tcBorders>
          </w:tcPr>
          <w:p>
            <w:pPr>
              <w:pStyle w:val="TableContents"/>
              <w:bidi w:val="0"/>
              <w:jc w:val="start"/>
              <w:rPr/>
            </w:pPr>
            <w:r>
              <w:rPr/>
              <w:t>Rebalancing (up or down)</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b/>
              </w:rPr>
              <w:t>None</w:t>
            </w:r>
          </w:p>
        </w:tc>
      </w:tr>
      <w:tr>
        <w:trPr/>
        <w:tc>
          <w:tcPr>
            <w:tcW w:w="4819" w:type="dxa"/>
            <w:tcBorders>
              <w:start w:val="single" w:sz="4" w:space="0" w:color="000000"/>
              <w:bottom w:val="single" w:sz="4" w:space="0" w:color="000000"/>
            </w:tcBorders>
          </w:tcPr>
          <w:p>
            <w:pPr>
              <w:pStyle w:val="TableContents"/>
              <w:bidi w:val="0"/>
              <w:jc w:val="start"/>
              <w:rPr/>
            </w:pPr>
            <w:r>
              <w:rPr/>
              <w:t>Number of separate portfolios</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b/>
              </w:rPr>
              <w:t>2</w:t>
            </w:r>
            <w:r>
              <w:rPr/>
              <w:t xml:space="preserve"> — a capital-gain portfolio and a </w:t>
            </w:r>
            <w:r>
              <w:rPr>
                <w:b/>
              </w:rPr>
              <w:t>separate dividend portfolio</w:t>
            </w:r>
          </w:p>
        </w:tc>
      </w:tr>
    </w:tbl>
    <w:p>
      <w:pPr>
        <w:pStyle w:val="BodyText"/>
        <w:bidi w:val="0"/>
        <w:jc w:val="start"/>
        <w:rPr/>
      </w:pPr>
      <w:r>
        <w:rPr/>
      </w:r>
    </w:p>
    <w:p>
      <w:pPr>
        <w:pStyle w:val="Heading4"/>
        <w:bidi w:val="0"/>
        <w:ind w:hanging="0" w:start="0"/>
        <w:jc w:val="start"/>
        <w:rPr/>
      </w:pPr>
      <w:r>
        <w:rPr/>
        <w:t>14.2 Sector allocation target (Adam's live capital-gain portfolio)</w:t>
      </w:r>
    </w:p>
    <w:tbl>
      <w:tblPr>
        <w:tblW w:w="5000" w:type="pct"/>
        <w:jc w:val="start"/>
        <w:tblInd w:w="-5" w:type="dxa"/>
        <w:tblLayout w:type="fixed"/>
        <w:tblCellMar>
          <w:top w:w="55" w:type="dxa"/>
          <w:start w:w="55" w:type="dxa"/>
          <w:bottom w:w="55" w:type="dxa"/>
          <w:end w:w="55" w:type="dxa"/>
        </w:tblCellMar>
      </w:tblPr>
      <w:tblGrid>
        <w:gridCol w:w="3212"/>
        <w:gridCol w:w="3213"/>
        <w:gridCol w:w="3213"/>
      </w:tblGrid>
      <w:tr>
        <w:trPr>
          <w:tblHeader w:val="true"/>
        </w:trPr>
        <w:tc>
          <w:tcPr>
            <w:tcW w:w="3212" w:type="dxa"/>
            <w:tcBorders>
              <w:top w:val="single" w:sz="4" w:space="0" w:color="000000"/>
              <w:start w:val="single" w:sz="4" w:space="0" w:color="000000"/>
              <w:bottom w:val="single" w:sz="4" w:space="0" w:color="000000"/>
            </w:tcBorders>
          </w:tcPr>
          <w:p>
            <w:pPr>
              <w:pStyle w:val="TableHeading"/>
              <w:bidi w:val="0"/>
              <w:jc w:val="start"/>
              <w:rPr/>
            </w:pPr>
            <w:r>
              <w:rPr/>
              <w:t>Sector</w:t>
            </w:r>
          </w:p>
        </w:tc>
        <w:tc>
          <w:tcPr>
            <w:tcW w:w="3213" w:type="dxa"/>
            <w:tcBorders>
              <w:top w:val="single" w:sz="4" w:space="0" w:color="000000"/>
              <w:start w:val="single" w:sz="4" w:space="0" w:color="000000"/>
              <w:bottom w:val="single" w:sz="4" w:space="0" w:color="000000"/>
            </w:tcBorders>
          </w:tcPr>
          <w:p>
            <w:pPr>
              <w:pStyle w:val="TableHeading"/>
              <w:bidi w:val="0"/>
              <w:jc w:val="start"/>
              <w:rPr/>
            </w:pPr>
            <w:r>
              <w:rPr/>
              <w:t>Weight</w:t>
            </w:r>
          </w:p>
        </w:tc>
        <w:tc>
          <w:tcPr>
            <w:tcW w:w="3213"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Role</w:t>
            </w:r>
          </w:p>
        </w:tc>
      </w:tr>
      <w:tr>
        <w:trPr/>
        <w:tc>
          <w:tcPr>
            <w:tcW w:w="3212" w:type="dxa"/>
            <w:tcBorders>
              <w:start w:val="single" w:sz="4" w:space="0" w:color="000000"/>
              <w:bottom w:val="single" w:sz="4" w:space="0" w:color="000000"/>
            </w:tcBorders>
          </w:tcPr>
          <w:p>
            <w:pPr>
              <w:pStyle w:val="TableContents"/>
              <w:bidi w:val="0"/>
              <w:jc w:val="start"/>
              <w:rPr/>
            </w:pPr>
            <w:r>
              <w:rPr/>
              <w:t>Technology</w:t>
            </w:r>
          </w:p>
        </w:tc>
        <w:tc>
          <w:tcPr>
            <w:tcW w:w="3213" w:type="dxa"/>
            <w:tcBorders>
              <w:start w:val="single" w:sz="4" w:space="0" w:color="000000"/>
              <w:bottom w:val="single" w:sz="4" w:space="0" w:color="000000"/>
            </w:tcBorders>
          </w:tcPr>
          <w:p>
            <w:pPr>
              <w:pStyle w:val="TableContents"/>
              <w:bidi w:val="0"/>
              <w:jc w:val="start"/>
              <w:rPr/>
            </w:pPr>
            <w:r>
              <w:rPr>
                <w:b/>
              </w:rPr>
              <w:t>27%</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Highest long-run growth; biggest holding</w:t>
            </w:r>
          </w:p>
        </w:tc>
      </w:tr>
      <w:tr>
        <w:trPr/>
        <w:tc>
          <w:tcPr>
            <w:tcW w:w="3212" w:type="dxa"/>
            <w:tcBorders>
              <w:start w:val="single" w:sz="4" w:space="0" w:color="000000"/>
              <w:bottom w:val="single" w:sz="4" w:space="0" w:color="000000"/>
            </w:tcBorders>
          </w:tcPr>
          <w:p>
            <w:pPr>
              <w:pStyle w:val="TableContents"/>
              <w:bidi w:val="0"/>
              <w:jc w:val="start"/>
              <w:rPr/>
            </w:pPr>
            <w:r>
              <w:rPr/>
              <w:t>Consumer Discretionary</w:t>
            </w:r>
          </w:p>
        </w:tc>
        <w:tc>
          <w:tcPr>
            <w:tcW w:w="3213" w:type="dxa"/>
            <w:tcBorders>
              <w:start w:val="single" w:sz="4" w:space="0" w:color="000000"/>
              <w:bottom w:val="single" w:sz="4" w:space="0" w:color="000000"/>
            </w:tcBorders>
          </w:tcPr>
          <w:p>
            <w:pPr>
              <w:pStyle w:val="TableContents"/>
              <w:bidi w:val="0"/>
              <w:jc w:val="start"/>
              <w:rPr/>
            </w:pPr>
            <w:r>
              <w:rPr>
                <w:b/>
              </w:rPr>
              <w:t>22%</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2nd highest long-run growth</w:t>
            </w:r>
          </w:p>
        </w:tc>
      </w:tr>
      <w:tr>
        <w:trPr/>
        <w:tc>
          <w:tcPr>
            <w:tcW w:w="3212" w:type="dxa"/>
            <w:tcBorders>
              <w:start w:val="single" w:sz="4" w:space="0" w:color="000000"/>
              <w:bottom w:val="single" w:sz="4" w:space="0" w:color="000000"/>
            </w:tcBorders>
          </w:tcPr>
          <w:p>
            <w:pPr>
              <w:pStyle w:val="TableContents"/>
              <w:bidi w:val="0"/>
              <w:jc w:val="start"/>
              <w:rPr/>
            </w:pPr>
            <w:r>
              <w:rPr/>
              <w:t>Healthcare</w:t>
            </w:r>
          </w:p>
        </w:tc>
        <w:tc>
          <w:tcPr>
            <w:tcW w:w="3213" w:type="dxa"/>
            <w:tcBorders>
              <w:start w:val="single" w:sz="4" w:space="0" w:color="000000"/>
              <w:bottom w:val="single" w:sz="4" w:space="0" w:color="000000"/>
            </w:tcBorders>
          </w:tcPr>
          <w:p>
            <w:pPr>
              <w:pStyle w:val="TableContents"/>
              <w:bidi w:val="0"/>
              <w:jc w:val="start"/>
              <w:rPr/>
            </w:pPr>
            <w:r>
              <w:rPr>
                <w:b/>
              </w:rPr>
              <w:t>15%</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Growth + defensive; aging-population mega-trend</w:t>
            </w:r>
          </w:p>
        </w:tc>
      </w:tr>
      <w:tr>
        <w:trPr/>
        <w:tc>
          <w:tcPr>
            <w:tcW w:w="3212" w:type="dxa"/>
            <w:tcBorders>
              <w:start w:val="single" w:sz="4" w:space="0" w:color="000000"/>
              <w:bottom w:val="single" w:sz="4" w:space="0" w:color="000000"/>
            </w:tcBorders>
          </w:tcPr>
          <w:p>
            <w:pPr>
              <w:pStyle w:val="TableContents"/>
              <w:bidi w:val="0"/>
              <w:jc w:val="start"/>
              <w:rPr/>
            </w:pPr>
            <w:r>
              <w:rPr/>
              <w:t>Financials</w:t>
            </w:r>
          </w:p>
        </w:tc>
        <w:tc>
          <w:tcPr>
            <w:tcW w:w="3213" w:type="dxa"/>
            <w:tcBorders>
              <w:start w:val="single" w:sz="4" w:space="0" w:color="000000"/>
              <w:bottom w:val="single" w:sz="4" w:space="0" w:color="000000"/>
            </w:tcBorders>
          </w:tcPr>
          <w:p>
            <w:pPr>
              <w:pStyle w:val="TableContents"/>
              <w:bidi w:val="0"/>
              <w:jc w:val="start"/>
              <w:rPr/>
            </w:pPr>
            <w:r>
              <w:rPr>
                <w:b/>
              </w:rPr>
              <w:t>13%</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The favoured cyclical sector (toll-booths, payments, insurance)</w:t>
            </w:r>
          </w:p>
        </w:tc>
      </w:tr>
      <w:tr>
        <w:trPr/>
        <w:tc>
          <w:tcPr>
            <w:tcW w:w="3212" w:type="dxa"/>
            <w:tcBorders>
              <w:start w:val="single" w:sz="4" w:space="0" w:color="000000"/>
              <w:bottom w:val="single" w:sz="4" w:space="0" w:color="000000"/>
            </w:tcBorders>
          </w:tcPr>
          <w:p>
            <w:pPr>
              <w:pStyle w:val="TableContents"/>
              <w:bidi w:val="0"/>
              <w:jc w:val="start"/>
              <w:rPr/>
            </w:pPr>
            <w:r>
              <w:rPr/>
              <w:t>Communication Services</w:t>
            </w:r>
          </w:p>
        </w:tc>
        <w:tc>
          <w:tcPr>
            <w:tcW w:w="3213" w:type="dxa"/>
            <w:tcBorders>
              <w:start w:val="single" w:sz="4" w:space="0" w:color="000000"/>
              <w:bottom w:val="single" w:sz="4" w:space="0" w:color="000000"/>
            </w:tcBorders>
          </w:tcPr>
          <w:p>
            <w:pPr>
              <w:pStyle w:val="TableContents"/>
              <w:bidi w:val="0"/>
              <w:jc w:val="start"/>
              <w:rPr/>
            </w:pPr>
            <w:r>
              <w:rPr>
                <w:b/>
              </w:rPr>
              <w:t>12%</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Social media (Meta, Alphabet, Netflix)</w:t>
            </w:r>
          </w:p>
        </w:tc>
      </w:tr>
      <w:tr>
        <w:trPr/>
        <w:tc>
          <w:tcPr>
            <w:tcW w:w="3212" w:type="dxa"/>
            <w:tcBorders>
              <w:start w:val="single" w:sz="4" w:space="0" w:color="000000"/>
              <w:bottom w:val="single" w:sz="4" w:space="0" w:color="000000"/>
            </w:tcBorders>
          </w:tcPr>
          <w:p>
            <w:pPr>
              <w:pStyle w:val="TableContents"/>
              <w:bidi w:val="0"/>
              <w:jc w:val="start"/>
              <w:rPr/>
            </w:pPr>
            <w:r>
              <w:rPr/>
              <w:t>Consumer Staples</w:t>
            </w:r>
          </w:p>
        </w:tc>
        <w:tc>
          <w:tcPr>
            <w:tcW w:w="3213" w:type="dxa"/>
            <w:tcBorders>
              <w:start w:val="single" w:sz="4" w:space="0" w:color="000000"/>
              <w:bottom w:val="single" w:sz="4" w:space="0" w:color="000000"/>
            </w:tcBorders>
          </w:tcPr>
          <w:p>
            <w:pPr>
              <w:pStyle w:val="TableContents"/>
              <w:bidi w:val="0"/>
              <w:jc w:val="start"/>
              <w:rPr/>
            </w:pPr>
            <w:r>
              <w:rPr>
                <w:b/>
              </w:rPr>
              <w:t>7%</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Recession ballast despite underperforming the S&amp;P</w:t>
            </w:r>
          </w:p>
        </w:tc>
      </w:tr>
      <w:tr>
        <w:trPr/>
        <w:tc>
          <w:tcPr>
            <w:tcW w:w="3212" w:type="dxa"/>
            <w:tcBorders>
              <w:start w:val="single" w:sz="4" w:space="0" w:color="000000"/>
              <w:bottom w:val="single" w:sz="4" w:space="0" w:color="000000"/>
            </w:tcBorders>
          </w:tcPr>
          <w:p>
            <w:pPr>
              <w:pStyle w:val="TableContents"/>
              <w:bidi w:val="0"/>
              <w:jc w:val="start"/>
              <w:rPr/>
            </w:pPr>
            <w:r>
              <w:rPr/>
              <w:t>China ETFs</w:t>
            </w:r>
          </w:p>
        </w:tc>
        <w:tc>
          <w:tcPr>
            <w:tcW w:w="3213" w:type="dxa"/>
            <w:tcBorders>
              <w:start w:val="single" w:sz="4" w:space="0" w:color="000000"/>
              <w:bottom w:val="single" w:sz="4" w:space="0" w:color="000000"/>
            </w:tcBorders>
          </w:tcPr>
          <w:p>
            <w:pPr>
              <w:pStyle w:val="TableContents"/>
              <w:bidi w:val="0"/>
              <w:jc w:val="start"/>
              <w:rPr/>
            </w:pPr>
            <w:r>
              <w:rPr>
                <w:b/>
              </w:rPr>
              <w:t>3%</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Geographic diversification</w:t>
            </w:r>
          </w:p>
        </w:tc>
      </w:tr>
      <w:tr>
        <w:trPr/>
        <w:tc>
          <w:tcPr>
            <w:tcW w:w="3212" w:type="dxa"/>
            <w:tcBorders>
              <w:start w:val="single" w:sz="4" w:space="0" w:color="000000"/>
              <w:bottom w:val="single" w:sz="4" w:space="0" w:color="000000"/>
            </w:tcBorders>
          </w:tcPr>
          <w:p>
            <w:pPr>
              <w:pStyle w:val="TableContents"/>
              <w:bidi w:val="0"/>
              <w:jc w:val="start"/>
              <w:rPr/>
            </w:pPr>
            <w:r>
              <w:rPr/>
              <w:t>Industrials</w:t>
            </w:r>
          </w:p>
        </w:tc>
        <w:tc>
          <w:tcPr>
            <w:tcW w:w="3213" w:type="dxa"/>
            <w:tcBorders>
              <w:start w:val="single" w:sz="4" w:space="0" w:color="000000"/>
              <w:bottom w:val="single" w:sz="4" w:space="0" w:color="000000"/>
            </w:tcBorders>
          </w:tcPr>
          <w:p>
            <w:pPr>
              <w:pStyle w:val="TableContents"/>
              <w:bidi w:val="0"/>
              <w:jc w:val="start"/>
              <w:rPr/>
            </w:pPr>
            <w:r>
              <w:rPr>
                <w:b/>
              </w:rPr>
              <w:t>2%</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Minimal — only the predictable exceptions</w:t>
            </w:r>
          </w:p>
        </w:tc>
      </w:tr>
      <w:tr>
        <w:trPr/>
        <w:tc>
          <w:tcPr>
            <w:tcW w:w="3212" w:type="dxa"/>
            <w:tcBorders>
              <w:start w:val="single" w:sz="4" w:space="0" w:color="000000"/>
              <w:bottom w:val="single" w:sz="4" w:space="0" w:color="000000"/>
            </w:tcBorders>
          </w:tcPr>
          <w:p>
            <w:pPr>
              <w:pStyle w:val="TableContents"/>
              <w:bidi w:val="0"/>
              <w:jc w:val="start"/>
              <w:rPr/>
            </w:pPr>
            <w:r>
              <w:rPr>
                <w:b/>
              </w:rPr>
              <w:t>Utilities / Energy / Real Estate / Basic Materials</w:t>
            </w:r>
          </w:p>
        </w:tc>
        <w:tc>
          <w:tcPr>
            <w:tcW w:w="3213" w:type="dxa"/>
            <w:tcBorders>
              <w:start w:val="single" w:sz="4" w:space="0" w:color="000000"/>
              <w:bottom w:val="single" w:sz="4" w:space="0" w:color="000000"/>
            </w:tcBorders>
          </w:tcPr>
          <w:p>
            <w:pPr>
              <w:pStyle w:val="TableContents"/>
              <w:bidi w:val="0"/>
              <w:jc w:val="start"/>
              <w:rPr/>
            </w:pPr>
            <w:r>
              <w:rPr>
                <w:b/>
              </w:rPr>
              <w:t>~0%</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Avoided — underperform, high debt, low margins, unpredictable</w:t>
            </w:r>
          </w:p>
        </w:tc>
      </w:tr>
    </w:tbl>
    <w:p>
      <w:pPr>
        <w:pStyle w:val="BodyText"/>
        <w:bidi w:val="0"/>
        <w:jc w:val="start"/>
        <w:rPr/>
      </w:pPr>
      <w:r>
        <w:rPr/>
      </w:r>
    </w:p>
    <w:p>
      <w:pPr>
        <w:pStyle w:val="Heading4"/>
        <w:bidi w:val="0"/>
        <w:ind w:hanging="0" w:start="0"/>
        <w:jc w:val="start"/>
        <w:rPr/>
      </w:pPr>
      <w:r>
        <w:rPr/>
        <w:t>14.3 Geographic allocation</w:t>
      </w:r>
    </w:p>
    <w:tbl>
      <w:tblPr>
        <w:tblW w:w="5000" w:type="pct"/>
        <w:jc w:val="start"/>
        <w:tblInd w:w="-5" w:type="dxa"/>
        <w:tblLayout w:type="fixed"/>
        <w:tblCellMar>
          <w:top w:w="55" w:type="dxa"/>
          <w:start w:w="55" w:type="dxa"/>
          <w:bottom w:w="55" w:type="dxa"/>
          <w:end w:w="55" w:type="dxa"/>
        </w:tblCellMar>
      </w:tblPr>
      <w:tblGrid>
        <w:gridCol w:w="4819"/>
        <w:gridCol w:w="4819"/>
      </w:tblGrid>
      <w:tr>
        <w:trPr>
          <w:tblHeader w:val="true"/>
        </w:trPr>
        <w:tc>
          <w:tcPr>
            <w:tcW w:w="4819" w:type="dxa"/>
            <w:tcBorders>
              <w:top w:val="single" w:sz="4" w:space="0" w:color="000000"/>
              <w:start w:val="single" w:sz="4" w:space="0" w:color="000000"/>
              <w:bottom w:val="single" w:sz="4" w:space="0" w:color="000000"/>
            </w:tcBorders>
          </w:tcPr>
          <w:p>
            <w:pPr>
              <w:pStyle w:val="TableHeading"/>
              <w:bidi w:val="0"/>
              <w:jc w:val="start"/>
              <w:rPr/>
            </w:pPr>
            <w:r>
              <w:rPr/>
              <w:t>Market</w:t>
            </w:r>
          </w:p>
        </w:tc>
        <w:tc>
          <w:tcPr>
            <w:tcW w:w="4819"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Weight</w:t>
            </w:r>
          </w:p>
        </w:tc>
      </w:tr>
      <w:tr>
        <w:trPr/>
        <w:tc>
          <w:tcPr>
            <w:tcW w:w="4819" w:type="dxa"/>
            <w:tcBorders>
              <w:start w:val="single" w:sz="4" w:space="0" w:color="000000"/>
              <w:bottom w:val="single" w:sz="4" w:space="0" w:color="000000"/>
            </w:tcBorders>
          </w:tcPr>
          <w:p>
            <w:pPr>
              <w:pStyle w:val="TableContents"/>
              <w:bidi w:val="0"/>
              <w:jc w:val="start"/>
              <w:rPr/>
            </w:pPr>
            <w:r>
              <w:rPr/>
              <w:t>US-listed</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b/>
              </w:rPr>
              <w:t>~90%</w:t>
            </w:r>
          </w:p>
        </w:tc>
      </w:tr>
      <w:tr>
        <w:trPr/>
        <w:tc>
          <w:tcPr>
            <w:tcW w:w="4819" w:type="dxa"/>
            <w:tcBorders>
              <w:start w:val="single" w:sz="4" w:space="0" w:color="000000"/>
              <w:bottom w:val="single" w:sz="4" w:space="0" w:color="000000"/>
            </w:tcBorders>
          </w:tcPr>
          <w:p>
            <w:pPr>
              <w:pStyle w:val="TableContents"/>
              <w:bidi w:val="0"/>
              <w:jc w:val="start"/>
              <w:rPr/>
            </w:pPr>
            <w:r>
              <w:rPr/>
              <w:t>China / Hong Kong</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b/>
              </w:rPr>
              <w:t>3%</w:t>
            </w:r>
          </w:p>
        </w:tc>
      </w:tr>
      <w:tr>
        <w:trPr/>
        <w:tc>
          <w:tcPr>
            <w:tcW w:w="4819" w:type="dxa"/>
            <w:tcBorders>
              <w:start w:val="single" w:sz="4" w:space="0" w:color="000000"/>
              <w:bottom w:val="single" w:sz="4" w:space="0" w:color="000000"/>
            </w:tcBorders>
          </w:tcPr>
          <w:p>
            <w:pPr>
              <w:pStyle w:val="TableContents"/>
              <w:bidi w:val="0"/>
              <w:jc w:val="start"/>
              <w:rPr/>
            </w:pPr>
            <w:r>
              <w:rPr/>
              <w:t>Europe</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remainder (~7%)</w:t>
            </w:r>
          </w:p>
        </w:tc>
      </w:tr>
      <w:tr>
        <w:trPr/>
        <w:tc>
          <w:tcPr>
            <w:tcW w:w="4819" w:type="dxa"/>
            <w:tcBorders>
              <w:start w:val="single" w:sz="4" w:space="0" w:color="000000"/>
              <w:bottom w:val="single" w:sz="4" w:space="0" w:color="000000"/>
            </w:tcBorders>
          </w:tcPr>
          <w:p>
            <w:pPr>
              <w:pStyle w:val="TableContents"/>
              <w:bidi w:val="0"/>
              <w:jc w:val="start"/>
              <w:rPr/>
            </w:pPr>
            <w:r>
              <w:rPr>
                <w:i/>
              </w:rPr>
              <w:t>Dividend portfolio (separate)</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b/>
              </w:rPr>
              <w:t>100% Singapore-listed</w:t>
            </w:r>
            <w:r>
              <w:rPr/>
              <w:t xml:space="preserve"> — DBS, UOB, OCBC + selected high-quality REITs</w:t>
            </w:r>
          </w:p>
        </w:tc>
      </w:tr>
    </w:tbl>
    <w:p>
      <w:pPr>
        <w:pStyle w:val="BodyText"/>
        <w:bidi w:val="0"/>
        <w:jc w:val="start"/>
        <w:rPr/>
      </w:pPr>
      <w:r>
        <w:rPr/>
      </w:r>
    </w:p>
    <w:p>
      <w:pPr>
        <w:pStyle w:val="Heading4"/>
        <w:bidi w:val="0"/>
        <w:ind w:hanging="0" w:start="0"/>
        <w:jc w:val="start"/>
        <w:rPr/>
      </w:pPr>
      <w:r>
        <w:rPr/>
        <w:t>14.4 Category allocation</w:t>
      </w:r>
    </w:p>
    <w:tbl>
      <w:tblPr>
        <w:tblW w:w="5000" w:type="pct"/>
        <w:jc w:val="start"/>
        <w:tblInd w:w="-5" w:type="dxa"/>
        <w:tblLayout w:type="fixed"/>
        <w:tblCellMar>
          <w:top w:w="55" w:type="dxa"/>
          <w:start w:w="55" w:type="dxa"/>
          <w:bottom w:w="55" w:type="dxa"/>
          <w:end w:w="55" w:type="dxa"/>
        </w:tblCellMar>
      </w:tblPr>
      <w:tblGrid>
        <w:gridCol w:w="4819"/>
        <w:gridCol w:w="4819"/>
      </w:tblGrid>
      <w:tr>
        <w:trPr>
          <w:tblHeader w:val="true"/>
        </w:trPr>
        <w:tc>
          <w:tcPr>
            <w:tcW w:w="4819" w:type="dxa"/>
            <w:tcBorders>
              <w:top w:val="single" w:sz="4" w:space="0" w:color="000000"/>
              <w:start w:val="single" w:sz="4" w:space="0" w:color="000000"/>
              <w:bottom w:val="single" w:sz="4" w:space="0" w:color="000000"/>
            </w:tcBorders>
          </w:tcPr>
          <w:p>
            <w:pPr>
              <w:pStyle w:val="TableHeading"/>
              <w:bidi w:val="0"/>
              <w:jc w:val="start"/>
              <w:rPr/>
            </w:pPr>
            <w:r>
              <w:rPr/>
              <w:t>Category</w:t>
            </w:r>
          </w:p>
        </w:tc>
        <w:tc>
          <w:tcPr>
            <w:tcW w:w="4819"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Target weight / count</w:t>
            </w:r>
          </w:p>
        </w:tc>
      </w:tr>
      <w:tr>
        <w:trPr/>
        <w:tc>
          <w:tcPr>
            <w:tcW w:w="4819" w:type="dxa"/>
            <w:tcBorders>
              <w:start w:val="single" w:sz="4" w:space="0" w:color="000000"/>
              <w:bottom w:val="single" w:sz="4" w:space="0" w:color="000000"/>
            </w:tcBorders>
          </w:tcPr>
          <w:p>
            <w:pPr>
              <w:pStyle w:val="TableContents"/>
              <w:bidi w:val="0"/>
              <w:jc w:val="start"/>
              <w:rPr/>
            </w:pPr>
            <w:r>
              <w:rPr>
                <w:b/>
              </w:rPr>
              <w:t>Large growth</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b/>
              </w:rPr>
              <w:t>~50% of holdings</w:t>
            </w:r>
            <w:r>
              <w:rPr/>
              <w:t xml:space="preserve"> (almost half) — the return engine</w:t>
            </w:r>
          </w:p>
        </w:tc>
      </w:tr>
      <w:tr>
        <w:trPr/>
        <w:tc>
          <w:tcPr>
            <w:tcW w:w="4819" w:type="dxa"/>
            <w:tcBorders>
              <w:start w:val="single" w:sz="4" w:space="0" w:color="000000"/>
              <w:bottom w:val="single" w:sz="4" w:space="0" w:color="000000"/>
            </w:tcBorders>
          </w:tcPr>
          <w:p>
            <w:pPr>
              <w:pStyle w:val="TableContents"/>
              <w:bidi w:val="0"/>
              <w:jc w:val="start"/>
              <w:rPr/>
            </w:pPr>
            <w:r>
              <w:rPr>
                <w:b/>
              </w:rPr>
              <w:t>Predictable</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"Quite a number" — defensive + moderately cyclical ballast</w:t>
            </w:r>
          </w:p>
        </w:tc>
      </w:tr>
      <w:tr>
        <w:trPr/>
        <w:tc>
          <w:tcPr>
            <w:tcW w:w="4819" w:type="dxa"/>
            <w:tcBorders>
              <w:start w:val="single" w:sz="4" w:space="0" w:color="000000"/>
              <w:bottom w:val="single" w:sz="4" w:space="0" w:color="000000"/>
            </w:tcBorders>
          </w:tcPr>
          <w:p>
            <w:pPr>
              <w:pStyle w:val="TableContents"/>
              <w:bidi w:val="0"/>
              <w:jc w:val="start"/>
              <w:rPr/>
            </w:pPr>
            <w:r>
              <w:rPr>
                <w:b/>
              </w:rPr>
              <w:t>ETFs</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Small satellite positions (IHI, SOXX, AIPO, China ETFs ~3%)</w:t>
            </w:r>
          </w:p>
        </w:tc>
      </w:tr>
      <w:tr>
        <w:trPr/>
        <w:tc>
          <w:tcPr>
            <w:tcW w:w="4819" w:type="dxa"/>
            <w:tcBorders>
              <w:start w:val="single" w:sz="4" w:space="0" w:color="000000"/>
              <w:bottom w:val="single" w:sz="4" w:space="0" w:color="000000"/>
            </w:tcBorders>
          </w:tcPr>
          <w:p>
            <w:pPr>
              <w:pStyle w:val="TableContents"/>
              <w:bidi w:val="0"/>
              <w:jc w:val="start"/>
              <w:rPr/>
            </w:pPr>
            <w:r>
              <w:rPr>
                <w:b/>
              </w:rPr>
              <w:t>Speculative growth</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b/>
              </w:rPr>
              <w:t>Rare — currently 1 name (Palantir)</w:t>
            </w:r>
            <w:r>
              <w:rPr/>
              <w:t>, at ½–⅓ position size</w:t>
            </w:r>
          </w:p>
        </w:tc>
      </w:tr>
      <w:tr>
        <w:trPr/>
        <w:tc>
          <w:tcPr>
            <w:tcW w:w="4819" w:type="dxa"/>
            <w:tcBorders>
              <w:start w:val="single" w:sz="4" w:space="0" w:color="000000"/>
              <w:bottom w:val="single" w:sz="4" w:space="0" w:color="000000"/>
            </w:tcBorders>
          </w:tcPr>
          <w:p>
            <w:pPr>
              <w:pStyle w:val="TableContents"/>
              <w:bidi w:val="0"/>
              <w:jc w:val="start"/>
              <w:rPr/>
            </w:pPr>
            <w:r>
              <w:rPr>
                <w:b/>
              </w:rPr>
              <w:t>Turnaround</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b/>
              </w:rPr>
              <w:t>A few, deliberately limited</w:t>
            </w:r>
            <w:r>
              <w:rPr/>
              <w:t xml:space="preserve"> (Estee Lauder, Boston Beer), at reduced size</w:t>
            </w:r>
          </w:p>
        </w:tc>
      </w:tr>
      <w:tr>
        <w:trPr/>
        <w:tc>
          <w:tcPr>
            <w:tcW w:w="4819" w:type="dxa"/>
            <w:tcBorders>
              <w:start w:val="single" w:sz="4" w:space="0" w:color="000000"/>
              <w:bottom w:val="single" w:sz="4" w:space="0" w:color="000000"/>
            </w:tcBorders>
          </w:tcPr>
          <w:p>
            <w:pPr>
              <w:pStyle w:val="TableContents"/>
              <w:bidi w:val="0"/>
              <w:jc w:val="start"/>
              <w:rPr/>
            </w:pPr>
            <w:r>
              <w:rPr>
                <w:b/>
              </w:rPr>
              <w:t>Deep value</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b/>
              </w:rPr>
              <w:t>0%</w:t>
            </w:r>
          </w:p>
        </w:tc>
      </w:tr>
      <w:tr>
        <w:trPr/>
        <w:tc>
          <w:tcPr>
            <w:tcW w:w="4819" w:type="dxa"/>
            <w:tcBorders>
              <w:start w:val="single" w:sz="4" w:space="0" w:color="000000"/>
              <w:bottom w:val="single" w:sz="4" w:space="0" w:color="000000"/>
            </w:tcBorders>
          </w:tcPr>
          <w:p>
            <w:pPr>
              <w:pStyle w:val="TableContents"/>
              <w:bidi w:val="0"/>
              <w:jc w:val="start"/>
              <w:rPr/>
            </w:pPr>
            <w:r>
              <w:rPr>
                <w:b/>
              </w:rPr>
              <w:t>Deep cyclical</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b/>
              </w:rPr>
              <w:t>0%</w:t>
            </w:r>
          </w:p>
        </w:tc>
      </w:tr>
      <w:tr>
        <w:trPr/>
        <w:tc>
          <w:tcPr>
            <w:tcW w:w="4819" w:type="dxa"/>
            <w:tcBorders>
              <w:start w:val="single" w:sz="4" w:space="0" w:color="000000"/>
              <w:bottom w:val="single" w:sz="4" w:space="0" w:color="000000"/>
            </w:tcBorders>
          </w:tcPr>
          <w:p>
            <w:pPr>
              <w:pStyle w:val="TableContents"/>
              <w:bidi w:val="0"/>
              <w:jc w:val="start"/>
              <w:rPr/>
            </w:pPr>
            <w:r>
              <w:rPr>
                <w:b/>
              </w:rPr>
              <w:t>Dividend</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b/>
              </w:rPr>
              <w:t>0% in the capital-gain portfolio</w:t>
            </w:r>
            <w:r>
              <w:rPr/>
              <w:t xml:space="preserve"> — housed in a fully separate SG portfolio</w:t>
            </w:r>
          </w:p>
        </w:tc>
      </w:tr>
    </w:tbl>
    <w:p>
      <w:pPr>
        <w:pStyle w:val="BodyText"/>
        <w:bidi w:val="0"/>
        <w:jc w:val="start"/>
        <w:rPr/>
      </w:pPr>
      <w:r>
        <w:rPr/>
      </w:r>
    </w:p>
    <w:p>
      <w:pPr>
        <w:pStyle w:val="Heading4"/>
        <w:bidi w:val="0"/>
        <w:ind w:hanging="0" w:start="0"/>
        <w:jc w:val="start"/>
        <w:rPr/>
      </w:pPr>
      <w:r>
        <w:rPr/>
        <w:t>14.5 Expected outcome (per 10 holdings)</w:t>
      </w:r>
    </w:p>
    <w:tbl>
      <w:tblPr>
        <w:tblW w:w="5000" w:type="pct"/>
        <w:jc w:val="start"/>
        <w:tblInd w:w="-5" w:type="dxa"/>
        <w:tblLayout w:type="fixed"/>
        <w:tblCellMar>
          <w:top w:w="55" w:type="dxa"/>
          <w:start w:w="55" w:type="dxa"/>
          <w:bottom w:w="55" w:type="dxa"/>
          <w:end w:w="55" w:type="dxa"/>
        </w:tblCellMar>
      </w:tblPr>
      <w:tblGrid>
        <w:gridCol w:w="4819"/>
        <w:gridCol w:w="4819"/>
      </w:tblGrid>
      <w:tr>
        <w:trPr>
          <w:tblHeader w:val="true"/>
        </w:trPr>
        <w:tc>
          <w:tcPr>
            <w:tcW w:w="4819" w:type="dxa"/>
            <w:tcBorders>
              <w:top w:val="single" w:sz="4" w:space="0" w:color="000000"/>
              <w:start w:val="single" w:sz="4" w:space="0" w:color="000000"/>
              <w:bottom w:val="single" w:sz="4" w:space="0" w:color="000000"/>
            </w:tcBorders>
          </w:tcPr>
          <w:p>
            <w:pPr>
              <w:pStyle w:val="TableHeading"/>
              <w:bidi w:val="0"/>
              <w:jc w:val="start"/>
              <w:rPr/>
            </w:pPr>
            <w:r>
              <w:rPr/>
              <w:t>Outcome</w:t>
            </w:r>
          </w:p>
        </w:tc>
        <w:tc>
          <w:tcPr>
            <w:tcW w:w="4819"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Count</w:t>
            </w:r>
          </w:p>
        </w:tc>
      </w:tr>
      <w:tr>
        <w:trPr/>
        <w:tc>
          <w:tcPr>
            <w:tcW w:w="4819" w:type="dxa"/>
            <w:tcBorders>
              <w:start w:val="single" w:sz="4" w:space="0" w:color="000000"/>
              <w:bottom w:val="single" w:sz="4" w:space="0" w:color="000000"/>
            </w:tcBorders>
          </w:tcPr>
          <w:p>
            <w:pPr>
              <w:pStyle w:val="TableContents"/>
              <w:bidi w:val="0"/>
              <w:jc w:val="start"/>
              <w:rPr/>
            </w:pPr>
            <w:r>
              <w:rPr/>
              <w:t>Exceptional outperformers</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b/>
              </w:rPr>
              <w:t>2–3</w:t>
            </w:r>
          </w:p>
        </w:tc>
      </w:tr>
      <w:tr>
        <w:trPr/>
        <w:tc>
          <w:tcPr>
            <w:tcW w:w="4819" w:type="dxa"/>
            <w:tcBorders>
              <w:start w:val="single" w:sz="4" w:space="0" w:color="000000"/>
              <w:bottom w:val="single" w:sz="4" w:space="0" w:color="000000"/>
            </w:tcBorders>
          </w:tcPr>
          <w:p>
            <w:pPr>
              <w:pStyle w:val="TableContents"/>
              <w:bidi w:val="0"/>
              <w:jc w:val="start"/>
              <w:rPr/>
            </w:pPr>
            <w:r>
              <w:rPr/>
              <w:t>Solid performers</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b/>
              </w:rPr>
              <w:t>4–6</w:t>
            </w:r>
          </w:p>
        </w:tc>
      </w:tr>
      <w:tr>
        <w:trPr/>
        <w:tc>
          <w:tcPr>
            <w:tcW w:w="4819" w:type="dxa"/>
            <w:tcBorders>
              <w:start w:val="single" w:sz="4" w:space="0" w:color="000000"/>
              <w:bottom w:val="single" w:sz="4" w:space="0" w:color="000000"/>
            </w:tcBorders>
          </w:tcPr>
          <w:p>
            <w:pPr>
              <w:pStyle w:val="TableContents"/>
              <w:bidi w:val="0"/>
              <w:jc w:val="start"/>
              <w:rPr/>
            </w:pPr>
            <w:r>
              <w:rPr/>
              <w:t>Losers (at least short term)</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b/>
              </w:rPr>
              <w:t>2–3</w:t>
            </w:r>
          </w:p>
        </w:tc>
      </w:tr>
      <w:tr>
        <w:trPr/>
        <w:tc>
          <w:tcPr>
            <w:tcW w:w="4819" w:type="dxa"/>
            <w:tcBorders>
              <w:start w:val="single" w:sz="4" w:space="0" w:color="000000"/>
              <w:bottom w:val="single" w:sz="4" w:space="0" w:color="000000"/>
            </w:tcBorders>
          </w:tcPr>
          <w:p>
            <w:pPr>
              <w:pStyle w:val="TableContents"/>
              <w:bidi w:val="0"/>
              <w:jc w:val="start"/>
              <w:rPr/>
            </w:pPr>
            <w:r>
              <w:rPr/>
              <w:t>Target win rate</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b/>
              </w:rPr>
              <w:t>80–90%</w:t>
            </w:r>
          </w:p>
        </w:tc>
      </w:tr>
      <w:tr>
        <w:trPr/>
        <w:tc>
          <w:tcPr>
            <w:tcW w:w="4819" w:type="dxa"/>
            <w:tcBorders>
              <w:start w:val="single" w:sz="4" w:space="0" w:color="000000"/>
              <w:bottom w:val="single" w:sz="4" w:space="0" w:color="000000"/>
            </w:tcBorders>
          </w:tcPr>
          <w:p>
            <w:pPr>
              <w:pStyle w:val="TableContents"/>
              <w:bidi w:val="0"/>
              <w:jc w:val="start"/>
              <w:rPr/>
            </w:pPr>
            <w:r>
              <w:rPr/>
              <w:t>Share of profits from the top holdings</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b/>
              </w:rPr>
              <w:t>95% of profits from 5% of stocks</w:t>
            </w:r>
          </w:p>
        </w:tc>
      </w:tr>
    </w:tbl>
    <w:p>
      <w:pPr>
        <w:pStyle w:val="BodyText"/>
        <w:bidi w:val="0"/>
        <w:jc w:val="start"/>
        <w:rPr/>
      </w:pPr>
      <w:r>
        <w:rPr/>
      </w:r>
    </w:p>
    <w:p>
      <w:pPr>
        <w:pStyle w:val="Heading4"/>
        <w:bidi w:val="0"/>
        <w:ind w:hanging="0" w:start="0"/>
        <w:jc w:val="start"/>
        <w:rPr/>
      </w:pPr>
      <w:r>
        <w:rPr/>
        <w:t>14.6 Track record this blueprint produced</w:t>
      </w:r>
    </w:p>
    <w:tbl>
      <w:tblPr>
        <w:tblW w:w="5000" w:type="pct"/>
        <w:jc w:val="start"/>
        <w:tblInd w:w="-5" w:type="dxa"/>
        <w:tblLayout w:type="fixed"/>
        <w:tblCellMar>
          <w:top w:w="55" w:type="dxa"/>
          <w:start w:w="55" w:type="dxa"/>
          <w:bottom w:w="55" w:type="dxa"/>
          <w:end w:w="55" w:type="dxa"/>
        </w:tblCellMar>
      </w:tblPr>
      <w:tblGrid>
        <w:gridCol w:w="3212"/>
        <w:gridCol w:w="3213"/>
        <w:gridCol w:w="3213"/>
      </w:tblGrid>
      <w:tr>
        <w:trPr>
          <w:tblHeader w:val="true"/>
        </w:trPr>
        <w:tc>
          <w:tcPr>
            <w:tcW w:w="3212" w:type="dxa"/>
            <w:tcBorders>
              <w:top w:val="single" w:sz="4" w:space="0" w:color="000000"/>
              <w:start w:val="single" w:sz="4" w:space="0" w:color="000000"/>
              <w:bottom w:val="single" w:sz="4" w:space="0" w:color="000000"/>
            </w:tcBorders>
          </w:tcPr>
          <w:p>
            <w:pPr>
              <w:pStyle w:val="TableHeading"/>
              <w:bidi w:val="0"/>
              <w:jc w:val="start"/>
              <w:rPr/>
            </w:pPr>
            <w:r>
              <w:rPr/>
              <w:t>Period</w:t>
            </w:r>
          </w:p>
        </w:tc>
        <w:tc>
          <w:tcPr>
            <w:tcW w:w="3213" w:type="dxa"/>
            <w:tcBorders>
              <w:top w:val="single" w:sz="4" w:space="0" w:color="000000"/>
              <w:start w:val="single" w:sz="4" w:space="0" w:color="000000"/>
              <w:bottom w:val="single" w:sz="4" w:space="0" w:color="000000"/>
            </w:tcBorders>
          </w:tcPr>
          <w:p>
            <w:pPr>
              <w:pStyle w:val="TableHeading"/>
              <w:bidi w:val="0"/>
              <w:jc w:val="start"/>
              <w:rPr/>
            </w:pPr>
            <w:r>
              <w:rPr/>
              <w:t>Portfolio</w:t>
            </w:r>
          </w:p>
        </w:tc>
        <w:tc>
          <w:tcPr>
            <w:tcW w:w="3213"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S&amp;P 500</w:t>
            </w:r>
          </w:p>
        </w:tc>
      </w:tr>
      <w:tr>
        <w:trPr/>
        <w:tc>
          <w:tcPr>
            <w:tcW w:w="3212" w:type="dxa"/>
            <w:tcBorders>
              <w:start w:val="single" w:sz="4" w:space="0" w:color="000000"/>
              <w:bottom w:val="single" w:sz="4" w:space="0" w:color="000000"/>
            </w:tcBorders>
          </w:tcPr>
          <w:p>
            <w:pPr>
              <w:pStyle w:val="TableContents"/>
              <w:bidi w:val="0"/>
              <w:jc w:val="start"/>
              <w:rPr/>
            </w:pPr>
            <w:r>
              <w:rPr/>
              <w:t>2020</w:t>
            </w:r>
          </w:p>
        </w:tc>
        <w:tc>
          <w:tcPr>
            <w:tcW w:w="3213" w:type="dxa"/>
            <w:tcBorders>
              <w:start w:val="single" w:sz="4" w:space="0" w:color="000000"/>
              <w:bottom w:val="single" w:sz="4" w:space="0" w:color="000000"/>
            </w:tcBorders>
          </w:tcPr>
          <w:p>
            <w:pPr>
              <w:pStyle w:val="TableContents"/>
              <w:bidi w:val="0"/>
              <w:jc w:val="start"/>
              <w:rPr/>
            </w:pPr>
            <w:r>
              <w:rPr>
                <w:b/>
              </w:rPr>
              <w:t>+44%</w:t>
            </w:r>
            <w:r>
              <w:rPr/>
              <w:t xml:space="preserve"> / </w:t>
            </w:r>
            <w:r>
              <w:rPr>
                <w:b/>
              </w:rPr>
              <w:t>+41%</w:t>
            </w:r>
            <w:r>
              <w:rPr/>
              <w:t xml:space="preserve"> (two portfolios)</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w:t>
            </w:r>
          </w:p>
        </w:tc>
      </w:tr>
      <w:tr>
        <w:trPr/>
        <w:tc>
          <w:tcPr>
            <w:tcW w:w="3212" w:type="dxa"/>
            <w:tcBorders>
              <w:start w:val="single" w:sz="4" w:space="0" w:color="000000"/>
              <w:bottom w:val="single" w:sz="4" w:space="0" w:color="000000"/>
            </w:tcBorders>
          </w:tcPr>
          <w:p>
            <w:pPr>
              <w:pStyle w:val="TableContents"/>
              <w:bidi w:val="0"/>
              <w:jc w:val="start"/>
              <w:rPr/>
            </w:pPr>
            <w:r>
              <w:rPr/>
              <w:t>2023</w:t>
            </w:r>
          </w:p>
        </w:tc>
        <w:tc>
          <w:tcPr>
            <w:tcW w:w="3213" w:type="dxa"/>
            <w:tcBorders>
              <w:start w:val="single" w:sz="4" w:space="0" w:color="000000"/>
              <w:bottom w:val="single" w:sz="4" w:space="0" w:color="000000"/>
            </w:tcBorders>
          </w:tcPr>
          <w:p>
            <w:pPr>
              <w:pStyle w:val="TableContents"/>
              <w:bidi w:val="0"/>
              <w:jc w:val="start"/>
              <w:rPr/>
            </w:pPr>
            <w:r>
              <w:rPr>
                <w:b/>
              </w:rPr>
              <w:t>+48%</w:t>
            </w:r>
            <w:r>
              <w:rPr/>
              <w:t xml:space="preserve"> / </w:t>
            </w:r>
            <w:r>
              <w:rPr>
                <w:b/>
              </w:rPr>
              <w:t>+43%</w:t>
            </w:r>
            <w:r>
              <w:rPr/>
              <w:t xml:space="preserve"> (also quoted as +45%) — </w:t>
            </w:r>
            <w:r>
              <w:rPr>
                <w:b/>
              </w:rPr>
              <w:t>US$2m profit</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b/>
              </w:rPr>
              <w:t>~+24%</w:t>
            </w:r>
          </w:p>
        </w:tc>
      </w:tr>
      <w:tr>
        <w:trPr/>
        <w:tc>
          <w:tcPr>
            <w:tcW w:w="3212" w:type="dxa"/>
            <w:tcBorders>
              <w:start w:val="single" w:sz="4" w:space="0" w:color="000000"/>
              <w:bottom w:val="single" w:sz="4" w:space="0" w:color="000000"/>
            </w:tcBorders>
          </w:tcPr>
          <w:p>
            <w:pPr>
              <w:pStyle w:val="TableContents"/>
              <w:bidi w:val="0"/>
              <w:jc w:val="start"/>
              <w:rPr/>
            </w:pPr>
            <w:r>
              <w:rPr/>
              <w:t>Last 5 years</w:t>
            </w:r>
          </w:p>
        </w:tc>
        <w:tc>
          <w:tcPr>
            <w:tcW w:w="3213" w:type="dxa"/>
            <w:tcBorders>
              <w:start w:val="single" w:sz="4" w:space="0" w:color="000000"/>
              <w:bottom w:val="single" w:sz="4" w:space="0" w:color="000000"/>
            </w:tcBorders>
          </w:tcPr>
          <w:p>
            <w:pPr>
              <w:pStyle w:val="TableContents"/>
              <w:bidi w:val="0"/>
              <w:jc w:val="start"/>
              <w:rPr/>
            </w:pPr>
            <w:r>
              <w:rPr>
                <w:b/>
              </w:rPr>
              <w:t>+145%</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b/>
              </w:rPr>
              <w:t>+83%</w:t>
            </w:r>
          </w:p>
        </w:tc>
      </w:tr>
    </w:tbl>
    <w:p>
      <w:pPr>
        <w:pStyle w:val="BodyText"/>
        <w:bidi w:val="0"/>
        <w:jc w:val="start"/>
        <w:rPr/>
      </w:pPr>
      <w:r>
        <w:rPr/>
      </w:r>
    </w:p>
    <w:p>
      <w:pPr>
        <w:pStyle w:val="HorizontalLine"/>
        <w:bidi w:val="0"/>
        <w:jc w:val="start"/>
        <w:rPr/>
      </w:pPr>
      <w:r>
        <w:rPr/>
      </w:r>
    </w:p>
    <w:p>
      <w:pPr>
        <w:pStyle w:val="BodyText"/>
        <w:bidi w:val="0"/>
        <w:jc w:val="start"/>
        <w:rPr/>
      </w:pPr>
      <w:r>
        <w:rPr>
          <w:i/>
        </w:rPr>
        <w:t>Next lesson: portfolio management — exit rules and how to consistently monitor the portfolio to beat the market.</w:t>
      </w:r>
    </w:p>
    <w:p>
      <w:pPr>
        <w:pStyle w:val="HorizontalLine"/>
        <w:bidi w:val="0"/>
        <w:jc w:val="start"/>
        <w:rPr/>
      </w:pPr>
      <w:r>
        <w:rPr/>
      </w:r>
    </w:p>
    <w:p>
      <w:pPr>
        <w:pStyle w:val="Heading1"/>
        <w:bidi w:val="0"/>
        <w:ind w:hanging="0" w:start="0"/>
        <w:jc w:val="start"/>
        <w:rPr/>
      </w:pPr>
      <w:r>
        <w:rPr/>
        <w:t>Part IX — Finding Stocks, Monitoring, Drawdowns &amp; Exit Rules</w:t>
      </w:r>
    </w:p>
    <w:p>
      <w:pPr>
        <w:pStyle w:val="Heading2"/>
        <w:bidi w:val="0"/>
        <w:ind w:hanging="0" w:start="0"/>
        <w:jc w:val="start"/>
        <w:rPr/>
      </w:pPr>
      <w:r>
        <w:rPr/>
        <w:t>Section 09 — Finding Stocks, Monitoring, Drawdowns &amp; Exit Rules</w:t>
      </w:r>
    </w:p>
    <w:p>
      <w:pPr>
        <w:pStyle w:val="BodyText"/>
        <w:bidi w:val="0"/>
        <w:jc w:val="start"/>
        <w:rPr/>
      </w:pPr>
      <w:r>
        <w:rPr>
          <w:i/>
        </w:rPr>
        <w:t>Source: Whale Investor / Value Momentum Investing (VMI), Lesson 9 — videos 66–72</w:t>
      </w:r>
      <w:r>
        <w:rPr/>
        <w:t> </w:t>
      </w:r>
      <w:r>
        <w:rPr>
          <w:i/>
        </w:rPr>
        <w:t>(66 Finding Great Stocks · 67 Stock Screeners · 68 Monitor Your Portfolio · 69 Dealing with Drawdowns · 70 When to Sell Pt.1 · 71 When to Sell Pt.2 · 72 Reasons Not to Sell)</w:t>
      </w:r>
    </w:p>
    <w:p>
      <w:pPr>
        <w:pStyle w:val="BodyText"/>
        <w:bidi w:val="0"/>
        <w:jc w:val="start"/>
        <w:rPr/>
      </w:pPr>
      <w:r>
        <w:rPr/>
        <w:t xml:space="preserve">Lesson 9 has three parts: (1) where to source investment ideas, (2) portfolio management / monitoring, (3) exit rules. Everything sourced here still has to be pushed through the </w:t>
      </w:r>
      <w:r>
        <w:rPr>
          <w:b/>
        </w:rPr>
        <w:t>7-step criteria</w:t>
      </w:r>
      <w:r>
        <w:rPr/>
        <w:t xml:space="preserve"> before it can be bought — sourcing only generates candidates, it never generates a buy.</w:t>
      </w:r>
    </w:p>
    <w:p>
      <w:pPr>
        <w:pStyle w:val="HorizontalLine"/>
        <w:bidi w:val="0"/>
        <w:jc w:val="start"/>
        <w:rPr/>
      </w:pPr>
      <w:r>
        <w:rPr/>
      </w:r>
    </w:p>
    <w:p>
      <w:pPr>
        <w:pStyle w:val="Heading3"/>
        <w:bidi w:val="0"/>
        <w:ind w:hanging="0" w:start="0"/>
        <w:jc w:val="start"/>
        <w:rPr/>
      </w:pPr>
      <w:r>
        <w:rPr/>
        <w:t>PART 1 — SOURCING: WHERE GREAT STOCKS COME FROM</w:t>
      </w:r>
    </w:p>
    <w:p>
      <w:pPr>
        <w:pStyle w:val="Heading4"/>
        <w:bidi w:val="0"/>
        <w:ind w:hanging="0" w:start="0"/>
        <w:jc w:val="start"/>
        <w:rPr/>
      </w:pPr>
      <w:r>
        <w:rPr/>
        <w:t>1.1 The core principle — buy what you use ("consumer monopolies")</w:t>
      </w:r>
    </w:p>
    <w:p>
      <w:pPr>
        <w:pStyle w:val="BodyText"/>
        <w:bidi w:val="0"/>
        <w:jc w:val="start"/>
        <w:rPr/>
      </w:pPr>
      <w:r>
        <w:rPr/>
        <w:t xml:space="preserve">The best-performing stocks he owns did </w:t>
      </w:r>
      <w:r>
        <w:rPr>
          <w:b/>
        </w:rPr>
        <w:t>not</w:t>
      </w:r>
      <w:r>
        <w:rPr/>
        <w:t xml:space="preserve"> come from insider tips or expensive paid reports. They came from </w:t>
      </w:r>
      <w:r>
        <w:rPr>
          <w:b/>
        </w:rPr>
        <w:t>businesses he patronises himself</w:t>
      </w:r>
      <w:r>
        <w:rPr/>
        <w:t xml:space="preserve"> — where he uses the products and services regularly and pays for them all the time.</w:t>
      </w:r>
    </w:p>
    <w:p>
      <w:pPr>
        <w:pStyle w:val="BodyText"/>
        <w:bidi w:val="0"/>
        <w:jc w:val="start"/>
        <w:rPr/>
      </w:pPr>
      <w:r>
        <w:rPr/>
        <w:t xml:space="preserve">Guiding question: </w:t>
      </w:r>
      <w:r>
        <w:rPr>
          <w:i/>
        </w:rPr>
        <w:t>"What products or services do I use regularly, and what do I pay for all the time?"</w:t>
      </w:r>
      <w:r>
        <w:rPr/>
        <w:t xml:space="preserve"> Companies that answer that question repeatedly across millions of people are </w:t>
      </w:r>
      <w:r>
        <w:rPr>
          <w:b/>
        </w:rPr>
        <w:t>consumer monopolies</w:t>
      </w:r>
      <w:r>
        <w:rPr/>
        <w:t>.</w:t>
      </w:r>
    </w:p>
    <w:p>
      <w:pPr>
        <w:pStyle w:val="BodyText"/>
        <w:bidi w:val="0"/>
        <w:jc w:val="start"/>
        <w:rPr/>
      </w:pPr>
      <w:r>
        <w:rPr/>
        <w:t>His own portfolio, mapped to his own usage:</w:t>
      </w:r>
    </w:p>
    <w:tbl>
      <w:tblPr>
        <w:tblW w:w="5000" w:type="pct"/>
        <w:jc w:val="start"/>
        <w:tblInd w:w="-5" w:type="dxa"/>
        <w:tblLayout w:type="fixed"/>
        <w:tblCellMar>
          <w:top w:w="55" w:type="dxa"/>
          <w:start w:w="55" w:type="dxa"/>
          <w:bottom w:w="55" w:type="dxa"/>
          <w:end w:w="55" w:type="dxa"/>
        </w:tblCellMar>
      </w:tblPr>
      <w:tblGrid>
        <w:gridCol w:w="4819"/>
        <w:gridCol w:w="4819"/>
      </w:tblGrid>
      <w:tr>
        <w:trPr>
          <w:tblHeader w:val="true"/>
        </w:trPr>
        <w:tc>
          <w:tcPr>
            <w:tcW w:w="4819" w:type="dxa"/>
            <w:tcBorders>
              <w:top w:val="single" w:sz="4" w:space="0" w:color="000000"/>
              <w:start w:val="single" w:sz="4" w:space="0" w:color="000000"/>
              <w:bottom w:val="single" w:sz="4" w:space="0" w:color="000000"/>
            </w:tcBorders>
          </w:tcPr>
          <w:p>
            <w:pPr>
              <w:pStyle w:val="TableHeading"/>
              <w:bidi w:val="0"/>
              <w:jc w:val="start"/>
              <w:rPr/>
            </w:pPr>
            <w:r>
              <w:rPr/>
              <w:t>Stock owned</w:t>
            </w:r>
          </w:p>
        </w:tc>
        <w:tc>
          <w:tcPr>
            <w:tcW w:w="4819"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Why (personal usage)</w:t>
            </w:r>
          </w:p>
        </w:tc>
      </w:tr>
      <w:tr>
        <w:trPr/>
        <w:tc>
          <w:tcPr>
            <w:tcW w:w="4819" w:type="dxa"/>
            <w:tcBorders>
              <w:start w:val="single" w:sz="4" w:space="0" w:color="000000"/>
              <w:bottom w:val="single" w:sz="4" w:space="0" w:color="000000"/>
            </w:tcBorders>
          </w:tcPr>
          <w:p>
            <w:pPr>
              <w:pStyle w:val="TableContents"/>
              <w:bidi w:val="0"/>
              <w:jc w:val="start"/>
              <w:rPr/>
            </w:pPr>
            <w:r>
              <w:rPr/>
              <w:t>Microsoft</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Uses Excel and Word every single day</w:t>
            </w:r>
          </w:p>
        </w:tc>
      </w:tr>
      <w:tr>
        <w:trPr/>
        <w:tc>
          <w:tcPr>
            <w:tcW w:w="4819" w:type="dxa"/>
            <w:tcBorders>
              <w:start w:val="single" w:sz="4" w:space="0" w:color="000000"/>
              <w:bottom w:val="single" w:sz="4" w:space="0" w:color="000000"/>
            </w:tcBorders>
          </w:tcPr>
          <w:p>
            <w:pPr>
              <w:pStyle w:val="TableContents"/>
              <w:bidi w:val="0"/>
              <w:jc w:val="start"/>
              <w:rPr/>
            </w:pPr>
            <w:r>
              <w:rPr/>
              <w:t>Meta</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Uses Facebook, Instagram, WhatsApp every day</w:t>
            </w:r>
          </w:p>
        </w:tc>
      </w:tr>
      <w:tr>
        <w:trPr/>
        <w:tc>
          <w:tcPr>
            <w:tcW w:w="4819" w:type="dxa"/>
            <w:tcBorders>
              <w:start w:val="single" w:sz="4" w:space="0" w:color="000000"/>
              <w:bottom w:val="single" w:sz="4" w:space="0" w:color="000000"/>
            </w:tcBorders>
          </w:tcPr>
          <w:p>
            <w:pPr>
              <w:pStyle w:val="TableContents"/>
              <w:bidi w:val="0"/>
              <w:jc w:val="start"/>
              <w:rPr/>
            </w:pPr>
            <w:r>
              <w:rPr/>
              <w:t>Amazon</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Orders on Amazon, watches Prime Video</w:t>
            </w:r>
          </w:p>
        </w:tc>
      </w:tr>
      <w:tr>
        <w:trPr/>
        <w:tc>
          <w:tcPr>
            <w:tcW w:w="4819" w:type="dxa"/>
            <w:tcBorders>
              <w:start w:val="single" w:sz="4" w:space="0" w:color="000000"/>
              <w:bottom w:val="single" w:sz="4" w:space="0" w:color="000000"/>
            </w:tcBorders>
          </w:tcPr>
          <w:p>
            <w:pPr>
              <w:pStyle w:val="TableContents"/>
              <w:bidi w:val="0"/>
              <w:jc w:val="start"/>
              <w:rPr/>
            </w:pPr>
            <w:r>
              <w:rPr/>
              <w:t>Alphabet</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Google search, Google Maps, Google Docs, Gmail, YouTube — "can't live without Google"</w:t>
            </w:r>
          </w:p>
        </w:tc>
      </w:tr>
      <w:tr>
        <w:trPr/>
        <w:tc>
          <w:tcPr>
            <w:tcW w:w="4819" w:type="dxa"/>
            <w:tcBorders>
              <w:start w:val="single" w:sz="4" w:space="0" w:color="000000"/>
              <w:bottom w:val="single" w:sz="4" w:space="0" w:color="000000"/>
            </w:tcBorders>
          </w:tcPr>
          <w:p>
            <w:pPr>
              <w:pStyle w:val="TableContents"/>
              <w:bidi w:val="0"/>
              <w:jc w:val="start"/>
              <w:rPr/>
            </w:pPr>
            <w:r>
              <w:rPr/>
              <w:t>Visa &amp; Mastercard</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Uses both cards every day when buying things</w:t>
            </w:r>
          </w:p>
        </w:tc>
      </w:tr>
      <w:tr>
        <w:trPr/>
        <w:tc>
          <w:tcPr>
            <w:tcW w:w="4819" w:type="dxa"/>
            <w:tcBorders>
              <w:start w:val="single" w:sz="4" w:space="0" w:color="000000"/>
              <w:bottom w:val="single" w:sz="4" w:space="0" w:color="000000"/>
            </w:tcBorders>
          </w:tcPr>
          <w:p>
            <w:pPr>
              <w:pStyle w:val="TableContents"/>
              <w:bidi w:val="0"/>
              <w:jc w:val="start"/>
              <w:rPr/>
            </w:pPr>
            <w:r>
              <w:rPr/>
              <w:t>Adobe</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Uses Adobe heavily for design; daughter uses it in college for design</w:t>
            </w:r>
          </w:p>
        </w:tc>
      </w:tr>
      <w:tr>
        <w:trPr/>
        <w:tc>
          <w:tcPr>
            <w:tcW w:w="4819" w:type="dxa"/>
            <w:tcBorders>
              <w:start w:val="single" w:sz="4" w:space="0" w:color="000000"/>
              <w:bottom w:val="single" w:sz="4" w:space="0" w:color="000000"/>
            </w:tcBorders>
          </w:tcPr>
          <w:p>
            <w:pPr>
              <w:pStyle w:val="TableContents"/>
              <w:bidi w:val="0"/>
              <w:jc w:val="start"/>
              <w:rPr/>
            </w:pPr>
            <w:r>
              <w:rPr/>
              <w:t>Apple</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iPhone, Apple Watch, whole family on MacBooks and iPads</w:t>
            </w:r>
          </w:p>
        </w:tc>
      </w:tr>
    </w:tbl>
    <w:p>
      <w:pPr>
        <w:pStyle w:val="BodyText"/>
        <w:bidi w:val="0"/>
        <w:jc w:val="start"/>
        <w:rPr/>
      </w:pPr>
      <w:r>
        <w:rPr/>
      </w:r>
    </w:p>
    <w:p>
      <w:pPr>
        <w:pStyle w:val="BodyText"/>
        <w:bidi w:val="0"/>
        <w:jc w:val="start"/>
        <w:rPr/>
      </w:pPr>
      <w:r>
        <w:rPr>
          <w:b/>
        </w:rPr>
        <w:t>The Buffett precedent.</w:t>
      </w:r>
      <w:r>
        <w:rPr/>
        <w:t xml:space="preserve"> He learned this from a Buffett interview many years ago. Asked how he found his greatest investments, Buffett's answer: he buys businesses he patronises all the time.</w:t>
      </w:r>
    </w:p>
    <w:p>
      <w:pPr>
        <w:pStyle w:val="BodyText"/>
        <w:numPr>
          <w:ilvl w:val="0"/>
          <w:numId w:val="513"/>
        </w:numPr>
        <w:tabs>
          <w:tab w:val="clear" w:pos="709"/>
          <w:tab w:val="left" w:pos="709" w:leader="none"/>
        </w:tabs>
        <w:bidi w:val="0"/>
        <w:ind w:hanging="283" w:start="709"/>
        <w:jc w:val="start"/>
        <w:rPr/>
      </w:pPr>
      <w:r>
        <w:rPr>
          <w:b/>
        </w:rPr>
        <w:t>Coca-Cola</w:t>
      </w:r>
      <w:r>
        <w:rPr/>
        <w:t xml:space="preserve"> — Buffett loves drinking Coke; admits to </w:t>
      </w:r>
      <w:r>
        <w:rPr>
          <w:b/>
        </w:rPr>
        <w:t>4–6 cans a day</w:t>
      </w:r>
      <w:r>
        <w:rPr/>
        <w:t>.</w:t>
      </w:r>
    </w:p>
    <w:p>
      <w:pPr>
        <w:pStyle w:val="BodyText"/>
        <w:numPr>
          <w:ilvl w:val="0"/>
          <w:numId w:val="513"/>
        </w:numPr>
        <w:tabs>
          <w:tab w:val="clear" w:pos="709"/>
          <w:tab w:val="left" w:pos="709" w:leader="none"/>
        </w:tabs>
        <w:bidi w:val="0"/>
        <w:ind w:hanging="283" w:start="709"/>
        <w:jc w:val="start"/>
        <w:rPr/>
      </w:pPr>
      <w:r>
        <w:rPr>
          <w:b/>
        </w:rPr>
        <w:t>Gillette</w:t>
      </w:r>
      <w:r>
        <w:rPr/>
        <w:t xml:space="preserve"> — he shaves with Gillette blades.</w:t>
      </w:r>
    </w:p>
    <w:p>
      <w:pPr>
        <w:pStyle w:val="BodyText"/>
        <w:numPr>
          <w:ilvl w:val="0"/>
          <w:numId w:val="513"/>
        </w:numPr>
        <w:tabs>
          <w:tab w:val="clear" w:pos="709"/>
          <w:tab w:val="left" w:pos="709" w:leader="none"/>
        </w:tabs>
        <w:bidi w:val="0"/>
        <w:ind w:hanging="283" w:start="709"/>
        <w:jc w:val="start"/>
        <w:rPr/>
      </w:pPr>
      <w:r>
        <w:rPr>
          <w:b/>
        </w:rPr>
        <w:t>American Express</w:t>
      </w:r>
      <w:r>
        <w:rPr/>
        <w:t xml:space="preserve"> — he uses their credit cards and used to use their travellers' cheques.</w:t>
      </w:r>
    </w:p>
    <w:p>
      <w:pPr>
        <w:pStyle w:val="BodyText"/>
        <w:numPr>
          <w:ilvl w:val="0"/>
          <w:numId w:val="513"/>
        </w:numPr>
        <w:tabs>
          <w:tab w:val="clear" w:pos="709"/>
          <w:tab w:val="left" w:pos="709" w:leader="none"/>
        </w:tabs>
        <w:bidi w:val="0"/>
        <w:ind w:hanging="283" w:start="709"/>
        <w:jc w:val="start"/>
        <w:rPr/>
      </w:pPr>
      <w:r>
        <w:rPr>
          <w:b/>
        </w:rPr>
        <w:t>Apple</w:t>
      </w:r>
      <w:r>
        <w:rPr/>
        <w:t xml:space="preserve"> — Buffett's biggest investment, and the trigger was not an analyst research paper. His </w:t>
      </w:r>
      <w:r>
        <w:rPr>
          <w:b/>
        </w:rPr>
        <w:t>granddaughter</w:t>
      </w:r>
      <w:r>
        <w:rPr/>
        <w:t xml:space="preserve"> told him she couldn't live without her iPhone; Buffett realised how many people can't live without Apple products.</w:t>
      </w:r>
    </w:p>
    <w:p>
      <w:pPr>
        <w:pStyle w:val="BodyText"/>
        <w:numPr>
          <w:ilvl w:val="0"/>
          <w:numId w:val="513"/>
        </w:numPr>
        <w:tabs>
          <w:tab w:val="clear" w:pos="709"/>
          <w:tab w:val="left" w:pos="709" w:leader="none"/>
        </w:tabs>
        <w:bidi w:val="0"/>
        <w:ind w:hanging="283" w:start="709"/>
        <w:jc w:val="start"/>
        <w:rPr/>
      </w:pPr>
      <w:r>
        <w:rPr/>
        <w:t>Buffett's fortune also built on Coca-Cola, American Express, Visa, Mastercard, McDonald's, Bank of America.</w:t>
      </w:r>
    </w:p>
    <w:p>
      <w:pPr>
        <w:pStyle w:val="BodyText"/>
        <w:bidi w:val="0"/>
        <w:jc w:val="start"/>
        <w:rPr/>
      </w:pPr>
      <w:r>
        <w:rPr/>
        <w:t xml:space="preserve">Buffett's logic, as restated: </w:t>
      </w:r>
      <w:r>
        <w:rPr>
          <w:i/>
        </w:rPr>
        <w:t>if I use these products every day, so do millions of people worldwide</w:t>
      </w:r>
      <w:r>
        <w:rPr/>
        <w:t xml:space="preserve"> → proves </w:t>
      </w:r>
      <w:r>
        <w:rPr>
          <w:b/>
        </w:rPr>
        <w:t>brand monopoly</w:t>
      </w:r>
      <w:r>
        <w:rPr/>
        <w:t xml:space="preserve"> and </w:t>
      </w:r>
      <w:r>
        <w:rPr>
          <w:b/>
        </w:rPr>
        <w:t>market leadership</w:t>
      </w:r>
      <w:r>
        <w:rPr/>
        <w:t xml:space="preserve"> → these are the companies you want to own → they have </w:t>
      </w:r>
      <w:r>
        <w:rPr>
          <w:b/>
        </w:rPr>
        <w:t>very predictable future revenue and cash flow</w:t>
      </w:r>
      <w:r>
        <w:rPr/>
        <w:t>.</w:t>
      </w:r>
    </w:p>
    <w:p>
      <w:pPr>
        <w:pStyle w:val="Heading4"/>
        <w:bidi w:val="0"/>
        <w:ind w:hanging="0" w:start="0"/>
        <w:jc w:val="start"/>
        <w:rPr/>
      </w:pPr>
      <w:r>
        <w:rPr/>
        <w:t>1.2 The daily-life inventory exercise</w:t>
      </w:r>
    </w:p>
    <w:p>
      <w:pPr>
        <w:pStyle w:val="BodyText"/>
        <w:bidi w:val="0"/>
        <w:jc w:val="start"/>
        <w:rPr/>
      </w:pPr>
      <w:r>
        <w:rPr/>
        <w:t>Walk through your own day from waking to sleeping and list every listed company you touch:</w:t>
      </w:r>
    </w:p>
    <w:p>
      <w:pPr>
        <w:pStyle w:val="BodyText"/>
        <w:numPr>
          <w:ilvl w:val="0"/>
          <w:numId w:val="514"/>
        </w:numPr>
        <w:tabs>
          <w:tab w:val="clear" w:pos="709"/>
          <w:tab w:val="left" w:pos="709" w:leader="none"/>
        </w:tabs>
        <w:bidi w:val="0"/>
        <w:ind w:hanging="283" w:start="709"/>
        <w:jc w:val="start"/>
        <w:rPr/>
      </w:pPr>
      <w:r>
        <w:rPr/>
        <w:t xml:space="preserve">You wake up and bathe — </w:t>
      </w:r>
      <w:r>
        <w:rPr>
          <w:b/>
        </w:rPr>
        <w:t>which soap? which shampoo?</w:t>
      </w:r>
      <w:r>
        <w:rPr/>
        <w:t xml:space="preserve"> Research those brands if listed.</w:t>
      </w:r>
    </w:p>
    <w:p>
      <w:pPr>
        <w:pStyle w:val="BodyText"/>
        <w:numPr>
          <w:ilvl w:val="0"/>
          <w:numId w:val="514"/>
        </w:numPr>
        <w:tabs>
          <w:tab w:val="clear" w:pos="709"/>
          <w:tab w:val="left" w:pos="709" w:leader="none"/>
        </w:tabs>
        <w:bidi w:val="0"/>
        <w:ind w:hanging="283" w:start="709"/>
        <w:jc w:val="start"/>
        <w:rPr/>
      </w:pPr>
      <w:r>
        <w:rPr>
          <w:b/>
        </w:rPr>
        <w:t>What toothpaste</w:t>
      </w:r>
      <w:r>
        <w:rPr/>
        <w:t xml:space="preserve"> do you use?</w:t>
      </w:r>
    </w:p>
    <w:p>
      <w:pPr>
        <w:pStyle w:val="BodyText"/>
        <w:numPr>
          <w:ilvl w:val="0"/>
          <w:numId w:val="514"/>
        </w:numPr>
        <w:tabs>
          <w:tab w:val="clear" w:pos="709"/>
          <w:tab w:val="left" w:pos="709" w:leader="none"/>
        </w:tabs>
        <w:bidi w:val="0"/>
        <w:ind w:hanging="283" w:start="709"/>
        <w:jc w:val="start"/>
        <w:rPr/>
      </w:pPr>
      <w:r>
        <w:rPr/>
        <w:t xml:space="preserve">Breakfast — </w:t>
      </w:r>
      <w:r>
        <w:rPr>
          <w:b/>
        </w:rPr>
        <w:t>where does it come from? Where do you buy your groceries?</w:t>
      </w:r>
    </w:p>
    <w:p>
      <w:pPr>
        <w:pStyle w:val="BodyText"/>
        <w:numPr>
          <w:ilvl w:val="0"/>
          <w:numId w:val="514"/>
        </w:numPr>
        <w:tabs>
          <w:tab w:val="clear" w:pos="709"/>
          <w:tab w:val="left" w:pos="709" w:leader="none"/>
        </w:tabs>
        <w:bidi w:val="0"/>
        <w:ind w:hanging="283" w:start="709"/>
        <w:jc w:val="start"/>
        <w:rPr/>
      </w:pPr>
      <w:r>
        <w:rPr>
          <w:b/>
        </w:rPr>
        <w:t>What car do you drive?</w:t>
      </w:r>
    </w:p>
    <w:p>
      <w:pPr>
        <w:pStyle w:val="BodyText"/>
        <w:numPr>
          <w:ilvl w:val="0"/>
          <w:numId w:val="514"/>
        </w:numPr>
        <w:tabs>
          <w:tab w:val="clear" w:pos="709"/>
          <w:tab w:val="left" w:pos="709" w:leader="none"/>
        </w:tabs>
        <w:bidi w:val="0"/>
        <w:ind w:hanging="283" w:start="709"/>
        <w:jc w:val="start"/>
        <w:rPr/>
      </w:pPr>
      <w:r>
        <w:rPr/>
        <w:t>Lunch and dinner — McDonald's, KFC, a restaurant chain — many are listed companies.</w:t>
      </w:r>
    </w:p>
    <w:p>
      <w:pPr>
        <w:pStyle w:val="BodyText"/>
        <w:numPr>
          <w:ilvl w:val="0"/>
          <w:numId w:val="514"/>
        </w:numPr>
        <w:tabs>
          <w:tab w:val="clear" w:pos="709"/>
          <w:tab w:val="left" w:pos="709" w:leader="none"/>
        </w:tabs>
        <w:bidi w:val="0"/>
        <w:ind w:hanging="283" w:start="709"/>
        <w:jc w:val="start"/>
        <w:rPr/>
      </w:pPr>
      <w:r>
        <w:rPr>
          <w:b/>
        </w:rPr>
        <w:t>What tools/software do you use every day</w:t>
      </w:r>
      <w:r>
        <w:rPr/>
        <w:t xml:space="preserve"> for work — Microsoft, Google, other software?</w:t>
      </w:r>
    </w:p>
    <w:p>
      <w:pPr>
        <w:pStyle w:val="BodyText"/>
        <w:bidi w:val="0"/>
        <w:jc w:val="start"/>
        <w:rPr/>
      </w:pPr>
      <w:r>
        <w:rPr/>
        <w:t xml:space="preserve">That inventory </w:t>
      </w:r>
      <w:r>
        <w:rPr>
          <w:i/>
        </w:rPr>
        <w:t>is</w:t>
      </w:r>
      <w:r>
        <w:rPr/>
        <w:t xml:space="preserve"> your candidate list to analyse.</w:t>
      </w:r>
    </w:p>
    <w:p>
      <w:pPr>
        <w:pStyle w:val="Heading4"/>
        <w:bidi w:val="0"/>
        <w:ind w:hanging="0" w:start="0"/>
        <w:jc w:val="start"/>
        <w:rPr/>
      </w:pPr>
      <w:r>
        <w:rPr/>
        <w:t>1.3 Critical caveat — usage ≠ automatic buy</w:t>
      </w:r>
    </w:p>
    <w:p>
      <w:pPr>
        <w:pStyle w:val="BodyText"/>
        <w:bidi w:val="0"/>
        <w:jc w:val="start"/>
        <w:rPr/>
      </w:pPr>
      <w:r>
        <w:rPr/>
        <w:t xml:space="preserve">Using a product does </w:t>
      </w:r>
      <w:r>
        <w:rPr>
          <w:b/>
        </w:rPr>
        <w:t>not</w:t>
      </w:r>
      <w:r>
        <w:rPr/>
        <w:t xml:space="preserve"> make it a great company. It still has to pass the </w:t>
      </w:r>
      <w:r>
        <w:rPr>
          <w:b/>
        </w:rPr>
        <w:t>7-step criteria</w:t>
      </w:r>
      <w:r>
        <w:rPr/>
        <w:t>.</w:t>
      </w:r>
    </w:p>
    <w:p>
      <w:pPr>
        <w:pStyle w:val="BodyText"/>
        <w:bidi w:val="0"/>
        <w:jc w:val="start"/>
        <w:rPr/>
      </w:pPr>
      <w:r>
        <w:rPr>
          <w:b/>
        </w:rPr>
        <w:t>Netflix counter-example.</w:t>
      </w:r>
      <w:r>
        <w:rPr/>
        <w:t xml:space="preserve"> He watches Netflix occasionally and his family subscribes, but he does </w:t>
      </w:r>
      <w:r>
        <w:rPr>
          <w:b/>
        </w:rPr>
        <w:t>not</w:t>
      </w:r>
      <w:r>
        <w:rPr/>
        <w:t xml:space="preserve"> own the stock. After the 7-step research he concluded Netflix is a </w:t>
      </w:r>
      <w:r>
        <w:rPr>
          <w:i/>
        </w:rPr>
        <w:t>good</w:t>
      </w:r>
      <w:r>
        <w:rPr/>
        <w:t xml:space="preserve"> business, </w:t>
      </w:r>
      <w:r>
        <w:rPr>
          <w:b/>
        </w:rPr>
        <w:t>not a great</w:t>
      </w:r>
      <w:r>
        <w:rPr/>
        <w:t xml:space="preserve"> one. Reasons:</w:t>
      </w:r>
    </w:p>
    <w:p>
      <w:pPr>
        <w:pStyle w:val="BodyText"/>
        <w:numPr>
          <w:ilvl w:val="0"/>
          <w:numId w:val="515"/>
        </w:numPr>
        <w:tabs>
          <w:tab w:val="clear" w:pos="709"/>
          <w:tab w:val="left" w:pos="709" w:leader="none"/>
        </w:tabs>
        <w:bidi w:val="0"/>
        <w:ind w:hanging="283" w:start="709"/>
        <w:jc w:val="start"/>
        <w:rPr/>
      </w:pPr>
      <w:r>
        <w:rPr/>
        <w:t xml:space="preserve">Netflix must spend </w:t>
      </w:r>
      <w:r>
        <w:rPr>
          <w:b/>
        </w:rPr>
        <w:t>hundreds of millions of dollars generating its own content</w:t>
      </w:r>
      <w:r>
        <w:rPr/>
        <w:t xml:space="preserve"> → huge </w:t>
      </w:r>
      <w:r>
        <w:rPr>
          <w:b/>
        </w:rPr>
        <w:t>maintenance capex</w:t>
      </w:r>
      <w:r>
        <w:rPr/>
        <w:t>, continuous spend just to maintain content and retain customers.</w:t>
      </w:r>
    </w:p>
    <w:p>
      <w:pPr>
        <w:pStyle w:val="BodyText"/>
        <w:numPr>
          <w:ilvl w:val="0"/>
          <w:numId w:val="515"/>
        </w:numPr>
        <w:tabs>
          <w:tab w:val="clear" w:pos="709"/>
          <w:tab w:val="left" w:pos="709" w:leader="none"/>
        </w:tabs>
        <w:bidi w:val="0"/>
        <w:ind w:hanging="283" w:start="709"/>
        <w:jc w:val="start"/>
        <w:rPr/>
      </w:pPr>
      <w:r>
        <w:rPr/>
        <w:t xml:space="preserve">Content is a </w:t>
      </w:r>
      <w:r>
        <w:rPr>
          <w:b/>
        </w:rPr>
        <w:t>hit-and-miss</w:t>
      </w:r>
      <w:r>
        <w:rPr/>
        <w:t xml:space="preserve"> business: some movies are hits, some flop and lose millions → </w:t>
      </w:r>
      <w:r>
        <w:rPr>
          <w:b/>
        </w:rPr>
        <w:t>not predictable</w:t>
      </w:r>
      <w:r>
        <w:rPr/>
        <w:t>.</w:t>
      </w:r>
    </w:p>
    <w:p>
      <w:pPr>
        <w:pStyle w:val="BodyText"/>
        <w:numPr>
          <w:ilvl w:val="0"/>
          <w:numId w:val="515"/>
        </w:numPr>
        <w:tabs>
          <w:tab w:val="clear" w:pos="709"/>
          <w:tab w:val="left" w:pos="709" w:leader="none"/>
        </w:tabs>
        <w:bidi w:val="0"/>
        <w:ind w:hanging="283" w:start="709"/>
        <w:jc w:val="start"/>
        <w:rPr/>
      </w:pPr>
      <w:r>
        <w:rPr/>
        <w:t xml:space="preserve">He prefers </w:t>
      </w:r>
      <w:r>
        <w:rPr>
          <w:b/>
        </w:rPr>
        <w:t>Alphabet (YouTube)</w:t>
      </w:r>
      <w:r>
        <w:rPr/>
        <w:t xml:space="preserve"> instead: YouTube does </w:t>
      </w:r>
      <w:r>
        <w:rPr>
          <w:b/>
        </w:rPr>
        <w:t>not</w:t>
      </w:r>
      <w:r>
        <w:rPr/>
        <w:t xml:space="preserve"> generate its own content — users generate it → </w:t>
      </w:r>
      <w:r>
        <w:rPr>
          <w:b/>
        </w:rPr>
        <w:t>very low maintenance capex</w:t>
      </w:r>
      <w:r>
        <w:rPr/>
        <w:t>.</w:t>
      </w:r>
    </w:p>
    <w:p>
      <w:pPr>
        <w:pStyle w:val="Heading4"/>
        <w:numPr>
          <w:ilvl w:val="0"/>
          <w:numId w:val="0"/>
        </w:numPr>
        <w:bidi w:val="0"/>
        <w:ind w:hanging="0" w:start="0"/>
        <w:jc w:val="start"/>
        <w:rPr/>
      </w:pPr>
      <w:r>
        <w:rPr/>
        <w:t>1.4 Source #2 — Great companies hit by temporary bad news</w:t>
      </w:r>
    </w:p>
    <w:p>
      <w:pPr>
        <w:pStyle w:val="BodyText"/>
        <w:bidi w:val="0"/>
        <w:jc w:val="start"/>
        <w:rPr/>
      </w:pPr>
      <w:r>
        <w:rPr/>
        <w:t xml:space="preserve">No matter how great a stock is, bad news will at some point knock the share price down </w:t>
      </w:r>
      <w:r>
        <w:rPr>
          <w:b/>
        </w:rPr>
        <w:t>20%, 30%, 40%, 50%</w:t>
      </w:r>
      <w:r>
        <w:rPr/>
        <w:t xml:space="preserve"> — and that can be a chance to buy a great company at a big discount.</w:t>
      </w:r>
    </w:p>
    <w:p>
      <w:pPr>
        <w:pStyle w:val="BodyText"/>
        <w:bidi w:val="0"/>
        <w:jc w:val="start"/>
        <w:rPr/>
      </w:pPr>
      <w:r>
        <w:rPr/>
        <w:t>Two sub-cases:</w:t>
      </w:r>
    </w:p>
    <w:p>
      <w:pPr>
        <w:pStyle w:val="BodyText"/>
        <w:numPr>
          <w:ilvl w:val="0"/>
          <w:numId w:val="516"/>
        </w:numPr>
        <w:tabs>
          <w:tab w:val="clear" w:pos="709"/>
          <w:tab w:val="left" w:pos="709" w:leader="none"/>
        </w:tabs>
        <w:bidi w:val="0"/>
        <w:ind w:hanging="283" w:start="709"/>
        <w:jc w:val="start"/>
        <w:rPr/>
      </w:pPr>
      <w:r>
        <w:rPr/>
        <w:t xml:space="preserve">Bad news that </w:t>
      </w:r>
      <w:r>
        <w:rPr>
          <w:b/>
        </w:rPr>
        <w:t>genuinely dents short-term profits</w:t>
      </w:r>
      <w:r>
        <w:rPr/>
        <w:t xml:space="preserve"> for one, two, three quarters or even a year.</w:t>
      </w:r>
    </w:p>
    <w:p>
      <w:pPr>
        <w:pStyle w:val="BodyText"/>
        <w:numPr>
          <w:ilvl w:val="0"/>
          <w:numId w:val="516"/>
        </w:numPr>
        <w:tabs>
          <w:tab w:val="clear" w:pos="709"/>
          <w:tab w:val="left" w:pos="709" w:leader="none"/>
        </w:tabs>
        <w:bidi w:val="0"/>
        <w:ind w:hanging="283" w:start="709"/>
        <w:jc w:val="start"/>
        <w:rPr/>
      </w:pPr>
      <w:r>
        <w:rPr/>
        <w:t xml:space="preserve">Bad news where </w:t>
      </w:r>
      <w:r>
        <w:rPr>
          <w:b/>
        </w:rPr>
        <w:t>profits and revenue don't drop at all</w:t>
      </w:r>
      <w:r>
        <w:rPr/>
        <w:t xml:space="preserve"> — only sentiment/emotion drops. </w:t>
      </w:r>
      <w:r>
        <w:rPr>
          <w:i/>
        </w:rPr>
        <w:t>This is the best kind</w:t>
      </w:r>
      <w:r>
        <w:rPr/>
        <w:t>, because the business is untouched and the fall is purely irrational selling.</w:t>
      </w:r>
    </w:p>
    <w:p>
      <w:pPr>
        <w:pStyle w:val="BodyText"/>
        <w:bidi w:val="0"/>
        <w:jc w:val="start"/>
        <w:rPr/>
      </w:pPr>
      <w:r>
        <w:rPr>
          <w:b/>
        </w:rPr>
        <w:t>The test that must be satisfied:</w:t>
      </w:r>
      <w:r>
        <w:rPr/>
        <w:t xml:space="preserve"> the bad news must be </w:t>
      </w:r>
      <w:r>
        <w:rPr>
          <w:b/>
        </w:rPr>
        <w:t>temporary</w:t>
      </w:r>
      <w:r>
        <w:rPr/>
        <w:t xml:space="preserve">. The </w:t>
      </w:r>
      <w:r>
        <w:rPr>
          <w:b/>
        </w:rPr>
        <w:t>business model</w:t>
      </w:r>
      <w:r>
        <w:rPr/>
        <w:t xml:space="preserve"> and the </w:t>
      </w:r>
      <w:r>
        <w:rPr>
          <w:b/>
        </w:rPr>
        <w:t>competitive advantage / economic moat must remain intact</w:t>
      </w:r>
      <w:r>
        <w:rPr/>
        <w:t>, so that over the medium-to-long term the company keeps growing revenue and profits and makes back the short-term damage.</w:t>
      </w:r>
    </w:p>
    <w:p>
      <w:pPr>
        <w:pStyle w:val="BodyText"/>
        <w:bidi w:val="0"/>
        <w:jc w:val="start"/>
        <w:rPr/>
      </w:pPr>
      <w:r>
        <w:rPr>
          <w:b/>
        </w:rPr>
        <w:t>Example A — Meta (2022), stock down ~70%.</w:t>
      </w:r>
      <w:r>
        <w:rPr/>
        <w:t xml:space="preserve"> Two pieces of bad news:</w:t>
      </w:r>
    </w:p>
    <w:p>
      <w:pPr>
        <w:pStyle w:val="BodyText"/>
        <w:numPr>
          <w:ilvl w:val="0"/>
          <w:numId w:val="517"/>
        </w:numPr>
        <w:tabs>
          <w:tab w:val="clear" w:pos="709"/>
          <w:tab w:val="left" w:pos="709" w:leader="none"/>
        </w:tabs>
        <w:bidi w:val="0"/>
        <w:ind w:hanging="283" w:start="709"/>
        <w:jc w:val="start"/>
        <w:rPr/>
      </w:pPr>
      <w:r>
        <w:rPr/>
        <w:t xml:space="preserve">Zuckerberg started spending on the </w:t>
      </w:r>
      <w:r>
        <w:rPr>
          <w:b/>
        </w:rPr>
        <w:t>metaverse</w:t>
      </w:r>
      <w:r>
        <w:rPr/>
        <w:t>, not yet profitable → expenses up, profits temporarily down.</w:t>
      </w:r>
    </w:p>
    <w:p>
      <w:pPr>
        <w:pStyle w:val="BodyText"/>
        <w:numPr>
          <w:ilvl w:val="0"/>
          <w:numId w:val="517"/>
        </w:numPr>
        <w:tabs>
          <w:tab w:val="clear" w:pos="709"/>
          <w:tab w:val="left" w:pos="709" w:leader="none"/>
        </w:tabs>
        <w:bidi w:val="0"/>
        <w:ind w:hanging="283" w:start="709"/>
        <w:jc w:val="start"/>
        <w:rPr/>
      </w:pPr>
      <w:r>
        <w:rPr>
          <w:b/>
        </w:rPr>
        <w:t>Apple changed its privacy settings</w:t>
      </w:r>
      <w:r>
        <w:rPr/>
        <w:t xml:space="preserve"> (app tracking opt-out) → blocked Facebook's ad targeting → advertising ROI dropped.</w:t>
      </w:r>
    </w:p>
    <w:p>
      <w:pPr>
        <w:pStyle w:val="BodyText"/>
        <w:bidi w:val="0"/>
        <w:jc w:val="start"/>
        <w:rPr/>
      </w:pPr>
      <w:r>
        <w:rPr/>
        <w:t xml:space="preserve">He held his shares and </w:t>
      </w:r>
      <w:r>
        <w:rPr>
          <w:b/>
        </w:rPr>
        <w:t>bought more at a 60–70% discount</w:t>
      </w:r>
      <w:r>
        <w:rPr/>
        <w:t>. His confidence came from:</w:t>
      </w:r>
    </w:p>
    <w:p>
      <w:pPr>
        <w:pStyle w:val="BodyText"/>
        <w:numPr>
          <w:ilvl w:val="0"/>
          <w:numId w:val="518"/>
        </w:numPr>
        <w:tabs>
          <w:tab w:val="clear" w:pos="709"/>
          <w:tab w:val="left" w:pos="709" w:leader="none"/>
        </w:tabs>
        <w:bidi w:val="0"/>
        <w:ind w:hanging="283" w:start="709"/>
        <w:jc w:val="start"/>
        <w:rPr/>
      </w:pPr>
      <w:r>
        <w:rPr/>
        <w:t xml:space="preserve">Research showing Meta still had its competitive advantage and was building an </w:t>
      </w:r>
      <w:r>
        <w:rPr>
          <w:b/>
        </w:rPr>
        <w:t>AI engine to circumvent Apple's privacy changes</w:t>
      </w:r>
      <w:r>
        <w:rPr/>
        <w:t xml:space="preserve"> — i.e. a short-term problem.</w:t>
      </w:r>
    </w:p>
    <w:p>
      <w:pPr>
        <w:pStyle w:val="BodyText"/>
        <w:numPr>
          <w:ilvl w:val="0"/>
          <w:numId w:val="518"/>
        </w:numPr>
        <w:tabs>
          <w:tab w:val="clear" w:pos="709"/>
          <w:tab w:val="left" w:pos="709" w:leader="none"/>
        </w:tabs>
        <w:bidi w:val="0"/>
        <w:ind w:hanging="283" w:start="709"/>
        <w:jc w:val="start"/>
        <w:rPr/>
      </w:pPr>
      <w:r>
        <w:rPr>
          <w:b/>
        </w:rPr>
        <w:t>He was still using Facebook/Instagram/WhatsApp just as much</w:t>
      </w:r>
      <w:r>
        <w:rPr/>
        <w:t xml:space="preserve"> — no reduction in his own usage.</w:t>
      </w:r>
    </w:p>
    <w:p>
      <w:pPr>
        <w:pStyle w:val="BodyText"/>
        <w:numPr>
          <w:ilvl w:val="0"/>
          <w:numId w:val="518"/>
        </w:numPr>
        <w:tabs>
          <w:tab w:val="clear" w:pos="709"/>
          <w:tab w:val="left" w:pos="709" w:leader="none"/>
        </w:tabs>
        <w:bidi w:val="0"/>
        <w:ind w:hanging="283" w:start="709"/>
        <w:jc w:val="start"/>
        <w:rPr/>
      </w:pPr>
      <w:r>
        <w:rPr>
          <w:b/>
        </w:rPr>
        <w:t>He was himself an advertiser</w:t>
      </w:r>
      <w:r>
        <w:rPr/>
        <w:t xml:space="preserve"> — his company spends </w:t>
      </w:r>
      <w:r>
        <w:rPr>
          <w:b/>
        </w:rPr>
        <w:t>millions of dollars a year</w:t>
      </w:r>
      <w:r>
        <w:rPr/>
        <w:t xml:space="preserve"> on Facebook ads. He asked: is there an alternative? </w:t>
      </w:r>
      <w:r>
        <w:rPr>
          <w:i/>
        </w:rPr>
        <w:t>Not really</w:t>
      </w:r>
      <w:r>
        <w:rPr/>
        <w:t xml:space="preserve"> — Facebook gave the best return on ad dollars. Was he planning to spend less next year? </w:t>
      </w:r>
      <w:r>
        <w:rPr>
          <w:i/>
        </w:rPr>
        <w:t>No — more.</w:t>
      </w:r>
    </w:p>
    <w:p>
      <w:pPr>
        <w:pStyle w:val="BodyText"/>
        <w:bidi w:val="0"/>
        <w:jc w:val="start"/>
        <w:rPr/>
      </w:pPr>
      <w:r>
        <w:rPr/>
        <w:t>Because he was a customer AND an advertiser, he understood the business well enough to keep adding shares while others panic-sold. Meta is now one of his biggest positions and one of his highest-returning.</w:t>
      </w:r>
    </w:p>
    <w:p>
      <w:pPr>
        <w:pStyle w:val="BlockQuotation"/>
        <w:bidi w:val="0"/>
        <w:jc w:val="start"/>
        <w:rPr/>
      </w:pPr>
      <w:r>
        <w:rPr/>
        <w:t xml:space="preserve">Lesson: </w:t>
      </w:r>
      <w:r>
        <w:rPr>
          <w:b/>
        </w:rPr>
        <w:t>your biggest positions should be the businesses you understand best — and you only truly understand a business if you are a customer of it.</w:t>
      </w:r>
      <w:r>
        <w:rPr/>
        <w:t xml:space="preserve"> Buy what you know.</w:t>
      </w:r>
    </w:p>
    <w:p>
      <w:pPr>
        <w:pStyle w:val="BodyText"/>
        <w:bidi w:val="0"/>
        <w:jc w:val="start"/>
        <w:rPr/>
      </w:pPr>
      <w:r>
        <w:rPr>
          <w:b/>
        </w:rPr>
        <w:t>Example B — Ozempic scare (2023).</w:t>
      </w:r>
      <w:r>
        <w:rPr/>
        <w:t xml:space="preserve"> News about the weight-loss/diabetes injectable (publicised via Kim Kardashian and Elon Musk) triggered irrational sector-wide selling:</w:t>
      </w:r>
    </w:p>
    <w:p>
      <w:pPr>
        <w:pStyle w:val="BodyText"/>
        <w:numPr>
          <w:ilvl w:val="0"/>
          <w:numId w:val="519"/>
        </w:numPr>
        <w:tabs>
          <w:tab w:val="clear" w:pos="709"/>
          <w:tab w:val="left" w:pos="709" w:leader="none"/>
        </w:tabs>
        <w:bidi w:val="0"/>
        <w:ind w:hanging="283" w:start="709"/>
        <w:jc w:val="start"/>
        <w:rPr/>
      </w:pPr>
      <w:r>
        <w:rPr>
          <w:b/>
        </w:rPr>
        <w:t>Food stocks −20% to −30%</w:t>
      </w:r>
      <w:r>
        <w:rPr/>
        <w:t>: Pepsi, Hershey's, McDonald's, Yum Brands — on the fear people would eat fewer chocolates, cookies, potato chips.</w:t>
      </w:r>
    </w:p>
    <w:p>
      <w:pPr>
        <w:pStyle w:val="BodyText"/>
        <w:numPr>
          <w:ilvl w:val="0"/>
          <w:numId w:val="519"/>
        </w:numPr>
        <w:tabs>
          <w:tab w:val="clear" w:pos="709"/>
          <w:tab w:val="left" w:pos="709" w:leader="none"/>
        </w:tabs>
        <w:bidi w:val="0"/>
        <w:ind w:hanging="283" w:start="709"/>
        <w:jc w:val="start"/>
        <w:rPr/>
      </w:pPr>
      <w:r>
        <w:rPr>
          <w:b/>
        </w:rPr>
        <w:t>Healthcare stocks −10% to −30%</w:t>
      </w:r>
      <w:r>
        <w:rPr/>
        <w:t>: Thermo Fisher, HCA Healthcare, Abbott Laboratories — on the fear that thinner people get less heart disease and fewer medical problems.</w:t>
      </w:r>
    </w:p>
    <w:p>
      <w:pPr>
        <w:pStyle w:val="BodyText"/>
        <w:numPr>
          <w:ilvl w:val="0"/>
          <w:numId w:val="519"/>
        </w:numPr>
        <w:tabs>
          <w:tab w:val="clear" w:pos="709"/>
          <w:tab w:val="left" w:pos="709" w:leader="none"/>
        </w:tabs>
        <w:bidi w:val="0"/>
        <w:ind w:hanging="283" w:start="709"/>
        <w:jc w:val="start"/>
        <w:rPr/>
      </w:pPr>
      <w:r>
        <w:rPr/>
        <w:t xml:space="preserve">Revenue and profits </w:t>
      </w:r>
      <w:r>
        <w:rPr>
          <w:b/>
        </w:rPr>
        <w:t>did not actually drop</w:t>
      </w:r>
      <w:r>
        <w:rPr/>
        <w:t xml:space="preserve">. He used it to buy more </w:t>
      </w:r>
      <w:r>
        <w:rPr>
          <w:b/>
        </w:rPr>
        <w:t>McDonald's</w:t>
      </w:r>
      <w:r>
        <w:rPr/>
        <w:t xml:space="preserve">, plus </w:t>
      </w:r>
      <w:r>
        <w:rPr>
          <w:b/>
        </w:rPr>
        <w:t>Hershey's</w:t>
      </w:r>
      <w:r>
        <w:rPr/>
        <w:t xml:space="preserve"> and </w:t>
      </w:r>
      <w:r>
        <w:rPr>
          <w:b/>
        </w:rPr>
        <w:t>Pepsi</w:t>
      </w:r>
      <w:r>
        <w:rPr/>
        <w:t>, and the marked-down healthcare names.</w:t>
      </w:r>
    </w:p>
    <w:p>
      <w:pPr>
        <w:pStyle w:val="BodyText"/>
        <w:bidi w:val="0"/>
        <w:jc w:val="start"/>
        <w:rPr/>
      </w:pPr>
      <w:r>
        <w:rPr>
          <w:b/>
        </w:rPr>
        <w:t>Example C — Booking Holdings / Booking.com (2020 COVID).</w:t>
      </w:r>
      <w:r>
        <w:rPr/>
        <w:t xml:space="preserve"> Largest online travel agent in the world (owns Priceline, Agoda and other travel brands). Global borders shut, </w:t>
      </w:r>
      <w:r>
        <w:rPr>
          <w:b/>
        </w:rPr>
        <w:t>revenue dropped ~90%, profits ~90%</w:t>
      </w:r>
      <w:r>
        <w:rPr/>
        <w:t xml:space="preserve">, share price plunged. He </w:t>
      </w:r>
      <w:r>
        <w:rPr>
          <w:b/>
        </w:rPr>
        <w:t>bought aggressively at huge discounts</w:t>
      </w:r>
      <w:r>
        <w:rPr/>
        <w:t xml:space="preserve"> while everyone panicked, because (a) it passed all his criteria, (b) the profit collapse was from an external cause, not the company's fault, and (c) the pandemic would not last forever.</w:t>
      </w:r>
    </w:p>
    <w:p>
      <w:pPr>
        <w:pStyle w:val="BodyText"/>
        <w:numPr>
          <w:ilvl w:val="0"/>
          <w:numId w:val="520"/>
        </w:numPr>
        <w:tabs>
          <w:tab w:val="clear" w:pos="709"/>
          <w:tab w:val="left" w:pos="709" w:leader="none"/>
        </w:tabs>
        <w:bidi w:val="0"/>
        <w:ind w:hanging="283" w:start="709"/>
        <w:jc w:val="start"/>
        <w:rPr/>
      </w:pPr>
      <w:r>
        <w:rPr/>
        <w:t xml:space="preserve">Note what he did </w:t>
      </w:r>
      <w:r>
        <w:rPr>
          <w:b/>
        </w:rPr>
        <w:t>not</w:t>
      </w:r>
      <w:r>
        <w:rPr/>
        <w:t xml:space="preserve"> buy: hotels, airlines, cruise ships — they </w:t>
      </w:r>
      <w:r>
        <w:rPr>
          <w:b/>
        </w:rPr>
        <w:t>did not meet his investment criteria</w:t>
      </w:r>
      <w:r>
        <w:rPr/>
        <w:t xml:space="preserve">. Booking did, because it is an </w:t>
      </w:r>
      <w:r>
        <w:rPr>
          <w:b/>
        </w:rPr>
        <w:t>online business with a very strong balance sheet</w:t>
      </w:r>
      <w:r>
        <w:rPr/>
        <w:t>.</w:t>
      </w:r>
    </w:p>
    <w:p>
      <w:pPr>
        <w:pStyle w:val="BodyText"/>
        <w:bidi w:val="0"/>
        <w:jc w:val="start"/>
        <w:rPr/>
      </w:pPr>
      <w:r>
        <w:rPr>
          <w:b/>
        </w:rPr>
        <w:t>Rules attached to the bad-news source:</w:t>
      </w:r>
    </w:p>
    <w:p>
      <w:pPr>
        <w:pStyle w:val="BodyText"/>
        <w:numPr>
          <w:ilvl w:val="0"/>
          <w:numId w:val="521"/>
        </w:numPr>
        <w:tabs>
          <w:tab w:val="clear" w:pos="709"/>
          <w:tab w:val="left" w:pos="709" w:leader="none"/>
        </w:tabs>
        <w:bidi w:val="0"/>
        <w:ind w:hanging="283" w:start="709"/>
        <w:jc w:val="start"/>
        <w:rPr/>
      </w:pPr>
      <w:r>
        <w:rPr/>
        <w:t xml:space="preserve">Do </w:t>
      </w:r>
      <w:r>
        <w:rPr>
          <w:b/>
        </w:rPr>
        <w:t>not</w:t>
      </w:r>
      <w:r>
        <w:rPr/>
        <w:t xml:space="preserve"> buy blindly just because you read bad news — the company may not be a good business in the first place. It must pass the investment criteria.</w:t>
      </w:r>
    </w:p>
    <w:p>
      <w:pPr>
        <w:pStyle w:val="BodyText"/>
        <w:numPr>
          <w:ilvl w:val="0"/>
          <w:numId w:val="521"/>
        </w:numPr>
        <w:tabs>
          <w:tab w:val="clear" w:pos="709"/>
          <w:tab w:val="left" w:pos="709" w:leader="none"/>
        </w:tabs>
        <w:bidi w:val="0"/>
        <w:ind w:hanging="283" w:start="709"/>
        <w:jc w:val="start"/>
        <w:rPr/>
      </w:pPr>
      <w:r>
        <w:rPr/>
        <w:t xml:space="preserve">The </w:t>
      </w:r>
      <w:r>
        <w:rPr>
          <w:b/>
        </w:rPr>
        <w:t>news only points you to the opportunity</w:t>
      </w:r>
      <w:r>
        <w:rPr/>
        <w:t xml:space="preserve">. The actual buy decision comes from </w:t>
      </w:r>
      <w:r>
        <w:rPr>
          <w:b/>
        </w:rPr>
        <w:t>fundamentals + technicals</w:t>
      </w:r>
      <w:r>
        <w:rPr/>
        <w:t>: Is it undervalued? Has price retraced to a strong support level? Is there a reversal pattern? Entry criteria must be met before pulling the trigger.</w:t>
      </w:r>
    </w:p>
    <w:p>
      <w:pPr>
        <w:pStyle w:val="BodyText"/>
        <w:numPr>
          <w:ilvl w:val="0"/>
          <w:numId w:val="521"/>
        </w:numPr>
        <w:tabs>
          <w:tab w:val="clear" w:pos="709"/>
          <w:tab w:val="left" w:pos="709" w:leader="none"/>
        </w:tabs>
        <w:bidi w:val="0"/>
        <w:ind w:hanging="283" w:start="709"/>
        <w:jc w:val="start"/>
        <w:rPr/>
      </w:pPr>
      <w:r>
        <w:rPr>
          <w:b/>
        </w:rPr>
        <w:t>Exception — financial fraud or financial irregularity: don't touch it.</w:t>
      </w:r>
      <w:r>
        <w:rPr/>
        <w:t xml:space="preserve"> "Where there's smoke, there's a big fire." Every other type of short-term bad news is an opportunity.</w:t>
      </w:r>
    </w:p>
    <w:p>
      <w:pPr>
        <w:pStyle w:val="Heading4"/>
        <w:numPr>
          <w:ilvl w:val="0"/>
          <w:numId w:val="0"/>
        </w:numPr>
        <w:bidi w:val="0"/>
        <w:ind w:hanging="0" w:start="0"/>
        <w:jc w:val="start"/>
        <w:rPr/>
      </w:pPr>
      <w:r>
        <w:rPr/>
        <w:t>1.5 Source #3 — Stock screeners</w:t>
      </w:r>
    </w:p>
    <w:p>
      <w:pPr>
        <w:pStyle w:val="BodyText"/>
        <w:numPr>
          <w:ilvl w:val="0"/>
          <w:numId w:val="522"/>
        </w:numPr>
        <w:tabs>
          <w:tab w:val="clear" w:pos="709"/>
          <w:tab w:val="left" w:pos="709" w:leader="none"/>
        </w:tabs>
        <w:bidi w:val="0"/>
        <w:ind w:hanging="283" w:start="709"/>
        <w:jc w:val="start"/>
        <w:rPr/>
      </w:pPr>
      <w:r>
        <w:rPr/>
        <w:t xml:space="preserve">Best </w:t>
      </w:r>
      <w:r>
        <w:rPr>
          <w:b/>
        </w:rPr>
        <w:t>free</w:t>
      </w:r>
      <w:r>
        <w:rPr/>
        <w:t xml:space="preserve"> screener: </w:t>
      </w:r>
      <w:r>
        <w:rPr>
          <w:b/>
        </w:rPr>
        <w:t>finviz.com</w:t>
      </w:r>
    </w:p>
    <w:p>
      <w:pPr>
        <w:pStyle w:val="BodyText"/>
        <w:numPr>
          <w:ilvl w:val="0"/>
          <w:numId w:val="522"/>
        </w:numPr>
        <w:tabs>
          <w:tab w:val="clear" w:pos="709"/>
          <w:tab w:val="left" w:pos="709" w:leader="none"/>
        </w:tabs>
        <w:bidi w:val="0"/>
        <w:ind w:hanging="283" w:start="709"/>
        <w:jc w:val="start"/>
        <w:rPr/>
      </w:pPr>
      <w:r>
        <w:rPr/>
        <w:t xml:space="preserve">Best </w:t>
      </w:r>
      <w:r>
        <w:rPr>
          <w:b/>
        </w:rPr>
        <w:t>paid</w:t>
      </w:r>
      <w:r>
        <w:rPr/>
        <w:t xml:space="preserve"> screener: </w:t>
      </w:r>
      <w:r>
        <w:rPr>
          <w:b/>
        </w:rPr>
        <w:t>gurufocus.com</w:t>
      </w:r>
      <w:r>
        <w:rPr/>
        <w:t> (Full setups in Part 2 below.)</w:t>
      </w:r>
    </w:p>
    <w:p>
      <w:pPr>
        <w:pStyle w:val="Heading4"/>
        <w:numPr>
          <w:ilvl w:val="0"/>
          <w:numId w:val="0"/>
        </w:numPr>
        <w:bidi w:val="0"/>
        <w:ind w:hanging="0" w:start="0"/>
        <w:jc w:val="start"/>
        <w:rPr/>
      </w:pPr>
      <w:r>
        <w:rPr/>
        <w:t>1.6 Source #4 — Following super investors (13F filings)</w:t>
      </w:r>
    </w:p>
    <w:p>
      <w:pPr>
        <w:pStyle w:val="BodyText"/>
        <w:bidi w:val="0"/>
        <w:jc w:val="start"/>
        <w:rPr/>
      </w:pPr>
      <w:r>
        <w:rPr>
          <w:b/>
        </w:rPr>
        <w:t>Website: dataroma.com</w:t>
      </w:r>
      <w:r>
        <w:rPr/>
        <w:t xml:space="preserve"> — free; tracks the </w:t>
      </w:r>
      <w:r>
        <w:rPr>
          <w:b/>
        </w:rPr>
        <w:t>13F filings</w:t>
      </w:r>
      <w:r>
        <w:rPr/>
        <w:t xml:space="preserve"> of well-known US hedge-fund managers and super investors managing billions.</w:t>
      </w:r>
    </w:p>
    <w:p>
      <w:pPr>
        <w:pStyle w:val="BodyText"/>
        <w:bidi w:val="0"/>
        <w:jc w:val="start"/>
        <w:rPr/>
      </w:pPr>
      <w:r>
        <w:rPr/>
        <w:t>What you can see there:</w:t>
      </w:r>
    </w:p>
    <w:p>
      <w:pPr>
        <w:pStyle w:val="BodyText"/>
        <w:numPr>
          <w:ilvl w:val="0"/>
          <w:numId w:val="523"/>
        </w:numPr>
        <w:tabs>
          <w:tab w:val="clear" w:pos="709"/>
          <w:tab w:val="left" w:pos="709" w:leader="none"/>
        </w:tabs>
        <w:bidi w:val="0"/>
        <w:ind w:hanging="283" w:start="709"/>
        <w:jc w:val="start"/>
        <w:rPr/>
      </w:pPr>
      <w:r>
        <w:rPr/>
        <w:t xml:space="preserve">A list of tracked </w:t>
      </w:r>
      <w:r>
        <w:rPr>
          <w:b/>
        </w:rPr>
        <w:t>super investors</w:t>
      </w:r>
      <w:r>
        <w:rPr/>
        <w:t>: Bill Ackman, Warren Buffett, Li Lu, Chase Coleman, and others.</w:t>
      </w:r>
    </w:p>
    <w:p>
      <w:pPr>
        <w:pStyle w:val="BodyText"/>
        <w:numPr>
          <w:ilvl w:val="0"/>
          <w:numId w:val="523"/>
        </w:numPr>
        <w:tabs>
          <w:tab w:val="clear" w:pos="709"/>
          <w:tab w:val="left" w:pos="709" w:leader="none"/>
        </w:tabs>
        <w:bidi w:val="0"/>
        <w:ind w:hanging="283" w:start="709"/>
        <w:jc w:val="start"/>
        <w:rPr/>
      </w:pPr>
      <w:r>
        <w:rPr/>
        <w:t xml:space="preserve">Each investor's </w:t>
      </w:r>
      <w:r>
        <w:rPr>
          <w:b/>
        </w:rPr>
        <w:t>top-10 holdings</w:t>
      </w:r>
      <w:r>
        <w:rPr/>
        <w:t xml:space="preserve"> and their </w:t>
      </w:r>
      <w:r>
        <w:rPr>
          <w:b/>
        </w:rPr>
        <w:t>most recent purchases</w:t>
      </w:r>
      <w:r>
        <w:rPr/>
        <w:t>.</w:t>
      </w:r>
    </w:p>
    <w:p>
      <w:pPr>
        <w:pStyle w:val="BodyText"/>
        <w:numPr>
          <w:ilvl w:val="0"/>
          <w:numId w:val="523"/>
        </w:numPr>
        <w:tabs>
          <w:tab w:val="clear" w:pos="709"/>
          <w:tab w:val="left" w:pos="709" w:leader="none"/>
        </w:tabs>
        <w:bidi w:val="0"/>
        <w:ind w:hanging="283" w:start="709"/>
        <w:jc w:val="start"/>
        <w:rPr/>
      </w:pPr>
      <w:r>
        <w:rPr/>
        <w:t xml:space="preserve">Example cited — </w:t>
      </w:r>
      <w:r>
        <w:rPr>
          <w:b/>
        </w:rPr>
        <w:t>Bill Ackman, Q3 2023</w:t>
      </w:r>
      <w:r>
        <w:rPr/>
        <w:t xml:space="preserve">: added </w:t>
      </w:r>
      <w:r>
        <w:rPr>
          <w:b/>
        </w:rPr>
        <w:t>Google, Hilton, Howard Hughes</w:t>
      </w:r>
      <w:r>
        <w:rPr/>
        <w:t>. (He describes Ackman as one of the few fund managers he actually respects.)</w:t>
      </w:r>
    </w:p>
    <w:p>
      <w:pPr>
        <w:pStyle w:val="BodyText"/>
        <w:numPr>
          <w:ilvl w:val="0"/>
          <w:numId w:val="523"/>
        </w:numPr>
        <w:tabs>
          <w:tab w:val="clear" w:pos="709"/>
          <w:tab w:val="left" w:pos="709" w:leader="none"/>
        </w:tabs>
        <w:bidi w:val="0"/>
        <w:ind w:hanging="283" w:start="709"/>
        <w:jc w:val="start"/>
        <w:rPr/>
      </w:pPr>
      <w:r>
        <w:rPr/>
        <w:t xml:space="preserve">Example cited — </w:t>
      </w:r>
      <w:r>
        <w:rPr>
          <w:b/>
        </w:rPr>
        <w:t>Warren Buffett / Berkshire Hathaway</w:t>
      </w:r>
      <w:r>
        <w:rPr/>
        <w:t xml:space="preserve">: largest holding </w:t>
      </w:r>
      <w:r>
        <w:rPr>
          <w:b/>
        </w:rPr>
        <w:t>Apple at ~50% of the portfolio</w:t>
      </w:r>
      <w:r>
        <w:rPr/>
        <w:t xml:space="preserve">; Q3 buys included </w:t>
      </w:r>
      <w:r>
        <w:rPr>
          <w:b/>
        </w:rPr>
        <w:t>LLYVK (Liberty Media), Sirius holdings, Atlanta Braves Holdings</w:t>
      </w:r>
      <w:r>
        <w:rPr/>
        <w:t xml:space="preserve">; prior quarter </w:t>
      </w:r>
      <w:r>
        <w:rPr>
          <w:b/>
        </w:rPr>
        <w:t>Capital One Financial, Occidental Petroleum</w:t>
      </w:r>
      <w:r>
        <w:rPr/>
        <w:t>.</w:t>
      </w:r>
    </w:p>
    <w:p>
      <w:pPr>
        <w:pStyle w:val="BodyText"/>
        <w:bidi w:val="0"/>
        <w:jc w:val="start"/>
        <w:rPr/>
      </w:pPr>
      <w:r>
        <w:rPr>
          <w:b/>
        </w:rPr>
        <w:t>More useful than any single investor: the aggregate.</w:t>
      </w:r>
      <w:r>
        <w:rPr/>
        <w:t xml:space="preserve"> Look at the stocks that many super investors are buying — the "most popular stocks among super investors" — on the Dataroma home page, right-hand side:</w:t>
      </w:r>
    </w:p>
    <w:p>
      <w:pPr>
        <w:pStyle w:val="BodyText"/>
        <w:numPr>
          <w:ilvl w:val="0"/>
          <w:numId w:val="524"/>
        </w:numPr>
        <w:tabs>
          <w:tab w:val="clear" w:pos="709"/>
          <w:tab w:val="left" w:pos="709" w:leader="none"/>
        </w:tabs>
        <w:bidi w:val="0"/>
        <w:ind w:hanging="283" w:start="709"/>
        <w:jc w:val="start"/>
        <w:rPr/>
      </w:pPr>
      <w:r>
        <w:rPr>
          <w:b/>
        </w:rPr>
        <w:t>Top 10 most-owned stocks by super investors</w:t>
      </w:r>
      <w:r>
        <w:rPr/>
        <w:t xml:space="preserve"> (as shown): Google, Microsoft, Meta Platforms, Amazon, Visa, Berkshire Hathaway, Wells Fargo, UnitedHealth, Mastercard. </w:t>
      </w:r>
      <w:r>
        <w:rPr>
          <w:i/>
        </w:rPr>
        <w:t>He owns 8 of the 10</w:t>
      </w:r>
      <w:r>
        <w:rPr/>
        <w:t xml:space="preserve"> — but bought them from his own analysis, not because they did.</w:t>
      </w:r>
    </w:p>
    <w:p>
      <w:pPr>
        <w:pStyle w:val="BodyText"/>
        <w:numPr>
          <w:ilvl w:val="0"/>
          <w:numId w:val="524"/>
        </w:numPr>
        <w:tabs>
          <w:tab w:val="clear" w:pos="709"/>
          <w:tab w:val="left" w:pos="709" w:leader="none"/>
        </w:tabs>
        <w:bidi w:val="0"/>
        <w:ind w:hanging="283" w:start="709"/>
        <w:jc w:val="start"/>
        <w:rPr/>
      </w:pPr>
      <w:r>
        <w:rPr>
          <w:b/>
        </w:rPr>
        <w:t>Top 10 buys last quarter</w:t>
      </w:r>
      <w:r>
        <w:rPr/>
        <w:t xml:space="preserve"> (as shown): Alphabet, Meta, Amazon, Disney, Microsoft, UnitedHealth, CVS Health, Thermo Fisher, Dollar General, Charter Communications.</w:t>
      </w:r>
    </w:p>
    <w:p>
      <w:pPr>
        <w:pStyle w:val="BodyText"/>
        <w:bidi w:val="0"/>
        <w:jc w:val="start"/>
        <w:rPr/>
      </w:pPr>
      <w:r>
        <w:rPr>
          <w:b/>
        </w:rPr>
        <w:t>Hard warnings on this source:</w:t>
      </w:r>
    </w:p>
    <w:p>
      <w:pPr>
        <w:pStyle w:val="BodyText"/>
        <w:numPr>
          <w:ilvl w:val="0"/>
          <w:numId w:val="525"/>
        </w:numPr>
        <w:tabs>
          <w:tab w:val="clear" w:pos="709"/>
          <w:tab w:val="left" w:pos="709" w:leader="none"/>
        </w:tabs>
        <w:bidi w:val="0"/>
        <w:ind w:hanging="283" w:start="709"/>
        <w:jc w:val="start"/>
        <w:rPr/>
      </w:pPr>
      <w:r>
        <w:rPr>
          <w:b/>
        </w:rPr>
        <w:t>Never follow blindly.</w:t>
      </w:r>
      <w:r>
        <w:rPr/>
        <w:t xml:space="preserve"> Respecting an investor doesn't mean copying their picks.</w:t>
      </w:r>
    </w:p>
    <w:p>
      <w:pPr>
        <w:pStyle w:val="BodyText"/>
        <w:numPr>
          <w:ilvl w:val="0"/>
          <w:numId w:val="525"/>
        </w:numPr>
        <w:tabs>
          <w:tab w:val="clear" w:pos="709"/>
          <w:tab w:val="left" w:pos="709" w:leader="none"/>
        </w:tabs>
        <w:bidi w:val="0"/>
        <w:ind w:hanging="283" w:start="709"/>
        <w:jc w:val="start"/>
        <w:rPr/>
      </w:pPr>
      <w:r>
        <w:rPr/>
        <w:t xml:space="preserve">He respects Buffett tremendously but would </w:t>
      </w:r>
      <w:r>
        <w:rPr>
          <w:b/>
        </w:rPr>
        <w:t>never buy Occidental Petroleum (OXY)</w:t>
      </w:r>
      <w:r>
        <w:rPr/>
        <w:t xml:space="preserve"> — doesn't meet his criteria and he doesn't like energy stocks; it fell significantly after Buffett bought.</w:t>
      </w:r>
    </w:p>
    <w:p>
      <w:pPr>
        <w:pStyle w:val="BodyText"/>
        <w:numPr>
          <w:ilvl w:val="0"/>
          <w:numId w:val="525"/>
        </w:numPr>
        <w:tabs>
          <w:tab w:val="clear" w:pos="709"/>
          <w:tab w:val="left" w:pos="709" w:leader="none"/>
        </w:tabs>
        <w:bidi w:val="0"/>
        <w:ind w:hanging="283" w:start="709"/>
        <w:jc w:val="start"/>
        <w:rPr/>
      </w:pPr>
      <w:r>
        <w:rPr/>
        <w:t xml:space="preserve">Buffett famously bought </w:t>
      </w:r>
      <w:r>
        <w:rPr>
          <w:b/>
        </w:rPr>
        <w:t>airline stocks in 2019</w:t>
      </w:r>
      <w:r>
        <w:rPr/>
        <w:t xml:space="preserve">, then cut the loss in the 2020 COVID crash. Airlines are something Adam would </w:t>
      </w:r>
      <w:r>
        <w:rPr>
          <w:b/>
        </w:rPr>
        <w:t>never</w:t>
      </w:r>
      <w:r>
        <w:rPr/>
        <w:t xml:space="preserve"> buy.</w:t>
      </w:r>
    </w:p>
    <w:p>
      <w:pPr>
        <w:pStyle w:val="BodyText"/>
        <w:numPr>
          <w:ilvl w:val="0"/>
          <w:numId w:val="525"/>
        </w:numPr>
        <w:tabs>
          <w:tab w:val="clear" w:pos="709"/>
          <w:tab w:val="left" w:pos="709" w:leader="none"/>
        </w:tabs>
        <w:bidi w:val="0"/>
        <w:ind w:hanging="283" w:start="709"/>
        <w:jc w:val="start"/>
        <w:rPr/>
      </w:pPr>
      <w:r>
        <w:rPr/>
        <w:t xml:space="preserve">Even the aggregate can be wrong — </w:t>
      </w:r>
      <w:r>
        <w:rPr>
          <w:b/>
        </w:rPr>
        <w:t>they could all be wrong together</w:t>
      </w:r>
      <w:r>
        <w:rPr/>
        <w:t>.</w:t>
      </w:r>
    </w:p>
    <w:p>
      <w:pPr>
        <w:pStyle w:val="BodyText"/>
        <w:numPr>
          <w:ilvl w:val="0"/>
          <w:numId w:val="525"/>
        </w:numPr>
        <w:tabs>
          <w:tab w:val="clear" w:pos="709"/>
          <w:tab w:val="left" w:pos="709" w:leader="none"/>
        </w:tabs>
        <w:bidi w:val="0"/>
        <w:ind w:hanging="283" w:start="709"/>
        <w:jc w:val="start"/>
        <w:rPr/>
      </w:pPr>
      <w:r>
        <w:rPr/>
        <w:t xml:space="preserve">Illustrative divergence: </w:t>
      </w:r>
      <w:r>
        <w:rPr>
          <w:b/>
        </w:rPr>
        <w:t>Disney</w:t>
      </w:r>
      <w:r>
        <w:rPr/>
        <w:t xml:space="preserve"> was one of the most-bought stocks by super investors that quarter — and he </w:t>
      </w:r>
      <w:r>
        <w:rPr>
          <w:b/>
        </w:rPr>
        <w:t>sold his Disney shares</w:t>
      </w:r>
      <w:r>
        <w:rPr/>
        <w:t xml:space="preserve"> in the same period because it no longer met his criteria. Sometimes he sells what they buy, buys what they don't.</w:t>
      </w:r>
    </w:p>
    <w:p>
      <w:pPr>
        <w:pStyle w:val="BodyText"/>
        <w:numPr>
          <w:ilvl w:val="0"/>
          <w:numId w:val="525"/>
        </w:numPr>
        <w:tabs>
          <w:tab w:val="clear" w:pos="709"/>
          <w:tab w:val="left" w:pos="709" w:leader="none"/>
        </w:tabs>
        <w:bidi w:val="0"/>
        <w:ind w:hanging="283" w:start="709"/>
        <w:jc w:val="start"/>
        <w:rPr/>
      </w:pPr>
      <w:r>
        <w:rPr/>
        <w:t xml:space="preserve">Every idea from this source must still go through the </w:t>
      </w:r>
      <w:r>
        <w:rPr>
          <w:b/>
        </w:rPr>
        <w:t>7-step analysis</w:t>
      </w:r>
      <w:r>
        <w:rPr/>
        <w:t>.</w:t>
      </w:r>
    </w:p>
    <w:p>
      <w:pPr>
        <w:pStyle w:val="Heading4"/>
        <w:numPr>
          <w:ilvl w:val="0"/>
          <w:numId w:val="0"/>
        </w:numPr>
        <w:bidi w:val="0"/>
        <w:ind w:hanging="0" w:start="0"/>
        <w:jc w:val="start"/>
        <w:rPr/>
      </w:pPr>
      <w:r>
        <w:rPr/>
        <w:t>1.7 Source #5 — Subscription research (UIP)</w:t>
      </w:r>
    </w:p>
    <w:p>
      <w:pPr>
        <w:pStyle w:val="BodyText"/>
        <w:bidi w:val="0"/>
        <w:jc w:val="start"/>
        <w:rPr/>
      </w:pPr>
      <w:r>
        <w:rPr>
          <w:b/>
        </w:rPr>
        <w:t>Ultimate Investor's Playbook (UIP)</w:t>
      </w:r>
      <w:r>
        <w:rPr/>
        <w:t xml:space="preserve">, managed by Adam Khoo — subscribe at </w:t>
      </w:r>
      <w:r>
        <w:rPr>
          <w:b/>
        </w:rPr>
        <w:t>insight.piranaprofits.com</w:t>
      </w:r>
      <w:r>
        <w:rPr/>
        <w:t>. What it provides:</w:t>
      </w:r>
    </w:p>
    <w:p>
      <w:pPr>
        <w:pStyle w:val="BodyText"/>
        <w:numPr>
          <w:ilvl w:val="0"/>
          <w:numId w:val="526"/>
        </w:numPr>
        <w:tabs>
          <w:tab w:val="clear" w:pos="709"/>
          <w:tab w:val="left" w:pos="709" w:leader="none"/>
        </w:tabs>
        <w:bidi w:val="0"/>
        <w:ind w:hanging="283" w:start="709"/>
        <w:jc w:val="start"/>
        <w:rPr/>
      </w:pPr>
      <w:r>
        <w:rPr>
          <w:b/>
        </w:rPr>
        <w:t>Two stocks presented every month</w:t>
      </w:r>
      <w:r>
        <w:rPr/>
        <w:t xml:space="preserve">: one picked by him personally, one </w:t>
      </w:r>
      <w:r>
        <w:rPr>
          <w:b/>
        </w:rPr>
        <w:t>voted on by the community</w:t>
      </w:r>
      <w:r>
        <w:rPr/>
        <w:t>.</w:t>
      </w:r>
    </w:p>
    <w:p>
      <w:pPr>
        <w:pStyle w:val="BodyText"/>
        <w:numPr>
          <w:ilvl w:val="0"/>
          <w:numId w:val="526"/>
        </w:numPr>
        <w:tabs>
          <w:tab w:val="clear" w:pos="709"/>
          <w:tab w:val="left" w:pos="709" w:leader="none"/>
        </w:tabs>
        <w:bidi w:val="0"/>
        <w:spacing w:before="0" w:after="0"/>
        <w:ind w:hanging="283" w:start="709"/>
        <w:jc w:val="start"/>
        <w:rPr/>
      </w:pPr>
      <w:r>
        <w:rPr/>
        <w:t xml:space="preserve">Each gets an </w:t>
      </w:r>
      <w:r>
        <w:rPr>
          <w:b/>
        </w:rPr>
        <w:t>in-depth 7-step deep dive</w:t>
      </w:r>
      <w:r>
        <w:rPr/>
        <w:t>: investment thesis (market potential, why it beats the S&amp;P 500), business overview (products/services), revenue growth history, net profit, cash from operations, gross profit margins, ROE, ROIC, revenue rising faster than accounts receivable, economic moat (wide vs narrow) and its sources (market leadership, network effect, high switching costs), direct competitor study with 10-year and 5-year relative performance, growth drivers, debt structure, intrinsic value via the intrinsic value calculator, and investment risks.</w:t>
      </w:r>
    </w:p>
    <w:p>
      <w:pPr>
        <w:pStyle w:val="BodyText"/>
        <w:numPr>
          <w:ilvl w:val="1"/>
          <w:numId w:val="526"/>
        </w:numPr>
        <w:tabs>
          <w:tab w:val="clear" w:pos="709"/>
          <w:tab w:val="left" w:pos="1418" w:leader="none"/>
        </w:tabs>
        <w:bidi w:val="0"/>
        <w:ind w:hanging="283" w:start="1418"/>
        <w:jc w:val="start"/>
        <w:rPr/>
      </w:pPr>
      <w:r>
        <w:rPr>
          <w:i/>
        </w:rPr>
        <w:t>Example given</w:t>
      </w:r>
      <w:r>
        <w:rPr/>
        <w:t xml:space="preserve">: </w:t>
      </w:r>
      <w:r>
        <w:rPr>
          <w:b/>
        </w:rPr>
        <w:t>Intuit</w:t>
      </w:r>
      <w:r>
        <w:rPr/>
        <w:t xml:space="preserve">, presented May 2022, competitor-compared against </w:t>
      </w:r>
      <w:r>
        <w:rPr>
          <w:b/>
        </w:rPr>
        <w:t>Sage Group, Xero, H&amp;R Block</w:t>
      </w:r>
      <w:r>
        <w:rPr/>
        <w:t xml:space="preserve">; presented when price dropped to a strong support level inside the buy zone; later at </w:t>
      </w:r>
      <w:r>
        <w:rPr>
          <w:b/>
        </w:rPr>
        <w:t>$594</w:t>
      </w:r>
      <w:r>
        <w:rPr/>
        <w:t>.</w:t>
      </w:r>
    </w:p>
    <w:p>
      <w:pPr>
        <w:pStyle w:val="BodyText"/>
        <w:numPr>
          <w:ilvl w:val="0"/>
          <w:numId w:val="526"/>
        </w:numPr>
        <w:tabs>
          <w:tab w:val="clear" w:pos="709"/>
          <w:tab w:val="left" w:pos="709" w:leader="none"/>
        </w:tabs>
        <w:bidi w:val="0"/>
        <w:spacing w:before="0" w:after="0"/>
        <w:ind w:hanging="283" w:start="709"/>
        <w:jc w:val="start"/>
        <w:rPr/>
      </w:pPr>
      <w:r>
        <w:rPr>
          <w:b/>
        </w:rPr>
        <w:t>Monthly updates of intrinsic value and buy levels</w:t>
      </w:r>
      <w:r>
        <w:rPr/>
        <w:t xml:space="preserve"> for every stock.</w:t>
      </w:r>
    </w:p>
    <w:p>
      <w:pPr>
        <w:pStyle w:val="BodyText"/>
        <w:numPr>
          <w:ilvl w:val="1"/>
          <w:numId w:val="526"/>
        </w:numPr>
        <w:tabs>
          <w:tab w:val="clear" w:pos="709"/>
          <w:tab w:val="left" w:pos="1418" w:leader="none"/>
        </w:tabs>
        <w:bidi w:val="0"/>
        <w:ind w:hanging="283" w:start="1418"/>
        <w:jc w:val="start"/>
        <w:rPr/>
      </w:pPr>
      <w:r>
        <w:rPr>
          <w:i/>
        </w:rPr>
        <w:t>Example given</w:t>
      </w:r>
      <w:r>
        <w:rPr/>
        <w:t xml:space="preserve">: </w:t>
      </w:r>
      <w:r>
        <w:rPr>
          <w:b/>
        </w:rPr>
        <w:t>Fortinet (FTNT)</w:t>
      </w:r>
      <w:r>
        <w:rPr/>
        <w:t xml:space="preserve"> — intrinsic value range </w:t>
      </w:r>
      <w:r>
        <w:rPr>
          <w:b/>
        </w:rPr>
        <w:t>$73 conservative to $90 base case</w:t>
      </w:r>
      <w:r>
        <w:rPr/>
        <w:t xml:space="preserve">, share price </w:t>
      </w:r>
      <w:r>
        <w:rPr>
          <w:b/>
        </w:rPr>
        <w:t>$55</w:t>
      </w:r>
      <w:r>
        <w:rPr/>
        <w:t xml:space="preserve"> (still quite undervalued), with </w:t>
      </w:r>
      <w:r>
        <w:rPr>
          <w:b/>
        </w:rPr>
        <w:t>four buy levels: $61, $56, $52, $47</w:t>
      </w:r>
      <w:r>
        <w:rPr/>
        <w:t>, updated monthly off strong support levels.</w:t>
      </w:r>
    </w:p>
    <w:p>
      <w:pPr>
        <w:pStyle w:val="BodyText"/>
        <w:numPr>
          <w:ilvl w:val="0"/>
          <w:numId w:val="526"/>
        </w:numPr>
        <w:tabs>
          <w:tab w:val="clear" w:pos="709"/>
          <w:tab w:val="left" w:pos="709" w:leader="none"/>
        </w:tabs>
        <w:bidi w:val="0"/>
        <w:spacing w:before="0" w:after="0"/>
        <w:ind w:hanging="283" w:start="709"/>
        <w:jc w:val="start"/>
        <w:rPr/>
      </w:pPr>
      <w:r>
        <w:rPr/>
        <w:t xml:space="preserve">A </w:t>
      </w:r>
      <w:r>
        <w:rPr>
          <w:b/>
        </w:rPr>
        <w:t>Discord notification channel</w:t>
      </w:r>
      <w:r>
        <w:rPr/>
        <w:t xml:space="preserve"> where he screenshots every transaction the day he makes it.</w:t>
      </w:r>
    </w:p>
    <w:p>
      <w:pPr>
        <w:pStyle w:val="BodyText"/>
        <w:numPr>
          <w:ilvl w:val="1"/>
          <w:numId w:val="526"/>
        </w:numPr>
        <w:tabs>
          <w:tab w:val="clear" w:pos="709"/>
          <w:tab w:val="left" w:pos="1418" w:leader="none"/>
        </w:tabs>
        <w:bidi w:val="0"/>
        <w:ind w:hanging="283" w:start="1418"/>
        <w:jc w:val="start"/>
        <w:rPr/>
      </w:pPr>
      <w:r>
        <w:rPr>
          <w:i/>
        </w:rPr>
        <w:t>Examples</w:t>
      </w:r>
      <w:r>
        <w:rPr/>
        <w:t xml:space="preserve">: 24 Oct — added </w:t>
      </w:r>
      <w:r>
        <w:rPr>
          <w:b/>
        </w:rPr>
        <w:t>Capital(and) DC REIT at $1.80, 5,600 shares</w:t>
      </w:r>
      <w:r>
        <w:rPr/>
        <w:t xml:space="preserve">; 25 Oct — added </w:t>
      </w:r>
      <w:r>
        <w:rPr>
          <w:b/>
        </w:rPr>
        <w:t>Thermo Fisher at $427</w:t>
      </w:r>
      <w:r>
        <w:rPr/>
        <w:t>, showing the allocation increase and transaction screenshots.</w:t>
      </w:r>
    </w:p>
    <w:p>
      <w:pPr>
        <w:pStyle w:val="HorizontalLine"/>
        <w:bidi w:val="0"/>
        <w:jc w:val="start"/>
        <w:rPr/>
      </w:pPr>
      <w:r>
        <w:rPr/>
      </w:r>
    </w:p>
    <w:p>
      <w:pPr>
        <w:pStyle w:val="Heading3"/>
        <w:bidi w:val="0"/>
        <w:ind w:hanging="0" w:start="0"/>
        <w:jc w:val="start"/>
        <w:rPr/>
      </w:pPr>
      <w:r>
        <w:rPr/>
        <w:t>PART 2 — SCREENERS: EXACT SETUPS</w:t>
      </w:r>
    </w:p>
    <w:p>
      <w:pPr>
        <w:pStyle w:val="Heading4"/>
        <w:bidi w:val="0"/>
        <w:ind w:hanging="0" w:start="0"/>
        <w:jc w:val="start"/>
        <w:rPr/>
      </w:pPr>
      <w:r>
        <w:rPr/>
        <w:t>2.1 Finviz (free) — finviz.com → Screener</w:t>
      </w:r>
    </w:p>
    <w:p>
      <w:pPr>
        <w:pStyle w:val="BodyText"/>
        <w:bidi w:val="0"/>
        <w:jc w:val="start"/>
        <w:rPr/>
      </w:pPr>
      <w:r>
        <w:rPr/>
        <w:t xml:space="preserve">Universe: </w:t>
      </w:r>
      <w:r>
        <w:rPr>
          <w:b/>
        </w:rPr>
        <w:t>~9,500 stocks and ETFs</w:t>
      </w:r>
      <w:r>
        <w:rPr/>
        <w:t xml:space="preserve"> in the database (not all US-listed; some non-US names included). Three tabs of criteria: </w:t>
      </w:r>
      <w:r>
        <w:rPr>
          <w:b/>
        </w:rPr>
        <w:t>Descriptive, Fundamental, Technical</w:t>
      </w:r>
      <w:r>
        <w:rPr/>
        <w:t>.</w:t>
      </w:r>
    </w:p>
    <w:p>
      <w:pPr>
        <w:pStyle w:val="BodyText"/>
        <w:bidi w:val="0"/>
        <w:jc w:val="start"/>
        <w:rPr/>
      </w:pPr>
      <w:r>
        <w:rPr>
          <w:b/>
        </w:rPr>
        <w:t>On P/E — deliberately left as "Any".</w:t>
      </w:r>
      <w:r>
        <w:rPr/>
        <w:t xml:space="preserve"> P/E by itself is completely meaningless. A high-P/E stock can be cheap and good; a low-P/E stock can be expensive and lousy. </w:t>
      </w:r>
      <w:r>
        <w:rPr>
          <w:b/>
        </w:rPr>
        <w:t>P/E and Forward P/E → Any</w:t>
      </w:r>
      <w:r>
        <w:rPr/>
        <w:t xml:space="preserve"> (not used).</w:t>
      </w:r>
    </w:p>
    <w:p>
      <w:pPr>
        <w:pStyle w:val="BodyText"/>
        <w:bidi w:val="0"/>
        <w:jc w:val="start"/>
        <w:rPr/>
      </w:pPr>
      <w:r>
        <w:rPr>
          <w:b/>
        </w:rPr>
        <w:t>Fundamental filters, in the order he sets them:</w:t>
      </w:r>
    </w:p>
    <w:tbl>
      <w:tblPr>
        <w:tblW w:w="5000" w:type="pct"/>
        <w:jc w:val="start"/>
        <w:tblInd w:w="-5" w:type="dxa"/>
        <w:tblLayout w:type="fixed"/>
        <w:tblCellMar>
          <w:top w:w="55" w:type="dxa"/>
          <w:start w:w="55" w:type="dxa"/>
          <w:bottom w:w="55" w:type="dxa"/>
          <w:end w:w="55" w:type="dxa"/>
        </w:tblCellMar>
      </w:tblPr>
      <w:tblGrid>
        <w:gridCol w:w="2409"/>
        <w:gridCol w:w="2410"/>
        <w:gridCol w:w="2409"/>
        <w:gridCol w:w="2410"/>
      </w:tblGrid>
      <w:tr>
        <w:trPr>
          <w:tblHeader w:val="true"/>
        </w:trPr>
        <w:tc>
          <w:tcPr>
            <w:tcW w:w="2409" w:type="dxa"/>
            <w:tcBorders>
              <w:top w:val="single" w:sz="4" w:space="0" w:color="000000"/>
              <w:start w:val="single" w:sz="4" w:space="0" w:color="000000"/>
              <w:bottom w:val="single" w:sz="4" w:space="0" w:color="000000"/>
            </w:tcBorders>
          </w:tcPr>
          <w:p>
            <w:pPr>
              <w:pStyle w:val="TableHeading"/>
              <w:bidi w:val="0"/>
              <w:jc w:val="start"/>
              <w:rPr/>
            </w:pPr>
            <w:r>
              <w:rPr/>
              <w:t>#</w:t>
            </w:r>
          </w:p>
        </w:tc>
        <w:tc>
          <w:tcPr>
            <w:tcW w:w="2410" w:type="dxa"/>
            <w:tcBorders>
              <w:top w:val="single" w:sz="4" w:space="0" w:color="000000"/>
              <w:start w:val="single" w:sz="4" w:space="0" w:color="000000"/>
              <w:bottom w:val="single" w:sz="4" w:space="0" w:color="000000"/>
            </w:tcBorders>
          </w:tcPr>
          <w:p>
            <w:pPr>
              <w:pStyle w:val="TableHeading"/>
              <w:bidi w:val="0"/>
              <w:jc w:val="start"/>
              <w:rPr/>
            </w:pPr>
            <w:r>
              <w:rPr/>
              <w:t>Filter</w:t>
            </w:r>
          </w:p>
        </w:tc>
        <w:tc>
          <w:tcPr>
            <w:tcW w:w="2409" w:type="dxa"/>
            <w:tcBorders>
              <w:top w:val="single" w:sz="4" w:space="0" w:color="000000"/>
              <w:start w:val="single" w:sz="4" w:space="0" w:color="000000"/>
              <w:bottom w:val="single" w:sz="4" w:space="0" w:color="000000"/>
            </w:tcBorders>
          </w:tcPr>
          <w:p>
            <w:pPr>
              <w:pStyle w:val="TableHeading"/>
              <w:bidi w:val="0"/>
              <w:jc w:val="start"/>
              <w:rPr/>
            </w:pPr>
            <w:r>
              <w:rPr/>
              <w:t>Setting used</w:t>
            </w:r>
          </w:p>
        </w:tc>
        <w:tc>
          <w:tcPr>
            <w:tcW w:w="2410"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Notes / rationale</w:t>
            </w:r>
          </w:p>
        </w:tc>
      </w:tr>
      <w:tr>
        <w:trPr/>
        <w:tc>
          <w:tcPr>
            <w:tcW w:w="2409" w:type="dxa"/>
            <w:tcBorders>
              <w:start w:val="single" w:sz="4" w:space="0" w:color="000000"/>
              <w:bottom w:val="single" w:sz="4" w:space="0" w:color="000000"/>
            </w:tcBorders>
          </w:tcPr>
          <w:p>
            <w:pPr>
              <w:pStyle w:val="TableContents"/>
              <w:bidi w:val="0"/>
              <w:jc w:val="start"/>
              <w:rPr/>
            </w:pPr>
            <w:r>
              <w:rPr/>
              <w:t>1</w:t>
            </w:r>
          </w:p>
        </w:tc>
        <w:tc>
          <w:tcPr>
            <w:tcW w:w="2410" w:type="dxa"/>
            <w:tcBorders>
              <w:start w:val="single" w:sz="4" w:space="0" w:color="000000"/>
              <w:bottom w:val="single" w:sz="4" w:space="0" w:color="000000"/>
            </w:tcBorders>
          </w:tcPr>
          <w:p>
            <w:pPr>
              <w:pStyle w:val="TableContents"/>
              <w:bidi w:val="0"/>
              <w:jc w:val="start"/>
              <w:rPr/>
            </w:pPr>
            <w:r>
              <w:rPr/>
              <w:t>P/E</w:t>
            </w:r>
          </w:p>
        </w:tc>
        <w:tc>
          <w:tcPr>
            <w:tcW w:w="2409" w:type="dxa"/>
            <w:tcBorders>
              <w:start w:val="single" w:sz="4" w:space="0" w:color="000000"/>
              <w:bottom w:val="single" w:sz="4" w:space="0" w:color="000000"/>
            </w:tcBorders>
          </w:tcPr>
          <w:p>
            <w:pPr>
              <w:pStyle w:val="TableContents"/>
              <w:bidi w:val="0"/>
              <w:jc w:val="start"/>
              <w:rPr/>
            </w:pPr>
            <w:r>
              <w:rPr>
                <w:b/>
              </w:rPr>
              <w:t>Any</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P/E alone is meaningless</w:t>
            </w:r>
          </w:p>
        </w:tc>
      </w:tr>
      <w:tr>
        <w:trPr/>
        <w:tc>
          <w:tcPr>
            <w:tcW w:w="2409" w:type="dxa"/>
            <w:tcBorders>
              <w:start w:val="single" w:sz="4" w:space="0" w:color="000000"/>
              <w:bottom w:val="single" w:sz="4" w:space="0" w:color="000000"/>
            </w:tcBorders>
          </w:tcPr>
          <w:p>
            <w:pPr>
              <w:pStyle w:val="TableContents"/>
              <w:bidi w:val="0"/>
              <w:jc w:val="start"/>
              <w:rPr/>
            </w:pPr>
            <w:r>
              <w:rPr/>
              <w:t>2</w:t>
            </w:r>
          </w:p>
        </w:tc>
        <w:tc>
          <w:tcPr>
            <w:tcW w:w="2410" w:type="dxa"/>
            <w:tcBorders>
              <w:start w:val="single" w:sz="4" w:space="0" w:color="000000"/>
              <w:bottom w:val="single" w:sz="4" w:space="0" w:color="000000"/>
            </w:tcBorders>
          </w:tcPr>
          <w:p>
            <w:pPr>
              <w:pStyle w:val="TableContents"/>
              <w:bidi w:val="0"/>
              <w:jc w:val="start"/>
              <w:rPr/>
            </w:pPr>
            <w:r>
              <w:rPr/>
              <w:t>Forward P/E</w:t>
            </w:r>
          </w:p>
        </w:tc>
        <w:tc>
          <w:tcPr>
            <w:tcW w:w="2409" w:type="dxa"/>
            <w:tcBorders>
              <w:start w:val="single" w:sz="4" w:space="0" w:color="000000"/>
              <w:bottom w:val="single" w:sz="4" w:space="0" w:color="000000"/>
            </w:tcBorders>
          </w:tcPr>
          <w:p>
            <w:pPr>
              <w:pStyle w:val="TableContents"/>
              <w:bidi w:val="0"/>
              <w:jc w:val="start"/>
              <w:rPr/>
            </w:pPr>
            <w:r>
              <w:rPr>
                <w:b/>
              </w:rPr>
              <w:t>Any</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same</w:t>
            </w:r>
          </w:p>
        </w:tc>
      </w:tr>
      <w:tr>
        <w:trPr/>
        <w:tc>
          <w:tcPr>
            <w:tcW w:w="2409" w:type="dxa"/>
            <w:tcBorders>
              <w:start w:val="single" w:sz="4" w:space="0" w:color="000000"/>
              <w:bottom w:val="single" w:sz="4" w:space="0" w:color="000000"/>
            </w:tcBorders>
          </w:tcPr>
          <w:p>
            <w:pPr>
              <w:pStyle w:val="TableContents"/>
              <w:bidi w:val="0"/>
              <w:jc w:val="start"/>
              <w:rPr/>
            </w:pPr>
            <w:r>
              <w:rPr/>
              <w:t>3</w:t>
            </w:r>
          </w:p>
        </w:tc>
        <w:tc>
          <w:tcPr>
            <w:tcW w:w="2410" w:type="dxa"/>
            <w:tcBorders>
              <w:start w:val="single" w:sz="4" w:space="0" w:color="000000"/>
              <w:bottom w:val="single" w:sz="4" w:space="0" w:color="000000"/>
            </w:tcBorders>
          </w:tcPr>
          <w:p>
            <w:pPr>
              <w:pStyle w:val="TableContents"/>
              <w:bidi w:val="0"/>
              <w:jc w:val="start"/>
              <w:rPr/>
            </w:pPr>
            <w:r>
              <w:rPr/>
              <w:t>EPS growth next 5 years</w:t>
            </w:r>
          </w:p>
        </w:tc>
        <w:tc>
          <w:tcPr>
            <w:tcW w:w="2409" w:type="dxa"/>
            <w:tcBorders>
              <w:start w:val="single" w:sz="4" w:space="0" w:color="000000"/>
              <w:bottom w:val="single" w:sz="4" w:space="0" w:color="000000"/>
            </w:tcBorders>
          </w:tcPr>
          <w:p>
            <w:pPr>
              <w:pStyle w:val="TableContents"/>
              <w:bidi w:val="0"/>
              <w:jc w:val="start"/>
              <w:rPr/>
            </w:pPr>
            <w:r>
              <w:rPr>
                <w:b/>
              </w:rPr>
              <w:t>Over 10%</w:t>
            </w:r>
            <w:r>
              <w:rPr/>
              <w:t xml:space="preserve"> (demonstrated </w:t>
            </w:r>
            <w:r>
              <w:rPr>
                <w:b/>
              </w:rPr>
              <w:t>Over 20%</w:t>
            </w:r>
            <w:r>
              <w:rPr/>
              <w:t xml:space="preserve"> first → cut 9,000 to </w:t>
            </w:r>
            <w:r>
              <w:rPr>
                <w:b/>
              </w:rPr>
              <w:t>492 stocks</w:t>
            </w:r>
            <w:r>
              <w:rPr/>
              <w:t xml:space="preserve">; then relaxed to </w:t>
            </w:r>
            <w:r>
              <w:rPr>
                <w:b/>
              </w:rPr>
              <w:t>Over 10%</w:t>
            </w:r>
            <w:r>
              <w:rPr/>
              <w:t>)</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 xml:space="preserve">Use </w:t>
            </w:r>
            <w:r>
              <w:rPr>
                <w:b/>
              </w:rPr>
              <w:t>Over 20%</w:t>
            </w:r>
            <w:r>
              <w:rPr/>
              <w:t xml:space="preserve"> if you specifically want high-growth names; lower if you want steadier/predictable names</w:t>
            </w:r>
          </w:p>
        </w:tc>
      </w:tr>
      <w:tr>
        <w:trPr/>
        <w:tc>
          <w:tcPr>
            <w:tcW w:w="2409" w:type="dxa"/>
            <w:tcBorders>
              <w:start w:val="single" w:sz="4" w:space="0" w:color="000000"/>
              <w:bottom w:val="single" w:sz="4" w:space="0" w:color="000000"/>
            </w:tcBorders>
          </w:tcPr>
          <w:p>
            <w:pPr>
              <w:pStyle w:val="TableContents"/>
              <w:bidi w:val="0"/>
              <w:jc w:val="start"/>
              <w:rPr/>
            </w:pPr>
            <w:r>
              <w:rPr/>
              <w:t>4</w:t>
            </w:r>
          </w:p>
        </w:tc>
        <w:tc>
          <w:tcPr>
            <w:tcW w:w="2410" w:type="dxa"/>
            <w:tcBorders>
              <w:start w:val="single" w:sz="4" w:space="0" w:color="000000"/>
              <w:bottom w:val="single" w:sz="4" w:space="0" w:color="000000"/>
            </w:tcBorders>
          </w:tcPr>
          <w:p>
            <w:pPr>
              <w:pStyle w:val="TableContents"/>
              <w:bidi w:val="0"/>
              <w:jc w:val="start"/>
              <w:rPr/>
            </w:pPr>
            <w:r>
              <w:rPr/>
              <w:t>Return on Equity (ROE)</w:t>
            </w:r>
          </w:p>
        </w:tc>
        <w:tc>
          <w:tcPr>
            <w:tcW w:w="2409" w:type="dxa"/>
            <w:tcBorders>
              <w:start w:val="single" w:sz="4" w:space="0" w:color="000000"/>
              <w:bottom w:val="single" w:sz="4" w:space="0" w:color="000000"/>
            </w:tcBorders>
          </w:tcPr>
          <w:p>
            <w:pPr>
              <w:pStyle w:val="TableContents"/>
              <w:bidi w:val="0"/>
              <w:jc w:val="start"/>
              <w:rPr/>
            </w:pPr>
            <w:r>
              <w:rPr>
                <w:b/>
              </w:rPr>
              <w:t>Over 10%</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 xml:space="preserve">He wants </w:t>
            </w:r>
            <w:r>
              <w:rPr>
                <w:b/>
              </w:rPr>
              <w:t>12% or higher</w:t>
            </w:r>
            <w:r>
              <w:rPr/>
              <w:t xml:space="preserve">, but Finviz only offers Over 10 / Over 15 → picks </w:t>
            </w:r>
            <w:r>
              <w:rPr>
                <w:b/>
              </w:rPr>
              <w:t>Over 10</w:t>
            </w:r>
            <w:r>
              <w:rPr/>
              <w:t xml:space="preserve">. After criteria 3+4: </w:t>
            </w:r>
            <w:r>
              <w:rPr>
                <w:b/>
              </w:rPr>
              <w:t>550 stocks</w:t>
            </w:r>
          </w:p>
        </w:tc>
      </w:tr>
      <w:tr>
        <w:trPr/>
        <w:tc>
          <w:tcPr>
            <w:tcW w:w="2409" w:type="dxa"/>
            <w:tcBorders>
              <w:start w:val="single" w:sz="4" w:space="0" w:color="000000"/>
              <w:bottom w:val="single" w:sz="4" w:space="0" w:color="000000"/>
            </w:tcBorders>
          </w:tcPr>
          <w:p>
            <w:pPr>
              <w:pStyle w:val="TableContents"/>
              <w:bidi w:val="0"/>
              <w:jc w:val="start"/>
              <w:rPr/>
            </w:pPr>
            <w:r>
              <w:rPr/>
              <w:t>5</w:t>
            </w:r>
          </w:p>
        </w:tc>
        <w:tc>
          <w:tcPr>
            <w:tcW w:w="2410" w:type="dxa"/>
            <w:tcBorders>
              <w:start w:val="single" w:sz="4" w:space="0" w:color="000000"/>
              <w:bottom w:val="single" w:sz="4" w:space="0" w:color="000000"/>
            </w:tcBorders>
          </w:tcPr>
          <w:p>
            <w:pPr>
              <w:pStyle w:val="TableContents"/>
              <w:bidi w:val="0"/>
              <w:jc w:val="start"/>
              <w:rPr/>
            </w:pPr>
            <w:r>
              <w:rPr/>
              <w:t>Sales growth past 5 years</w:t>
            </w:r>
          </w:p>
        </w:tc>
        <w:tc>
          <w:tcPr>
            <w:tcW w:w="2409" w:type="dxa"/>
            <w:tcBorders>
              <w:start w:val="single" w:sz="4" w:space="0" w:color="000000"/>
              <w:bottom w:val="single" w:sz="4" w:space="0" w:color="000000"/>
            </w:tcBorders>
          </w:tcPr>
          <w:p>
            <w:pPr>
              <w:pStyle w:val="TableContents"/>
              <w:bidi w:val="0"/>
              <w:jc w:val="start"/>
              <w:rPr/>
            </w:pPr>
            <w:r>
              <w:rPr>
                <w:b/>
              </w:rPr>
              <w:t>Over 5%</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Wants a consistent revenue track record; can use Over 10% or Over 20% for stricter growth screens</w:t>
            </w:r>
          </w:p>
        </w:tc>
      </w:tr>
      <w:tr>
        <w:trPr/>
        <w:tc>
          <w:tcPr>
            <w:tcW w:w="2409" w:type="dxa"/>
            <w:tcBorders>
              <w:start w:val="single" w:sz="4" w:space="0" w:color="000000"/>
              <w:bottom w:val="single" w:sz="4" w:space="0" w:color="000000"/>
            </w:tcBorders>
          </w:tcPr>
          <w:p>
            <w:pPr>
              <w:pStyle w:val="TableContents"/>
              <w:bidi w:val="0"/>
              <w:jc w:val="start"/>
              <w:rPr/>
            </w:pPr>
            <w:r>
              <w:rPr/>
              <w:t>6</w:t>
            </w:r>
          </w:p>
        </w:tc>
        <w:tc>
          <w:tcPr>
            <w:tcW w:w="2410" w:type="dxa"/>
            <w:tcBorders>
              <w:start w:val="single" w:sz="4" w:space="0" w:color="000000"/>
              <w:bottom w:val="single" w:sz="4" w:space="0" w:color="000000"/>
            </w:tcBorders>
          </w:tcPr>
          <w:p>
            <w:pPr>
              <w:pStyle w:val="TableContents"/>
              <w:bidi w:val="0"/>
              <w:jc w:val="start"/>
              <w:rPr/>
            </w:pPr>
            <w:r>
              <w:rPr/>
              <w:t>PEG ratio</w:t>
            </w:r>
          </w:p>
        </w:tc>
        <w:tc>
          <w:tcPr>
            <w:tcW w:w="2409" w:type="dxa"/>
            <w:tcBorders>
              <w:start w:val="single" w:sz="4" w:space="0" w:color="000000"/>
              <w:bottom w:val="single" w:sz="4" w:space="0" w:color="000000"/>
            </w:tcBorders>
          </w:tcPr>
          <w:p>
            <w:pPr>
              <w:pStyle w:val="TableContents"/>
              <w:bidi w:val="0"/>
              <w:jc w:val="start"/>
              <w:rPr/>
            </w:pPr>
            <w:r>
              <w:rPr>
                <w:b/>
              </w:rPr>
              <w:t>Under 2</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 xml:space="preserve">PEG is only a rough valuation gauge; theoretically &gt;1 = overvalued, but many great companies run above 1, so he is deliberately lenient at </w:t>
            </w:r>
            <w:r>
              <w:rPr>
                <w:b/>
              </w:rPr>
              <w:t>under 2</w:t>
            </w:r>
          </w:p>
        </w:tc>
      </w:tr>
      <w:tr>
        <w:trPr/>
        <w:tc>
          <w:tcPr>
            <w:tcW w:w="2409" w:type="dxa"/>
            <w:tcBorders>
              <w:start w:val="single" w:sz="4" w:space="0" w:color="000000"/>
              <w:bottom w:val="single" w:sz="4" w:space="0" w:color="000000"/>
            </w:tcBorders>
          </w:tcPr>
          <w:p>
            <w:pPr>
              <w:pStyle w:val="TableContents"/>
              <w:bidi w:val="0"/>
              <w:jc w:val="start"/>
              <w:rPr/>
            </w:pPr>
            <w:r>
              <w:rPr/>
              <w:t>7</w:t>
            </w:r>
          </w:p>
        </w:tc>
        <w:tc>
          <w:tcPr>
            <w:tcW w:w="2410" w:type="dxa"/>
            <w:tcBorders>
              <w:start w:val="single" w:sz="4" w:space="0" w:color="000000"/>
              <w:bottom w:val="single" w:sz="4" w:space="0" w:color="000000"/>
            </w:tcBorders>
          </w:tcPr>
          <w:p>
            <w:pPr>
              <w:pStyle w:val="TableContents"/>
              <w:bidi w:val="0"/>
              <w:jc w:val="start"/>
              <w:rPr/>
            </w:pPr>
            <w:r>
              <w:rPr/>
              <w:t>Current ratio</w:t>
            </w:r>
          </w:p>
        </w:tc>
        <w:tc>
          <w:tcPr>
            <w:tcW w:w="2409" w:type="dxa"/>
            <w:tcBorders>
              <w:start w:val="single" w:sz="4" w:space="0" w:color="000000"/>
              <w:bottom w:val="single" w:sz="4" w:space="0" w:color="000000"/>
            </w:tcBorders>
          </w:tcPr>
          <w:p>
            <w:pPr>
              <w:pStyle w:val="TableContents"/>
              <w:bidi w:val="0"/>
              <w:jc w:val="start"/>
              <w:rPr/>
            </w:pPr>
            <w:r>
              <w:rPr>
                <w:b/>
              </w:rPr>
              <w:t>Over 1</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r>
          </w:p>
        </w:tc>
      </w:tr>
      <w:tr>
        <w:trPr/>
        <w:tc>
          <w:tcPr>
            <w:tcW w:w="2409" w:type="dxa"/>
            <w:tcBorders>
              <w:start w:val="single" w:sz="4" w:space="0" w:color="000000"/>
              <w:bottom w:val="single" w:sz="4" w:space="0" w:color="000000"/>
            </w:tcBorders>
          </w:tcPr>
          <w:p>
            <w:pPr>
              <w:pStyle w:val="TableContents"/>
              <w:bidi w:val="0"/>
              <w:jc w:val="start"/>
              <w:rPr/>
            </w:pPr>
            <w:r>
              <w:rPr/>
              <w:t>8</w:t>
            </w:r>
          </w:p>
        </w:tc>
        <w:tc>
          <w:tcPr>
            <w:tcW w:w="2410" w:type="dxa"/>
            <w:tcBorders>
              <w:start w:val="single" w:sz="4" w:space="0" w:color="000000"/>
              <w:bottom w:val="single" w:sz="4" w:space="0" w:color="000000"/>
            </w:tcBorders>
          </w:tcPr>
          <w:p>
            <w:pPr>
              <w:pStyle w:val="TableContents"/>
              <w:bidi w:val="0"/>
              <w:jc w:val="start"/>
              <w:rPr/>
            </w:pPr>
            <w:r>
              <w:rPr/>
              <w:t>EPS growth next year</w:t>
            </w:r>
          </w:p>
        </w:tc>
        <w:tc>
          <w:tcPr>
            <w:tcW w:w="2409" w:type="dxa"/>
            <w:tcBorders>
              <w:start w:val="single" w:sz="4" w:space="0" w:color="000000"/>
              <w:bottom w:val="single" w:sz="4" w:space="0" w:color="000000"/>
            </w:tcBorders>
          </w:tcPr>
          <w:p>
            <w:pPr>
              <w:pStyle w:val="TableContents"/>
              <w:bidi w:val="0"/>
              <w:jc w:val="start"/>
              <w:rPr/>
            </w:pPr>
            <w:r>
              <w:rPr>
                <w:b/>
              </w:rPr>
              <w:t>Over 5%</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Can raise to Over 10% depending on the stock type sought</w:t>
            </w:r>
          </w:p>
        </w:tc>
      </w:tr>
      <w:tr>
        <w:trPr/>
        <w:tc>
          <w:tcPr>
            <w:tcW w:w="2409" w:type="dxa"/>
            <w:tcBorders>
              <w:start w:val="single" w:sz="4" w:space="0" w:color="000000"/>
              <w:bottom w:val="single" w:sz="4" w:space="0" w:color="000000"/>
            </w:tcBorders>
          </w:tcPr>
          <w:p>
            <w:pPr>
              <w:pStyle w:val="TableContents"/>
              <w:bidi w:val="0"/>
              <w:jc w:val="start"/>
              <w:rPr/>
            </w:pPr>
            <w:r>
              <w:rPr/>
              <w:t>9</w:t>
            </w:r>
          </w:p>
        </w:tc>
        <w:tc>
          <w:tcPr>
            <w:tcW w:w="2410" w:type="dxa"/>
            <w:tcBorders>
              <w:start w:val="single" w:sz="4" w:space="0" w:color="000000"/>
              <w:bottom w:val="single" w:sz="4" w:space="0" w:color="000000"/>
            </w:tcBorders>
          </w:tcPr>
          <w:p>
            <w:pPr>
              <w:pStyle w:val="TableContents"/>
              <w:bidi w:val="0"/>
              <w:jc w:val="start"/>
              <w:rPr/>
            </w:pPr>
            <w:r>
              <w:rPr/>
              <w:t>EPS growth past 5 years</w:t>
            </w:r>
          </w:p>
        </w:tc>
        <w:tc>
          <w:tcPr>
            <w:tcW w:w="2409" w:type="dxa"/>
            <w:tcBorders>
              <w:start w:val="single" w:sz="4" w:space="0" w:color="000000"/>
              <w:bottom w:val="single" w:sz="4" w:space="0" w:color="000000"/>
            </w:tcBorders>
          </w:tcPr>
          <w:p>
            <w:pPr>
              <w:pStyle w:val="TableContents"/>
              <w:bidi w:val="0"/>
              <w:jc w:val="start"/>
              <w:rPr/>
            </w:pPr>
            <w:r>
              <w:rPr>
                <w:b/>
              </w:rPr>
              <w:t>Over 5%</w:t>
            </w:r>
            <w:r>
              <w:rPr/>
              <w:t xml:space="preserve">, then tightened to </w:t>
            </w:r>
            <w:r>
              <w:rPr>
                <w:b/>
              </w:rPr>
              <w:t>Over 10%</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r>
          </w:p>
        </w:tc>
      </w:tr>
      <w:tr>
        <w:trPr/>
        <w:tc>
          <w:tcPr>
            <w:tcW w:w="2409" w:type="dxa"/>
            <w:tcBorders>
              <w:start w:val="single" w:sz="4" w:space="0" w:color="000000"/>
              <w:bottom w:val="single" w:sz="4" w:space="0" w:color="000000"/>
            </w:tcBorders>
          </w:tcPr>
          <w:p>
            <w:pPr>
              <w:pStyle w:val="TableContents"/>
              <w:bidi w:val="0"/>
              <w:jc w:val="start"/>
              <w:rPr/>
            </w:pPr>
            <w:r>
              <w:rPr/>
              <w:t>10</w:t>
            </w:r>
          </w:p>
        </w:tc>
        <w:tc>
          <w:tcPr>
            <w:tcW w:w="2410" w:type="dxa"/>
            <w:tcBorders>
              <w:start w:val="single" w:sz="4" w:space="0" w:color="000000"/>
              <w:bottom w:val="single" w:sz="4" w:space="0" w:color="000000"/>
            </w:tcBorders>
          </w:tcPr>
          <w:p>
            <w:pPr>
              <w:pStyle w:val="TableContents"/>
              <w:bidi w:val="0"/>
              <w:jc w:val="start"/>
              <w:rPr/>
            </w:pPr>
            <w:r>
              <w:rPr/>
              <w:t>Return on Investment (ROI)</w:t>
            </w:r>
          </w:p>
        </w:tc>
        <w:tc>
          <w:tcPr>
            <w:tcW w:w="2409" w:type="dxa"/>
            <w:tcBorders>
              <w:start w:val="single" w:sz="4" w:space="0" w:color="000000"/>
              <w:bottom w:val="single" w:sz="4" w:space="0" w:color="000000"/>
            </w:tcBorders>
          </w:tcPr>
          <w:p>
            <w:pPr>
              <w:pStyle w:val="TableContents"/>
              <w:bidi w:val="0"/>
              <w:jc w:val="start"/>
              <w:rPr/>
            </w:pPr>
            <w:r>
              <w:rPr>
                <w:b/>
              </w:rPr>
              <w:t>Over 10%</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Similar to ROIC</w:t>
            </w:r>
          </w:p>
        </w:tc>
      </w:tr>
    </w:tbl>
    <w:p>
      <w:pPr>
        <w:pStyle w:val="BodyText"/>
        <w:bidi w:val="0"/>
        <w:jc w:val="start"/>
        <w:rPr/>
      </w:pPr>
      <w:r>
        <w:rPr/>
      </w:r>
    </w:p>
    <w:p>
      <w:pPr>
        <w:pStyle w:val="BodyText"/>
        <w:bidi w:val="0"/>
        <w:jc w:val="start"/>
        <w:rPr/>
      </w:pPr>
      <w:r>
        <w:rPr>
          <w:b/>
        </w:rPr>
        <w:t>Result counts as demonstrated:</w:t>
      </w:r>
      <w:r>
        <w:rPr/>
        <w:t xml:space="preserve"> all fundamental criteria at the looser settings → </w:t>
      </w:r>
      <w:r>
        <w:rPr>
          <w:b/>
        </w:rPr>
        <w:t>69 stocks</w:t>
      </w:r>
      <w:r>
        <w:rPr/>
        <w:t xml:space="preserve">. Tightening EPS growth past 5 years to </w:t>
      </w:r>
      <w:r>
        <w:rPr>
          <w:b/>
        </w:rPr>
        <w:t>Over 10%</w:t>
      </w:r>
      <w:r>
        <w:rPr/>
        <w:t xml:space="preserve"> → </w:t>
      </w:r>
      <w:r>
        <w:rPr>
          <w:b/>
        </w:rPr>
        <w:t>55 stocks</w:t>
      </w:r>
      <w:r>
        <w:rPr/>
        <w:t>.</w:t>
      </w:r>
    </w:p>
    <w:p>
      <w:pPr>
        <w:pStyle w:val="BodyText"/>
        <w:bidi w:val="0"/>
        <w:jc w:val="start"/>
        <w:rPr/>
      </w:pPr>
      <w:r>
        <w:rPr/>
        <w:t xml:space="preserve">Names that surfaced in the demo: </w:t>
      </w:r>
      <w:r>
        <w:rPr>
          <w:b/>
        </w:rPr>
        <w:t>Applied Materials, Arista Networks, Copart, Alphabet, Mastercard, MercadoLibre, Netflix, Winnebago (mid-cap), ZTO Express</w:t>
      </w:r>
      <w:r>
        <w:rPr/>
        <w:t xml:space="preserve">; in chart view also </w:t>
      </w:r>
      <w:r>
        <w:rPr>
          <w:b/>
        </w:rPr>
        <w:t>Booking.com, JBL</w:t>
      </w:r>
      <w:r>
        <w:rPr/>
        <w:t>.</w:t>
      </w:r>
    </w:p>
    <w:p>
      <w:pPr>
        <w:pStyle w:val="BodyText"/>
        <w:bidi w:val="0"/>
        <w:jc w:val="start"/>
        <w:rPr/>
      </w:pPr>
      <w:r>
        <w:rPr>
          <w:b/>
        </w:rPr>
        <w:t>Technical filter added:</w:t>
      </w:r>
    </w:p>
    <w:tbl>
      <w:tblPr>
        <w:tblW w:w="5000" w:type="pct"/>
        <w:jc w:val="start"/>
        <w:tblInd w:w="-5" w:type="dxa"/>
        <w:tblLayout w:type="fixed"/>
        <w:tblCellMar>
          <w:top w:w="55" w:type="dxa"/>
          <w:start w:w="55" w:type="dxa"/>
          <w:bottom w:w="55" w:type="dxa"/>
          <w:end w:w="55" w:type="dxa"/>
        </w:tblCellMar>
      </w:tblPr>
      <w:tblGrid>
        <w:gridCol w:w="2409"/>
        <w:gridCol w:w="2410"/>
        <w:gridCol w:w="2409"/>
        <w:gridCol w:w="2410"/>
      </w:tblGrid>
      <w:tr>
        <w:trPr>
          <w:tblHeader w:val="true"/>
        </w:trPr>
        <w:tc>
          <w:tcPr>
            <w:tcW w:w="2409" w:type="dxa"/>
            <w:tcBorders>
              <w:top w:val="single" w:sz="4" w:space="0" w:color="000000"/>
              <w:start w:val="single" w:sz="4" w:space="0" w:color="000000"/>
              <w:bottom w:val="single" w:sz="4" w:space="0" w:color="000000"/>
            </w:tcBorders>
          </w:tcPr>
          <w:p>
            <w:pPr>
              <w:pStyle w:val="TableHeading"/>
              <w:bidi w:val="0"/>
              <w:jc w:val="start"/>
              <w:rPr/>
            </w:pPr>
            <w:r>
              <w:rPr/>
              <w:t>#</w:t>
            </w:r>
          </w:p>
        </w:tc>
        <w:tc>
          <w:tcPr>
            <w:tcW w:w="2410" w:type="dxa"/>
            <w:tcBorders>
              <w:top w:val="single" w:sz="4" w:space="0" w:color="000000"/>
              <w:start w:val="single" w:sz="4" w:space="0" w:color="000000"/>
              <w:bottom w:val="single" w:sz="4" w:space="0" w:color="000000"/>
            </w:tcBorders>
          </w:tcPr>
          <w:p>
            <w:pPr>
              <w:pStyle w:val="TableHeading"/>
              <w:bidi w:val="0"/>
              <w:jc w:val="start"/>
              <w:rPr/>
            </w:pPr>
            <w:r>
              <w:rPr/>
              <w:t>Filter</w:t>
            </w:r>
          </w:p>
        </w:tc>
        <w:tc>
          <w:tcPr>
            <w:tcW w:w="2409" w:type="dxa"/>
            <w:tcBorders>
              <w:top w:val="single" w:sz="4" w:space="0" w:color="000000"/>
              <w:start w:val="single" w:sz="4" w:space="0" w:color="000000"/>
              <w:bottom w:val="single" w:sz="4" w:space="0" w:color="000000"/>
            </w:tcBorders>
          </w:tcPr>
          <w:p>
            <w:pPr>
              <w:pStyle w:val="TableHeading"/>
              <w:bidi w:val="0"/>
              <w:jc w:val="start"/>
              <w:rPr/>
            </w:pPr>
            <w:r>
              <w:rPr/>
              <w:t>Setting</w:t>
            </w:r>
          </w:p>
        </w:tc>
        <w:tc>
          <w:tcPr>
            <w:tcW w:w="2410"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Effect</w:t>
            </w:r>
          </w:p>
        </w:tc>
      </w:tr>
      <w:tr>
        <w:trPr/>
        <w:tc>
          <w:tcPr>
            <w:tcW w:w="2409" w:type="dxa"/>
            <w:tcBorders>
              <w:start w:val="single" w:sz="4" w:space="0" w:color="000000"/>
              <w:bottom w:val="single" w:sz="4" w:space="0" w:color="000000"/>
            </w:tcBorders>
          </w:tcPr>
          <w:p>
            <w:pPr>
              <w:pStyle w:val="TableContents"/>
              <w:bidi w:val="0"/>
              <w:jc w:val="start"/>
              <w:rPr/>
            </w:pPr>
            <w:r>
              <w:rPr/>
              <w:t>11</w:t>
            </w:r>
          </w:p>
        </w:tc>
        <w:tc>
          <w:tcPr>
            <w:tcW w:w="2410" w:type="dxa"/>
            <w:tcBorders>
              <w:start w:val="single" w:sz="4" w:space="0" w:color="000000"/>
              <w:bottom w:val="single" w:sz="4" w:space="0" w:color="000000"/>
            </w:tcBorders>
          </w:tcPr>
          <w:p>
            <w:pPr>
              <w:pStyle w:val="TableContents"/>
              <w:bidi w:val="0"/>
              <w:jc w:val="start"/>
              <w:rPr/>
            </w:pPr>
            <w:r>
              <w:rPr/>
              <w:t>Price vs 200-day SMA</w:t>
            </w:r>
          </w:p>
        </w:tc>
        <w:tc>
          <w:tcPr>
            <w:tcW w:w="2409" w:type="dxa"/>
            <w:tcBorders>
              <w:start w:val="single" w:sz="4" w:space="0" w:color="000000"/>
              <w:bottom w:val="single" w:sz="4" w:space="0" w:color="000000"/>
            </w:tcBorders>
          </w:tcPr>
          <w:p>
            <w:pPr>
              <w:pStyle w:val="TableContents"/>
              <w:bidi w:val="0"/>
              <w:jc w:val="start"/>
              <w:rPr/>
            </w:pPr>
            <w:r>
              <w:rPr>
                <w:b/>
              </w:rPr>
              <w:t>Price above SMA200</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 xml:space="preserve">Confirms overall trend is up. </w:t>
            </w:r>
            <w:r>
              <w:rPr>
                <w:b/>
              </w:rPr>
              <w:t>55 → 37 stocks</w:t>
            </w:r>
          </w:p>
        </w:tc>
      </w:tr>
    </w:tbl>
    <w:p>
      <w:pPr>
        <w:pStyle w:val="BodyText"/>
        <w:bidi w:val="0"/>
        <w:jc w:val="start"/>
        <w:rPr/>
      </w:pPr>
      <w:r>
        <w:rPr/>
      </w:r>
    </w:p>
    <w:p>
      <w:pPr>
        <w:pStyle w:val="BodyText"/>
        <w:bidi w:val="0"/>
        <w:jc w:val="start"/>
        <w:rPr/>
      </w:pPr>
      <w:r>
        <w:rPr>
          <w:b/>
        </w:rPr>
        <w:t>Descriptive filters added:</w:t>
      </w:r>
    </w:p>
    <w:tbl>
      <w:tblPr>
        <w:tblW w:w="5000" w:type="pct"/>
        <w:jc w:val="start"/>
        <w:tblInd w:w="-5" w:type="dxa"/>
        <w:tblLayout w:type="fixed"/>
        <w:tblCellMar>
          <w:top w:w="55" w:type="dxa"/>
          <w:start w:w="55" w:type="dxa"/>
          <w:bottom w:w="55" w:type="dxa"/>
          <w:end w:w="55" w:type="dxa"/>
        </w:tblCellMar>
      </w:tblPr>
      <w:tblGrid>
        <w:gridCol w:w="2409"/>
        <w:gridCol w:w="2410"/>
        <w:gridCol w:w="2409"/>
        <w:gridCol w:w="2410"/>
      </w:tblGrid>
      <w:tr>
        <w:trPr>
          <w:tblHeader w:val="true"/>
        </w:trPr>
        <w:tc>
          <w:tcPr>
            <w:tcW w:w="2409" w:type="dxa"/>
            <w:tcBorders>
              <w:top w:val="single" w:sz="4" w:space="0" w:color="000000"/>
              <w:start w:val="single" w:sz="4" w:space="0" w:color="000000"/>
              <w:bottom w:val="single" w:sz="4" w:space="0" w:color="000000"/>
            </w:tcBorders>
          </w:tcPr>
          <w:p>
            <w:pPr>
              <w:pStyle w:val="TableHeading"/>
              <w:bidi w:val="0"/>
              <w:jc w:val="start"/>
              <w:rPr/>
            </w:pPr>
            <w:r>
              <w:rPr/>
              <w:t>#</w:t>
            </w:r>
          </w:p>
        </w:tc>
        <w:tc>
          <w:tcPr>
            <w:tcW w:w="2410" w:type="dxa"/>
            <w:tcBorders>
              <w:top w:val="single" w:sz="4" w:space="0" w:color="000000"/>
              <w:start w:val="single" w:sz="4" w:space="0" w:color="000000"/>
              <w:bottom w:val="single" w:sz="4" w:space="0" w:color="000000"/>
            </w:tcBorders>
          </w:tcPr>
          <w:p>
            <w:pPr>
              <w:pStyle w:val="TableHeading"/>
              <w:bidi w:val="0"/>
              <w:jc w:val="start"/>
              <w:rPr/>
            </w:pPr>
            <w:r>
              <w:rPr/>
              <w:t>Filter</w:t>
            </w:r>
          </w:p>
        </w:tc>
        <w:tc>
          <w:tcPr>
            <w:tcW w:w="2409" w:type="dxa"/>
            <w:tcBorders>
              <w:top w:val="single" w:sz="4" w:space="0" w:color="000000"/>
              <w:start w:val="single" w:sz="4" w:space="0" w:color="000000"/>
              <w:bottom w:val="single" w:sz="4" w:space="0" w:color="000000"/>
            </w:tcBorders>
          </w:tcPr>
          <w:p>
            <w:pPr>
              <w:pStyle w:val="TableHeading"/>
              <w:bidi w:val="0"/>
              <w:jc w:val="start"/>
              <w:rPr/>
            </w:pPr>
            <w:r>
              <w:rPr/>
              <w:t>Setting</w:t>
            </w:r>
          </w:p>
        </w:tc>
        <w:tc>
          <w:tcPr>
            <w:tcW w:w="2410"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Effect</w:t>
            </w:r>
          </w:p>
        </w:tc>
      </w:tr>
      <w:tr>
        <w:trPr/>
        <w:tc>
          <w:tcPr>
            <w:tcW w:w="2409" w:type="dxa"/>
            <w:tcBorders>
              <w:start w:val="single" w:sz="4" w:space="0" w:color="000000"/>
              <w:bottom w:val="single" w:sz="4" w:space="0" w:color="000000"/>
            </w:tcBorders>
          </w:tcPr>
          <w:p>
            <w:pPr>
              <w:pStyle w:val="TableContents"/>
              <w:bidi w:val="0"/>
              <w:jc w:val="start"/>
              <w:rPr/>
            </w:pPr>
            <w:r>
              <w:rPr/>
              <w:t>12</w:t>
            </w:r>
          </w:p>
        </w:tc>
        <w:tc>
          <w:tcPr>
            <w:tcW w:w="2410" w:type="dxa"/>
            <w:tcBorders>
              <w:start w:val="single" w:sz="4" w:space="0" w:color="000000"/>
              <w:bottom w:val="single" w:sz="4" w:space="0" w:color="000000"/>
            </w:tcBorders>
          </w:tcPr>
          <w:p>
            <w:pPr>
              <w:pStyle w:val="TableContents"/>
              <w:bidi w:val="0"/>
              <w:jc w:val="start"/>
              <w:rPr/>
            </w:pPr>
            <w:r>
              <w:rPr/>
              <w:t>Market cap</w:t>
            </w:r>
          </w:p>
        </w:tc>
        <w:tc>
          <w:tcPr>
            <w:tcW w:w="2409" w:type="dxa"/>
            <w:tcBorders>
              <w:start w:val="single" w:sz="4" w:space="0" w:color="000000"/>
              <w:bottom w:val="single" w:sz="4" w:space="0" w:color="000000"/>
            </w:tcBorders>
          </w:tcPr>
          <w:p>
            <w:pPr>
              <w:pStyle w:val="TableContents"/>
              <w:bidi w:val="0"/>
              <w:jc w:val="start"/>
              <w:rPr/>
            </w:pPr>
            <w:r>
              <w:rPr>
                <w:b/>
              </w:rPr>
              <w:t>Large (over $10bn)</w:t>
            </w:r>
            <w:r>
              <w:rPr/>
              <w:t xml:space="preserve"> — optional</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b/>
              </w:rPr>
              <w:t>37 → 15 stocks</w:t>
            </w:r>
            <w:r>
              <w:rPr/>
              <w:t xml:space="preserve">. Leave open (small-cap and above) to keep the full </w:t>
            </w:r>
            <w:r>
              <w:rPr>
                <w:b/>
              </w:rPr>
              <w:t>37</w:t>
            </w:r>
          </w:p>
        </w:tc>
      </w:tr>
      <w:tr>
        <w:trPr/>
        <w:tc>
          <w:tcPr>
            <w:tcW w:w="2409" w:type="dxa"/>
            <w:tcBorders>
              <w:start w:val="single" w:sz="4" w:space="0" w:color="000000"/>
              <w:bottom w:val="single" w:sz="4" w:space="0" w:color="000000"/>
            </w:tcBorders>
          </w:tcPr>
          <w:p>
            <w:pPr>
              <w:pStyle w:val="TableContents"/>
              <w:bidi w:val="0"/>
              <w:jc w:val="start"/>
              <w:rPr/>
            </w:pPr>
            <w:r>
              <w:rPr/>
              <w:t>13</w:t>
            </w:r>
          </w:p>
        </w:tc>
        <w:tc>
          <w:tcPr>
            <w:tcW w:w="2410" w:type="dxa"/>
            <w:tcBorders>
              <w:start w:val="single" w:sz="4" w:space="0" w:color="000000"/>
              <w:bottom w:val="single" w:sz="4" w:space="0" w:color="000000"/>
            </w:tcBorders>
          </w:tcPr>
          <w:p>
            <w:pPr>
              <w:pStyle w:val="TableContents"/>
              <w:bidi w:val="0"/>
              <w:jc w:val="start"/>
              <w:rPr/>
            </w:pPr>
            <w:r>
              <w:rPr/>
              <w:t>Dividend yield</w:t>
            </w:r>
          </w:p>
        </w:tc>
        <w:tc>
          <w:tcPr>
            <w:tcW w:w="2409" w:type="dxa"/>
            <w:tcBorders>
              <w:start w:val="single" w:sz="4" w:space="0" w:color="000000"/>
              <w:bottom w:val="single" w:sz="4" w:space="0" w:color="000000"/>
            </w:tcBorders>
          </w:tcPr>
          <w:p>
            <w:pPr>
              <w:pStyle w:val="TableContents"/>
              <w:bidi w:val="0"/>
              <w:jc w:val="start"/>
              <w:rPr/>
            </w:pPr>
            <w:r>
              <w:rPr>
                <w:b/>
              </w:rPr>
              <w:t>Over 2%</w:t>
            </w:r>
            <w:r>
              <w:rPr/>
              <w:t xml:space="preserve"> — only if hunting dividends</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 xml:space="preserve">Collapsed the list to </w:t>
            </w:r>
            <w:r>
              <w:rPr>
                <w:b/>
              </w:rPr>
              <w:t>2 stocks</w:t>
            </w:r>
            <w:r>
              <w:rPr/>
              <w:t xml:space="preserve">; US stocks are not known for dividends, so normally leave it </w:t>
            </w:r>
            <w:r>
              <w:rPr>
                <w:b/>
              </w:rPr>
              <w:t>Any</w:t>
            </w:r>
          </w:p>
        </w:tc>
      </w:tr>
    </w:tbl>
    <w:p>
      <w:pPr>
        <w:pStyle w:val="BodyText"/>
        <w:bidi w:val="0"/>
        <w:jc w:val="start"/>
        <w:rPr/>
      </w:pPr>
      <w:r>
        <w:rPr/>
      </w:r>
    </w:p>
    <w:p>
      <w:pPr>
        <w:pStyle w:val="BodyText"/>
        <w:bidi w:val="0"/>
        <w:jc w:val="start"/>
        <w:rPr/>
      </w:pPr>
      <w:r>
        <w:rPr>
          <w:b/>
        </w:rPr>
        <w:t>Operating principle:</w:t>
      </w:r>
      <w:r>
        <w:rPr/>
        <w:t xml:space="preserve"> the stricter you are, the fewer candidates; the more lenient, the more candidates. Set strictness according to whether you want </w:t>
      </w:r>
      <w:r>
        <w:rPr>
          <w:b/>
        </w:rPr>
        <w:t>growth stocks</w:t>
      </w:r>
      <w:r>
        <w:rPr/>
        <w:t xml:space="preserve"> or </w:t>
      </w:r>
      <w:r>
        <w:rPr>
          <w:b/>
        </w:rPr>
        <w:t>predictable stocks</w:t>
      </w:r>
      <w:r>
        <w:rPr/>
        <w:t>. </w:t>
      </w:r>
      <w:r>
        <w:rPr>
          <w:b/>
        </w:rPr>
        <w:t>Output use:</w:t>
      </w:r>
      <w:r>
        <w:rPr/>
        <w:t xml:space="preserve"> take the surviving list and run each name through the </w:t>
      </w:r>
      <w:r>
        <w:rPr>
          <w:b/>
        </w:rPr>
        <w:t>7-step investment analysis</w:t>
      </w:r>
      <w:r>
        <w:rPr/>
        <w:t>. The screener does not qualify a company — it only shortlists. </w:t>
      </w:r>
      <w:r>
        <w:rPr>
          <w:b/>
        </w:rPr>
        <w:t>Extra view:</w:t>
      </w:r>
      <w:r>
        <w:rPr/>
        <w:t xml:space="preserve"> the "Charts" view lets you eyeball all survivors' charts quickly.</w:t>
      </w:r>
    </w:p>
    <w:p>
      <w:pPr>
        <w:pStyle w:val="BodyText"/>
        <w:bidi w:val="0"/>
        <w:jc w:val="start"/>
        <w:rPr/>
      </w:pPr>
      <w:r>
        <w:rPr>
          <w:b/>
        </w:rPr>
        <w:t>Finviz limitations (why he also pays for GuruFocus):</w:t>
      </w:r>
    </w:p>
    <w:p>
      <w:pPr>
        <w:pStyle w:val="BodyText"/>
        <w:numPr>
          <w:ilvl w:val="0"/>
          <w:numId w:val="527"/>
        </w:numPr>
        <w:tabs>
          <w:tab w:val="clear" w:pos="709"/>
          <w:tab w:val="left" w:pos="709" w:leader="none"/>
        </w:tabs>
        <w:bidi w:val="0"/>
        <w:ind w:hanging="283" w:start="709"/>
        <w:jc w:val="start"/>
        <w:rPr/>
      </w:pPr>
      <w:r>
        <w:rPr>
          <w:b/>
        </w:rPr>
        <w:t>US-centric</w:t>
      </w:r>
      <w:r>
        <w:rPr/>
        <w:t xml:space="preserve"> — you can't sort for India, China or European stocks.</w:t>
      </w:r>
    </w:p>
    <w:p>
      <w:pPr>
        <w:pStyle w:val="BodyText"/>
        <w:numPr>
          <w:ilvl w:val="0"/>
          <w:numId w:val="527"/>
        </w:numPr>
        <w:tabs>
          <w:tab w:val="clear" w:pos="709"/>
          <w:tab w:val="left" w:pos="709" w:leader="none"/>
        </w:tabs>
        <w:bidi w:val="0"/>
        <w:ind w:hanging="283" w:start="709"/>
        <w:jc w:val="start"/>
        <w:rPr/>
      </w:pPr>
      <w:r>
        <w:rPr>
          <w:b/>
        </w:rPr>
        <w:t>You cannot set exact thresholds</w:t>
      </w:r>
      <w:r>
        <w:rPr/>
        <w:t xml:space="preserve"> — e.g. you cannot ask for ROE of exactly 12%, only the preset buckets.</w:t>
      </w:r>
    </w:p>
    <w:p>
      <w:pPr>
        <w:pStyle w:val="Heading4"/>
        <w:numPr>
          <w:ilvl w:val="0"/>
          <w:numId w:val="0"/>
        </w:numPr>
        <w:bidi w:val="0"/>
        <w:ind w:hanging="0" w:start="0"/>
        <w:jc w:val="start"/>
        <w:rPr/>
      </w:pPr>
      <w:r>
        <w:rPr/>
        <w:t>2.2 GuruFocus (paid) — gurufocus.com → Screener → All-in-One Screener</w:t>
      </w:r>
    </w:p>
    <w:p>
      <w:pPr>
        <w:pStyle w:val="BodyText"/>
        <w:bidi w:val="0"/>
        <w:jc w:val="start"/>
        <w:rPr/>
      </w:pPr>
      <w:r>
        <w:rPr/>
        <w:t xml:space="preserve">GuruFocus ships many </w:t>
      </w:r>
      <w:r>
        <w:rPr>
          <w:b/>
        </w:rPr>
        <w:t>preset screeners</w:t>
      </w:r>
      <w:r>
        <w:rPr/>
        <w:t xml:space="preserve"> (e.g. Ben Graham's lost-formula / deep-value screen, fast growers, high-quality companies). But he builds his own custom screen, saved as </w:t>
      </w:r>
      <w:r>
        <w:rPr>
          <w:b/>
        </w:rPr>
        <w:t>"Adam VMI"</w:t>
      </w:r>
      <w:r>
        <w:rPr/>
        <w:t>.</w:t>
      </w:r>
    </w:p>
    <w:p>
      <w:pPr>
        <w:pStyle w:val="BodyText"/>
        <w:bidi w:val="0"/>
        <w:jc w:val="start"/>
        <w:rPr/>
      </w:pPr>
      <w:r>
        <w:rPr>
          <w:b/>
        </w:rPr>
        <w:t>Step 1 — Region.</w:t>
      </w:r>
      <w:r>
        <w:rPr/>
        <w:t xml:space="preserve"> Select the regions to hunt in: US only (uncheck Asia, Europe, etc.), or check </w:t>
      </w:r>
      <w:r>
        <w:rPr>
          <w:b/>
        </w:rPr>
        <w:t>US + Asia + Europe</w:t>
      </w:r>
      <w:r>
        <w:rPr/>
        <w:t xml:space="preserve"> together; Canada, UK, Oceania also available.</w:t>
      </w:r>
    </w:p>
    <w:p>
      <w:pPr>
        <w:pStyle w:val="BodyText"/>
        <w:bidi w:val="0"/>
        <w:jc w:val="start"/>
        <w:rPr/>
      </w:pPr>
      <w:r>
        <w:rPr>
          <w:b/>
        </w:rPr>
        <w:t>Step 2 — The 12 criteria (11 fundamental + 1 valuation).</w:t>
      </w:r>
      <w:r>
        <w:rPr/>
        <w:t xml:space="preserve"> He deliberately keeps it simple:</w:t>
      </w:r>
    </w:p>
    <w:p>
      <w:pPr>
        <w:pStyle w:val="BodyText"/>
        <w:bidi w:val="0"/>
        <w:jc w:val="start"/>
        <w:rPr/>
      </w:pPr>
      <w:r>
        <w:rPr>
          <w:b/>
        </w:rPr>
        <w:t>Fundamental (11):</w:t>
      </w:r>
    </w:p>
    <w:p>
      <w:pPr>
        <w:pStyle w:val="BodyText"/>
        <w:numPr>
          <w:ilvl w:val="0"/>
          <w:numId w:val="528"/>
        </w:numPr>
        <w:tabs>
          <w:tab w:val="clear" w:pos="709"/>
          <w:tab w:val="left" w:pos="709" w:leader="none"/>
        </w:tabs>
        <w:bidi w:val="0"/>
        <w:ind w:hanging="283" w:start="709"/>
        <w:jc w:val="start"/>
        <w:rPr/>
      </w:pPr>
      <w:r>
        <w:rPr>
          <w:b/>
        </w:rPr>
        <w:t>Current ratio ≥ 1</w:t>
      </w:r>
    </w:p>
    <w:p>
      <w:pPr>
        <w:pStyle w:val="BodyText"/>
        <w:numPr>
          <w:ilvl w:val="0"/>
          <w:numId w:val="528"/>
        </w:numPr>
        <w:tabs>
          <w:tab w:val="clear" w:pos="709"/>
          <w:tab w:val="left" w:pos="709" w:leader="none"/>
        </w:tabs>
        <w:bidi w:val="0"/>
        <w:ind w:hanging="283" w:start="709"/>
        <w:jc w:val="start"/>
        <w:rPr/>
      </w:pPr>
      <w:r>
        <w:rPr>
          <w:b/>
        </w:rPr>
        <w:t>Interest coverage ratio ≥ 3</w:t>
      </w:r>
    </w:p>
    <w:p>
      <w:pPr>
        <w:pStyle w:val="BodyText"/>
        <w:numPr>
          <w:ilvl w:val="0"/>
          <w:numId w:val="528"/>
        </w:numPr>
        <w:tabs>
          <w:tab w:val="clear" w:pos="709"/>
          <w:tab w:val="left" w:pos="709" w:leader="none"/>
        </w:tabs>
        <w:bidi w:val="0"/>
        <w:ind w:hanging="283" w:start="709"/>
        <w:jc w:val="start"/>
        <w:rPr/>
      </w:pPr>
      <w:r>
        <w:rPr>
          <w:b/>
        </w:rPr>
        <w:t>Debt / EBITDA ≤ 3</w:t>
      </w:r>
    </w:p>
    <w:p>
      <w:pPr>
        <w:pStyle w:val="BodyText"/>
        <w:numPr>
          <w:ilvl w:val="0"/>
          <w:numId w:val="528"/>
        </w:numPr>
        <w:tabs>
          <w:tab w:val="clear" w:pos="709"/>
          <w:tab w:val="left" w:pos="709" w:leader="none"/>
        </w:tabs>
        <w:bidi w:val="0"/>
        <w:ind w:hanging="283" w:start="709"/>
        <w:jc w:val="start"/>
        <w:rPr/>
      </w:pPr>
      <w:r>
        <w:rPr>
          <w:b/>
        </w:rPr>
        <w:t>Return on Equity (ROE) ≥ 12%</w:t>
      </w:r>
    </w:p>
    <w:p>
      <w:pPr>
        <w:pStyle w:val="BodyText"/>
        <w:numPr>
          <w:ilvl w:val="0"/>
          <w:numId w:val="528"/>
        </w:numPr>
        <w:tabs>
          <w:tab w:val="clear" w:pos="709"/>
          <w:tab w:val="left" w:pos="709" w:leader="none"/>
        </w:tabs>
        <w:bidi w:val="0"/>
        <w:ind w:hanging="283" w:start="709"/>
        <w:jc w:val="start"/>
        <w:rPr/>
      </w:pPr>
      <w:r>
        <w:rPr>
          <w:b/>
        </w:rPr>
        <w:t>Return on Invested Capital (ROIC) ≥ 12%</w:t>
      </w:r>
    </w:p>
    <w:p>
      <w:pPr>
        <w:pStyle w:val="BodyText"/>
        <w:numPr>
          <w:ilvl w:val="0"/>
          <w:numId w:val="528"/>
        </w:numPr>
        <w:tabs>
          <w:tab w:val="clear" w:pos="709"/>
          <w:tab w:val="left" w:pos="709" w:leader="none"/>
        </w:tabs>
        <w:bidi w:val="0"/>
        <w:ind w:hanging="283" w:start="709"/>
        <w:jc w:val="start"/>
        <w:rPr/>
      </w:pPr>
      <w:r>
        <w:rPr>
          <w:b/>
        </w:rPr>
        <w:t>5-year average ROIC ≥ 12%</w:t>
      </w:r>
    </w:p>
    <w:p>
      <w:pPr>
        <w:pStyle w:val="BodyText"/>
        <w:numPr>
          <w:ilvl w:val="0"/>
          <w:numId w:val="528"/>
        </w:numPr>
        <w:tabs>
          <w:tab w:val="clear" w:pos="709"/>
          <w:tab w:val="left" w:pos="709" w:leader="none"/>
        </w:tabs>
        <w:bidi w:val="0"/>
        <w:ind w:hanging="283" w:start="709"/>
        <w:jc w:val="start"/>
        <w:rPr/>
      </w:pPr>
      <w:r>
        <w:rPr>
          <w:b/>
        </w:rPr>
        <w:t>Share buyback ratio ≥ 1%</w:t>
      </w:r>
      <w:r>
        <w:rPr/>
        <w:t xml:space="preserve"> — focuses on companies buying back shares. </w:t>
      </w:r>
      <w:r>
        <w:rPr>
          <w:i/>
        </w:rPr>
        <w:t>Not a must, but a great-to-have.</w:t>
      </w:r>
    </w:p>
    <w:p>
      <w:pPr>
        <w:pStyle w:val="BodyText"/>
        <w:numPr>
          <w:ilvl w:val="0"/>
          <w:numId w:val="528"/>
        </w:numPr>
        <w:tabs>
          <w:tab w:val="clear" w:pos="709"/>
          <w:tab w:val="left" w:pos="709" w:leader="none"/>
        </w:tabs>
        <w:bidi w:val="0"/>
        <w:ind w:hanging="283" w:start="709"/>
        <w:jc w:val="start"/>
        <w:rPr/>
      </w:pPr>
      <w:r>
        <w:rPr>
          <w:b/>
        </w:rPr>
        <w:t>Financial Strength rank ≥ 7</w:t>
      </w:r>
      <w:r>
        <w:rPr/>
        <w:t xml:space="preserve"> (GuruFocus proprietary 1–10 ranking)</w:t>
      </w:r>
    </w:p>
    <w:p>
      <w:pPr>
        <w:pStyle w:val="BodyText"/>
        <w:numPr>
          <w:ilvl w:val="0"/>
          <w:numId w:val="528"/>
        </w:numPr>
        <w:tabs>
          <w:tab w:val="clear" w:pos="709"/>
          <w:tab w:val="left" w:pos="709" w:leader="none"/>
        </w:tabs>
        <w:bidi w:val="0"/>
        <w:ind w:hanging="283" w:start="709"/>
        <w:jc w:val="start"/>
        <w:rPr/>
      </w:pPr>
      <w:r>
        <w:rPr>
          <w:b/>
        </w:rPr>
        <w:t>Profitability rank ≥ 7</w:t>
      </w:r>
      <w:r>
        <w:rPr/>
        <w:t xml:space="preserve"> (GuruFocus proprietary 1–10 ranking)</w:t>
      </w:r>
    </w:p>
    <w:p>
      <w:pPr>
        <w:pStyle w:val="BodyText"/>
        <w:numPr>
          <w:ilvl w:val="0"/>
          <w:numId w:val="528"/>
        </w:numPr>
        <w:tabs>
          <w:tab w:val="clear" w:pos="709"/>
          <w:tab w:val="left" w:pos="709" w:leader="none"/>
        </w:tabs>
        <w:bidi w:val="0"/>
        <w:ind w:hanging="283" w:start="709"/>
        <w:jc w:val="start"/>
        <w:rPr/>
      </w:pPr>
      <w:r>
        <w:rPr>
          <w:b/>
        </w:rPr>
        <w:t>Predictability rank = 4 to 5 stars</w:t>
      </w:r>
      <w:r>
        <w:rPr/>
        <w:t xml:space="preserve"> (GuruFocus ranks predictability from past revenue, profits and cash flow)</w:t>
      </w:r>
    </w:p>
    <w:p>
      <w:pPr>
        <w:pStyle w:val="BodyText"/>
        <w:numPr>
          <w:ilvl w:val="0"/>
          <w:numId w:val="528"/>
        </w:numPr>
        <w:tabs>
          <w:tab w:val="clear" w:pos="709"/>
          <w:tab w:val="left" w:pos="709" w:leader="none"/>
        </w:tabs>
        <w:bidi w:val="0"/>
        <w:ind w:hanging="283" w:start="709"/>
        <w:jc w:val="start"/>
        <w:rPr/>
      </w:pPr>
      <w:r>
        <w:rPr>
          <w:i/>
        </w:rPr>
        <w:t>(the above 8–10 are GuruFocus's own internal ranking metrics, which he deliberately piggybacks on)</w:t>
      </w:r>
    </w:p>
    <w:p>
      <w:pPr>
        <w:pStyle w:val="BodyText"/>
        <w:bidi w:val="0"/>
        <w:jc w:val="start"/>
        <w:rPr/>
      </w:pPr>
      <w:r>
        <w:rPr>
          <w:b/>
        </w:rPr>
        <w:t>Valuation ratio (1):</w:t>
      </w:r>
      <w:r>
        <w:rPr/>
        <w:t xml:space="preserve"> 12. </w:t>
      </w:r>
      <w:r>
        <w:rPr>
          <w:b/>
        </w:rPr>
        <w:t>Price-to-GuruFocus-Value ratio: 0 to 1</w:t>
      </w:r>
      <w:r>
        <w:rPr/>
        <w:t xml:space="preserve"> — i.e. only stocks </w:t>
      </w:r>
      <w:r>
        <w:rPr>
          <w:b/>
        </w:rPr>
        <w:t>not overvalued</w:t>
      </w:r>
      <w:r>
        <w:rPr/>
        <w:t xml:space="preserve"> on GuruFocus's own valuation.</w:t>
      </w:r>
    </w:p>
    <w:p>
      <w:pPr>
        <w:pStyle w:val="BodyText"/>
        <w:numPr>
          <w:ilvl w:val="0"/>
          <w:numId w:val="529"/>
        </w:numPr>
        <w:tabs>
          <w:tab w:val="clear" w:pos="709"/>
          <w:tab w:val="left" w:pos="709" w:leader="none"/>
        </w:tabs>
        <w:bidi w:val="0"/>
        <w:ind w:hanging="283" w:start="709"/>
        <w:jc w:val="start"/>
        <w:rPr/>
      </w:pPr>
      <w:r>
        <w:rPr/>
        <w:t xml:space="preserve">Caveat he states: he doesn't always agree with GuruFocus's intrinsic value — he finds them </w:t>
      </w:r>
      <w:r>
        <w:rPr>
          <w:b/>
        </w:rPr>
        <w:t>sometimes too optimistic / too aggressive</w:t>
      </w:r>
      <w:r>
        <w:rPr/>
        <w:t xml:space="preserve">, and </w:t>
      </w:r>
      <w:r>
        <w:rPr>
          <w:b/>
        </w:rPr>
        <w:t>his own intrinsic value is always below theirs</w:t>
      </w:r>
      <w:r>
        <w:rPr/>
        <w:t xml:space="preserve">. He uses it for screening only and </w:t>
      </w:r>
      <w:r>
        <w:rPr>
          <w:b/>
        </w:rPr>
        <w:t>still does his own valuation</w:t>
      </w:r>
      <w:r>
        <w:rPr/>
        <w:t xml:space="preserve"> to confirm.</w:t>
      </w:r>
    </w:p>
    <w:p>
      <w:pPr>
        <w:pStyle w:val="BodyText"/>
        <w:bidi w:val="0"/>
        <w:jc w:val="start"/>
        <w:rPr/>
      </w:pPr>
      <w:r>
        <w:rPr>
          <w:b/>
        </w:rPr>
        <w:t>Result:</w:t>
      </w:r>
      <w:r>
        <w:rPr/>
        <w:t xml:space="preserve"> these 12 criteria filtered down to </w:t>
      </w:r>
      <w:r>
        <w:rPr>
          <w:b/>
        </w:rPr>
        <w:t>21 stocks</w:t>
      </w:r>
      <w:r>
        <w:rPr/>
        <w:t xml:space="preserve">. Names shown: </w:t>
      </w:r>
      <w:r>
        <w:rPr>
          <w:b/>
        </w:rPr>
        <w:t>Alphabet, Visa, Johnson &amp; Johnson, ASML, Cisco, Nike, Infosys, Agilent, Wipro</w:t>
      </w:r>
      <w:r>
        <w:rPr/>
        <w:t>, and (transcript unclear) a life-sciences name — many of which he already owned.</w:t>
      </w:r>
    </w:p>
    <w:p>
      <w:pPr>
        <w:pStyle w:val="BodyText"/>
        <w:bidi w:val="0"/>
        <w:jc w:val="start"/>
        <w:rPr/>
      </w:pPr>
      <w:r>
        <w:rPr>
          <w:b/>
        </w:rPr>
        <w:t>Screening cadence: he screens at least ONCE A MONTH</w:t>
      </w:r>
      <w:r>
        <w:rPr/>
        <w:t>, because new stocks appear and old ones drop out.</w:t>
      </w:r>
    </w:p>
    <w:p>
      <w:pPr>
        <w:pStyle w:val="BodyText"/>
        <w:bidi w:val="0"/>
        <w:jc w:val="start"/>
        <w:rPr/>
      </w:pPr>
      <w:r>
        <w:rPr>
          <w:b/>
        </w:rPr>
        <w:t>Screener output is never a buy signal.</w:t>
      </w:r>
      <w:r>
        <w:rPr/>
        <w:t xml:space="preserve"> Everything that survives still goes through the full </w:t>
      </w:r>
      <w:r>
        <w:rPr>
          <w:b/>
        </w:rPr>
        <w:t>7-step analysis</w:t>
      </w:r>
      <w:r>
        <w:rPr/>
        <w:t>.</w:t>
      </w:r>
    </w:p>
    <w:p>
      <w:pPr>
        <w:pStyle w:val="HorizontalLine"/>
        <w:bidi w:val="0"/>
        <w:jc w:val="start"/>
        <w:rPr/>
      </w:pPr>
      <w:r>
        <w:rPr/>
      </w:r>
    </w:p>
    <w:p>
      <w:pPr>
        <w:pStyle w:val="Heading3"/>
        <w:bidi w:val="0"/>
        <w:ind w:hanging="0" w:start="0"/>
        <w:jc w:val="start"/>
        <w:rPr/>
      </w:pPr>
      <w:r>
        <w:rPr/>
        <w:t>PART 3 — MONITORING: WATCH LIST AND PORTFOLIO ROUTINE</w:t>
      </w:r>
    </w:p>
    <w:p>
      <w:pPr>
        <w:pStyle w:val="Heading4"/>
        <w:bidi w:val="0"/>
        <w:ind w:hanging="0" w:start="0"/>
        <w:jc w:val="start"/>
        <w:rPr/>
      </w:pPr>
      <w:r>
        <w:rPr/>
        <w:t>3.1 The watch list</w:t>
      </w:r>
    </w:p>
    <w:p>
      <w:pPr>
        <w:pStyle w:val="BodyText"/>
        <w:bidi w:val="0"/>
        <w:jc w:val="start"/>
        <w:rPr/>
      </w:pPr>
      <w:r>
        <w:rPr>
          <w:b/>
        </w:rPr>
        <w:t>When a stock goes on the watch list:</w:t>
      </w:r>
      <w:r>
        <w:rPr/>
        <w:t xml:space="preserve"> once it passes the </w:t>
      </w:r>
      <w:r>
        <w:rPr>
          <w:b/>
        </w:rPr>
        <w:t>first five steps</w:t>
      </w:r>
      <w:r>
        <w:rPr/>
        <w:t xml:space="preserve"> of the 7-step analysis — i.e. it is confirmed a great business but the </w:t>
      </w:r>
      <w:r>
        <w:rPr>
          <w:i/>
        </w:rPr>
        <w:t>price</w:t>
      </w:r>
      <w:r>
        <w:rPr/>
        <w:t xml:space="preserve"> is not yet right.</w:t>
      </w:r>
    </w:p>
    <w:p>
      <w:pPr>
        <w:pStyle w:val="BodyText"/>
        <w:bidi w:val="0"/>
        <w:jc w:val="start"/>
        <w:rPr/>
      </w:pPr>
      <w:r>
        <w:rPr>
          <w:b/>
        </w:rPr>
        <w:t>Watch list size: roughly 20–30 great companies.</w:t>
      </w:r>
    </w:p>
    <w:p>
      <w:pPr>
        <w:pStyle w:val="BodyText"/>
        <w:bidi w:val="0"/>
        <w:jc w:val="start"/>
        <w:rPr/>
      </w:pPr>
      <w:r>
        <w:rPr>
          <w:b/>
        </w:rPr>
        <w:t>Daily routine: spend ~5 minutes a day</w:t>
      </w:r>
      <w:r>
        <w:rPr/>
        <w:t xml:space="preserve"> running through the watch list, waiting for the right entry.</w:t>
      </w:r>
    </w:p>
    <w:p>
      <w:pPr>
        <w:pStyle w:val="BodyText"/>
        <w:bidi w:val="0"/>
        <w:jc w:val="start"/>
        <w:rPr/>
      </w:pPr>
      <w:r>
        <w:rPr>
          <w:b/>
        </w:rPr>
        <w:t>The entry condition being waited for (both must be true):</w:t>
      </w:r>
    </w:p>
    <w:p>
      <w:pPr>
        <w:pStyle w:val="BodyText"/>
        <w:numPr>
          <w:ilvl w:val="0"/>
          <w:numId w:val="530"/>
        </w:numPr>
        <w:tabs>
          <w:tab w:val="clear" w:pos="709"/>
          <w:tab w:val="left" w:pos="709" w:leader="none"/>
        </w:tabs>
        <w:bidi w:val="0"/>
        <w:ind w:hanging="283" w:start="709"/>
        <w:jc w:val="start"/>
        <w:rPr/>
      </w:pPr>
      <w:r>
        <w:rPr/>
        <w:t xml:space="preserve">Price drops </w:t>
      </w:r>
      <w:r>
        <w:rPr>
          <w:b/>
        </w:rPr>
        <w:t>below intrinsic value</w:t>
      </w:r>
      <w:r>
        <w:rPr/>
        <w:t xml:space="preserve"> (undervalued), </w:t>
      </w:r>
      <w:r>
        <w:rPr>
          <w:b/>
        </w:rPr>
        <w:t>AND</w:t>
      </w:r>
    </w:p>
    <w:p>
      <w:pPr>
        <w:pStyle w:val="BodyText"/>
        <w:numPr>
          <w:ilvl w:val="0"/>
          <w:numId w:val="530"/>
        </w:numPr>
        <w:tabs>
          <w:tab w:val="clear" w:pos="709"/>
          <w:tab w:val="left" w:pos="709" w:leader="none"/>
        </w:tabs>
        <w:bidi w:val="0"/>
        <w:ind w:hanging="283" w:start="709"/>
        <w:jc w:val="start"/>
        <w:rPr/>
      </w:pPr>
      <w:r>
        <w:rPr/>
        <w:t xml:space="preserve">Price waves down to a </w:t>
      </w:r>
      <w:r>
        <w:rPr>
          <w:b/>
        </w:rPr>
        <w:t>level of support you have already identified</w:t>
      </w:r>
      <w:r>
        <w:rPr/>
        <w:t>.</w:t>
      </w:r>
    </w:p>
    <w:p>
      <w:pPr>
        <w:pStyle w:val="BodyText"/>
        <w:bidi w:val="0"/>
        <w:jc w:val="start"/>
        <w:rPr/>
      </w:pPr>
      <w:r>
        <w:rPr/>
        <w:t xml:space="preserve">The whole point is </w:t>
      </w:r>
      <w:r>
        <w:rPr>
          <w:b/>
        </w:rPr>
        <w:t>patience</w:t>
      </w:r>
      <w:r>
        <w:rPr/>
        <w:t xml:space="preserve"> — wait for the right point to pull the trigger.</w:t>
      </w:r>
    </w:p>
    <w:p>
      <w:pPr>
        <w:pStyle w:val="Heading4"/>
        <w:bidi w:val="0"/>
        <w:ind w:hanging="0" w:start="0"/>
        <w:jc w:val="start"/>
        <w:rPr/>
      </w:pPr>
      <w:r>
        <w:rPr/>
        <w:t>3.2 Platforms for building watch lists</w:t>
      </w:r>
    </w:p>
    <w:p>
      <w:pPr>
        <w:pStyle w:val="BodyText"/>
        <w:bidi w:val="0"/>
        <w:jc w:val="start"/>
        <w:rPr/>
      </w:pPr>
      <w:r>
        <w:rPr>
          <w:b/>
        </w:rPr>
        <w:t>TradingView.com</w:t>
      </w:r>
      <w:r>
        <w:rPr/>
        <w:t xml:space="preserve"> (his charting software)</w:t>
      </w:r>
    </w:p>
    <w:p>
      <w:pPr>
        <w:pStyle w:val="BodyText"/>
        <w:numPr>
          <w:ilvl w:val="0"/>
          <w:numId w:val="531"/>
        </w:numPr>
        <w:tabs>
          <w:tab w:val="clear" w:pos="709"/>
          <w:tab w:val="left" w:pos="709" w:leader="none"/>
        </w:tabs>
        <w:bidi w:val="0"/>
        <w:ind w:hanging="283" w:start="709"/>
        <w:jc w:val="start"/>
        <w:rPr/>
      </w:pPr>
      <w:r>
        <w:rPr/>
        <w:t xml:space="preserve">Right-hand panel → open the watch-list icon → "Create new list" → name it → save → click </w:t>
      </w:r>
      <w:r>
        <w:rPr>
          <w:b/>
        </w:rPr>
        <w:t>+</w:t>
      </w:r>
      <w:r>
        <w:rPr/>
        <w:t xml:space="preserve"> to add tickers.</w:t>
      </w:r>
    </w:p>
    <w:p>
      <w:pPr>
        <w:pStyle w:val="BodyText"/>
        <w:numPr>
          <w:ilvl w:val="0"/>
          <w:numId w:val="531"/>
        </w:numPr>
        <w:tabs>
          <w:tab w:val="clear" w:pos="709"/>
          <w:tab w:val="left" w:pos="709" w:leader="none"/>
        </w:tabs>
        <w:bidi w:val="0"/>
        <w:ind w:hanging="283" w:start="709"/>
        <w:jc w:val="start"/>
        <w:rPr/>
      </w:pPr>
      <w:r>
        <w:rPr/>
        <w:t xml:space="preserve">You can run </w:t>
      </w:r>
      <w:r>
        <w:rPr>
          <w:b/>
        </w:rPr>
        <w:t>multiple watch lists</w:t>
      </w:r>
      <w:r>
        <w:rPr/>
        <w:t xml:space="preserve">, either by market (US Stocks Watchlist / Asian Stocks Watchlist / European Stocks Watchlist) or by </w:t>
      </w:r>
      <w:r>
        <w:rPr>
          <w:b/>
        </w:rPr>
        <w:t>investment category</w:t>
      </w:r>
      <w:r>
        <w:rPr/>
        <w:t xml:space="preserve"> (dividend stocks / growth stocks / more speculative growth stocks).</w:t>
      </w:r>
    </w:p>
    <w:p>
      <w:pPr>
        <w:pStyle w:val="BodyText"/>
        <w:numPr>
          <w:ilvl w:val="0"/>
          <w:numId w:val="531"/>
        </w:numPr>
        <w:tabs>
          <w:tab w:val="clear" w:pos="709"/>
          <w:tab w:val="left" w:pos="709" w:leader="none"/>
        </w:tabs>
        <w:bidi w:val="0"/>
        <w:ind w:hanging="283" w:start="709"/>
        <w:jc w:val="start"/>
        <w:rPr/>
      </w:pPr>
      <w:r>
        <w:rPr/>
        <w:t xml:space="preserve">Demo tickers added: </w:t>
      </w:r>
      <w:r>
        <w:rPr>
          <w:b/>
        </w:rPr>
        <w:t>Abbott Laboratories, BlackRock, Accenture, Pepsi, Procter &amp; Gamble, Fortinet, Microsoft</w:t>
      </w:r>
      <w:r>
        <w:rPr/>
        <w:t xml:space="preserve"> — deliberately a mix of technology, consumer staples and financials.</w:t>
      </w:r>
    </w:p>
    <w:p>
      <w:pPr>
        <w:pStyle w:val="BodyText"/>
        <w:bidi w:val="0"/>
        <w:jc w:val="start"/>
        <w:rPr/>
      </w:pPr>
      <w:r>
        <w:rPr>
          <w:b/>
        </w:rPr>
        <w:t>Thinkorswim (TD Ameritrade)</w:t>
      </w:r>
      <w:r>
        <w:rPr/>
        <w:t xml:space="preserve"> — both a broker and a charting platform. His watch list sits on the left.</w:t>
      </w:r>
    </w:p>
    <w:p>
      <w:pPr>
        <w:pStyle w:val="BodyText"/>
        <w:bidi w:val="0"/>
        <w:jc w:val="start"/>
        <w:rPr/>
      </w:pPr>
      <w:r>
        <w:rPr>
          <w:b/>
        </w:rPr>
        <w:t>Interactive Brokers</w:t>
      </w:r>
      <w:r>
        <w:rPr/>
        <w:t xml:space="preserve"> — New Window → Watch List; the panel can be dragged/docked anywhere on the workstation (he keeps it on the right, chart on the left, then locks the layout).</w:t>
      </w:r>
    </w:p>
    <w:p>
      <w:pPr>
        <w:pStyle w:val="BodyText"/>
        <w:numPr>
          <w:ilvl w:val="0"/>
          <w:numId w:val="532"/>
        </w:numPr>
        <w:tabs>
          <w:tab w:val="clear" w:pos="709"/>
          <w:tab w:val="left" w:pos="709" w:leader="none"/>
        </w:tabs>
        <w:bidi w:val="0"/>
        <w:ind w:hanging="283" w:start="709"/>
        <w:jc w:val="start"/>
        <w:rPr/>
      </w:pPr>
      <w:r>
        <w:rPr>
          <w:b/>
        </w:rPr>
        <w:t>Free TradingView charts inside IBKR</w:t>
      </w:r>
      <w:r>
        <w:rPr/>
        <w:t xml:space="preserve">: New Window → Chart → </w:t>
      </w:r>
      <w:r>
        <w:rPr>
          <w:b/>
        </w:rPr>
        <w:t>Advanced Chart</w:t>
      </w:r>
      <w:r>
        <w:rPr/>
        <w:t xml:space="preserve">. Functions are somewhat limited versus standalone TradingView, </w:t>
      </w:r>
      <w:r>
        <w:rPr>
          <w:b/>
        </w:rPr>
        <w:t>but you can add all the moving averages for free</w:t>
      </w:r>
      <w:r>
        <w:rPr/>
        <w:t xml:space="preserve"> — whereas standalone TradingView requires a paid subscription for many of those moving averages.</w:t>
      </w:r>
    </w:p>
    <w:p>
      <w:pPr>
        <w:pStyle w:val="Heading4"/>
        <w:numPr>
          <w:ilvl w:val="0"/>
          <w:numId w:val="0"/>
        </w:numPr>
        <w:bidi w:val="0"/>
        <w:ind w:hanging="0" w:start="0"/>
        <w:jc w:val="start"/>
        <w:rPr/>
      </w:pPr>
      <w:r>
        <w:rPr/>
        <w:t>3.3 How the chart is marked up (the actual monitoring template)</w:t>
      </w:r>
    </w:p>
    <w:p>
      <w:pPr>
        <w:pStyle w:val="BodyText"/>
        <w:bidi w:val="0"/>
        <w:jc w:val="start"/>
        <w:rPr/>
      </w:pPr>
      <w:r>
        <w:rPr/>
        <w:t>For every stock on the list he draws:</w:t>
      </w:r>
    </w:p>
    <w:p>
      <w:pPr>
        <w:pStyle w:val="BodyText"/>
        <w:numPr>
          <w:ilvl w:val="0"/>
          <w:numId w:val="533"/>
        </w:numPr>
        <w:tabs>
          <w:tab w:val="clear" w:pos="709"/>
          <w:tab w:val="left" w:pos="709" w:leader="none"/>
        </w:tabs>
        <w:bidi w:val="0"/>
        <w:ind w:hanging="283" w:start="709"/>
        <w:jc w:val="start"/>
        <w:rPr/>
      </w:pPr>
      <w:r>
        <w:rPr>
          <w:b/>
        </w:rPr>
        <w:t>A green line at the intrinsic value.</w:t>
      </w:r>
    </w:p>
    <w:p>
      <w:pPr>
        <w:pStyle w:val="BodyText"/>
        <w:numPr>
          <w:ilvl w:val="0"/>
          <w:numId w:val="533"/>
        </w:numPr>
        <w:tabs>
          <w:tab w:val="clear" w:pos="709"/>
          <w:tab w:val="left" w:pos="709" w:leader="none"/>
        </w:tabs>
        <w:bidi w:val="0"/>
        <w:ind w:hanging="283" w:start="709"/>
        <w:jc w:val="start"/>
        <w:rPr/>
      </w:pPr>
      <w:r>
        <w:rPr>
          <w:b/>
        </w:rPr>
        <w:t>Three to four buy levels per stock</w:t>
      </w:r>
      <w:r>
        <w:rPr/>
        <w:t xml:space="preserve">, each placed at a </w:t>
      </w:r>
      <w:r>
        <w:rPr>
          <w:b/>
        </w:rPr>
        <w:t>significant support level below the intrinsic value</w:t>
      </w:r>
      <w:r>
        <w:rPr/>
        <w:t>.</w:t>
      </w:r>
    </w:p>
    <w:p>
      <w:pPr>
        <w:pStyle w:val="BodyText"/>
        <w:bidi w:val="0"/>
        <w:jc w:val="start"/>
        <w:rPr/>
      </w:pPr>
      <w:r>
        <w:rPr/>
        <w:t>Worked examples:</w:t>
      </w:r>
    </w:p>
    <w:p>
      <w:pPr>
        <w:pStyle w:val="BodyText"/>
        <w:numPr>
          <w:ilvl w:val="0"/>
          <w:numId w:val="534"/>
        </w:numPr>
        <w:tabs>
          <w:tab w:val="clear" w:pos="709"/>
          <w:tab w:val="left" w:pos="709" w:leader="none"/>
        </w:tabs>
        <w:bidi w:val="0"/>
        <w:ind w:hanging="283" w:start="709"/>
        <w:jc w:val="start"/>
        <w:rPr/>
      </w:pPr>
      <w:r>
        <w:rPr>
          <w:b/>
        </w:rPr>
        <w:t>Abbott Laboratories</w:t>
      </w:r>
      <w:r>
        <w:rPr/>
        <w:t xml:space="preserve"> — intrinsic value </w:t>
      </w:r>
      <w:r>
        <w:rPr>
          <w:b/>
        </w:rPr>
        <w:t>$111</w:t>
      </w:r>
      <w:r>
        <w:rPr/>
        <w:t xml:space="preserve">; buy levels </w:t>
      </w:r>
      <w:r>
        <w:rPr>
          <w:b/>
        </w:rPr>
        <w:t>$104, $101, $96, $88</w:t>
      </w:r>
      <w:r>
        <w:rPr/>
        <w:t>. Price recently dropped through level 1, level 2, level 3 and almost to level 4 → shares could have been added at each; it then reversed back up. Still undervalued at the time of recording.</w:t>
      </w:r>
    </w:p>
    <w:p>
      <w:pPr>
        <w:pStyle w:val="BodyText"/>
        <w:numPr>
          <w:ilvl w:val="0"/>
          <w:numId w:val="534"/>
        </w:numPr>
        <w:tabs>
          <w:tab w:val="clear" w:pos="709"/>
          <w:tab w:val="left" w:pos="709" w:leader="none"/>
        </w:tabs>
        <w:bidi w:val="0"/>
        <w:ind w:hanging="283" w:start="709"/>
        <w:jc w:val="start"/>
        <w:rPr/>
      </w:pPr>
      <w:r>
        <w:rPr>
          <w:b/>
        </w:rPr>
        <w:t>Accenture</w:t>
      </w:r>
      <w:r>
        <w:rPr/>
        <w:t xml:space="preserve"> — intrinsic value </w:t>
      </w:r>
      <w:r>
        <w:rPr>
          <w:b/>
        </w:rPr>
        <w:t>$314</w:t>
      </w:r>
      <w:r>
        <w:rPr/>
        <w:t xml:space="preserve">; buy levels </w:t>
      </w:r>
      <w:r>
        <w:rPr>
          <w:b/>
        </w:rPr>
        <w:t>$301, $282, $262, $242</w:t>
      </w:r>
      <w:r>
        <w:rPr/>
        <w:t xml:space="preserve">. Price fell all the way to </w:t>
      </w:r>
      <w:r>
        <w:rPr>
          <w:b/>
        </w:rPr>
        <w:t>$242</w:t>
      </w:r>
      <w:r>
        <w:rPr/>
        <w:t xml:space="preserve"> (the last buy level) last year — a great time to add.</w:t>
      </w:r>
    </w:p>
    <w:p>
      <w:pPr>
        <w:pStyle w:val="BodyText"/>
        <w:bidi w:val="0"/>
        <w:jc w:val="start"/>
        <w:rPr/>
      </w:pPr>
      <w:r>
        <w:rPr>
          <w:b/>
        </w:rPr>
        <w:t>How the levels are used:</w:t>
      </w:r>
      <w:r>
        <w:rPr/>
        <w:t xml:space="preserve"> buy </w:t>
      </w:r>
      <w:r>
        <w:rPr>
          <w:b/>
        </w:rPr>
        <w:t>in tranches</w:t>
      </w:r>
      <w:r>
        <w:rPr/>
        <w:t xml:space="preserve">, roughly a quarter at each level; by the last support level you should hold a </w:t>
      </w:r>
      <w:r>
        <w:rPr>
          <w:b/>
        </w:rPr>
        <w:t>full position</w:t>
      </w:r>
      <w:r>
        <w:rPr/>
        <w:t>. Never buy all at once — average into the position. A great business will always rebound once market sentiment shifts.</w:t>
      </w:r>
    </w:p>
    <w:p>
      <w:pPr>
        <w:pStyle w:val="BodyText"/>
        <w:bidi w:val="0"/>
        <w:jc w:val="start"/>
        <w:rPr/>
      </w:pPr>
      <w:r>
        <w:rPr>
          <w:b/>
        </w:rPr>
        <w:t>Once bought</w:t>
      </w:r>
      <w:r>
        <w:rPr/>
        <w:t xml:space="preserve">, the stock moves from watch list → portfolio. His own portfolio holds </w:t>
      </w:r>
      <w:r>
        <w:rPr>
          <w:b/>
        </w:rPr>
        <w:t>40 stocks</w:t>
      </w:r>
      <w:r>
        <w:rPr/>
        <w:t xml:space="preserve">; a normal target is </w:t>
      </w:r>
      <w:r>
        <w:rPr>
          <w:b/>
        </w:rPr>
        <w:t>10–40 stocks</w:t>
      </w:r>
      <w:r>
        <w:rPr/>
        <w:t>.</w:t>
      </w:r>
    </w:p>
    <w:p>
      <w:pPr>
        <w:pStyle w:val="Heading4"/>
        <w:bidi w:val="0"/>
        <w:ind w:hanging="0" w:start="0"/>
        <w:jc w:val="start"/>
        <w:rPr/>
      </w:pPr>
      <w:r>
        <w:rPr/>
        <w:t>3.4 The daily portfolio check</w:t>
      </w:r>
    </w:p>
    <w:p>
      <w:pPr>
        <w:pStyle w:val="BodyText"/>
        <w:numPr>
          <w:ilvl w:val="0"/>
          <w:numId w:val="535"/>
        </w:numPr>
        <w:tabs>
          <w:tab w:val="clear" w:pos="709"/>
          <w:tab w:val="left" w:pos="709" w:leader="none"/>
        </w:tabs>
        <w:bidi w:val="0"/>
        <w:ind w:hanging="283" w:start="709"/>
        <w:jc w:val="start"/>
        <w:rPr/>
      </w:pPr>
      <w:r>
        <w:rPr>
          <w:b/>
        </w:rPr>
        <w:t>Yes, monitor regularly — but under 10 minutes a day</w:t>
      </w:r>
      <w:r>
        <w:rPr/>
        <w:t>, when the market is open.</w:t>
      </w:r>
    </w:p>
    <w:p>
      <w:pPr>
        <w:pStyle w:val="BodyText"/>
        <w:numPr>
          <w:ilvl w:val="0"/>
          <w:numId w:val="535"/>
        </w:numPr>
        <w:tabs>
          <w:tab w:val="clear" w:pos="709"/>
          <w:tab w:val="left" w:pos="709" w:leader="none"/>
        </w:tabs>
        <w:bidi w:val="0"/>
        <w:ind w:hanging="283" w:start="709"/>
        <w:jc w:val="start"/>
        <w:rPr/>
      </w:pPr>
      <w:r>
        <w:rPr>
          <w:b/>
        </w:rPr>
        <w:t>What you are looking for:</w:t>
      </w:r>
      <w:r>
        <w:rPr/>
        <w:t xml:space="preserve"> whether any price has retraced into a </w:t>
      </w:r>
      <w:r>
        <w:rPr>
          <w:b/>
        </w:rPr>
        <w:t>buy zone</w:t>
      </w:r>
      <w:r>
        <w:rPr/>
        <w:t xml:space="preserve"> — i.e. </w:t>
      </w:r>
      <w:r>
        <w:rPr>
          <w:b/>
        </w:rPr>
        <w:t>below intrinsic value AND at/near an identified support level</w:t>
      </w:r>
      <w:r>
        <w:rPr/>
        <w:t>. If you don't yet hold a full position, add more shares.</w:t>
      </w:r>
    </w:p>
    <w:p>
      <w:pPr>
        <w:pStyle w:val="BodyText"/>
        <w:numPr>
          <w:ilvl w:val="0"/>
          <w:numId w:val="535"/>
        </w:numPr>
        <w:tabs>
          <w:tab w:val="clear" w:pos="709"/>
          <w:tab w:val="left" w:pos="709" w:leader="none"/>
        </w:tabs>
        <w:bidi w:val="0"/>
        <w:ind w:hanging="283" w:start="709"/>
        <w:jc w:val="start"/>
        <w:rPr/>
      </w:pPr>
      <w:r>
        <w:rPr/>
        <w:t>Once the intrinsic value is exceeded, you can't buy any more until either the intrinsic value rises on revaluation, or price drops back below it.</w:t>
      </w:r>
    </w:p>
    <w:p>
      <w:pPr>
        <w:pStyle w:val="BodyText"/>
        <w:bidi w:val="0"/>
        <w:jc w:val="start"/>
        <w:rPr/>
      </w:pPr>
      <w:r>
        <w:rPr>
          <w:b/>
        </w:rPr>
        <w:t>What NOT to do while checking:</w:t>
      </w:r>
      <w:r>
        <w:rPr/>
        <w:t xml:space="preserve"> do not be concerned about </w:t>
      </w:r>
      <w:r>
        <w:rPr>
          <w:b/>
        </w:rPr>
        <w:t>daily fluctuations</w:t>
      </w:r>
      <w:r>
        <w:rPr/>
        <w:t xml:space="preserve">. That is volatility, and volatility is normal. Don't freak out if a great company drops </w:t>
      </w:r>
      <w:r>
        <w:rPr>
          <w:b/>
        </w:rPr>
        <w:t>10%, 20% or 30%</w:t>
      </w:r>
      <w:r>
        <w:rPr/>
        <w:t xml:space="preserve"> — most of the time a price drop has </w:t>
      </w:r>
      <w:r>
        <w:rPr>
          <w:b/>
        </w:rPr>
        <w:t>nothing to do with the value of the underlying business</w:t>
      </w:r>
      <w:r>
        <w:rPr/>
        <w:t>. "Be chill. Be zen."</w:t>
      </w:r>
    </w:p>
    <w:p>
      <w:pPr>
        <w:pStyle w:val="BodyText"/>
        <w:bidi w:val="0"/>
        <w:jc w:val="start"/>
        <w:rPr/>
      </w:pPr>
      <w:r>
        <w:rPr>
          <w:b/>
        </w:rPr>
        <w:t>Mr. Market framing.</w:t>
      </w:r>
      <w:r>
        <w:rPr/>
        <w:t xml:space="preserve"> The market behaves like a drunk, psychotic person with bipolar disorder — very happy one day, very sad the next. Daily prices are driven by </w:t>
      </w:r>
      <w:r>
        <w:rPr>
          <w:b/>
        </w:rPr>
        <w:t>emotions, sentiment and manipulation</w:t>
      </w:r>
      <w:r>
        <w:rPr/>
        <w:t xml:space="preserve">, not logic. On fearful red days you have exactly </w:t>
      </w:r>
      <w:r>
        <w:rPr>
          <w:b/>
        </w:rPr>
        <w:t>two</w:t>
      </w:r>
      <w:r>
        <w:rPr/>
        <w:t xml:space="preserve"> legitimate options:</w:t>
      </w:r>
    </w:p>
    <w:p>
      <w:pPr>
        <w:pStyle w:val="BodyText"/>
        <w:numPr>
          <w:ilvl w:val="0"/>
          <w:numId w:val="536"/>
        </w:numPr>
        <w:tabs>
          <w:tab w:val="clear" w:pos="709"/>
          <w:tab w:val="left" w:pos="709" w:leader="none"/>
        </w:tabs>
        <w:bidi w:val="0"/>
        <w:ind w:hanging="283" w:start="709"/>
        <w:jc w:val="start"/>
        <w:rPr/>
      </w:pPr>
      <w:r>
        <w:rPr>
          <w:b/>
        </w:rPr>
        <w:t>Take advantage of him</w:t>
      </w:r>
      <w:r>
        <w:rPr/>
        <w:t xml:space="preserve"> — buy more shares of great companies at depressed prices (if you don't yet hold a full position).</w:t>
      </w:r>
    </w:p>
    <w:p>
      <w:pPr>
        <w:pStyle w:val="BodyText"/>
        <w:numPr>
          <w:ilvl w:val="0"/>
          <w:numId w:val="536"/>
        </w:numPr>
        <w:tabs>
          <w:tab w:val="clear" w:pos="709"/>
          <w:tab w:val="left" w:pos="709" w:leader="none"/>
        </w:tabs>
        <w:bidi w:val="0"/>
        <w:ind w:hanging="283" w:start="709"/>
        <w:jc w:val="start"/>
        <w:rPr/>
      </w:pPr>
      <w:r>
        <w:rPr>
          <w:b/>
        </w:rPr>
        <w:t>Ignore him</w:t>
      </w:r>
      <w:r>
        <w:rPr/>
        <w:t xml:space="preserve"> — if you already hold a full position, go fishing, don't even look.</w:t>
      </w:r>
    </w:p>
    <w:p>
      <w:pPr>
        <w:pStyle w:val="BodyText"/>
        <w:bidi w:val="0"/>
        <w:jc w:val="start"/>
        <w:rPr/>
      </w:pPr>
      <w:r>
        <w:rPr/>
        <w:t xml:space="preserve">What you must </w:t>
      </w:r>
      <w:r>
        <w:rPr>
          <w:b/>
        </w:rPr>
        <w:t>never</w:t>
      </w:r>
      <w:r>
        <w:rPr/>
        <w:t xml:space="preserve"> do is be </w:t>
      </w:r>
      <w:r>
        <w:rPr>
          <w:b/>
        </w:rPr>
        <w:t>influenced</w:t>
      </w:r>
      <w:r>
        <w:rPr/>
        <w:t xml:space="preserve"> by him — getting scared when he's scared, excited when he's excited. That is the road to ruin.</w:t>
      </w:r>
    </w:p>
    <w:p>
      <w:pPr>
        <w:pStyle w:val="BodyText"/>
        <w:bidi w:val="0"/>
        <w:jc w:val="start"/>
        <w:rPr/>
      </w:pPr>
      <w:r>
        <w:rPr/>
        <w:t xml:space="preserve">Prices never go up in a straight line; they move in </w:t>
      </w:r>
      <w:r>
        <w:rPr>
          <w:b/>
        </w:rPr>
        <w:t>wave patterns</w:t>
      </w:r>
      <w:r>
        <w:rPr/>
        <w:t xml:space="preserve"> — wave up, wave down, wave up. "After breathing out, you have to breathe in."</w:t>
      </w:r>
    </w:p>
    <w:p>
      <w:pPr>
        <w:pStyle w:val="Heading4"/>
        <w:bidi w:val="0"/>
        <w:ind w:hanging="0" w:start="0"/>
        <w:jc w:val="start"/>
        <w:rPr/>
      </w:pPr>
      <w:r>
        <w:rPr/>
        <w:t>3.5 The 10 reasons a stock price drops (the diagnostic checklist)</w:t>
      </w:r>
    </w:p>
    <w:p>
      <w:pPr>
        <w:pStyle w:val="BodyText"/>
        <w:bidi w:val="0"/>
        <w:jc w:val="start"/>
        <w:rPr/>
      </w:pPr>
      <w:r>
        <w:rPr/>
        <w:t xml:space="preserve">When price drops, classify the cause. </w:t>
      </w:r>
      <w:r>
        <w:rPr>
          <w:b/>
        </w:rPr>
        <w:t>Reasons 1–9 are ~99% of cases, are all temporary, and are all buying opportunities (or things to ignore). Only reason 10 justifies concern.</w:t>
      </w:r>
    </w:p>
    <w:p>
      <w:pPr>
        <w:pStyle w:val="BodyText"/>
        <w:bidi w:val="0"/>
        <w:jc w:val="start"/>
        <w:rPr/>
      </w:pPr>
      <w:r>
        <w:rPr>
          <w:b/>
        </w:rPr>
        <w:t>Non-company-specific (macro/market):</w:t>
      </w:r>
    </w:p>
    <w:p>
      <w:pPr>
        <w:pStyle w:val="BodyText"/>
        <w:numPr>
          <w:ilvl w:val="0"/>
          <w:numId w:val="537"/>
        </w:numPr>
        <w:tabs>
          <w:tab w:val="clear" w:pos="709"/>
          <w:tab w:val="left" w:pos="709" w:leader="none"/>
        </w:tabs>
        <w:bidi w:val="0"/>
        <w:ind w:hanging="283" w:start="709"/>
        <w:jc w:val="start"/>
        <w:rPr/>
      </w:pPr>
      <w:r>
        <w:rPr>
          <w:b/>
        </w:rPr>
        <w:t>Macro or geopolitical news</w:t>
      </w:r>
      <w:r>
        <w:rPr/>
        <w:t xml:space="preserve"> — a Middle East war, the Ukraine war, recession fears, the Fed raising interest rates. Hits all companies, not just yours.</w:t>
      </w:r>
    </w:p>
    <w:p>
      <w:pPr>
        <w:pStyle w:val="BodyText"/>
        <w:numPr>
          <w:ilvl w:val="0"/>
          <w:numId w:val="537"/>
        </w:numPr>
        <w:tabs>
          <w:tab w:val="clear" w:pos="709"/>
          <w:tab w:val="left" w:pos="709" w:leader="none"/>
        </w:tabs>
        <w:bidi w:val="0"/>
        <w:ind w:hanging="283" w:start="709"/>
        <w:jc w:val="start"/>
        <w:rPr/>
      </w:pPr>
      <w:r>
        <w:rPr>
          <w:b/>
        </w:rPr>
        <w:t>Bear market</w:t>
      </w:r>
      <w:r>
        <w:rPr/>
        <w:t xml:space="preserve"> — happens on average </w:t>
      </w:r>
      <w:r>
        <w:rPr>
          <w:b/>
        </w:rPr>
        <w:t>once every six years</w:t>
      </w:r>
      <w:r>
        <w:rPr/>
        <w:t>; the whole market turns negative and good and bad companies drop together for purely emotional reasons.</w:t>
      </w:r>
    </w:p>
    <w:p>
      <w:pPr>
        <w:pStyle w:val="BodyText"/>
        <w:numPr>
          <w:ilvl w:val="0"/>
          <w:numId w:val="537"/>
        </w:numPr>
        <w:tabs>
          <w:tab w:val="clear" w:pos="709"/>
          <w:tab w:val="left" w:pos="709" w:leader="none"/>
        </w:tabs>
        <w:bidi w:val="0"/>
        <w:ind w:hanging="283" w:start="709"/>
        <w:jc w:val="start"/>
        <w:rPr/>
      </w:pPr>
      <w:r>
        <w:rPr>
          <w:b/>
        </w:rPr>
        <w:t>Correction</w:t>
      </w:r>
      <w:r>
        <w:rPr/>
        <w:t xml:space="preserve"> — happens on average </w:t>
      </w:r>
      <w:r>
        <w:rPr>
          <w:b/>
        </w:rPr>
        <w:t>once a year</w:t>
      </w:r>
      <w:r>
        <w:rPr/>
        <w:t xml:space="preserve">; market drops about </w:t>
      </w:r>
      <w:r>
        <w:rPr>
          <w:b/>
        </w:rPr>
        <w:t>10–15%</w:t>
      </w:r>
      <w:r>
        <w:rPr/>
        <w:t>; good companies drop too.</w:t>
      </w:r>
    </w:p>
    <w:p>
      <w:pPr>
        <w:pStyle w:val="BodyText"/>
        <w:numPr>
          <w:ilvl w:val="0"/>
          <w:numId w:val="537"/>
        </w:numPr>
        <w:tabs>
          <w:tab w:val="clear" w:pos="709"/>
          <w:tab w:val="left" w:pos="709" w:leader="none"/>
        </w:tabs>
        <w:bidi w:val="0"/>
        <w:ind w:hanging="283" w:start="709"/>
        <w:jc w:val="start"/>
        <w:rPr/>
      </w:pPr>
      <w:r>
        <w:rPr>
          <w:b/>
        </w:rPr>
        <w:t>Sector rotation</w:t>
      </w:r>
      <w:r>
        <w:rPr/>
        <w:t xml:space="preserve"> — money rotates between sectors. In 2023 institutions rotated </w:t>
      </w:r>
      <w:r>
        <w:rPr>
          <w:b/>
        </w:rPr>
        <w:t>out of healthcare into technology</w:t>
      </w:r>
      <w:r>
        <w:rPr/>
        <w:t>, so all healthcare names fell regardless of quality and most tech names rose regardless of quality. Nothing wrong with your company. Buy the discount; rotation eventually reverses (he suspected a rotation back into healthcare in 2024).</w:t>
      </w:r>
    </w:p>
    <w:p>
      <w:pPr>
        <w:pStyle w:val="BodyText"/>
        <w:numPr>
          <w:ilvl w:val="0"/>
          <w:numId w:val="537"/>
        </w:numPr>
        <w:tabs>
          <w:tab w:val="clear" w:pos="709"/>
          <w:tab w:val="left" w:pos="709" w:leader="none"/>
        </w:tabs>
        <w:bidi w:val="0"/>
        <w:ind w:hanging="283" w:start="709"/>
        <w:jc w:val="start"/>
        <w:rPr/>
      </w:pPr>
      <w:r>
        <w:rPr>
          <w:b/>
        </w:rPr>
        <w:t>Industry-specific news</w:t>
      </w:r>
      <w:r>
        <w:rPr/>
        <w:t xml:space="preserve"> — e.g. the 2023 Ozempic story dragging the whole food industry down (McDonald's, Pepsi, Yum Brands, Hershey's).</w:t>
      </w:r>
    </w:p>
    <w:p>
      <w:pPr>
        <w:pStyle w:val="BodyText"/>
        <w:numPr>
          <w:ilvl w:val="0"/>
          <w:numId w:val="537"/>
        </w:numPr>
        <w:tabs>
          <w:tab w:val="clear" w:pos="709"/>
          <w:tab w:val="left" w:pos="709" w:leader="none"/>
        </w:tabs>
        <w:bidi w:val="0"/>
        <w:ind w:hanging="283" w:start="709"/>
        <w:jc w:val="start"/>
        <w:rPr/>
      </w:pPr>
      <w:r>
        <w:rPr>
          <w:b/>
        </w:rPr>
        <w:t>Manipulation by market makers and algo traders.</w:t>
      </w:r>
    </w:p>
    <w:p>
      <w:pPr>
        <w:pStyle w:val="BodyText"/>
        <w:bidi w:val="0"/>
        <w:jc w:val="start"/>
        <w:rPr/>
      </w:pPr>
      <w:r>
        <w:rPr>
          <w:b/>
        </w:rPr>
        <w:t>Company-specific but still temporary:</w:t>
      </w:r>
      <w:r>
        <w:rPr/>
        <w:t xml:space="preserve"> 7. </w:t>
      </w:r>
      <w:r>
        <w:rPr>
          <w:b/>
        </w:rPr>
        <w:t>Missed earnings estimates or lowered forward guidance.</w:t>
      </w:r>
      <w:r>
        <w:rPr/>
        <w:t xml:space="preserve"> Companies report </w:t>
      </w:r>
      <w:r>
        <w:rPr>
          <w:b/>
        </w:rPr>
        <w:t>four times a year</w:t>
      </w:r>
      <w:r>
        <w:rPr/>
        <w:t>; analysts publish a projection beforehand (e.g. "McDonald's will earn $5 per share"). Beat → price usually jumps; miss → price gaps down.</w:t>
      </w:r>
    </w:p>
    <w:p>
      <w:pPr>
        <w:pStyle w:val="BodyText"/>
        <w:numPr>
          <w:ilvl w:val="0"/>
          <w:numId w:val="538"/>
        </w:numPr>
        <w:tabs>
          <w:tab w:val="clear" w:pos="709"/>
          <w:tab w:val="left" w:pos="709" w:leader="none"/>
        </w:tabs>
        <w:bidi w:val="0"/>
        <w:ind w:hanging="283" w:start="709"/>
        <w:jc w:val="start"/>
        <w:rPr/>
      </w:pPr>
      <w:r>
        <w:rPr>
          <w:b/>
        </w:rPr>
        <w:t>Can you predict a beat or a miss? No — it's a coin toss, 50/50.</w:t>
      </w:r>
    </w:p>
    <w:p>
      <w:pPr>
        <w:pStyle w:val="BodyText"/>
        <w:numPr>
          <w:ilvl w:val="0"/>
          <w:numId w:val="538"/>
        </w:numPr>
        <w:tabs>
          <w:tab w:val="clear" w:pos="709"/>
          <w:tab w:val="left" w:pos="709" w:leader="none"/>
        </w:tabs>
        <w:bidi w:val="0"/>
        <w:ind w:hanging="283" w:start="709"/>
        <w:jc w:val="start"/>
        <w:rPr/>
      </w:pPr>
      <w:r>
        <w:rPr/>
        <w:t xml:space="preserve">Don't be upset by a miss and don't be too happy about a beat: </w:t>
      </w:r>
      <w:r>
        <w:rPr>
          <w:b/>
        </w:rPr>
        <w:t>a great company will have bad quarters and good quarters.</w:t>
      </w:r>
      <w:r>
        <w:rPr/>
        <w:t xml:space="preserve"> A miss + panic selling = an opportunity to add.</w:t>
      </w:r>
    </w:p>
    <w:p>
      <w:pPr>
        <w:pStyle w:val="BodyText"/>
        <w:numPr>
          <w:ilvl w:val="0"/>
          <w:numId w:val="538"/>
        </w:numPr>
        <w:tabs>
          <w:tab w:val="clear" w:pos="709"/>
          <w:tab w:val="left" w:pos="709" w:leader="none"/>
        </w:tabs>
        <w:bidi w:val="0"/>
        <w:ind w:hanging="283" w:start="709"/>
        <w:jc w:val="start"/>
        <w:rPr/>
      </w:pPr>
      <w:r>
        <w:rPr>
          <w:b/>
        </w:rPr>
        <w:t>Lowered forward guidance</w:t>
      </w:r>
      <w:r>
        <w:rPr/>
        <w:t xml:space="preserve"> can knock </w:t>
      </w:r>
      <w:r>
        <w:rPr>
          <w:b/>
        </w:rPr>
        <w:t>5–10%</w:t>
      </w:r>
      <w:r>
        <w:rPr/>
        <w:t xml:space="preserve"> off even after a beat. </w:t>
      </w:r>
      <w:r>
        <w:rPr>
          <w:i/>
        </w:rPr>
        <w:t>Example</w:t>
      </w:r>
      <w:r>
        <w:rPr/>
        <w:t xml:space="preserve">: Adobe announced better-than-expected earnings but guided next-year revenue below projection → </w:t>
      </w:r>
      <w:r>
        <w:rPr>
          <w:b/>
        </w:rPr>
        <w:t>stock dropped 6%</w:t>
      </w:r>
      <w:r>
        <w:rPr/>
        <w:t>. Not a concern; it's a buying opportunity.</w:t>
      </w:r>
    </w:p>
    <w:p>
      <w:pPr>
        <w:pStyle w:val="BodyText"/>
        <w:numPr>
          <w:ilvl w:val="0"/>
          <w:numId w:val="539"/>
        </w:numPr>
        <w:tabs>
          <w:tab w:val="clear" w:pos="709"/>
          <w:tab w:val="left" w:pos="709" w:leader="none"/>
        </w:tabs>
        <w:bidi w:val="0"/>
        <w:ind w:hanging="283" w:start="709"/>
        <w:jc w:val="start"/>
        <w:rPr/>
      </w:pPr>
      <w:r>
        <w:rPr>
          <w:b/>
        </w:rPr>
        <w:t>Cyclical slowdown in demand.</w:t>
      </w:r>
      <w:r>
        <w:rPr/>
        <w:t xml:space="preserve"> Even great businesses aren't linear. Semiconductors (ASML, Texas Instruments, Nvidia, AMD) trend up long term but dip in between. Online advertising grows long term but ad spend dips in slowdowns — in </w:t>
      </w:r>
      <w:r>
        <w:rPr>
          <w:b/>
        </w:rPr>
        <w:t>2022</w:t>
      </w:r>
      <w:r>
        <w:rPr/>
        <w:t xml:space="preserve"> ad-spend fear of recession dented </w:t>
      </w:r>
      <w:r>
        <w:rPr>
          <w:b/>
        </w:rPr>
        <w:t>Alphabet and Meta</w:t>
      </w:r>
      <w:r>
        <w:rPr/>
        <w:t xml:space="preserve"> revenue, which </w:t>
      </w:r>
      <w:r>
        <w:rPr>
          <w:b/>
        </w:rPr>
        <w:t>re-accelerated the following year</w:t>
      </w:r>
      <w:r>
        <w:rPr/>
        <w:t>. Semis did the same.</w:t>
      </w:r>
    </w:p>
    <w:p>
      <w:pPr>
        <w:pStyle w:val="BodyText"/>
        <w:numPr>
          <w:ilvl w:val="0"/>
          <w:numId w:val="539"/>
        </w:numPr>
        <w:tabs>
          <w:tab w:val="clear" w:pos="709"/>
          <w:tab w:val="left" w:pos="709" w:leader="none"/>
        </w:tabs>
        <w:bidi w:val="0"/>
        <w:spacing w:before="0" w:after="0"/>
        <w:ind w:hanging="283" w:start="709"/>
        <w:jc w:val="start"/>
        <w:rPr/>
      </w:pPr>
      <w:r>
        <w:rPr>
          <w:b/>
        </w:rPr>
        <w:t>Other temporary bad news</w:t>
      </w:r>
      <w:r>
        <w:rPr/>
        <w:t xml:space="preserve"> — a </w:t>
      </w:r>
      <w:r>
        <w:rPr>
          <w:b/>
        </w:rPr>
        <w:t>product recall</w:t>
      </w:r>
      <w:r>
        <w:rPr/>
        <w:t xml:space="preserve"> (e.g. Tesla recalling cars over a manufacturing fault), a </w:t>
      </w:r>
      <w:r>
        <w:rPr>
          <w:b/>
        </w:rPr>
        <w:t>lawsuit</w:t>
      </w:r>
      <w:r>
        <w:rPr/>
        <w:t xml:space="preserve">, a </w:t>
      </w:r>
      <w:r>
        <w:rPr>
          <w:b/>
        </w:rPr>
        <w:t>sex scandal</w:t>
      </w:r>
      <w:r>
        <w:rPr/>
        <w:t xml:space="preserve">, or a </w:t>
      </w:r>
      <w:r>
        <w:rPr>
          <w:b/>
        </w:rPr>
        <w:t>forced seller</w:t>
      </w:r>
      <w:r>
        <w:rPr/>
        <w:t>: a major shareholder dumping stock for personal reasons unrelated to the business. All temporary; all buying opportunities.</w:t>
      </w:r>
    </w:p>
    <w:p>
      <w:pPr>
        <w:pStyle w:val="BodyText"/>
        <w:numPr>
          <w:ilvl w:val="1"/>
          <w:numId w:val="539"/>
        </w:numPr>
        <w:tabs>
          <w:tab w:val="clear" w:pos="709"/>
          <w:tab w:val="left" w:pos="1418" w:leader="none"/>
        </w:tabs>
        <w:bidi w:val="0"/>
        <w:ind w:hanging="283" w:start="1418"/>
        <w:jc w:val="start"/>
        <w:rPr/>
      </w:pPr>
      <w:r>
        <w:rPr>
          <w:b/>
        </w:rPr>
        <w:t>The one exception inside this bucket: accusation of financial fraud → sell immediately, do not hold.</w:t>
      </w:r>
    </w:p>
    <w:p>
      <w:pPr>
        <w:pStyle w:val="BodyText"/>
        <w:bidi w:val="0"/>
        <w:jc w:val="start"/>
        <w:rPr/>
      </w:pPr>
      <w:r>
        <w:rPr>
          <w:b/>
        </w:rPr>
        <w:t>The only genuinely dangerous one:</w:t>
      </w:r>
      <w:r>
        <w:rPr/>
        <w:t xml:space="preserve"> 10. </w:t>
      </w:r>
      <w:r>
        <w:rPr>
          <w:b/>
        </w:rPr>
        <w:t>A structural / long-term problem</w:t>
      </w:r>
      <w:r>
        <w:rPr/>
        <w:t xml:space="preserve"> — permanent damage to the business model; revenue will never grow again, profits will never re-accelerate, or the </w:t>
      </w:r>
      <w:r>
        <w:rPr>
          <w:b/>
        </w:rPr>
        <w:t>economic moat has permanently deteriorated</w:t>
      </w:r>
      <w:r>
        <w:rPr/>
        <w:t xml:space="preserve"> so the company can no longer fend off competition. </w:t>
      </w:r>
      <w:r>
        <w:rPr>
          <w:b/>
        </w:rPr>
        <w:t>Rare</w:t>
      </w:r>
      <w:r>
        <w:rPr/>
        <w:t xml:space="preserve"> if you bought a wide-moat company that met all the criteria — but possible, so watch for it.</w:t>
      </w:r>
    </w:p>
    <w:p>
      <w:pPr>
        <w:pStyle w:val="BodyText"/>
        <w:numPr>
          <w:ilvl w:val="0"/>
          <w:numId w:val="540"/>
        </w:numPr>
        <w:tabs>
          <w:tab w:val="clear" w:pos="709"/>
          <w:tab w:val="left" w:pos="709" w:leader="none"/>
        </w:tabs>
        <w:bidi w:val="0"/>
        <w:ind w:hanging="283" w:start="709"/>
        <w:jc w:val="start"/>
        <w:rPr/>
      </w:pPr>
      <w:r>
        <w:rPr/>
        <w:t xml:space="preserve">Historical examples: </w:t>
      </w:r>
      <w:r>
        <w:rPr>
          <w:b/>
        </w:rPr>
        <w:t>Nokia</w:t>
      </w:r>
      <w:r>
        <w:rPr/>
        <w:t xml:space="preserve"> (90% market share, disrupted by iPhone touchscreen and BlackBerry); </w:t>
      </w:r>
      <w:r>
        <w:rPr>
          <w:b/>
        </w:rPr>
        <w:t>Blockbuster Video</w:t>
      </w:r>
      <w:r>
        <w:rPr/>
        <w:t xml:space="preserve"> (disrupted by Netflix streaming); </w:t>
      </w:r>
      <w:r>
        <w:rPr>
          <w:b/>
        </w:rPr>
        <w:t>Kodak</w:t>
      </w:r>
      <w:r>
        <w:rPr/>
        <w:t xml:space="preserve"> (disrupted by digital photography); </w:t>
      </w:r>
      <w:r>
        <w:rPr>
          <w:b/>
        </w:rPr>
        <w:t>Yahoo</w:t>
      </w:r>
      <w:r>
        <w:rPr/>
        <w:t xml:space="preserve"> (the #1 search engine, disrupted by Google); </w:t>
      </w:r>
      <w:r>
        <w:rPr>
          <w:b/>
        </w:rPr>
        <w:t>AMC</w:t>
      </w:r>
      <w:r>
        <w:rPr/>
        <w:t xml:space="preserve"> movie theatres (disrupted by streaming + permanent change in consumer behaviour). None of them ever recovered.</w:t>
      </w:r>
    </w:p>
    <w:p>
      <w:pPr>
        <w:pStyle w:val="BodyText"/>
        <w:numPr>
          <w:ilvl w:val="0"/>
          <w:numId w:val="540"/>
        </w:numPr>
        <w:tabs>
          <w:tab w:val="clear" w:pos="709"/>
          <w:tab w:val="left" w:pos="709" w:leader="none"/>
        </w:tabs>
        <w:bidi w:val="0"/>
        <w:ind w:hanging="283" w:start="709"/>
        <w:jc w:val="start"/>
        <w:rPr/>
      </w:pPr>
      <w:r>
        <w:rPr/>
        <w:t xml:space="preserve">Root causes: </w:t>
      </w:r>
      <w:r>
        <w:rPr>
          <w:b/>
        </w:rPr>
        <w:t>moat deterioration, permanent disruption of the business model, permanent change in consumer behaviour.</w:t>
      </w:r>
    </w:p>
    <w:p>
      <w:pPr>
        <w:pStyle w:val="BodyText"/>
        <w:numPr>
          <w:ilvl w:val="0"/>
          <w:numId w:val="540"/>
        </w:numPr>
        <w:tabs>
          <w:tab w:val="clear" w:pos="709"/>
          <w:tab w:val="left" w:pos="709" w:leader="none"/>
        </w:tabs>
        <w:bidi w:val="0"/>
        <w:ind w:hanging="283" w:start="709"/>
        <w:jc w:val="start"/>
        <w:rPr/>
      </w:pPr>
      <w:r>
        <w:rPr/>
        <w:t xml:space="preserve">If unsure whether a problem is short-term or permanent, raise it in the </w:t>
      </w:r>
      <w:r>
        <w:rPr>
          <w:b/>
        </w:rPr>
        <w:t>Discord private community chat</w:t>
      </w:r>
      <w:r>
        <w:rPr/>
        <w:t xml:space="preserve"> for feedback.</w:t>
      </w:r>
    </w:p>
    <w:p>
      <w:pPr>
        <w:pStyle w:val="Heading4"/>
        <w:numPr>
          <w:ilvl w:val="0"/>
          <w:numId w:val="0"/>
        </w:numPr>
        <w:bidi w:val="0"/>
        <w:ind w:hanging="0" w:start="0"/>
        <w:jc w:val="start"/>
        <w:rPr/>
      </w:pPr>
      <w:r>
        <w:rPr/>
        <w:t>3.6 Earnings reports — the quarterly routine</w:t>
      </w:r>
    </w:p>
    <w:p>
      <w:pPr>
        <w:pStyle w:val="BodyText"/>
        <w:numPr>
          <w:ilvl w:val="0"/>
          <w:numId w:val="541"/>
        </w:numPr>
        <w:tabs>
          <w:tab w:val="clear" w:pos="709"/>
          <w:tab w:val="left" w:pos="709" w:leader="none"/>
        </w:tabs>
        <w:bidi w:val="0"/>
        <w:ind w:hanging="283" w:start="709"/>
        <w:jc w:val="start"/>
        <w:rPr/>
      </w:pPr>
      <w:r>
        <w:rPr/>
        <w:t xml:space="preserve">Companies report </w:t>
      </w:r>
      <w:r>
        <w:rPr>
          <w:b/>
        </w:rPr>
        <w:t>four times a year</w:t>
      </w:r>
      <w:r>
        <w:rPr/>
        <w:t xml:space="preserve">; earnings seasons cluster in </w:t>
      </w:r>
      <w:r>
        <w:rPr>
          <w:b/>
        </w:rPr>
        <w:t>April, July, October and January</w:t>
      </w:r>
      <w:r>
        <w:rPr/>
        <w:t>.</w:t>
      </w:r>
    </w:p>
    <w:p>
      <w:pPr>
        <w:pStyle w:val="BodyText"/>
        <w:numPr>
          <w:ilvl w:val="0"/>
          <w:numId w:val="541"/>
        </w:numPr>
        <w:tabs>
          <w:tab w:val="clear" w:pos="709"/>
          <w:tab w:val="left" w:pos="709" w:leader="none"/>
        </w:tabs>
        <w:bidi w:val="0"/>
        <w:spacing w:before="0" w:after="0"/>
        <w:ind w:hanging="283" w:start="709"/>
        <w:jc w:val="start"/>
        <w:rPr/>
      </w:pPr>
      <w:r>
        <w:rPr>
          <w:b/>
        </w:rPr>
        <w:t>Finding the next earnings date:</w:t>
      </w:r>
      <w:r>
        <w:rPr/>
        <w:t xml:space="preserve"> on the </w:t>
      </w:r>
      <w:r>
        <w:rPr>
          <w:b/>
        </w:rPr>
        <w:t>TradingView</w:t>
      </w:r>
      <w:r>
        <w:rPr/>
        <w:t xml:space="preserve"> chart (also on Thinkorswim), the letters under the chart mark events — </w:t>
      </w:r>
      <w:r>
        <w:rPr>
          <w:b/>
        </w:rPr>
        <w:t>"E" = earnings</w:t>
      </w:r>
      <w:r>
        <w:rPr/>
        <w:t xml:space="preserve">. Past E's show historical reports; the </w:t>
      </w:r>
      <w:r>
        <w:rPr>
          <w:b/>
        </w:rPr>
        <w:t>purple</w:t>
      </w:r>
      <w:r>
        <w:rPr/>
        <w:t xml:space="preserve"> upcoming E shows the next one. Clicking it shows the date and the </w:t>
      </w:r>
      <w:r>
        <w:rPr>
          <w:b/>
        </w:rPr>
        <w:t>analyst EPS estimate</w:t>
      </w:r>
      <w:r>
        <w:rPr/>
        <w:t>.</w:t>
      </w:r>
    </w:p>
    <w:p>
      <w:pPr>
        <w:pStyle w:val="BodyText"/>
        <w:numPr>
          <w:ilvl w:val="1"/>
          <w:numId w:val="541"/>
        </w:numPr>
        <w:tabs>
          <w:tab w:val="clear" w:pos="709"/>
          <w:tab w:val="left" w:pos="1418" w:leader="none"/>
        </w:tabs>
        <w:bidi w:val="0"/>
        <w:ind w:hanging="283" w:start="1418"/>
        <w:jc w:val="start"/>
        <w:rPr/>
      </w:pPr>
      <w:r>
        <w:rPr>
          <w:i/>
        </w:rPr>
        <w:t>Example</w:t>
      </w:r>
      <w:r>
        <w:rPr/>
        <w:t xml:space="preserve">: Apple's next earnings </w:t>
      </w:r>
      <w:r>
        <w:rPr>
          <w:b/>
        </w:rPr>
        <w:t>25 January 2024</w:t>
      </w:r>
      <w:r>
        <w:rPr/>
        <w:t xml:space="preserve">, analysts projecting </w:t>
      </w:r>
      <w:r>
        <w:rPr>
          <w:b/>
        </w:rPr>
        <w:t>$2.08 per share</w:t>
      </w:r>
      <w:r>
        <w:rPr/>
        <w:t xml:space="preserve"> for the quarter. Beat → price usually jumps; miss → price usually drops.</w:t>
      </w:r>
    </w:p>
    <w:p>
      <w:pPr>
        <w:pStyle w:val="BodyText"/>
        <w:numPr>
          <w:ilvl w:val="0"/>
          <w:numId w:val="541"/>
        </w:numPr>
        <w:tabs>
          <w:tab w:val="clear" w:pos="709"/>
          <w:tab w:val="left" w:pos="709" w:leader="none"/>
        </w:tabs>
        <w:bidi w:val="0"/>
        <w:ind w:hanging="283" w:start="709"/>
        <w:jc w:val="start"/>
        <w:rPr/>
      </w:pPr>
      <w:r>
        <w:rPr>
          <w:b/>
        </w:rPr>
        <w:t>"D" = dividends</w:t>
      </w:r>
      <w:r>
        <w:rPr/>
        <w:t xml:space="preserve"> — marks the </w:t>
      </w:r>
      <w:r>
        <w:rPr>
          <w:b/>
        </w:rPr>
        <w:t>ex-dividend date</w:t>
      </w:r>
      <w:r>
        <w:rPr/>
        <w:t>. Buy before the ex-dividend date to receive the dividend.</w:t>
      </w:r>
    </w:p>
    <w:p>
      <w:pPr>
        <w:pStyle w:val="BodyText"/>
        <w:numPr>
          <w:ilvl w:val="0"/>
          <w:numId w:val="541"/>
        </w:numPr>
        <w:tabs>
          <w:tab w:val="clear" w:pos="709"/>
          <w:tab w:val="left" w:pos="709" w:leader="none"/>
        </w:tabs>
        <w:bidi w:val="0"/>
        <w:ind w:hanging="283" w:start="709"/>
        <w:jc w:val="start"/>
        <w:rPr/>
      </w:pPr>
      <w:r>
        <w:rPr>
          <w:b/>
        </w:rPr>
        <w:t>Earnings calendar:</w:t>
      </w:r>
      <w:r>
        <w:rPr/>
        <w:t xml:space="preserve"> </w:t>
      </w:r>
      <w:r>
        <w:rPr>
          <w:rFonts w:ascii="Liberation Mono" w:hAnsi="Liberation Mono"/>
        </w:rPr>
        <w:t>finance.yahoo.com/calendar/earnings</w:t>
      </w:r>
      <w:r>
        <w:rPr/>
        <w:t xml:space="preserve"> — see which stocks report in coming days, weeks or months, and search for a specific company's next earnings date.</w:t>
      </w:r>
    </w:p>
    <w:p>
      <w:pPr>
        <w:pStyle w:val="BodyText"/>
        <w:bidi w:val="0"/>
        <w:jc w:val="start"/>
        <w:rPr/>
      </w:pPr>
      <w:r>
        <w:rPr>
          <w:b/>
        </w:rPr>
        <w:t>What to actually read after a report:</w:t>
      </w:r>
    </w:p>
    <w:p>
      <w:pPr>
        <w:pStyle w:val="BodyText"/>
        <w:numPr>
          <w:ilvl w:val="0"/>
          <w:numId w:val="542"/>
        </w:numPr>
        <w:tabs>
          <w:tab w:val="clear" w:pos="709"/>
          <w:tab w:val="left" w:pos="709" w:leader="none"/>
        </w:tabs>
        <w:bidi w:val="0"/>
        <w:ind w:hanging="283" w:start="709"/>
        <w:jc w:val="start"/>
        <w:rPr/>
      </w:pPr>
      <w:r>
        <w:rPr>
          <w:b/>
        </w:rPr>
        <w:t>The quarterly report itself</w:t>
      </w:r>
      <w:r>
        <w:rPr/>
        <w:t xml:space="preserve"> — download from the company's own website under </w:t>
      </w:r>
      <w:r>
        <w:rPr>
          <w:b/>
        </w:rPr>
        <w:t>Investor Relations</w:t>
      </w:r>
      <w:r>
        <w:rPr/>
        <w:t xml:space="preserve"> (e.g. apple.com, adobe.com): latest quarterly financial reports and annual reports.</w:t>
      </w:r>
    </w:p>
    <w:p>
      <w:pPr>
        <w:pStyle w:val="BodyText"/>
        <w:numPr>
          <w:ilvl w:val="0"/>
          <w:numId w:val="542"/>
        </w:numPr>
        <w:tabs>
          <w:tab w:val="clear" w:pos="709"/>
          <w:tab w:val="left" w:pos="709" w:leader="none"/>
        </w:tabs>
        <w:bidi w:val="0"/>
        <w:ind w:hanging="283" w:start="709"/>
        <w:jc w:val="start"/>
        <w:rPr/>
      </w:pPr>
      <w:r>
        <w:rPr>
          <w:b/>
        </w:rPr>
        <w:t>The conference call</w:t>
      </w:r>
      <w:r>
        <w:rPr/>
        <w:t xml:space="preserve"> — after results, the CEO and management take analyst questions. Listen to the audio or read the transcript. Find it by Google-searching e.g. "Adobe conference call"; transcripts show in the results.</w:t>
      </w:r>
    </w:p>
    <w:p>
      <w:pPr>
        <w:pStyle w:val="BodyText"/>
        <w:numPr>
          <w:ilvl w:val="0"/>
          <w:numId w:val="542"/>
        </w:numPr>
        <w:tabs>
          <w:tab w:val="clear" w:pos="709"/>
          <w:tab w:val="left" w:pos="709" w:leader="none"/>
        </w:tabs>
        <w:bidi w:val="0"/>
        <w:ind w:hanging="283" w:start="709"/>
        <w:jc w:val="start"/>
        <w:rPr/>
      </w:pPr>
      <w:r>
        <w:rPr>
          <w:b/>
        </w:rPr>
        <w:t>seekingalpha.com</w:t>
      </w:r>
      <w:r>
        <w:rPr/>
        <w:t xml:space="preserve"> — search for conference calls and earnings results for all major stocks.</w:t>
      </w:r>
    </w:p>
    <w:p>
      <w:pPr>
        <w:pStyle w:val="BodyText"/>
        <w:bidi w:val="0"/>
        <w:jc w:val="start"/>
        <w:rPr/>
      </w:pPr>
      <w:r>
        <w:rPr>
          <w:b/>
        </w:rPr>
        <w:t>What you are reading for:</w:t>
      </w:r>
      <w:r>
        <w:rPr/>
        <w:t xml:space="preserve"> how </w:t>
      </w:r>
      <w:r>
        <w:rPr>
          <w:b/>
        </w:rPr>
        <w:t>management is executing on its plans</w:t>
      </w:r>
      <w:r>
        <w:rPr/>
        <w:t xml:space="preserve">, and — if revenue or profits dipped — </w:t>
      </w:r>
      <w:r>
        <w:rPr>
          <w:b/>
        </w:rPr>
        <w:t>management's explanation of what happened</w:t>
      </w:r>
      <w:r>
        <w:rPr/>
        <w:t>.</w:t>
      </w:r>
    </w:p>
    <w:p>
      <w:pPr>
        <w:pStyle w:val="BodyText"/>
        <w:bidi w:val="0"/>
        <w:jc w:val="start"/>
        <w:rPr/>
      </w:pPr>
      <w:r>
        <w:rPr>
          <w:b/>
        </w:rPr>
        <w:t>Framing:</w:t>
      </w:r>
      <w:r>
        <w:rPr/>
        <w:t xml:space="preserve"> don't be overly concerned about short-term beats or misses. You are only concerned with </w:t>
      </w:r>
      <w:r>
        <w:rPr>
          <w:b/>
        </w:rPr>
        <w:t>long-term structural damage to the competitive advantage or business model</w:t>
      </w:r>
      <w:r>
        <w:rPr/>
        <w:t xml:space="preserve">. That doesn't happen overnight — </w:t>
      </w:r>
      <w:r>
        <w:rPr>
          <w:b/>
        </w:rPr>
        <w:t>it takes years for a company to lose its competitive advantage</w:t>
      </w:r>
      <w:r>
        <w:rPr/>
        <w:t>, so you will see it coming.</w:t>
      </w:r>
    </w:p>
    <w:p>
      <w:pPr>
        <w:pStyle w:val="Heading4"/>
        <w:bidi w:val="0"/>
        <w:ind w:hanging="0" w:start="0"/>
        <w:jc w:val="start"/>
        <w:rPr/>
      </w:pPr>
      <w:r>
        <w:rPr/>
        <w:t>3.7 Corporate announcements — how to read each one</w:t>
      </w:r>
    </w:p>
    <w:p>
      <w:pPr>
        <w:pStyle w:val="BodyText"/>
        <w:bidi w:val="0"/>
        <w:jc w:val="start"/>
        <w:rPr/>
      </w:pPr>
      <w:r>
        <w:rPr>
          <w:b/>
        </w:rPr>
        <w:t>Share buybacks — usually bullish, but conditional.</w:t>
      </w:r>
      <w:r>
        <w:rPr/>
        <w:t xml:space="preserve"> Fewer shares outstanding → higher value per share. </w:t>
      </w:r>
      <w:r>
        <w:rPr>
          <w:b/>
        </w:rPr>
        <w:t>BUT</w:t>
      </w:r>
      <w:r>
        <w:rPr/>
        <w:t xml:space="preserve"> a buyback is only good if:</w:t>
      </w:r>
    </w:p>
    <w:p>
      <w:pPr>
        <w:pStyle w:val="BodyText"/>
        <w:numPr>
          <w:ilvl w:val="0"/>
          <w:numId w:val="543"/>
        </w:numPr>
        <w:tabs>
          <w:tab w:val="clear" w:pos="709"/>
          <w:tab w:val="left" w:pos="709" w:leader="none"/>
        </w:tabs>
        <w:bidi w:val="0"/>
        <w:ind w:hanging="283" w:start="709"/>
        <w:jc w:val="start"/>
        <w:rPr/>
      </w:pPr>
      <w:r>
        <w:rPr/>
        <w:t xml:space="preserve">The shares are </w:t>
      </w:r>
      <w:r>
        <w:rPr>
          <w:b/>
        </w:rPr>
        <w:t>undervalued</w:t>
      </w:r>
      <w:r>
        <w:rPr/>
        <w:t xml:space="preserve"> when repurchased. Buying back at an </w:t>
      </w:r>
      <w:r>
        <w:rPr>
          <w:b/>
        </w:rPr>
        <w:t>all-time high / expensive price is NOT acting in shareholders' interest</w:t>
      </w:r>
      <w:r>
        <w:rPr/>
        <w:t>; and</w:t>
      </w:r>
    </w:p>
    <w:p>
      <w:pPr>
        <w:pStyle w:val="BodyText"/>
        <w:numPr>
          <w:ilvl w:val="0"/>
          <w:numId w:val="543"/>
        </w:numPr>
        <w:tabs>
          <w:tab w:val="clear" w:pos="709"/>
          <w:tab w:val="left" w:pos="709" w:leader="none"/>
        </w:tabs>
        <w:bidi w:val="0"/>
        <w:ind w:hanging="283" w:start="709"/>
        <w:jc w:val="start"/>
        <w:rPr/>
      </w:pPr>
      <w:r>
        <w:rPr/>
        <w:t xml:space="preserve">The </w:t>
      </w:r>
      <w:r>
        <w:rPr>
          <w:b/>
        </w:rPr>
        <w:t>company itself is doing well</w:t>
      </w:r>
      <w:r>
        <w:rPr/>
        <w:t xml:space="preserve"> — revenue and profits growing. If the company is doing badly (falling revenue, falling profits, eroding competitive advantage), it should be spending cash on </w:t>
      </w:r>
      <w:r>
        <w:rPr>
          <w:b/>
        </w:rPr>
        <w:t>improving the business, products, services and hiring better people</w:t>
      </w:r>
      <w:r>
        <w:rPr/>
        <w:t>, not on buybacks.</w:t>
      </w:r>
    </w:p>
    <w:p>
      <w:pPr>
        <w:pStyle w:val="BodyText"/>
        <w:numPr>
          <w:ilvl w:val="0"/>
          <w:numId w:val="543"/>
        </w:numPr>
        <w:tabs>
          <w:tab w:val="clear" w:pos="709"/>
          <w:tab w:val="left" w:pos="709" w:leader="none"/>
        </w:tabs>
        <w:bidi w:val="0"/>
        <w:ind w:hanging="283" w:start="709"/>
        <w:jc w:val="start"/>
        <w:rPr/>
      </w:pPr>
      <w:r>
        <w:rPr>
          <w:i/>
        </w:rPr>
        <w:t>Cautionary example</w:t>
      </w:r>
      <w:r>
        <w:rPr/>
        <w:t xml:space="preserve">: years ago </w:t>
      </w:r>
      <w:r>
        <w:rPr>
          <w:b/>
        </w:rPr>
        <w:t>IBM's</w:t>
      </w:r>
      <w:r>
        <w:rPr/>
        <w:t xml:space="preserve"> business was deteriorating and the CEO kept buying back shares to </w:t>
      </w:r>
      <w:r>
        <w:rPr>
          <w:b/>
        </w:rPr>
        <w:t>artificially inflate EPS</w:t>
      </w:r>
      <w:r>
        <w:rPr/>
        <w:t xml:space="preserve"> instead of fixing the business — long-term detrimental.</w:t>
      </w:r>
    </w:p>
    <w:p>
      <w:pPr>
        <w:pStyle w:val="BodyText"/>
        <w:bidi w:val="0"/>
        <w:jc w:val="start"/>
        <w:rPr/>
      </w:pPr>
      <w:r>
        <w:rPr>
          <w:b/>
        </w:rPr>
        <w:t>New share issuance / rights issue — bearish to neutral.</w:t>
      </w:r>
      <w:r>
        <w:rPr/>
        <w:t xml:space="preserve"> Companies sell new shares when they need to raise money. Most companies he owns hold lots of cash and never need to. If one of your holdings issues shares, </w:t>
      </w:r>
      <w:r>
        <w:rPr>
          <w:b/>
        </w:rPr>
        <w:t>find out what the money is for</w:t>
      </w:r>
      <w:r>
        <w:rPr/>
        <w:t>:</w:t>
      </w:r>
    </w:p>
    <w:p>
      <w:pPr>
        <w:pStyle w:val="BodyText"/>
        <w:numPr>
          <w:ilvl w:val="0"/>
          <w:numId w:val="544"/>
        </w:numPr>
        <w:tabs>
          <w:tab w:val="clear" w:pos="709"/>
          <w:tab w:val="left" w:pos="709" w:leader="none"/>
        </w:tabs>
        <w:bidi w:val="0"/>
        <w:ind w:hanging="283" w:start="709"/>
        <w:jc w:val="start"/>
        <w:rPr/>
      </w:pPr>
      <w:r>
        <w:rPr/>
        <w:t xml:space="preserve">To </w:t>
      </w:r>
      <w:r>
        <w:rPr>
          <w:b/>
        </w:rPr>
        <w:t>pay off debt</w:t>
      </w:r>
      <w:r>
        <w:rPr/>
        <w:t xml:space="preserve"> → not a good sign.</w:t>
      </w:r>
    </w:p>
    <w:p>
      <w:pPr>
        <w:pStyle w:val="BodyText"/>
        <w:numPr>
          <w:ilvl w:val="0"/>
          <w:numId w:val="544"/>
        </w:numPr>
        <w:tabs>
          <w:tab w:val="clear" w:pos="709"/>
          <w:tab w:val="left" w:pos="709" w:leader="none"/>
        </w:tabs>
        <w:bidi w:val="0"/>
        <w:ind w:hanging="283" w:start="709"/>
        <w:jc w:val="start"/>
        <w:rPr/>
      </w:pPr>
      <w:r>
        <w:rPr/>
        <w:t xml:space="preserve">Because they're </w:t>
      </w:r>
      <w:r>
        <w:rPr>
          <w:b/>
        </w:rPr>
        <w:t>short of money for working capital</w:t>
      </w:r>
      <w:r>
        <w:rPr/>
        <w:t xml:space="preserve"> → not a good sign.</w:t>
      </w:r>
    </w:p>
    <w:p>
      <w:pPr>
        <w:pStyle w:val="BodyText"/>
        <w:numPr>
          <w:ilvl w:val="0"/>
          <w:numId w:val="544"/>
        </w:numPr>
        <w:tabs>
          <w:tab w:val="clear" w:pos="709"/>
          <w:tab w:val="left" w:pos="709" w:leader="none"/>
        </w:tabs>
        <w:bidi w:val="0"/>
        <w:ind w:hanging="283" w:start="709"/>
        <w:jc w:val="start"/>
        <w:rPr/>
      </w:pPr>
      <w:r>
        <w:rPr/>
        <w:t xml:space="preserve">To fund an </w:t>
      </w:r>
      <w:r>
        <w:rPr>
          <w:b/>
        </w:rPr>
        <w:t>acquisition</w:t>
      </w:r>
      <w:r>
        <w:rPr/>
        <w:t xml:space="preserve"> → check the target: is it a good company? Are they overpaying? Generally he dislikes it, because issuance </w:t>
      </w:r>
      <w:r>
        <w:rPr>
          <w:b/>
        </w:rPr>
        <w:t>dilutes existing shareholders</w:t>
      </w:r>
      <w:r>
        <w:rPr/>
        <w:t xml:space="preserve">. In a </w:t>
      </w:r>
      <w:r>
        <w:rPr>
          <w:b/>
        </w:rPr>
        <w:t>rights issue</w:t>
      </w:r>
      <w:r>
        <w:rPr/>
        <w:t xml:space="preserve">, existing holders get first right to buy new shares </w:t>
      </w:r>
      <w:r>
        <w:rPr>
          <w:b/>
        </w:rPr>
        <w:t>at a discount</w:t>
      </w:r>
      <w:r>
        <w:rPr/>
        <w:t xml:space="preserve">; you can exercise the rights (put in more money), </w:t>
      </w:r>
      <w:r>
        <w:rPr>
          <w:b/>
        </w:rPr>
        <w:t>sell the rights</w:t>
      </w:r>
      <w:r>
        <w:rPr/>
        <w:t xml:space="preserve"> for cash, or </w:t>
      </w:r>
      <w:r>
        <w:rPr>
          <w:b/>
        </w:rPr>
        <w:t>let them expire</w:t>
      </w:r>
      <w:r>
        <w:rPr/>
        <w:t>.</w:t>
      </w:r>
    </w:p>
    <w:p>
      <w:pPr>
        <w:pStyle w:val="BodyText"/>
        <w:bidi w:val="0"/>
        <w:jc w:val="start"/>
        <w:rPr/>
      </w:pPr>
      <w:r>
        <w:rPr>
          <w:b/>
        </w:rPr>
        <w:t>Stock split — bullish (mildly), but changes nothing fundamental.</w:t>
      </w:r>
      <w:r>
        <w:rPr/>
        <w:t xml:space="preserve"> A split does </w:t>
      </w:r>
      <w:r>
        <w:rPr>
          <w:b/>
        </w:rPr>
        <w:t>not</w:t>
      </w:r>
      <w:r>
        <w:rPr/>
        <w:t xml:space="preserve"> change the value of the business, better or worse. It only makes shares look more affordable.</w:t>
      </w:r>
    </w:p>
    <w:p>
      <w:pPr>
        <w:pStyle w:val="BodyText"/>
        <w:numPr>
          <w:ilvl w:val="0"/>
          <w:numId w:val="545"/>
        </w:numPr>
        <w:tabs>
          <w:tab w:val="clear" w:pos="709"/>
          <w:tab w:val="left" w:pos="709" w:leader="none"/>
        </w:tabs>
        <w:bidi w:val="0"/>
        <w:ind w:hanging="283" w:start="709"/>
        <w:jc w:val="start"/>
        <w:rPr/>
      </w:pPr>
      <w:r>
        <w:rPr>
          <w:i/>
        </w:rPr>
        <w:t>Worked example</w:t>
      </w:r>
      <w:r>
        <w:rPr/>
        <w:t xml:space="preserve">: Amazon at </w:t>
      </w:r>
      <w:r>
        <w:rPr>
          <w:b/>
        </w:rPr>
        <w:t>$3,000/share</w:t>
      </w:r>
      <w:r>
        <w:rPr/>
        <w:t xml:space="preserve">; you own 1 share = $3,000. A </w:t>
      </w:r>
      <w:r>
        <w:rPr>
          <w:b/>
        </w:rPr>
        <w:t>20-for-1 split</w:t>
      </w:r>
      <w:r>
        <w:rPr/>
        <w:t xml:space="preserve"> gives you </w:t>
      </w:r>
      <w:r>
        <w:rPr>
          <w:b/>
        </w:rPr>
        <w:t>20 shares at $150</w:t>
      </w:r>
      <w:r>
        <w:rPr/>
        <w:t xml:space="preserve"> = still </w:t>
      </w:r>
      <w:r>
        <w:rPr>
          <w:b/>
        </w:rPr>
        <w:t>$3,000</w:t>
      </w:r>
      <w:r>
        <w:rPr/>
        <w:t>. Like cutting a pizza into 20 smaller pieces.</w:t>
      </w:r>
    </w:p>
    <w:p>
      <w:pPr>
        <w:pStyle w:val="BodyText"/>
        <w:numPr>
          <w:ilvl w:val="0"/>
          <w:numId w:val="545"/>
        </w:numPr>
        <w:tabs>
          <w:tab w:val="clear" w:pos="709"/>
          <w:tab w:val="left" w:pos="709" w:leader="none"/>
        </w:tabs>
        <w:bidi w:val="0"/>
        <w:ind w:hanging="283" w:start="709"/>
        <w:jc w:val="start"/>
        <w:rPr/>
      </w:pPr>
      <w:r>
        <w:rPr>
          <w:b/>
        </w:rPr>
        <w:t>The intrinsic value splits proportionally.</w:t>
      </w:r>
      <w:r>
        <w:rPr/>
        <w:t xml:space="preserve"> His pre-split Amazon intrinsic value was about </w:t>
      </w:r>
      <w:r>
        <w:rPr>
          <w:b/>
        </w:rPr>
        <w:t>$3,500</w:t>
      </w:r>
      <w:r>
        <w:rPr/>
        <w:t xml:space="preserve">; after the 20-for-1 split the new intrinsic value is </w:t>
      </w:r>
      <w:r>
        <w:rPr>
          <w:b/>
        </w:rPr>
        <w:t>$175</w:t>
      </w:r>
      <w:r>
        <w:rPr/>
        <w:t>.</w:t>
      </w:r>
    </w:p>
    <w:p>
      <w:pPr>
        <w:pStyle w:val="BodyText"/>
        <w:numPr>
          <w:ilvl w:val="0"/>
          <w:numId w:val="545"/>
        </w:numPr>
        <w:tabs>
          <w:tab w:val="clear" w:pos="709"/>
          <w:tab w:val="left" w:pos="709" w:leader="none"/>
        </w:tabs>
        <w:bidi w:val="0"/>
        <w:ind w:hanging="283" w:start="709"/>
        <w:jc w:val="start"/>
        <w:rPr/>
      </w:pPr>
      <w:r>
        <w:rPr/>
        <w:t>Why it's mildly bullish: at $3,000 few retail investors can buy a share; at $150 many can → more demand → can temporarily lift the price.</w:t>
      </w:r>
    </w:p>
    <w:p>
      <w:pPr>
        <w:pStyle w:val="BodyText"/>
        <w:bidi w:val="0"/>
        <w:jc w:val="start"/>
        <w:rPr/>
      </w:pPr>
      <w:r>
        <w:rPr>
          <w:b/>
        </w:rPr>
        <w:t>Reverse stock split — normally bearish.</w:t>
      </w:r>
      <w:r>
        <w:rPr/>
        <w:t xml:space="preserve"> The company combines e.g. </w:t>
      </w:r>
      <w:r>
        <w:rPr>
          <w:b/>
        </w:rPr>
        <w:t>10 shares into 1</w:t>
      </w:r>
      <w:r>
        <w:rPr/>
        <w:t xml:space="preserve"> because the share price is too low and they want it to look more respectable.</w:t>
      </w:r>
    </w:p>
    <w:p>
      <w:pPr>
        <w:pStyle w:val="BodyText"/>
        <w:bidi w:val="0"/>
        <w:jc w:val="start"/>
        <w:rPr/>
      </w:pPr>
      <w:r>
        <w:rPr>
          <w:b/>
        </w:rPr>
        <w:t>Cash dividends.</w:t>
      </w:r>
      <w:r>
        <w:rPr/>
        <w:t xml:space="preserve"> Announcement carries an </w:t>
      </w:r>
      <w:r>
        <w:rPr>
          <w:b/>
        </w:rPr>
        <w:t>ex-dividend date</w:t>
      </w:r>
      <w:r>
        <w:rPr/>
        <w:t xml:space="preserve"> (buy before it to receive the dividend; buy after and you don't) and a </w:t>
      </w:r>
      <w:r>
        <w:rPr>
          <w:b/>
        </w:rPr>
        <w:t>payout date</w:t>
      </w:r>
      <w:r>
        <w:rPr/>
        <w:t xml:space="preserve"> (when it is credited to your account).</w:t>
      </w:r>
    </w:p>
    <w:p>
      <w:pPr>
        <w:pStyle w:val="BodyText"/>
        <w:bidi w:val="0"/>
        <w:jc w:val="start"/>
        <w:rPr/>
      </w:pPr>
      <w:r>
        <w:rPr>
          <w:b/>
        </w:rPr>
        <w:t>Where to read announcements:</w:t>
      </w:r>
    </w:p>
    <w:p>
      <w:pPr>
        <w:pStyle w:val="BodyText"/>
        <w:numPr>
          <w:ilvl w:val="0"/>
          <w:numId w:val="546"/>
        </w:numPr>
        <w:tabs>
          <w:tab w:val="clear" w:pos="709"/>
          <w:tab w:val="left" w:pos="709" w:leader="none"/>
        </w:tabs>
        <w:bidi w:val="0"/>
        <w:ind w:hanging="283" w:start="709"/>
        <w:jc w:val="start"/>
        <w:rPr/>
      </w:pPr>
      <w:r>
        <w:rPr>
          <w:b/>
        </w:rPr>
        <w:t>Finviz</w:t>
      </w:r>
      <w:r>
        <w:rPr/>
        <w:t xml:space="preserve"> — enter the ticker (e.g. AAPL) and scroll down for recent news and public announcements.</w:t>
      </w:r>
    </w:p>
    <w:p>
      <w:pPr>
        <w:pStyle w:val="BodyText"/>
        <w:numPr>
          <w:ilvl w:val="0"/>
          <w:numId w:val="546"/>
        </w:numPr>
        <w:tabs>
          <w:tab w:val="clear" w:pos="709"/>
          <w:tab w:val="left" w:pos="709" w:leader="none"/>
        </w:tabs>
        <w:bidi w:val="0"/>
        <w:ind w:hanging="283" w:start="709"/>
        <w:jc w:val="start"/>
        <w:rPr/>
      </w:pPr>
      <w:r>
        <w:rPr>
          <w:b/>
        </w:rPr>
        <w:t>Yahoo Finance</w:t>
      </w:r>
      <w:r>
        <w:rPr/>
        <w:t xml:space="preserve"> — the ticker page, scroll to </w:t>
      </w:r>
      <w:r>
        <w:rPr>
          <w:b/>
        </w:rPr>
        <w:t>Press Releases</w:t>
      </w:r>
      <w:r>
        <w:rPr/>
        <w:t xml:space="preserve">; also </w:t>
      </w:r>
      <w:r>
        <w:rPr>
          <w:b/>
        </w:rPr>
        <w:t>SEC filings</w:t>
      </w:r>
      <w:r>
        <w:rPr/>
        <w:t xml:space="preserve">, which can be sorted by </w:t>
      </w:r>
      <w:r>
        <w:rPr>
          <w:b/>
        </w:rPr>
        <w:t>financial reports, corporate changes, tender offer / acquisition reports, proxy statements</w:t>
      </w:r>
      <w:r>
        <w:rPr/>
        <w:t>. Splits, dividend issues and results all get filed with the SEC.</w:t>
      </w:r>
    </w:p>
    <w:p>
      <w:pPr>
        <w:pStyle w:val="HorizontalLine"/>
        <w:bidi w:val="0"/>
        <w:jc w:val="start"/>
        <w:rPr/>
      </w:pPr>
      <w:r>
        <w:rPr/>
      </w:r>
    </w:p>
    <w:p>
      <w:pPr>
        <w:pStyle w:val="Heading3"/>
        <w:bidi w:val="0"/>
        <w:ind w:hanging="0" w:start="0"/>
        <w:jc w:val="start"/>
        <w:rPr/>
      </w:pPr>
      <w:r>
        <w:rPr/>
        <w:t>PART 4 — DEALING WITH DRAWDOWNS</w:t>
      </w:r>
    </w:p>
    <w:p>
      <w:pPr>
        <w:pStyle w:val="Heading4"/>
        <w:bidi w:val="0"/>
        <w:ind w:hanging="0" w:start="0"/>
        <w:jc w:val="start"/>
        <w:rPr/>
      </w:pPr>
      <w:r>
        <w:rPr/>
        <w:t>4.1 Psychology is the majority of the game</w:t>
      </w:r>
    </w:p>
    <w:p>
      <w:pPr>
        <w:pStyle w:val="BodyText"/>
        <w:numPr>
          <w:ilvl w:val="0"/>
          <w:numId w:val="547"/>
        </w:numPr>
        <w:tabs>
          <w:tab w:val="clear" w:pos="709"/>
          <w:tab w:val="left" w:pos="709" w:leader="none"/>
        </w:tabs>
        <w:bidi w:val="0"/>
        <w:ind w:hanging="283" w:start="709"/>
        <w:jc w:val="start"/>
        <w:rPr/>
      </w:pPr>
      <w:r>
        <w:rPr/>
        <w:t xml:space="preserve">Many very smart people with finance degrees and CFAs are </w:t>
      </w:r>
      <w:r>
        <w:rPr>
          <w:b/>
        </w:rPr>
        <w:t>terrible investors</w:t>
      </w:r>
      <w:r>
        <w:rPr/>
        <w:t xml:space="preserve"> because they can't control their psychology and emotions.</w:t>
      </w:r>
    </w:p>
    <w:p>
      <w:pPr>
        <w:pStyle w:val="BodyText"/>
        <w:numPr>
          <w:ilvl w:val="0"/>
          <w:numId w:val="547"/>
        </w:numPr>
        <w:tabs>
          <w:tab w:val="clear" w:pos="709"/>
          <w:tab w:val="left" w:pos="709" w:leader="none"/>
        </w:tabs>
        <w:bidi w:val="0"/>
        <w:ind w:hanging="283" w:start="709"/>
        <w:jc w:val="start"/>
        <w:rPr/>
      </w:pPr>
      <w:r>
        <w:rPr>
          <w:b/>
        </w:rPr>
        <w:t>"70% of investing success comes down to managing your psychology."</w:t>
      </w:r>
    </w:p>
    <w:p>
      <w:pPr>
        <w:pStyle w:val="BodyText"/>
        <w:numPr>
          <w:ilvl w:val="0"/>
          <w:numId w:val="547"/>
        </w:numPr>
        <w:tabs>
          <w:tab w:val="clear" w:pos="709"/>
          <w:tab w:val="left" w:pos="709" w:leader="none"/>
        </w:tabs>
        <w:bidi w:val="0"/>
        <w:ind w:hanging="283" w:start="709"/>
        <w:jc w:val="start"/>
        <w:rPr/>
      </w:pPr>
      <w:r>
        <w:rPr/>
        <w:t xml:space="preserve">A </w:t>
      </w:r>
      <w:r>
        <w:rPr>
          <w:b/>
        </w:rPr>
        <w:t>drawdown</w:t>
      </w:r>
      <w:r>
        <w:rPr/>
        <w:t xml:space="preserve"> = a temporary drop in the price of the stocks you own and in the market value of your portfolio.</w:t>
      </w:r>
    </w:p>
    <w:p>
      <w:pPr>
        <w:pStyle w:val="BodyText"/>
        <w:numPr>
          <w:ilvl w:val="0"/>
          <w:numId w:val="547"/>
        </w:numPr>
        <w:tabs>
          <w:tab w:val="clear" w:pos="709"/>
          <w:tab w:val="left" w:pos="709" w:leader="none"/>
        </w:tabs>
        <w:bidi w:val="0"/>
        <w:ind w:hanging="283" w:start="709"/>
        <w:jc w:val="start"/>
        <w:rPr/>
      </w:pPr>
      <w:r>
        <w:rPr>
          <w:b/>
        </w:rPr>
        <w:t>Drawdowns are inevitable</w:t>
      </w:r>
      <w:r>
        <w:rPr/>
        <w:t xml:space="preserve"> — no portfolio goes up in a straight line, no matter how good the investor. Analogy: no matter how good a pilot you are, you cannot fly without turbulence. Be prepared for it, don't panic, ride the wave, and use it to build positions in great companies.</w:t>
      </w:r>
    </w:p>
    <w:p>
      <w:pPr>
        <w:pStyle w:val="Heading4"/>
        <w:numPr>
          <w:ilvl w:val="0"/>
          <w:numId w:val="0"/>
        </w:numPr>
        <w:bidi w:val="0"/>
        <w:ind w:hanging="0" w:start="0"/>
        <w:jc w:val="start"/>
        <w:rPr/>
      </w:pPr>
      <w:r>
        <w:rPr/>
        <w:t>4.2 The evidence — real drawdown numbers</w:t>
      </w:r>
    </w:p>
    <w:p>
      <w:pPr>
        <w:pStyle w:val="BodyText"/>
        <w:bidi w:val="0"/>
        <w:jc w:val="start"/>
        <w:rPr/>
      </w:pPr>
      <w:r>
        <w:rPr>
          <w:b/>
        </w:rPr>
        <w:t>His own portfolio, last 5 years</w:t>
      </w:r>
      <w:r>
        <w:rPr/>
        <w:t xml:space="preserve"> (a period with </w:t>
      </w:r>
      <w:r>
        <w:rPr>
          <w:b/>
        </w:rPr>
        <w:t>two bear markets in five years</w:t>
      </w:r>
      <w:r>
        <w:rPr/>
        <w:t xml:space="preserve"> — rare — plus the 2020 recession, the Ukraine war, very high interest rates and very high inflation):</w:t>
      </w:r>
    </w:p>
    <w:p>
      <w:pPr>
        <w:pStyle w:val="BodyText"/>
        <w:numPr>
          <w:ilvl w:val="0"/>
          <w:numId w:val="548"/>
        </w:numPr>
        <w:tabs>
          <w:tab w:val="clear" w:pos="709"/>
          <w:tab w:val="left" w:pos="709" w:leader="none"/>
        </w:tabs>
        <w:bidi w:val="0"/>
        <w:ind w:hanging="283" w:start="709"/>
        <w:jc w:val="start"/>
        <w:rPr/>
      </w:pPr>
      <w:r>
        <w:rPr/>
        <w:t xml:space="preserve">Portfolio </w:t>
      </w:r>
      <w:r>
        <w:rPr>
          <w:b/>
        </w:rPr>
        <w:t>+141%</w:t>
      </w:r>
      <w:r>
        <w:rPr/>
        <w:t xml:space="preserve"> over 5 years, beating the S&amp;P 500 by a wide margin.</w:t>
      </w:r>
    </w:p>
    <w:p>
      <w:pPr>
        <w:pStyle w:val="BodyText"/>
        <w:numPr>
          <w:ilvl w:val="0"/>
          <w:numId w:val="548"/>
        </w:numPr>
        <w:tabs>
          <w:tab w:val="clear" w:pos="709"/>
          <w:tab w:val="left" w:pos="709" w:leader="none"/>
        </w:tabs>
        <w:bidi w:val="0"/>
        <w:ind w:hanging="283" w:start="709"/>
        <w:jc w:val="start"/>
        <w:rPr/>
      </w:pPr>
      <w:r>
        <w:rPr>
          <w:b/>
        </w:rPr>
        <w:t>2020 drawdown: −25%.</w:t>
      </w:r>
    </w:p>
    <w:p>
      <w:pPr>
        <w:pStyle w:val="BodyText"/>
        <w:numPr>
          <w:ilvl w:val="0"/>
          <w:numId w:val="548"/>
        </w:numPr>
        <w:tabs>
          <w:tab w:val="clear" w:pos="709"/>
          <w:tab w:val="left" w:pos="709" w:leader="none"/>
        </w:tabs>
        <w:bidi w:val="0"/>
        <w:ind w:hanging="283" w:start="709"/>
        <w:jc w:val="start"/>
        <w:rPr/>
      </w:pPr>
      <w:r>
        <w:rPr>
          <w:b/>
        </w:rPr>
        <w:t>2022 drawdown: −30%.</w:t>
      </w:r>
    </w:p>
    <w:p>
      <w:pPr>
        <w:pStyle w:val="BodyText"/>
        <w:bidi w:val="0"/>
        <w:jc w:val="start"/>
        <w:rPr/>
      </w:pPr>
      <w:r>
        <w:rPr>
          <w:b/>
        </w:rPr>
        <w:t>Warren Buffett / Berkshire Hathaway, last 10 years</w:t>
      </w:r>
      <w:r>
        <w:rPr/>
        <w:t xml:space="preserve"> (58 years of investing):</w:t>
      </w:r>
    </w:p>
    <w:p>
      <w:pPr>
        <w:pStyle w:val="BodyText"/>
        <w:numPr>
          <w:ilvl w:val="0"/>
          <w:numId w:val="549"/>
        </w:numPr>
        <w:tabs>
          <w:tab w:val="clear" w:pos="709"/>
          <w:tab w:val="left" w:pos="709" w:leader="none"/>
        </w:tabs>
        <w:bidi w:val="0"/>
        <w:ind w:hanging="283" w:start="709"/>
        <w:jc w:val="start"/>
        <w:rPr/>
      </w:pPr>
      <w:r>
        <w:rPr>
          <w:b/>
        </w:rPr>
        <w:t>+312%</w:t>
      </w:r>
      <w:r>
        <w:rPr/>
        <w:t xml:space="preserve">, beating the S&amp;P 500; </w:t>
      </w:r>
      <w:r>
        <w:rPr>
          <w:b/>
        </w:rPr>
        <w:t>~12% compounded annual return</w:t>
      </w:r>
      <w:r>
        <w:rPr/>
        <w:t>.</w:t>
      </w:r>
    </w:p>
    <w:p>
      <w:pPr>
        <w:pStyle w:val="BodyText"/>
        <w:numPr>
          <w:ilvl w:val="0"/>
          <w:numId w:val="549"/>
        </w:numPr>
        <w:tabs>
          <w:tab w:val="clear" w:pos="709"/>
          <w:tab w:val="left" w:pos="709" w:leader="none"/>
        </w:tabs>
        <w:bidi w:val="0"/>
        <w:ind w:hanging="283" w:start="709"/>
        <w:jc w:val="start"/>
        <w:rPr/>
      </w:pPr>
      <w:r>
        <w:rPr/>
        <w:t xml:space="preserve">Drawdowns along the way: </w:t>
      </w:r>
      <w:r>
        <w:rPr>
          <w:b/>
        </w:rPr>
        <w:t>−18%, −16%, −30%, −27%, −9%, −11%.</w:t>
      </w:r>
      <w:r>
        <w:rPr/>
        <w:t xml:space="preserve"> Even the greatest investor in the world takes drawdowns.</w:t>
      </w:r>
    </w:p>
    <w:p>
      <w:pPr>
        <w:pStyle w:val="BodyText"/>
        <w:bidi w:val="0"/>
        <w:jc w:val="start"/>
        <w:rPr/>
      </w:pPr>
      <w:r>
        <w:rPr>
          <w:b/>
        </w:rPr>
        <w:t>Peter Lynch / Magellan Fund, 1977–1990 (13 years):</w:t>
      </w:r>
    </w:p>
    <w:p>
      <w:pPr>
        <w:pStyle w:val="BodyText"/>
        <w:numPr>
          <w:ilvl w:val="0"/>
          <w:numId w:val="550"/>
        </w:numPr>
        <w:tabs>
          <w:tab w:val="clear" w:pos="709"/>
          <w:tab w:val="left" w:pos="709" w:leader="none"/>
        </w:tabs>
        <w:bidi w:val="0"/>
        <w:ind w:hanging="283" w:start="709"/>
        <w:jc w:val="start"/>
        <w:rPr/>
      </w:pPr>
      <w:r>
        <w:rPr/>
        <w:t xml:space="preserve">Fund </w:t>
      </w:r>
      <w:r>
        <w:rPr>
          <w:b/>
        </w:rPr>
        <w:t>+604%</w:t>
      </w:r>
      <w:r>
        <w:rPr/>
        <w:t xml:space="preserve"> vs S&amp;P 500 </w:t>
      </w:r>
      <w:r>
        <w:rPr>
          <w:b/>
        </w:rPr>
        <w:t>+223%</w:t>
      </w:r>
      <w:r>
        <w:rPr/>
        <w:t xml:space="preserve"> — beat the index by over </w:t>
      </w:r>
      <w:r>
        <w:rPr>
          <w:b/>
        </w:rPr>
        <w:t>3x</w:t>
      </w:r>
      <w:r>
        <w:rPr/>
        <w:t xml:space="preserve">; </w:t>
      </w:r>
      <w:r>
        <w:rPr>
          <w:b/>
        </w:rPr>
        <w:t>~29% compounded annual return</w:t>
      </w:r>
      <w:r>
        <w:rPr/>
        <w:t>.</w:t>
      </w:r>
    </w:p>
    <w:p>
      <w:pPr>
        <w:pStyle w:val="BodyText"/>
        <w:numPr>
          <w:ilvl w:val="0"/>
          <w:numId w:val="550"/>
        </w:numPr>
        <w:tabs>
          <w:tab w:val="clear" w:pos="709"/>
          <w:tab w:val="left" w:pos="709" w:leader="none"/>
        </w:tabs>
        <w:bidi w:val="0"/>
        <w:ind w:hanging="283" w:start="709"/>
        <w:jc w:val="start"/>
        <w:rPr/>
      </w:pPr>
      <w:r>
        <w:rPr/>
        <w:t xml:space="preserve">Drawdowns during that run: </w:t>
      </w:r>
      <w:r>
        <w:rPr>
          <w:b/>
        </w:rPr>
        <w:t>−56%, −27%, −42%, −32%.</w:t>
      </w:r>
    </w:p>
    <w:p>
      <w:pPr>
        <w:pStyle w:val="BodyText"/>
        <w:numPr>
          <w:ilvl w:val="0"/>
          <w:numId w:val="550"/>
        </w:numPr>
        <w:tabs>
          <w:tab w:val="clear" w:pos="709"/>
          <w:tab w:val="left" w:pos="709" w:leader="none"/>
        </w:tabs>
        <w:bidi w:val="0"/>
        <w:ind w:hanging="283" w:start="709"/>
        <w:jc w:val="start"/>
        <w:rPr/>
      </w:pPr>
      <w:r>
        <w:rPr>
          <w:b/>
        </w:rPr>
        <w:t>The kicker: more than 50% of the clients in his fund LOST money.</w:t>
      </w:r>
      <w:r>
        <w:rPr/>
        <w:t xml:space="preserve"> The best fund in the world, 29% a year, and a majority of investors lost.</w:t>
      </w:r>
    </w:p>
    <w:p>
      <w:pPr>
        <w:pStyle w:val="BodyText"/>
        <w:numPr>
          <w:ilvl w:val="0"/>
          <w:numId w:val="550"/>
        </w:numPr>
        <w:tabs>
          <w:tab w:val="clear" w:pos="709"/>
          <w:tab w:val="left" w:pos="709" w:leader="none"/>
        </w:tabs>
        <w:bidi w:val="0"/>
        <w:ind w:hanging="283" w:start="709"/>
        <w:jc w:val="start"/>
        <w:rPr/>
      </w:pPr>
      <w:r>
        <w:rPr>
          <w:b/>
        </w:rPr>
        <w:t>Why:</w:t>
      </w:r>
      <w:r>
        <w:rPr/>
        <w:t xml:space="preserve"> investors bought </w:t>
      </w:r>
      <w:r>
        <w:rPr>
          <w:b/>
        </w:rPr>
        <w:t>after</w:t>
      </w:r>
      <w:r>
        <w:rPr/>
        <w:t xml:space="preserve"> strong runs (when excited), then panic-sold into the −56%, −27%, −42% drawdowns — repeatedly buying high and selling low.</w:t>
      </w:r>
    </w:p>
    <w:p>
      <w:pPr>
        <w:pStyle w:val="BodyText"/>
        <w:numPr>
          <w:ilvl w:val="0"/>
          <w:numId w:val="550"/>
        </w:numPr>
        <w:tabs>
          <w:tab w:val="clear" w:pos="709"/>
          <w:tab w:val="left" w:pos="709" w:leader="none"/>
        </w:tabs>
        <w:bidi w:val="0"/>
        <w:ind w:hanging="283" w:start="709"/>
        <w:jc w:val="start"/>
        <w:rPr/>
      </w:pPr>
      <w:r>
        <w:rPr>
          <w:b/>
        </w:rPr>
        <w:t>Conclusion:</w:t>
      </w:r>
      <w:r>
        <w:rPr/>
        <w:t xml:space="preserve"> you can own the best fund or the best stocks in the world and still lose money if you buy when everyone is excited and sell when everyone panics.</w:t>
      </w:r>
    </w:p>
    <w:p>
      <w:pPr>
        <w:pStyle w:val="Heading4"/>
        <w:numPr>
          <w:ilvl w:val="0"/>
          <w:numId w:val="0"/>
        </w:numPr>
        <w:bidi w:val="0"/>
        <w:ind w:hanging="0" w:start="0"/>
        <w:jc w:val="start"/>
        <w:rPr/>
      </w:pPr>
      <w:r>
        <w:rPr/>
        <w:t>4.3 The behavioural rules for drawdowns</w:t>
      </w:r>
    </w:p>
    <w:p>
      <w:pPr>
        <w:pStyle w:val="BodyText"/>
        <w:numPr>
          <w:ilvl w:val="0"/>
          <w:numId w:val="551"/>
        </w:numPr>
        <w:tabs>
          <w:tab w:val="clear" w:pos="709"/>
          <w:tab w:val="left" w:pos="709" w:leader="none"/>
        </w:tabs>
        <w:bidi w:val="0"/>
        <w:ind w:hanging="283" w:start="709"/>
        <w:jc w:val="start"/>
        <w:rPr/>
      </w:pPr>
      <w:r>
        <w:rPr>
          <w:b/>
        </w:rPr>
        <w:t>Expect them and be psychologically prepared before they happen.</w:t>
      </w:r>
      <w:r>
        <w:rPr/>
        <w:t xml:space="preserve"> If you're not prepared, you'll freak out and do "dumb, stupid things" — selling in fear and being worse off after the rebound.</w:t>
      </w:r>
    </w:p>
    <w:p>
      <w:pPr>
        <w:pStyle w:val="BodyText"/>
        <w:numPr>
          <w:ilvl w:val="0"/>
          <w:numId w:val="551"/>
        </w:numPr>
        <w:tabs>
          <w:tab w:val="clear" w:pos="709"/>
          <w:tab w:val="left" w:pos="709" w:leader="none"/>
        </w:tabs>
        <w:bidi w:val="0"/>
        <w:ind w:hanging="283" w:start="709"/>
        <w:jc w:val="start"/>
        <w:rPr/>
      </w:pPr>
      <w:r>
        <w:rPr>
          <w:b/>
        </w:rPr>
        <w:t>Don't try to predict them.</w:t>
      </w:r>
      <w:r>
        <w:rPr/>
        <w:t xml:space="preserve"> There is </w:t>
      </w:r>
      <w:r>
        <w:rPr>
          <w:b/>
        </w:rPr>
        <w:t>no way to predict</w:t>
      </w:r>
      <w:r>
        <w:rPr/>
        <w:t xml:space="preserve"> when a bear market or correction will hit.</w:t>
      </w:r>
    </w:p>
    <w:p>
      <w:pPr>
        <w:pStyle w:val="BodyText"/>
        <w:numPr>
          <w:ilvl w:val="0"/>
          <w:numId w:val="551"/>
        </w:numPr>
        <w:tabs>
          <w:tab w:val="clear" w:pos="709"/>
          <w:tab w:val="left" w:pos="709" w:leader="none"/>
        </w:tabs>
        <w:bidi w:val="0"/>
        <w:ind w:hanging="283" w:start="709"/>
        <w:jc w:val="start"/>
        <w:rPr/>
      </w:pPr>
      <w:r>
        <w:rPr>
          <w:b/>
        </w:rPr>
        <w:t>Roller-coaster rule: the only people who get hurt on a roller coaster are those who jump off halfway.</w:t>
      </w:r>
      <w:r>
        <w:rPr/>
        <w:t xml:space="preserve"> Keep the seatbelt fastened through the ups and downs and you always reach a destination far higher than the start.</w:t>
      </w:r>
    </w:p>
    <w:p>
      <w:pPr>
        <w:pStyle w:val="BodyText"/>
        <w:numPr>
          <w:ilvl w:val="0"/>
          <w:numId w:val="551"/>
        </w:numPr>
        <w:tabs>
          <w:tab w:val="clear" w:pos="709"/>
          <w:tab w:val="left" w:pos="709" w:leader="none"/>
        </w:tabs>
        <w:bidi w:val="0"/>
        <w:ind w:hanging="283" w:start="709"/>
        <w:jc w:val="start"/>
        <w:rPr/>
      </w:pPr>
      <w:r>
        <w:rPr>
          <w:b/>
        </w:rPr>
        <w:t>On panic days, two actions only:</w:t>
      </w:r>
      <w:r>
        <w:rPr/>
        <w:t xml:space="preserve"> add shares if you don't hold a full position (price below intrinsic value, at a support level), or </w:t>
      </w:r>
      <w:r>
        <w:rPr>
          <w:b/>
        </w:rPr>
        <w:t>ignore the market entirely</w:t>
      </w:r>
      <w:r>
        <w:rPr/>
        <w:t xml:space="preserve"> if you do. Never be </w:t>
      </w:r>
      <w:r>
        <w:rPr>
          <w:i/>
        </w:rPr>
        <w:t>influenced</w:t>
      </w:r>
      <w:r>
        <w:rPr/>
        <w:t>.</w:t>
      </w:r>
    </w:p>
    <w:p>
      <w:pPr>
        <w:pStyle w:val="BodyText"/>
        <w:numPr>
          <w:ilvl w:val="0"/>
          <w:numId w:val="551"/>
        </w:numPr>
        <w:tabs>
          <w:tab w:val="clear" w:pos="709"/>
          <w:tab w:val="left" w:pos="709" w:leader="none"/>
        </w:tabs>
        <w:bidi w:val="0"/>
        <w:ind w:hanging="283" w:start="709"/>
        <w:jc w:val="start"/>
        <w:rPr/>
      </w:pPr>
      <w:r>
        <w:rPr>
          <w:b/>
        </w:rPr>
        <w:t>Buy when others panic; don't buy more when everyone is excited.</w:t>
      </w:r>
      <w:r>
        <w:rPr/>
        <w:t xml:space="preserve"> "You've got to buy great companies when it has collapsed, when people are panicking."</w:t>
      </w:r>
    </w:p>
    <w:p>
      <w:pPr>
        <w:pStyle w:val="BodyText"/>
        <w:numPr>
          <w:ilvl w:val="0"/>
          <w:numId w:val="551"/>
        </w:numPr>
        <w:tabs>
          <w:tab w:val="clear" w:pos="709"/>
          <w:tab w:val="left" w:pos="709" w:leader="none"/>
        </w:tabs>
        <w:bidi w:val="0"/>
        <w:ind w:hanging="283" w:start="709"/>
        <w:jc w:val="start"/>
        <w:rPr/>
      </w:pPr>
      <w:r>
        <w:rPr/>
        <w:t xml:space="preserve">Alternatively, when everything is euphoric you may </w:t>
      </w:r>
      <w:r>
        <w:rPr>
          <w:b/>
        </w:rPr>
        <w:t>sell a bit to take profits</w:t>
      </w:r>
      <w:r>
        <w:rPr/>
        <w:t>, or simply hold through the ups and downs — because eventually it goes higher.</w:t>
      </w:r>
    </w:p>
    <w:p>
      <w:pPr>
        <w:pStyle w:val="BodyText"/>
        <w:numPr>
          <w:ilvl w:val="0"/>
          <w:numId w:val="551"/>
        </w:numPr>
        <w:tabs>
          <w:tab w:val="clear" w:pos="709"/>
          <w:tab w:val="left" w:pos="709" w:leader="none"/>
        </w:tabs>
        <w:bidi w:val="0"/>
        <w:ind w:hanging="283" w:start="709"/>
        <w:jc w:val="start"/>
        <w:rPr/>
      </w:pPr>
      <w:r>
        <w:rPr>
          <w:b/>
        </w:rPr>
        <w:t>Drawdowns don't matter to the end result</w:t>
      </w:r>
      <w:r>
        <w:rPr/>
        <w:t xml:space="preserve"> as long as you hold great companies — the compounding continues.</w:t>
      </w:r>
    </w:p>
    <w:p>
      <w:pPr>
        <w:pStyle w:val="BodyText"/>
        <w:numPr>
          <w:ilvl w:val="0"/>
          <w:numId w:val="551"/>
        </w:numPr>
        <w:tabs>
          <w:tab w:val="clear" w:pos="709"/>
          <w:tab w:val="left" w:pos="709" w:leader="none"/>
        </w:tabs>
        <w:bidi w:val="0"/>
        <w:ind w:hanging="283" w:start="709"/>
        <w:jc w:val="start"/>
        <w:rPr/>
      </w:pPr>
      <w:r>
        <w:rPr>
          <w:b/>
        </w:rPr>
        <w:t>Optional hedging (see §6.4)</w:t>
      </w:r>
      <w:r>
        <w:rPr/>
        <w:t xml:space="preserve"> — covered calls and protective puts during corrections/bear markets. </w:t>
      </w:r>
      <w:r>
        <w:rPr>
          <w:i/>
        </w:rPr>
        <w:t>Nice to have, not a must.</w:t>
      </w:r>
    </w:p>
    <w:p>
      <w:pPr>
        <w:pStyle w:val="HorizontalLine"/>
        <w:bidi w:val="0"/>
        <w:jc w:val="start"/>
        <w:rPr/>
      </w:pPr>
      <w:r>
        <w:rPr/>
      </w:r>
    </w:p>
    <w:p>
      <w:pPr>
        <w:pStyle w:val="Heading3"/>
        <w:bidi w:val="0"/>
        <w:ind w:hanging="0" w:start="0"/>
        <w:jc w:val="start"/>
        <w:rPr/>
      </w:pPr>
      <w:r>
        <w:rPr/>
        <w:t>PART 5 — SELL RULES: THE SIX VALID REASONS TO SELL</w:t>
      </w:r>
    </w:p>
    <w:p>
      <w:pPr>
        <w:pStyle w:val="BodyText"/>
        <w:bidi w:val="0"/>
        <w:jc w:val="start"/>
        <w:rPr/>
      </w:pPr>
      <w:r>
        <w:rPr/>
        <w:t xml:space="preserve">Default stance: when you own shares in a great business, </w:t>
      </w:r>
      <w:r>
        <w:rPr>
          <w:b/>
        </w:rPr>
        <w:t>hold as long as possible</w:t>
      </w:r>
      <w:r>
        <w:rPr/>
        <w:t xml:space="preserve"> — for years — and let it compound </w:t>
      </w:r>
      <w:r>
        <w:rPr>
          <w:b/>
        </w:rPr>
        <w:t>5x, 10x, 50x or even 100x</w:t>
      </w:r>
      <w:r>
        <w:rPr/>
        <w:t xml:space="preserve">. There are only </w:t>
      </w:r>
      <w:r>
        <w:rPr>
          <w:b/>
        </w:rPr>
        <w:t>six valid reasons</w:t>
      </w:r>
      <w:r>
        <w:rPr/>
        <w:t xml:space="preserve"> to sell.</w:t>
      </w:r>
    </w:p>
    <w:p>
      <w:pPr>
        <w:pStyle w:val="HorizontalLine"/>
        <w:bidi w:val="0"/>
        <w:jc w:val="start"/>
        <w:rPr/>
      </w:pPr>
      <w:r>
        <w:rPr/>
      </w:r>
    </w:p>
    <w:p>
      <w:pPr>
        <w:pStyle w:val="Heading4"/>
        <w:bidi w:val="0"/>
        <w:ind w:hanging="0" w:start="0"/>
        <w:jc w:val="start"/>
        <w:rPr/>
      </w:pPr>
      <w:r>
        <w:rPr/>
        <w:t>SELL RULE 1 — The business is no longer great: fundamentals have deteriorated PERMANENTLY</w:t>
      </w:r>
    </w:p>
    <w:p>
      <w:pPr>
        <w:pStyle w:val="BodyText"/>
        <w:bidi w:val="0"/>
        <w:jc w:val="start"/>
        <w:rPr/>
      </w:pPr>
      <w:r>
        <w:rPr/>
        <w:t xml:space="preserve">Triggered by permanently changed consumer preferences, disruption by technology or competition, or </w:t>
      </w:r>
      <w:r>
        <w:rPr>
          <w:b/>
        </w:rPr>
        <w:t>permanent deterioration of the economic moat</w:t>
      </w:r>
      <w:r>
        <w:rPr/>
        <w:t>.</w:t>
      </w:r>
    </w:p>
    <w:p>
      <w:pPr>
        <w:pStyle w:val="BodyText"/>
        <w:bidi w:val="0"/>
        <w:jc w:val="start"/>
        <w:rPr/>
      </w:pPr>
      <w:r>
        <w:rPr>
          <w:b/>
        </w:rPr>
        <w:t>Frequency:</w:t>
      </w:r>
      <w:r>
        <w:rPr/>
        <w:t xml:space="preserve"> rare. A </w:t>
      </w:r>
      <w:r>
        <w:rPr>
          <w:b/>
        </w:rPr>
        <w:t>wide-moat</w:t>
      </w:r>
      <w:r>
        <w:rPr/>
        <w:t xml:space="preserve"> company should sustain its moat for </w:t>
      </w:r>
      <w:r>
        <w:rPr>
          <w:b/>
        </w:rPr>
        <w:t>at least 20 years</w:t>
      </w:r>
      <w:r>
        <w:rPr/>
        <w:t xml:space="preserve">; a </w:t>
      </w:r>
      <w:r>
        <w:rPr>
          <w:b/>
        </w:rPr>
        <w:t>narrow-moat</w:t>
      </w:r>
      <w:r>
        <w:rPr/>
        <w:t xml:space="preserve"> company for </w:t>
      </w:r>
      <w:r>
        <w:rPr>
          <w:b/>
        </w:rPr>
        <w:t>at least 10 years</w:t>
      </w:r>
      <w:r>
        <w:rPr/>
        <w:t xml:space="preserve">. And moats </w:t>
      </w:r>
      <w:r>
        <w:rPr>
          <w:b/>
        </w:rPr>
        <w:t>never erode overnight — it takes years</w:t>
      </w:r>
      <w:r>
        <w:rPr/>
        <w:t>, which means you always have plenty of time to get out.</w:t>
      </w:r>
    </w:p>
    <w:p>
      <w:pPr>
        <w:pStyle w:val="BodyText"/>
        <w:bidi w:val="0"/>
        <w:jc w:val="start"/>
        <w:rPr/>
      </w:pPr>
      <w:r>
        <w:rPr>
          <w:b/>
        </w:rPr>
        <w:t>1a. Disruption by new technology or competition</w:t>
      </w:r>
      <w:r>
        <w:rPr/>
        <w:t xml:space="preserve"> — the company can no longer generate increasing revenue, profits and free cash flow.</w:t>
      </w:r>
    </w:p>
    <w:p>
      <w:pPr>
        <w:pStyle w:val="BodyText"/>
        <w:numPr>
          <w:ilvl w:val="0"/>
          <w:numId w:val="552"/>
        </w:numPr>
        <w:tabs>
          <w:tab w:val="clear" w:pos="709"/>
          <w:tab w:val="left" w:pos="709" w:leader="none"/>
        </w:tabs>
        <w:bidi w:val="0"/>
        <w:ind w:hanging="283" w:start="709"/>
        <w:jc w:val="start"/>
        <w:rPr/>
      </w:pPr>
      <w:r>
        <w:rPr>
          <w:b/>
        </w:rPr>
        <w:t>Singapore Press Holdings</w:t>
      </w:r>
      <w:r>
        <w:rPr/>
        <w:t xml:space="preserve"> — a monopoly in Singapore media, disrupted by social media, Google and Facebook. He knew first-hand: he used to advertise </w:t>
      </w:r>
      <w:r>
        <w:rPr>
          <w:b/>
        </w:rPr>
        <w:t>100%</w:t>
      </w:r>
      <w:r>
        <w:rPr/>
        <w:t xml:space="preserve"> in the Singapore newspapers, watched his ad effectiveness diminish as readers moved online, and shifted his </w:t>
      </w:r>
      <w:r>
        <w:rPr>
          <w:b/>
        </w:rPr>
        <w:t>entire ad spend to Google and Facebook</w:t>
      </w:r>
      <w:r>
        <w:rPr/>
        <w:t xml:space="preserve"> — as did many other advertisers. Share price collapsed; shares eventually delisted.</w:t>
      </w:r>
    </w:p>
    <w:p>
      <w:pPr>
        <w:pStyle w:val="BodyText"/>
        <w:numPr>
          <w:ilvl w:val="0"/>
          <w:numId w:val="552"/>
        </w:numPr>
        <w:tabs>
          <w:tab w:val="clear" w:pos="709"/>
          <w:tab w:val="left" w:pos="709" w:leader="none"/>
        </w:tabs>
        <w:bidi w:val="0"/>
        <w:ind w:hanging="283" w:start="709"/>
        <w:jc w:val="start"/>
        <w:rPr/>
      </w:pPr>
      <w:r>
        <w:rPr>
          <w:b/>
        </w:rPr>
        <w:t>Nokia</w:t>
      </w:r>
      <w:r>
        <w:rPr/>
        <w:t xml:space="preserve"> — </w:t>
      </w:r>
      <w:r>
        <w:rPr>
          <w:b/>
        </w:rPr>
        <w:t>90% market share</w:t>
      </w:r>
      <w:r>
        <w:rPr/>
        <w:t xml:space="preserve"> in the 1990s. Apple launched the first touchscreen iPhone; Samsung copied; BlackBerry arrived. Nokia's </w:t>
      </w:r>
      <w:r>
        <w:rPr>
          <w:b/>
        </w:rPr>
        <w:t>strategic blunder</w:t>
      </w:r>
      <w:r>
        <w:rPr/>
        <w:t xml:space="preserve">: phones cost $100–$200 at the time, and when Apple priced at </w:t>
      </w:r>
      <w:r>
        <w:rPr>
          <w:strike/>
        </w:rPr>
        <w:t xml:space="preserve">$500 Nokia declared nobody would pay that and kept making $200 phones. Market share fell from </w:t>
      </w:r>
      <w:r>
        <w:rPr>
          <w:b/>
          <w:strike/>
        </w:rPr>
        <w:t>90% to ~1%</w:t>
      </w:r>
      <w:r>
        <w:rPr>
          <w:strike/>
        </w:rPr>
        <w:t xml:space="preserve">; share price fell from **$42 to </w:t>
      </w:r>
      <w:r>
        <w:rPr/>
        <w:t xml:space="preserve">$2**. The tell came early — </w:t>
      </w:r>
      <w:r>
        <w:rPr>
          <w:i/>
        </w:rPr>
        <w:t>people around him started swapping Nokias for iPhones and BlackBerrys</w:t>
      </w:r>
      <w:r>
        <w:rPr/>
        <w:t xml:space="preserve">, </w:t>
      </w:r>
      <w:r>
        <w:rPr>
          <w:b/>
        </w:rPr>
        <w:t>before</w:t>
      </w:r>
      <w:r>
        <w:rPr/>
        <w:t xml:space="preserve"> the bad financials and </w:t>
      </w:r>
      <w:r>
        <w:rPr>
          <w:b/>
        </w:rPr>
        <w:t>before</w:t>
      </w:r>
      <w:r>
        <w:rPr/>
        <w:t xml:space="preserve"> the price collapse. Anyone holding at $42 had years to exit.</w:t>
      </w:r>
    </w:p>
    <w:p>
      <w:pPr>
        <w:pStyle w:val="BodyText"/>
        <w:numPr>
          <w:ilvl w:val="0"/>
          <w:numId w:val="552"/>
        </w:numPr>
        <w:tabs>
          <w:tab w:val="clear" w:pos="709"/>
          <w:tab w:val="left" w:pos="709" w:leader="none"/>
        </w:tabs>
        <w:bidi w:val="0"/>
        <w:ind w:hanging="283" w:start="709"/>
        <w:jc w:val="start"/>
        <w:rPr/>
      </w:pPr>
      <w:r>
        <w:rPr>
          <w:b/>
        </w:rPr>
        <w:t>Kodak</w:t>
      </w:r>
      <w:r>
        <w:rPr/>
        <w:t xml:space="preserve"> — market leader in film. When the digital camera appeared, and then phones that took pictures with no film, the outcome was obvious. Kodak's price was still high and it was still making a lot of money for years, because adoption was gradual — again, </w:t>
      </w:r>
      <w:r>
        <w:rPr>
          <w:b/>
        </w:rPr>
        <w:t>lots of time to get out</w:t>
      </w:r>
      <w:r>
        <w:rPr/>
        <w:t>.</w:t>
      </w:r>
    </w:p>
    <w:p>
      <w:pPr>
        <w:pStyle w:val="BodyText"/>
        <w:numPr>
          <w:ilvl w:val="0"/>
          <w:numId w:val="552"/>
        </w:numPr>
        <w:tabs>
          <w:tab w:val="clear" w:pos="709"/>
          <w:tab w:val="left" w:pos="709" w:leader="none"/>
        </w:tabs>
        <w:bidi w:val="0"/>
        <w:ind w:hanging="283" w:start="709"/>
        <w:jc w:val="start"/>
        <w:rPr/>
      </w:pPr>
      <w:r>
        <w:rPr>
          <w:b/>
        </w:rPr>
        <w:t>Intel</w:t>
      </w:r>
      <w:r>
        <w:rPr/>
        <w:t xml:space="preserve"> — every computer once carried "Intel inside". Then Apple moved to its own chips, others followed, and the Intel-inside badge disappeared from more and more machines. Again visible </w:t>
      </w:r>
      <w:r>
        <w:rPr>
          <w:b/>
        </w:rPr>
        <w:t>before</w:t>
      </w:r>
      <w:r>
        <w:rPr/>
        <w:t xml:space="preserve"> the price collapsed.</w:t>
      </w:r>
    </w:p>
    <w:p>
      <w:pPr>
        <w:pStyle w:val="BodyText"/>
        <w:numPr>
          <w:ilvl w:val="0"/>
          <w:numId w:val="552"/>
        </w:numPr>
        <w:tabs>
          <w:tab w:val="clear" w:pos="709"/>
          <w:tab w:val="left" w:pos="709" w:leader="none"/>
        </w:tabs>
        <w:bidi w:val="0"/>
        <w:ind w:hanging="283" w:start="709"/>
        <w:jc w:val="start"/>
        <w:rPr/>
      </w:pPr>
      <w:r>
        <w:rPr>
          <w:b/>
        </w:rPr>
        <w:t>Blockbuster Video</w:t>
      </w:r>
      <w:r>
        <w:rPr/>
        <w:t xml:space="preserve"> — a US monopoly for video rental (rent a cassette, return in three days or get fined). Netflix streaming arrived; the shift took many years and the demise was visible in slow motion.</w:t>
      </w:r>
    </w:p>
    <w:p>
      <w:pPr>
        <w:pStyle w:val="BodyText"/>
        <w:bidi w:val="0"/>
        <w:jc w:val="start"/>
        <w:rPr/>
      </w:pPr>
      <w:r>
        <w:rPr>
          <w:b/>
        </w:rPr>
        <w:t>1b. Change in consumer preferences.</w:t>
      </w:r>
    </w:p>
    <w:p>
      <w:pPr>
        <w:pStyle w:val="BodyText"/>
        <w:numPr>
          <w:ilvl w:val="0"/>
          <w:numId w:val="553"/>
        </w:numPr>
        <w:tabs>
          <w:tab w:val="clear" w:pos="709"/>
          <w:tab w:val="left" w:pos="709" w:leader="none"/>
        </w:tabs>
        <w:bidi w:val="0"/>
        <w:ind w:hanging="283" w:start="709"/>
        <w:jc w:val="start"/>
        <w:rPr/>
      </w:pPr>
      <w:r>
        <w:rPr>
          <w:b/>
        </w:rPr>
        <w:t>Kraft Heinz</w:t>
      </w:r>
      <w:r>
        <w:rPr/>
        <w:t xml:space="preserve"> — canned baked beans, Heinz ketchup, Kraft cheese did very well in an era of processed food. As consumers became health-conscious and shifted to fresh food, the dominant food moat began to erode.</w:t>
      </w:r>
    </w:p>
    <w:p>
      <w:pPr>
        <w:pStyle w:val="BodyText"/>
        <w:bidi w:val="0"/>
        <w:jc w:val="start"/>
        <w:rPr/>
      </w:pPr>
      <w:r>
        <w:rPr>
          <w:b/>
        </w:rPr>
        <w:t>How to detect moat erosion — the signals:</w:t>
      </w:r>
    </w:p>
    <w:p>
      <w:pPr>
        <w:pStyle w:val="BodyText"/>
        <w:numPr>
          <w:ilvl w:val="0"/>
          <w:numId w:val="554"/>
        </w:numPr>
        <w:tabs>
          <w:tab w:val="clear" w:pos="709"/>
          <w:tab w:val="left" w:pos="709" w:leader="none"/>
        </w:tabs>
        <w:bidi w:val="0"/>
        <w:ind w:hanging="283" w:start="709"/>
        <w:jc w:val="start"/>
        <w:rPr/>
      </w:pPr>
      <w:r>
        <w:rPr>
          <w:b/>
        </w:rPr>
        <w:t>Best signal: observe consumers, including yourself.</w:t>
      </w:r>
      <w:r>
        <w:rPr/>
        <w:t xml:space="preserve"> Are the people around you — and are </w:t>
      </w:r>
      <w:r>
        <w:rPr>
          <w:i/>
        </w:rPr>
        <w:t>you</w:t>
      </w:r>
      <w:r>
        <w:rPr/>
        <w:t xml:space="preserve"> — no longer buying that product or service? </w:t>
      </w:r>
      <w:r>
        <w:rPr>
          <w:i/>
        </w:rPr>
        <w:t>"The day I stop eating McDonald's is the day I'm going to sell the stock."</w:t>
      </w:r>
      <w:r>
        <w:rPr/>
        <w:t xml:space="preserve"> (He eats there ~3 times a week for breakfast.) This is precisely why you must own businesses </w:t>
      </w:r>
      <w:r>
        <w:rPr>
          <w:b/>
        </w:rPr>
        <w:t>where you are the customer</w:t>
      </w:r>
      <w:r>
        <w:rPr/>
        <w:t xml:space="preserve"> — he does </w:t>
      </w:r>
      <w:r>
        <w:rPr>
          <w:b/>
        </w:rPr>
        <w:t>not</w:t>
      </w:r>
      <w:r>
        <w:rPr/>
        <w:t xml:space="preserve"> own </w:t>
      </w:r>
      <w:r>
        <w:rPr>
          <w:b/>
        </w:rPr>
        <w:t>Starbucks</w:t>
      </w:r>
      <w:r>
        <w:rPr/>
        <w:t xml:space="preserve"> despite it possibly being a great company, because he doesn't drink Starbucks (he drinks Singapore local coffee at </w:t>
      </w:r>
      <w:r>
        <w:rPr>
          <w:b/>
        </w:rPr>
        <w:t>$1.50</w:t>
      </w:r>
      <w:r>
        <w:rPr/>
        <w:t xml:space="preserve"> and refuses to pay more than </w:t>
      </w:r>
      <w:r>
        <w:rPr>
          <w:b/>
        </w:rPr>
        <w:t>$3</w:t>
      </w:r>
      <w:r>
        <w:rPr/>
        <w:t xml:space="preserve"> for coffee), so he has no informational edge. He does own </w:t>
      </w:r>
      <w:r>
        <w:rPr>
          <w:b/>
        </w:rPr>
        <w:t>McDonald's, Yum Brands, Hershey's</w:t>
      </w:r>
      <w:r>
        <w:rPr/>
        <w:t xml:space="preserve"> because he consumes them.</w:t>
      </w:r>
    </w:p>
    <w:p>
      <w:pPr>
        <w:pStyle w:val="BodyText"/>
        <w:numPr>
          <w:ilvl w:val="0"/>
          <w:numId w:val="554"/>
        </w:numPr>
        <w:tabs>
          <w:tab w:val="clear" w:pos="709"/>
          <w:tab w:val="left" w:pos="709" w:leader="none"/>
        </w:tabs>
        <w:bidi w:val="0"/>
        <w:ind w:hanging="283" w:start="709"/>
        <w:jc w:val="start"/>
        <w:rPr/>
      </w:pPr>
      <w:r>
        <w:rPr>
          <w:b/>
        </w:rPr>
        <w:t>Profit margins decline consistently for at least 2–3 years</w:t>
      </w:r>
      <w:r>
        <w:rPr/>
        <w:t xml:space="preserve"> — and the decline is due to </w:t>
      </w:r>
      <w:r>
        <w:rPr>
          <w:b/>
        </w:rPr>
        <w:t>lower prices</w:t>
      </w:r>
      <w:r>
        <w:rPr/>
        <w:t xml:space="preserve">, i.e. the company is forced to </w:t>
      </w:r>
      <w:r>
        <w:rPr>
          <w:b/>
        </w:rPr>
        <w:t>discount</w:t>
      </w:r>
      <w:r>
        <w:rPr/>
        <w:t xml:space="preserve"> to attract customers → it is </w:t>
      </w:r>
      <w:r>
        <w:rPr>
          <w:b/>
        </w:rPr>
        <w:t>losing pricing power</w:t>
      </w:r>
      <w:r>
        <w:rPr/>
        <w:t>. A great business doesn't need to discount to keep market share. Forced discounting = heavy competition = deteriorating business.</w:t>
      </w:r>
    </w:p>
    <w:p>
      <w:pPr>
        <w:pStyle w:val="BodyText"/>
        <w:numPr>
          <w:ilvl w:val="0"/>
          <w:numId w:val="554"/>
        </w:numPr>
        <w:tabs>
          <w:tab w:val="clear" w:pos="709"/>
          <w:tab w:val="left" w:pos="709" w:leader="none"/>
        </w:tabs>
        <w:bidi w:val="0"/>
        <w:ind w:hanging="283" w:start="709"/>
        <w:jc w:val="start"/>
        <w:rPr/>
      </w:pPr>
      <w:r>
        <w:rPr>
          <w:b/>
        </w:rPr>
        <w:t>Margins contracting from higher cost of sales.</w:t>
      </w:r>
    </w:p>
    <w:p>
      <w:pPr>
        <w:pStyle w:val="BodyText"/>
        <w:numPr>
          <w:ilvl w:val="0"/>
          <w:numId w:val="554"/>
        </w:numPr>
        <w:tabs>
          <w:tab w:val="clear" w:pos="709"/>
          <w:tab w:val="left" w:pos="709" w:leader="none"/>
        </w:tabs>
        <w:bidi w:val="0"/>
        <w:ind w:hanging="283" w:start="709"/>
        <w:jc w:val="start"/>
        <w:rPr/>
      </w:pPr>
      <w:r>
        <w:rPr>
          <w:b/>
        </w:rPr>
        <w:t>Declining market share</w:t>
      </w:r>
      <w:r>
        <w:rPr/>
        <w:t xml:space="preserve"> — one quarter is fine, three quarters is fine, one year maybe okay, but </w:t>
      </w:r>
      <w:r>
        <w:rPr>
          <w:b/>
        </w:rPr>
        <w:t>losing market share for two straight years</w:t>
      </w:r>
      <w:r>
        <w:rPr/>
        <w:t xml:space="preserve"> is a sign the business has changed.</w:t>
      </w:r>
    </w:p>
    <w:p>
      <w:pPr>
        <w:pStyle w:val="BodyText"/>
        <w:numPr>
          <w:ilvl w:val="0"/>
          <w:numId w:val="554"/>
        </w:numPr>
        <w:tabs>
          <w:tab w:val="clear" w:pos="709"/>
          <w:tab w:val="left" w:pos="709" w:leader="none"/>
        </w:tabs>
        <w:bidi w:val="0"/>
        <w:ind w:hanging="283" w:start="709"/>
        <w:jc w:val="start"/>
        <w:rPr/>
      </w:pPr>
      <w:r>
        <w:rPr>
          <w:b/>
        </w:rPr>
        <w:t>Customers visibly switching to competitor brands.</w:t>
      </w:r>
    </w:p>
    <w:p>
      <w:pPr>
        <w:pStyle w:val="BodyText"/>
        <w:bidi w:val="0"/>
        <w:jc w:val="start"/>
        <w:rPr/>
      </w:pPr>
      <w:r>
        <w:rPr>
          <w:b/>
        </w:rPr>
        <w:t>His own real case — Manulife US REIT (bought ~2018).</w:t>
      </w:r>
      <w:r>
        <w:rPr/>
        <w:t xml:space="preserve"> A US office REIT, a great business when bought. Then:</w:t>
      </w:r>
    </w:p>
    <w:p>
      <w:pPr>
        <w:pStyle w:val="BodyText"/>
        <w:numPr>
          <w:ilvl w:val="0"/>
          <w:numId w:val="555"/>
        </w:numPr>
        <w:tabs>
          <w:tab w:val="clear" w:pos="709"/>
          <w:tab w:val="left" w:pos="709" w:leader="none"/>
        </w:tabs>
        <w:bidi w:val="0"/>
        <w:ind w:hanging="283" w:start="709"/>
        <w:jc w:val="start"/>
        <w:rPr/>
      </w:pPr>
      <w:r>
        <w:rPr/>
        <w:t xml:space="preserve">COVID-19 (2020) moved people to work-from-home, and </w:t>
      </w:r>
      <w:r>
        <w:rPr>
          <w:b/>
        </w:rPr>
        <w:t>the behaviour did not revert</w:t>
      </w:r>
      <w:r>
        <w:rPr/>
        <w:t xml:space="preserve"> after the pandemic (hybrid work stuck).</w:t>
      </w:r>
    </w:p>
    <w:p>
      <w:pPr>
        <w:pStyle w:val="BodyText"/>
        <w:numPr>
          <w:ilvl w:val="0"/>
          <w:numId w:val="555"/>
        </w:numPr>
        <w:tabs>
          <w:tab w:val="clear" w:pos="709"/>
          <w:tab w:val="left" w:pos="709" w:leader="none"/>
        </w:tabs>
        <w:bidi w:val="0"/>
        <w:ind w:hanging="283" w:start="709"/>
        <w:jc w:val="start"/>
        <w:rPr/>
      </w:pPr>
      <w:r>
        <w:rPr/>
        <w:t xml:space="preserve">Occupancy fell from </w:t>
      </w:r>
      <w:r>
        <w:rPr>
          <w:b/>
        </w:rPr>
        <w:t>95% to 30%</w:t>
      </w:r>
      <w:r>
        <w:rPr/>
        <w:t>, with no sign of returning; revenue and profits dropped and could not get back to pre-pandemic levels.</w:t>
      </w:r>
    </w:p>
    <w:p>
      <w:pPr>
        <w:pStyle w:val="BodyText"/>
        <w:numPr>
          <w:ilvl w:val="0"/>
          <w:numId w:val="555"/>
        </w:numPr>
        <w:tabs>
          <w:tab w:val="clear" w:pos="709"/>
          <w:tab w:val="left" w:pos="709" w:leader="none"/>
        </w:tabs>
        <w:bidi w:val="0"/>
        <w:ind w:hanging="283" w:start="709"/>
        <w:jc w:val="start"/>
        <w:rPr/>
      </w:pPr>
      <w:r>
        <w:rPr/>
        <w:t xml:space="preserve">The Fed then raised rates </w:t>
      </w:r>
      <w:r>
        <w:rPr>
          <w:b/>
        </w:rPr>
        <w:t>very fast in 2022</w:t>
      </w:r>
      <w:r>
        <w:rPr/>
        <w:t xml:space="preserve">. With rents too low, the properties were </w:t>
      </w:r>
      <w:r>
        <w:rPr>
          <w:b/>
        </w:rPr>
        <w:t>devalued</w:t>
      </w:r>
      <w:r>
        <w:rPr/>
        <w:t xml:space="preserve">, which pushed up the </w:t>
      </w:r>
      <w:r>
        <w:rPr>
          <w:b/>
        </w:rPr>
        <w:t>debt-to-asset / gearing ratio</w:t>
      </w:r>
      <w:r>
        <w:rPr/>
        <w:t>.</w:t>
      </w:r>
    </w:p>
    <w:p>
      <w:pPr>
        <w:pStyle w:val="BodyText"/>
        <w:numPr>
          <w:ilvl w:val="0"/>
          <w:numId w:val="555"/>
        </w:numPr>
        <w:tabs>
          <w:tab w:val="clear" w:pos="709"/>
          <w:tab w:val="left" w:pos="709" w:leader="none"/>
        </w:tabs>
        <w:bidi w:val="0"/>
        <w:ind w:hanging="283" w:start="709"/>
        <w:jc w:val="start"/>
        <w:rPr/>
      </w:pPr>
      <w:r>
        <w:rPr/>
        <w:t xml:space="preserve">Gearing </w:t>
      </w:r>
      <w:r>
        <w:rPr>
          <w:b/>
        </w:rPr>
        <w:t>exceeded 50%</w:t>
      </w:r>
      <w:r>
        <w:rPr/>
        <w:t xml:space="preserve"> → </w:t>
      </w:r>
      <w:r>
        <w:rPr>
          <w:b/>
        </w:rPr>
        <w:t>breach of financial covenants</w:t>
      </w:r>
      <w:r>
        <w:rPr/>
        <w:t xml:space="preserve"> → banks could withdraw loans → risk of bankruptcy.</w:t>
      </w:r>
    </w:p>
    <w:p>
      <w:pPr>
        <w:pStyle w:val="BodyText"/>
        <w:numPr>
          <w:ilvl w:val="0"/>
          <w:numId w:val="555"/>
        </w:numPr>
        <w:tabs>
          <w:tab w:val="clear" w:pos="709"/>
          <w:tab w:val="left" w:pos="709" w:leader="none"/>
        </w:tabs>
        <w:bidi w:val="0"/>
        <w:ind w:hanging="283" w:start="709"/>
        <w:jc w:val="start"/>
        <w:rPr/>
      </w:pPr>
      <w:r>
        <w:rPr/>
        <w:t xml:space="preserve">The business model had changed permanently and the balance sheet was no longer strong, so </w:t>
      </w:r>
      <w:r>
        <w:rPr>
          <w:b/>
        </w:rPr>
        <w:t>he sold at a loss</w:t>
      </w:r>
      <w:r>
        <w:rPr/>
        <w:t xml:space="preserve">. Because it was only a </w:t>
      </w:r>
      <w:r>
        <w:rPr>
          <w:b/>
        </w:rPr>
        <w:t>small percentage of his dividend portfolio</w:t>
      </w:r>
      <w:r>
        <w:rPr/>
        <w:t>, the year was still positive overall.</w:t>
      </w:r>
    </w:p>
    <w:p>
      <w:pPr>
        <w:pStyle w:val="HorizontalLine"/>
        <w:bidi w:val="0"/>
        <w:jc w:val="start"/>
        <w:rPr/>
      </w:pPr>
      <w:r>
        <w:rPr/>
      </w:r>
    </w:p>
    <w:p>
      <w:pPr>
        <w:pStyle w:val="Heading4"/>
        <w:bidi w:val="0"/>
        <w:ind w:hanging="0" w:start="0"/>
        <w:jc w:val="start"/>
        <w:rPr/>
      </w:pPr>
      <w:r>
        <w:rPr/>
        <w:t>SELL RULE 2 — You made a mistake in your initial analysis</w:t>
      </w:r>
    </w:p>
    <w:p>
      <w:pPr>
        <w:pStyle w:val="BodyText"/>
        <w:bidi w:val="0"/>
        <w:jc w:val="start"/>
        <w:rPr/>
      </w:pPr>
      <w:r>
        <w:rPr/>
        <w:t xml:space="preserve">Either the company isn't as great as you thought, or it isn't as cheap as you thought because you were </w:t>
      </w:r>
      <w:r>
        <w:rPr>
          <w:b/>
        </w:rPr>
        <w:t>too optimistic in your valuation</w:t>
      </w:r>
      <w:r>
        <w:rPr/>
        <w:t>.</w:t>
      </w:r>
    </w:p>
    <w:p>
      <w:pPr>
        <w:pStyle w:val="BodyText"/>
        <w:bidi w:val="0"/>
        <w:jc w:val="start"/>
        <w:rPr/>
      </w:pPr>
      <w:r>
        <w:rPr>
          <w:b/>
        </w:rPr>
        <w:t>His own case — Disney.</w:t>
      </w:r>
      <w:r>
        <w:rPr/>
        <w:t xml:space="preserve"> Bought as a </w:t>
      </w:r>
      <w:r>
        <w:rPr>
          <w:b/>
        </w:rPr>
        <w:t>turnaround</w:t>
      </w:r>
      <w:r>
        <w:rPr/>
        <w:t xml:space="preserve">: Disney had grown revenue and profits consistently, then transitioned from cable TV networks (a sunset industry, as viewers moved to streaming) to </w:t>
      </w:r>
      <w:r>
        <w:rPr>
          <w:b/>
        </w:rPr>
        <w:t>Disney+</w:t>
      </w:r>
      <w:r>
        <w:rPr/>
        <w:t xml:space="preserve">. During the transition, </w:t>
      </w:r>
      <w:r>
        <w:rPr>
          <w:b/>
        </w:rPr>
        <w:t>profits dropped more than 60%</w:t>
      </w:r>
      <w:r>
        <w:rPr/>
        <w:t xml:space="preserve"> because streaming wasn't yet profitable and cable was in decline. He judged it cheap and expected profits to return to past highs. After holding </w:t>
      </w:r>
      <w:r>
        <w:rPr>
          <w:b/>
        </w:rPr>
        <w:t>~2 years</w:t>
      </w:r>
      <w:r>
        <w:rPr/>
        <w:t xml:space="preserve"> and doing more research he concluded:</w:t>
      </w:r>
    </w:p>
    <w:p>
      <w:pPr>
        <w:pStyle w:val="BodyText"/>
        <w:numPr>
          <w:ilvl w:val="0"/>
          <w:numId w:val="556"/>
        </w:numPr>
        <w:tabs>
          <w:tab w:val="clear" w:pos="709"/>
          <w:tab w:val="left" w:pos="709" w:leader="none"/>
        </w:tabs>
        <w:bidi w:val="0"/>
        <w:ind w:hanging="283" w:start="709"/>
        <w:jc w:val="start"/>
        <w:rPr/>
      </w:pPr>
      <w:r>
        <w:rPr/>
        <w:t>Streaming had become far more competitive (Amazon Prime, Apple TV, Netflix).</w:t>
      </w:r>
    </w:p>
    <w:p>
      <w:pPr>
        <w:pStyle w:val="BodyText"/>
        <w:numPr>
          <w:ilvl w:val="0"/>
          <w:numId w:val="556"/>
        </w:numPr>
        <w:tabs>
          <w:tab w:val="clear" w:pos="709"/>
          <w:tab w:val="left" w:pos="709" w:leader="none"/>
        </w:tabs>
        <w:bidi w:val="0"/>
        <w:ind w:hanging="283" w:start="709"/>
        <w:jc w:val="start"/>
        <w:rPr/>
      </w:pPr>
      <w:r>
        <w:rPr/>
        <w:t xml:space="preserve">Disney's created content </w:t>
      </w:r>
      <w:r>
        <w:rPr>
          <w:b/>
        </w:rPr>
        <w:t>was not as great as before</w:t>
      </w:r>
      <w:r>
        <w:rPr/>
        <w:t>.</w:t>
      </w:r>
    </w:p>
    <w:p>
      <w:pPr>
        <w:pStyle w:val="BodyText"/>
        <w:numPr>
          <w:ilvl w:val="0"/>
          <w:numId w:val="556"/>
        </w:numPr>
        <w:tabs>
          <w:tab w:val="clear" w:pos="709"/>
          <w:tab w:val="left" w:pos="709" w:leader="none"/>
        </w:tabs>
        <w:bidi w:val="0"/>
        <w:ind w:hanging="283" w:start="709"/>
        <w:jc w:val="start"/>
        <w:rPr/>
      </w:pPr>
      <w:r>
        <w:rPr/>
        <w:t xml:space="preserve">Content requires </w:t>
      </w:r>
      <w:r>
        <w:rPr>
          <w:b/>
        </w:rPr>
        <w:t>millions of dollars per title</w:t>
      </w:r>
      <w:r>
        <w:rPr/>
        <w:t xml:space="preserve"> and is </w:t>
      </w:r>
      <w:r>
        <w:rPr>
          <w:b/>
        </w:rPr>
        <w:t>hit-or-miss</w:t>
      </w:r>
      <w:r>
        <w:rPr/>
        <w:t xml:space="preserve"> — good movies make a lot, bad movies lose millions.</w:t>
      </w:r>
    </w:p>
    <w:p>
      <w:pPr>
        <w:pStyle w:val="BodyText"/>
        <w:numPr>
          <w:ilvl w:val="0"/>
          <w:numId w:val="556"/>
        </w:numPr>
        <w:tabs>
          <w:tab w:val="clear" w:pos="709"/>
          <w:tab w:val="left" w:pos="709" w:leader="none"/>
        </w:tabs>
        <w:bidi w:val="0"/>
        <w:ind w:hanging="283" w:start="709"/>
        <w:jc w:val="start"/>
        <w:rPr/>
      </w:pPr>
      <w:r>
        <w:rPr/>
        <w:t xml:space="preserve">Verdict: </w:t>
      </w:r>
      <w:r>
        <w:rPr>
          <w:b/>
        </w:rPr>
        <w:t>not a predictable business</w:t>
      </w:r>
      <w:r>
        <w:rPr/>
        <w:t xml:space="preserve"> — not the kind he wants to own. </w:t>
      </w:r>
      <w:r>
        <w:rPr>
          <w:b/>
        </w:rPr>
        <w:t>Action taken:</w:t>
      </w:r>
      <w:r>
        <w:rPr/>
        <w:t xml:space="preserve"> sold </w:t>
      </w:r>
      <w:r>
        <w:rPr>
          <w:b/>
        </w:rPr>
        <w:t>all</w:t>
      </w:r>
      <w:r>
        <w:rPr/>
        <w:t xml:space="preserve"> shares, "took the loss like a man", and </w:t>
      </w:r>
      <w:r>
        <w:rPr>
          <w:b/>
        </w:rPr>
        <w:t>immediately reinvested the proceeds into other great, undervalued businesses</w:t>
      </w:r>
      <w:r>
        <w:rPr/>
        <w:t xml:space="preserve"> to make back the loss.</w:t>
      </w:r>
    </w:p>
    <w:p>
      <w:pPr>
        <w:pStyle w:val="HorizontalLine"/>
        <w:bidi w:val="0"/>
        <w:jc w:val="start"/>
        <w:rPr/>
      </w:pPr>
      <w:r>
        <w:rPr/>
      </w:r>
    </w:p>
    <w:p>
      <w:pPr>
        <w:pStyle w:val="Heading4"/>
        <w:bidi w:val="0"/>
        <w:ind w:hanging="0" w:start="0"/>
        <w:jc w:val="start"/>
        <w:rPr/>
      </w:pPr>
      <w:r>
        <w:rPr/>
        <w:t>SELL RULE 3 — Management does not act in the best interest of shareholders</w:t>
      </w:r>
    </w:p>
    <w:p>
      <w:pPr>
        <w:pStyle w:val="BodyText"/>
        <w:bidi w:val="0"/>
        <w:jc w:val="start"/>
        <w:rPr/>
      </w:pPr>
      <w:r>
        <w:rPr/>
        <w:t>Red flags in this category:</w:t>
      </w:r>
    </w:p>
    <w:p>
      <w:pPr>
        <w:pStyle w:val="BodyText"/>
        <w:numPr>
          <w:ilvl w:val="0"/>
          <w:numId w:val="557"/>
        </w:numPr>
        <w:tabs>
          <w:tab w:val="clear" w:pos="709"/>
          <w:tab w:val="left" w:pos="709" w:leader="none"/>
        </w:tabs>
        <w:bidi w:val="0"/>
        <w:ind w:hanging="283" w:start="709"/>
        <w:jc w:val="start"/>
        <w:rPr/>
      </w:pPr>
      <w:r>
        <w:rPr/>
        <w:t xml:space="preserve">Management </w:t>
      </w:r>
      <w:r>
        <w:rPr>
          <w:b/>
        </w:rPr>
        <w:t>buys back shares at an all-time high / when overpriced</w:t>
      </w:r>
      <w:r>
        <w:rPr/>
        <w:t>.</w:t>
      </w:r>
    </w:p>
    <w:p>
      <w:pPr>
        <w:pStyle w:val="BodyText"/>
        <w:numPr>
          <w:ilvl w:val="0"/>
          <w:numId w:val="557"/>
        </w:numPr>
        <w:tabs>
          <w:tab w:val="clear" w:pos="709"/>
          <w:tab w:val="left" w:pos="709" w:leader="none"/>
        </w:tabs>
        <w:bidi w:val="0"/>
        <w:ind w:hanging="283" w:start="709"/>
        <w:jc w:val="start"/>
        <w:rPr/>
      </w:pPr>
      <w:r>
        <w:rPr/>
        <w:t xml:space="preserve">Management </w:t>
      </w:r>
      <w:r>
        <w:rPr>
          <w:b/>
        </w:rPr>
        <w:t>buys back shares when the company is not doing well</w:t>
      </w:r>
      <w:r>
        <w:rPr/>
        <w:t xml:space="preserve"> (rather than investing in the business).</w:t>
      </w:r>
    </w:p>
    <w:p>
      <w:pPr>
        <w:pStyle w:val="BodyText"/>
        <w:numPr>
          <w:ilvl w:val="0"/>
          <w:numId w:val="557"/>
        </w:numPr>
        <w:tabs>
          <w:tab w:val="clear" w:pos="709"/>
          <w:tab w:val="left" w:pos="709" w:leader="none"/>
        </w:tabs>
        <w:bidi w:val="0"/>
        <w:ind w:hanging="283" w:start="709"/>
        <w:jc w:val="start"/>
        <w:rPr/>
      </w:pPr>
      <w:r>
        <w:rPr/>
        <w:t xml:space="preserve">The company </w:t>
      </w:r>
      <w:r>
        <w:rPr>
          <w:b/>
        </w:rPr>
        <w:t>issues new shares to raise capital when it already has plenty of undeployed cash</w:t>
      </w:r>
      <w:r>
        <w:rPr/>
        <w:t xml:space="preserve"> on the balance sheet.</w:t>
      </w:r>
    </w:p>
    <w:p>
      <w:pPr>
        <w:pStyle w:val="BodyText"/>
        <w:bidi w:val="0"/>
        <w:jc w:val="start"/>
        <w:rPr/>
      </w:pPr>
      <w:r>
        <w:rPr/>
        <w:t xml:space="preserve">Any of these → red flag → sell. </w:t>
      </w:r>
      <w:r>
        <w:rPr>
          <w:i/>
        </w:rPr>
        <w:t>(He notes this has never happened to him — yet.)</w:t>
      </w:r>
    </w:p>
    <w:p>
      <w:pPr>
        <w:pStyle w:val="HorizontalLine"/>
        <w:bidi w:val="0"/>
        <w:jc w:val="start"/>
        <w:rPr/>
      </w:pPr>
      <w:r>
        <w:rPr/>
      </w:r>
    </w:p>
    <w:p>
      <w:pPr>
        <w:pStyle w:val="Heading4"/>
        <w:bidi w:val="0"/>
        <w:ind w:hanging="0" w:start="0"/>
        <w:jc w:val="start"/>
        <w:rPr/>
      </w:pPr>
      <w:r>
        <w:rPr/>
        <w:t>SELL RULE 4 — Still a great company, but grossly overvalued</w:t>
      </w:r>
    </w:p>
    <w:p>
      <w:pPr>
        <w:pStyle w:val="BodyText"/>
        <w:bidi w:val="0"/>
        <w:jc w:val="start"/>
        <w:rPr/>
      </w:pPr>
      <w:r>
        <w:rPr>
          <w:b/>
        </w:rPr>
        <w:t>The threshold:</w:t>
      </w:r>
    </w:p>
    <w:p>
      <w:pPr>
        <w:pStyle w:val="BodyText"/>
        <w:numPr>
          <w:ilvl w:val="0"/>
          <w:numId w:val="558"/>
        </w:numPr>
        <w:tabs>
          <w:tab w:val="clear" w:pos="709"/>
          <w:tab w:val="left" w:pos="709" w:leader="none"/>
        </w:tabs>
        <w:bidi w:val="0"/>
        <w:ind w:hanging="283" w:start="709"/>
        <w:jc w:val="start"/>
        <w:rPr/>
      </w:pPr>
      <w:r>
        <w:rPr>
          <w:b/>
        </w:rPr>
        <w:t>Overvalued by 10%, 20% or 30% → HOLD.</w:t>
      </w:r>
      <w:r>
        <w:rPr/>
        <w:t xml:space="preserve"> A great company's intrinsic value keeps rising and eventually catches up to the price.</w:t>
      </w:r>
    </w:p>
    <w:p>
      <w:pPr>
        <w:pStyle w:val="BodyText"/>
        <w:numPr>
          <w:ilvl w:val="0"/>
          <w:numId w:val="558"/>
        </w:numPr>
        <w:tabs>
          <w:tab w:val="clear" w:pos="709"/>
          <w:tab w:val="left" w:pos="709" w:leader="none"/>
        </w:tabs>
        <w:bidi w:val="0"/>
        <w:ind w:hanging="283" w:start="709"/>
        <w:jc w:val="start"/>
        <w:rPr/>
      </w:pPr>
      <w:r>
        <w:rPr>
          <w:b/>
        </w:rPr>
        <w:t>Overvalued by MORE THAN 50–100% above intrinsic value → start reducing the position.</w:t>
      </w:r>
    </w:p>
    <w:p>
      <w:pPr>
        <w:pStyle w:val="BodyText"/>
        <w:bidi w:val="0"/>
        <w:jc w:val="start"/>
        <w:rPr/>
      </w:pPr>
      <w:r>
        <w:rPr>
          <w:b/>
        </w:rPr>
        <w:t>How to sell:</w:t>
      </w:r>
      <w:r>
        <w:rPr/>
        <w:t xml:space="preserve"> never all at once — </w:t>
      </w:r>
      <w:r>
        <w:rPr>
          <w:b/>
        </w:rPr>
        <w:t>sell in tranches</w:t>
      </w:r>
      <w:r>
        <w:rPr/>
        <w:t xml:space="preserve">, because you can no more pick the top than you can pick the bottom. Sell roughly a third, then half, then the rest; or, if selling 100 shares, sell </w:t>
      </w:r>
      <w:r>
        <w:rPr>
          <w:b/>
        </w:rPr>
        <w:t>25 shares, then another 25 a few days later, then 25 more</w:t>
      </w:r>
      <w:r>
        <w:rPr/>
        <w:t xml:space="preserve"> — averaging out the position. Reinvest the proceeds into another business just as great but at a more reasonable valuation.</w:t>
      </w:r>
    </w:p>
    <w:p>
      <w:pPr>
        <w:pStyle w:val="BodyText"/>
        <w:numPr>
          <w:ilvl w:val="0"/>
          <w:numId w:val="559"/>
        </w:numPr>
        <w:tabs>
          <w:tab w:val="clear" w:pos="709"/>
          <w:tab w:val="left" w:pos="709" w:leader="none"/>
        </w:tabs>
        <w:bidi w:val="0"/>
        <w:ind w:hanging="283" w:start="709"/>
        <w:jc w:val="start"/>
        <w:rPr/>
      </w:pPr>
      <w:r>
        <w:rPr>
          <w:i/>
        </w:rPr>
        <w:t>Illustration</w:t>
      </w:r>
      <w:r>
        <w:rPr/>
        <w:t xml:space="preserve">: if McDonald's intrinsic value is </w:t>
      </w:r>
      <w:r>
        <w:rPr>
          <w:b/>
        </w:rPr>
        <w:t>$250</w:t>
      </w:r>
      <w:r>
        <w:rPr/>
        <w:t xml:space="preserve"> and the price runs to </w:t>
      </w:r>
      <w:r>
        <w:rPr>
          <w:b/>
        </w:rPr>
        <w:t>$500</w:t>
      </w:r>
      <w:r>
        <w:rPr/>
        <w:t xml:space="preserve"> (100% overpriced), start selling — even though McDonald's is still a great company.</w:t>
      </w:r>
    </w:p>
    <w:p>
      <w:pPr>
        <w:pStyle w:val="BodyText"/>
        <w:bidi w:val="0"/>
        <w:jc w:val="start"/>
        <w:rPr/>
      </w:pPr>
      <w:r>
        <w:rPr>
          <w:b/>
        </w:rPr>
        <w:t>Supporting technical trigger — the parabolic move.</w:t>
      </w:r>
      <w:r>
        <w:rPr/>
        <w:t xml:space="preserve"> When a stock is extremely overvalued you will usually also see the price go </w:t>
      </w:r>
      <w:r>
        <w:rPr>
          <w:b/>
        </w:rPr>
        <w:t>parabolic and far from its moving averages</w:t>
      </w:r>
      <w:r>
        <w:rPr/>
        <w:t>:</w:t>
      </w:r>
    </w:p>
    <w:p>
      <w:pPr>
        <w:pStyle w:val="BodyText"/>
        <w:numPr>
          <w:ilvl w:val="0"/>
          <w:numId w:val="560"/>
        </w:numPr>
        <w:tabs>
          <w:tab w:val="clear" w:pos="709"/>
          <w:tab w:val="left" w:pos="709" w:leader="none"/>
        </w:tabs>
        <w:bidi w:val="0"/>
        <w:ind w:hanging="283" w:start="709"/>
        <w:jc w:val="start"/>
        <w:rPr/>
      </w:pPr>
      <w:r>
        <w:rPr/>
        <w:t xml:space="preserve">A </w:t>
      </w:r>
      <w:r>
        <w:rPr>
          <w:b/>
        </w:rPr>
        <w:t>sustainable uptrend</w:t>
      </w:r>
      <w:r>
        <w:rPr/>
        <w:t xml:space="preserve"> advances at roughly a </w:t>
      </w:r>
      <w:r>
        <w:rPr>
          <w:b/>
        </w:rPr>
        <w:t>45-degree angle</w:t>
      </w:r>
      <w:r>
        <w:rPr/>
        <w:t xml:space="preserve">, waving up and down, staying near its moving averages — in this context, the </w:t>
      </w:r>
      <w:r>
        <w:rPr>
          <w:b/>
        </w:rPr>
        <w:t>20 EMA</w:t>
      </w:r>
      <w:r>
        <w:rPr/>
        <w:t xml:space="preserve"> is normally closest to price in an uptrend (and price stays near the 50 MA too).</w:t>
      </w:r>
    </w:p>
    <w:p>
      <w:pPr>
        <w:pStyle w:val="BodyText"/>
        <w:numPr>
          <w:ilvl w:val="0"/>
          <w:numId w:val="560"/>
        </w:numPr>
        <w:tabs>
          <w:tab w:val="clear" w:pos="709"/>
          <w:tab w:val="left" w:pos="709" w:leader="none"/>
        </w:tabs>
        <w:bidi w:val="0"/>
        <w:ind w:hanging="283" w:start="709"/>
        <w:jc w:val="start"/>
        <w:rPr/>
      </w:pPr>
      <w:r>
        <w:rPr/>
        <w:t xml:space="preserve">A </w:t>
      </w:r>
      <w:r>
        <w:rPr>
          <w:b/>
        </w:rPr>
        <w:t>parabolic move</w:t>
      </w:r>
      <w:r>
        <w:rPr/>
        <w:t xml:space="preserve"> is a </w:t>
      </w:r>
      <w:r>
        <w:rPr>
          <w:b/>
        </w:rPr>
        <w:t>90-degree</w:t>
      </w:r>
      <w:r>
        <w:rPr/>
        <w:t xml:space="preserve">, vertical advance with </w:t>
      </w:r>
      <w:r>
        <w:rPr>
          <w:b/>
        </w:rPr>
        <w:t>very long green candles</w:t>
      </w:r>
      <w:r>
        <w:rPr/>
        <w:t xml:space="preserve">, driven by </w:t>
      </w:r>
      <w:r>
        <w:rPr>
          <w:b/>
        </w:rPr>
        <w:t>panic buying</w:t>
      </w:r>
      <w:r>
        <w:rPr/>
        <w:t xml:space="preserve"> — everyone rushing in. This is usually </w:t>
      </w:r>
      <w:r>
        <w:rPr>
          <w:b/>
        </w:rPr>
        <w:t>the end of the uptrend</w:t>
      </w:r>
      <w:r>
        <w:rPr/>
        <w:t>, and it's where late retail investors (who heard about the stock from a neighbour or friend) buy right at the top before the collapse.</w:t>
      </w:r>
    </w:p>
    <w:p>
      <w:pPr>
        <w:pStyle w:val="BodyText"/>
        <w:numPr>
          <w:ilvl w:val="0"/>
          <w:numId w:val="560"/>
        </w:numPr>
        <w:tabs>
          <w:tab w:val="clear" w:pos="709"/>
          <w:tab w:val="left" w:pos="709" w:leader="none"/>
        </w:tabs>
        <w:bidi w:val="0"/>
        <w:ind w:hanging="283" w:start="709"/>
        <w:jc w:val="start"/>
        <w:rPr/>
      </w:pPr>
      <w:r>
        <w:rPr/>
        <w:t xml:space="preserve">Same pattern applies to the </w:t>
      </w:r>
      <w:r>
        <w:rPr>
          <w:b/>
        </w:rPr>
        <w:t>overall index</w:t>
      </w:r>
      <w:r>
        <w:rPr/>
        <w:t>. Buffett's line, as quoted: a bull market is like sex — it feels best just before it ends.</w:t>
      </w:r>
    </w:p>
    <w:p>
      <w:pPr>
        <w:pStyle w:val="BodyText"/>
        <w:numPr>
          <w:ilvl w:val="0"/>
          <w:numId w:val="560"/>
        </w:numPr>
        <w:tabs>
          <w:tab w:val="clear" w:pos="709"/>
          <w:tab w:val="left" w:pos="709" w:leader="none"/>
        </w:tabs>
        <w:bidi w:val="0"/>
        <w:ind w:hanging="283" w:start="709"/>
        <w:jc w:val="start"/>
        <w:rPr/>
      </w:pPr>
      <w:r>
        <w:rPr>
          <w:b/>
        </w:rPr>
        <w:t>Rule:</w:t>
      </w:r>
      <w:r>
        <w:rPr/>
        <w:t xml:space="preserve"> if a stock he owns shifts from a 45-degree advance to a </w:t>
      </w:r>
      <w:r>
        <w:rPr>
          <w:b/>
        </w:rPr>
        <w:t>90-degree advance with big long candles, especially while significantly overvalued, he exits</w:t>
      </w:r>
      <w:r>
        <w:rPr/>
        <w:t xml:space="preserve"> — because it usually collapses.</w:t>
      </w:r>
    </w:p>
    <w:p>
      <w:pPr>
        <w:pStyle w:val="BodyText"/>
        <w:bidi w:val="0"/>
        <w:jc w:val="start"/>
        <w:rPr/>
      </w:pPr>
      <w:r>
        <w:rPr>
          <w:b/>
        </w:rPr>
        <w:t>His own case — Meituan (Hong Kong).</w:t>
      </w:r>
    </w:p>
    <w:p>
      <w:pPr>
        <w:pStyle w:val="BodyText"/>
        <w:numPr>
          <w:ilvl w:val="0"/>
          <w:numId w:val="561"/>
        </w:numPr>
        <w:tabs>
          <w:tab w:val="clear" w:pos="709"/>
          <w:tab w:val="left" w:pos="709" w:leader="none"/>
        </w:tabs>
        <w:bidi w:val="0"/>
        <w:ind w:hanging="283" w:start="709"/>
        <w:jc w:val="start"/>
        <w:rPr/>
      </w:pPr>
      <w:r>
        <w:rPr/>
        <w:t xml:space="preserve">Bought at about </w:t>
      </w:r>
      <w:r>
        <w:rPr>
          <w:b/>
        </w:rPr>
        <w:t>$70/share</w:t>
      </w:r>
      <w:r>
        <w:rPr/>
        <w:t xml:space="preserve">; his calculated intrinsic value was </w:t>
      </w:r>
      <w:r>
        <w:rPr>
          <w:b/>
        </w:rPr>
        <w:t>$220</w:t>
      </w:r>
      <w:r>
        <w:rPr/>
        <w:t>.</w:t>
      </w:r>
    </w:p>
    <w:p>
      <w:pPr>
        <w:pStyle w:val="BodyText"/>
        <w:numPr>
          <w:ilvl w:val="0"/>
          <w:numId w:val="561"/>
        </w:numPr>
        <w:tabs>
          <w:tab w:val="clear" w:pos="709"/>
          <w:tab w:val="left" w:pos="709" w:leader="none"/>
        </w:tabs>
        <w:bidi w:val="0"/>
        <w:ind w:hanging="283" w:start="709"/>
        <w:jc w:val="start"/>
        <w:rPr/>
      </w:pPr>
      <w:r>
        <w:rPr/>
        <w:t>Price rose through intrinsic value; he held while it was only modestly overvalued.</w:t>
      </w:r>
    </w:p>
    <w:p>
      <w:pPr>
        <w:pStyle w:val="BodyText"/>
        <w:numPr>
          <w:ilvl w:val="0"/>
          <w:numId w:val="561"/>
        </w:numPr>
        <w:tabs>
          <w:tab w:val="clear" w:pos="709"/>
          <w:tab w:val="left" w:pos="709" w:leader="none"/>
        </w:tabs>
        <w:bidi w:val="0"/>
        <w:ind w:hanging="283" w:start="709"/>
        <w:jc w:val="start"/>
        <w:rPr/>
      </w:pPr>
      <w:r>
        <w:rPr/>
        <w:t xml:space="preserve">It then went </w:t>
      </w:r>
      <w:r>
        <w:rPr>
          <w:b/>
        </w:rPr>
        <w:t>parabolic (90 degrees)</w:t>
      </w:r>
      <w:r>
        <w:rPr/>
        <w:t xml:space="preserve">. At </w:t>
      </w:r>
      <w:r>
        <w:rPr>
          <w:b/>
        </w:rPr>
        <w:t>~$330</w:t>
      </w:r>
      <w:r>
        <w:rPr/>
        <w:t xml:space="preserve"> — i.e. </w:t>
      </w:r>
      <w:r>
        <w:rPr>
          <w:b/>
        </w:rPr>
        <w:t>50% above the $220 intrinsic value</w:t>
      </w:r>
      <w:r>
        <w:rPr/>
        <w:t xml:space="preserve"> — he sold </w:t>
      </w:r>
      <w:r>
        <w:rPr>
          <w:b/>
        </w:rPr>
        <w:t>one quarter</w:t>
      </w:r>
      <w:r>
        <w:rPr/>
        <w:t xml:space="preserve"> of his shares.</w:t>
      </w:r>
    </w:p>
    <w:p>
      <w:pPr>
        <w:pStyle w:val="BodyText"/>
        <w:numPr>
          <w:ilvl w:val="0"/>
          <w:numId w:val="561"/>
        </w:numPr>
        <w:tabs>
          <w:tab w:val="clear" w:pos="709"/>
          <w:tab w:val="left" w:pos="709" w:leader="none"/>
        </w:tabs>
        <w:bidi w:val="0"/>
        <w:ind w:hanging="283" w:start="709"/>
        <w:jc w:val="start"/>
        <w:rPr/>
      </w:pPr>
      <w:r>
        <w:rPr/>
        <w:t xml:space="preserve">It dipped, then went parabolic again to </w:t>
      </w:r>
      <w:r>
        <w:rPr>
          <w:b/>
        </w:rPr>
        <w:t>~$440</w:t>
      </w:r>
      <w:r>
        <w:rPr/>
        <w:t xml:space="preserve"> — </w:t>
      </w:r>
      <w:r>
        <w:rPr>
          <w:b/>
        </w:rPr>
        <w:t>100% overvalued</w:t>
      </w:r>
      <w:r>
        <w:rPr/>
        <w:t xml:space="preserve"> — and he </w:t>
      </w:r>
      <w:r>
        <w:rPr>
          <w:b/>
        </w:rPr>
        <w:t>sold all remaining shares</w:t>
      </w:r>
      <w:r>
        <w:rPr/>
        <w:t xml:space="preserve"> (the remaining half sold above $440).</w:t>
      </w:r>
    </w:p>
    <w:p>
      <w:pPr>
        <w:pStyle w:val="BodyText"/>
        <w:numPr>
          <w:ilvl w:val="0"/>
          <w:numId w:val="561"/>
        </w:numPr>
        <w:tabs>
          <w:tab w:val="clear" w:pos="709"/>
          <w:tab w:val="left" w:pos="709" w:leader="none"/>
        </w:tabs>
        <w:bidi w:val="0"/>
        <w:ind w:hanging="283" w:start="709"/>
        <w:jc w:val="start"/>
        <w:rPr/>
      </w:pPr>
      <w:r>
        <w:rPr/>
        <w:t xml:space="preserve">Outcome: about a </w:t>
      </w:r>
      <w:r>
        <w:rPr>
          <w:b/>
        </w:rPr>
        <w:t>400% return</w:t>
      </w:r>
      <w:r>
        <w:rPr/>
        <w:t>. Trade alerts were sent to his ~</w:t>
      </w:r>
      <w:r>
        <w:rPr>
          <w:b/>
        </w:rPr>
        <w:t>3,000</w:t>
      </w:r>
      <w:r>
        <w:rPr/>
        <w:t xml:space="preserve"> UIP subscribers (via Telegram then; Discord now). He also sold </w:t>
      </w:r>
      <w:r>
        <w:rPr>
          <w:b/>
        </w:rPr>
        <w:t>Ping An Insurance</w:t>
      </w:r>
      <w:r>
        <w:rPr/>
        <w:t xml:space="preserve"> at the time.</w:t>
      </w:r>
    </w:p>
    <w:p>
      <w:pPr>
        <w:pStyle w:val="BodyText"/>
        <w:numPr>
          <w:ilvl w:val="0"/>
          <w:numId w:val="561"/>
        </w:numPr>
        <w:tabs>
          <w:tab w:val="clear" w:pos="709"/>
          <w:tab w:val="left" w:pos="709" w:leader="none"/>
        </w:tabs>
        <w:bidi w:val="0"/>
        <w:ind w:hanging="283" w:start="709"/>
        <w:jc w:val="start"/>
        <w:rPr/>
      </w:pPr>
      <w:r>
        <w:rPr/>
        <w:t xml:space="preserve">The stock later collapsed. </w:t>
      </w:r>
      <w:r>
        <w:rPr>
          <w:b/>
        </w:rPr>
        <w:t>He did not buy it back</w:t>
      </w:r>
      <w:r>
        <w:rPr/>
        <w:t xml:space="preserve">, because </w:t>
      </w:r>
      <w:r>
        <w:rPr>
          <w:b/>
        </w:rPr>
        <w:t>new Chinese government regulations totally changed Meituan's business model</w:t>
      </w:r>
      <w:r>
        <w:rPr/>
        <w:t xml:space="preserve"> — it was no longer a great business. "No matter how low it goes, I ain't buying it back."</w:t>
      </w:r>
    </w:p>
    <w:p>
      <w:pPr>
        <w:pStyle w:val="BodyText"/>
        <w:bidi w:val="0"/>
        <w:jc w:val="start"/>
        <w:rPr/>
      </w:pPr>
      <w:r>
        <w:rPr>
          <w:b/>
        </w:rPr>
        <w:t>Holding-period nuance by stock type:</w:t>
      </w:r>
    </w:p>
    <w:p>
      <w:pPr>
        <w:pStyle w:val="BodyText"/>
        <w:numPr>
          <w:ilvl w:val="0"/>
          <w:numId w:val="562"/>
        </w:numPr>
        <w:tabs>
          <w:tab w:val="clear" w:pos="709"/>
          <w:tab w:val="left" w:pos="709" w:leader="none"/>
        </w:tabs>
        <w:bidi w:val="0"/>
        <w:ind w:hanging="283" w:start="709"/>
        <w:jc w:val="start"/>
        <w:rPr/>
      </w:pPr>
      <w:r>
        <w:rPr>
          <w:b/>
        </w:rPr>
        <w:t>Secular / large-cap growth stocks</w:t>
      </w:r>
      <w:r>
        <w:rPr/>
        <w:t xml:space="preserve"> (Meta, Microsoft, Amazon, Nvidia) — he </w:t>
      </w:r>
      <w:r>
        <w:rPr>
          <w:b/>
        </w:rPr>
        <w:t>very rarely sells</w:t>
      </w:r>
      <w:r>
        <w:rPr/>
        <w:t>; holds many years unless ridiculously overpriced, because they keep compounding.</w:t>
      </w:r>
    </w:p>
    <w:p>
      <w:pPr>
        <w:pStyle w:val="BodyText"/>
        <w:numPr>
          <w:ilvl w:val="0"/>
          <w:numId w:val="562"/>
        </w:numPr>
        <w:tabs>
          <w:tab w:val="clear" w:pos="709"/>
          <w:tab w:val="left" w:pos="709" w:leader="none"/>
        </w:tabs>
        <w:bidi w:val="0"/>
        <w:ind w:hanging="283" w:start="709"/>
        <w:jc w:val="start"/>
        <w:rPr/>
      </w:pPr>
      <w:r>
        <w:rPr>
          <w:b/>
        </w:rPr>
        <w:t>Defensive companies</w:t>
      </w:r>
      <w:r>
        <w:rPr/>
        <w:t xml:space="preserve"> — also very rarely sold, unless they get crazy expensive.</w:t>
      </w:r>
    </w:p>
    <w:p>
      <w:pPr>
        <w:pStyle w:val="BodyText"/>
        <w:numPr>
          <w:ilvl w:val="0"/>
          <w:numId w:val="562"/>
        </w:numPr>
        <w:tabs>
          <w:tab w:val="clear" w:pos="709"/>
          <w:tab w:val="left" w:pos="709" w:leader="none"/>
        </w:tabs>
        <w:bidi w:val="0"/>
        <w:ind w:hanging="283" w:start="709"/>
        <w:jc w:val="start"/>
        <w:rPr/>
      </w:pPr>
      <w:r>
        <w:rPr>
          <w:b/>
        </w:rPr>
        <w:t>Deep cyclical stocks</w:t>
      </w:r>
      <w:r>
        <w:rPr/>
        <w:t xml:space="preserve"> — he </w:t>
      </w:r>
      <w:r>
        <w:rPr>
          <w:b/>
        </w:rPr>
        <w:t>very rarely buys</w:t>
      </w:r>
      <w:r>
        <w:rPr/>
        <w:t xml:space="preserve"> them, and when he does he does </w:t>
      </w:r>
      <w:r>
        <w:rPr>
          <w:b/>
        </w:rPr>
        <w:t>not hold them long</w:t>
      </w:r>
      <w:r>
        <w:rPr/>
        <w:t xml:space="preserve"> (see Sell Rule 4b).</w:t>
      </w:r>
    </w:p>
    <w:p>
      <w:pPr>
        <w:pStyle w:val="BodyText"/>
        <w:bidi w:val="0"/>
        <w:jc w:val="start"/>
        <w:rPr/>
      </w:pPr>
      <w:r>
        <w:rPr>
          <w:b/>
        </w:rPr>
        <w:t>SELL RULE 4b — the cyclical-stock exit (price-to-book band method).</w:t>
      </w:r>
      <w:r>
        <w:rPr/>
        <w:t xml:space="preserve"> Deep cyclicals = </w:t>
      </w:r>
      <w:r>
        <w:rPr>
          <w:b/>
        </w:rPr>
        <w:t>banks, insurance, industrial companies, real-estate companies / property developers, shipping companies, commodity companies</w:t>
      </w:r>
      <w:r>
        <w:rPr/>
        <w:t>. Their profits and share prices swing with the economic cycle — booming economy = big profits, weak economy = small profits or losses.</w:t>
      </w:r>
    </w:p>
    <w:p>
      <w:pPr>
        <w:pStyle w:val="BodyText"/>
        <w:bidi w:val="0"/>
        <w:jc w:val="start"/>
        <w:rPr/>
      </w:pPr>
      <w:r>
        <w:rPr/>
        <w:t xml:space="preserve">He only buys them </w:t>
      </w:r>
      <w:r>
        <w:rPr>
          <w:b/>
        </w:rPr>
        <w:t>near or at the bottom of the cycle</w:t>
      </w:r>
      <w:r>
        <w:rPr/>
        <w:t xml:space="preserve">, as a </w:t>
      </w:r>
      <w:r>
        <w:rPr>
          <w:b/>
        </w:rPr>
        <w:t>medium-term trade</w:t>
      </w:r>
      <w:r>
        <w:rPr/>
        <w:t xml:space="preserve">, and exits </w:t>
      </w:r>
      <w:r>
        <w:rPr>
          <w:b/>
        </w:rPr>
        <w:t>near the top of the cycle</w:t>
      </w:r>
      <w:r>
        <w:rPr/>
        <w:t xml:space="preserve">. The tool is the </w:t>
      </w:r>
      <w:r>
        <w:rPr>
          <w:b/>
        </w:rPr>
        <w:t>price-to-book (P/B) ratio</w:t>
      </w:r>
      <w:r>
        <w:rPr/>
        <w:t xml:space="preserve"> — specifically for </w:t>
      </w:r>
      <w:r>
        <w:rPr>
          <w:b/>
        </w:rPr>
        <w:t>banks, insurance companies and real-estate companies</w:t>
      </w:r>
      <w:r>
        <w:rPr/>
        <w:t xml:space="preserve">. On TradingView, add the </w:t>
      </w:r>
      <w:r>
        <w:rPr>
          <w:b/>
        </w:rPr>
        <w:t>price-to-book ratio indicator</w:t>
      </w:r>
      <w:r>
        <w:rPr/>
        <w:t>.</w:t>
      </w:r>
    </w:p>
    <w:p>
      <w:pPr>
        <w:pStyle w:val="BodyText"/>
        <w:bidi w:val="0"/>
        <w:jc w:val="start"/>
        <w:rPr/>
      </w:pPr>
      <w:r>
        <w:rPr>
          <w:i/>
        </w:rPr>
        <w:t>Worked example — JP Morgan, 10-year P/B history:</w:t>
      </w:r>
    </w:p>
    <w:p>
      <w:pPr>
        <w:pStyle w:val="BodyText"/>
        <w:numPr>
          <w:ilvl w:val="0"/>
          <w:numId w:val="563"/>
        </w:numPr>
        <w:tabs>
          <w:tab w:val="clear" w:pos="709"/>
          <w:tab w:val="left" w:pos="709" w:leader="none"/>
        </w:tabs>
        <w:bidi w:val="0"/>
        <w:ind w:hanging="283" w:start="709"/>
        <w:jc w:val="start"/>
        <w:rPr/>
      </w:pPr>
      <w:r>
        <w:rPr>
          <w:b/>
        </w:rPr>
        <w:t>10-year high P/B = 1.89</w:t>
      </w:r>
    </w:p>
    <w:p>
      <w:pPr>
        <w:pStyle w:val="BodyText"/>
        <w:numPr>
          <w:ilvl w:val="0"/>
          <w:numId w:val="563"/>
        </w:numPr>
        <w:tabs>
          <w:tab w:val="clear" w:pos="709"/>
          <w:tab w:val="left" w:pos="709" w:leader="none"/>
        </w:tabs>
        <w:bidi w:val="0"/>
        <w:ind w:hanging="283" w:start="709"/>
        <w:jc w:val="start"/>
        <w:rPr/>
      </w:pPr>
      <w:r>
        <w:rPr>
          <w:b/>
        </w:rPr>
        <w:t>10-year low P/B = 0.64</w:t>
      </w:r>
    </w:p>
    <w:p>
      <w:pPr>
        <w:pStyle w:val="BodyText"/>
        <w:numPr>
          <w:ilvl w:val="0"/>
          <w:numId w:val="563"/>
        </w:numPr>
        <w:tabs>
          <w:tab w:val="clear" w:pos="709"/>
          <w:tab w:val="left" w:pos="709" w:leader="none"/>
        </w:tabs>
        <w:bidi w:val="0"/>
        <w:spacing w:before="0" w:after="0"/>
        <w:ind w:hanging="283" w:start="709"/>
        <w:jc w:val="start"/>
        <w:rPr/>
      </w:pPr>
      <w:r>
        <w:rPr>
          <w:b/>
        </w:rPr>
        <w:t>Midpoint = (1.89 + 0.64) / 2 = 1.26</w:t>
      </w:r>
      <w:r>
        <w:rPr/>
        <w:t xml:space="preserve"> → the median line.</w:t>
      </w:r>
    </w:p>
    <w:p>
      <w:pPr>
        <w:pStyle w:val="BodyText"/>
        <w:numPr>
          <w:ilvl w:val="1"/>
          <w:numId w:val="563"/>
        </w:numPr>
        <w:tabs>
          <w:tab w:val="clear" w:pos="709"/>
          <w:tab w:val="left" w:pos="1418" w:leader="none"/>
        </w:tabs>
        <w:bidi w:val="0"/>
        <w:ind w:hanging="283" w:start="1418"/>
        <w:jc w:val="start"/>
        <w:rPr/>
      </w:pPr>
      <w:r>
        <w:rPr>
          <w:b/>
        </w:rPr>
        <w:t>Above 1.26 = getting expensive. Below 1.26 = getting cheap. He buys below the midline.</w:t>
      </w:r>
    </w:p>
    <w:p>
      <w:pPr>
        <w:pStyle w:val="BodyText"/>
        <w:numPr>
          <w:ilvl w:val="0"/>
          <w:numId w:val="563"/>
        </w:numPr>
        <w:tabs>
          <w:tab w:val="clear" w:pos="709"/>
          <w:tab w:val="left" w:pos="709" w:leader="none"/>
        </w:tabs>
        <w:bidi w:val="0"/>
        <w:ind w:hanging="283" w:start="709"/>
        <w:jc w:val="start"/>
        <w:rPr/>
      </w:pPr>
      <w:r>
        <w:rPr>
          <w:b/>
        </w:rPr>
        <w:t>Sell level = (10-year high + median) / 2 = (1.89 + 1.26) / 2 = 1.56</w:t>
      </w:r>
      <w:r>
        <w:rPr/>
        <w:t xml:space="preserve"> → the midpoint between the 10-year high and the 10-year median. </w:t>
      </w:r>
      <w:r>
        <w:rPr>
          <w:b/>
        </w:rPr>
        <w:t>When P/B reaches ~1.56, that's a sell.</w:t>
      </w:r>
    </w:p>
    <w:p>
      <w:pPr>
        <w:pStyle w:val="BodyText"/>
        <w:numPr>
          <w:ilvl w:val="0"/>
          <w:numId w:val="564"/>
        </w:numPr>
        <w:tabs>
          <w:tab w:val="clear" w:pos="709"/>
          <w:tab w:val="left" w:pos="709" w:leader="none"/>
        </w:tabs>
        <w:bidi w:val="0"/>
        <w:ind w:hanging="283" w:start="709"/>
        <w:jc w:val="start"/>
        <w:rPr/>
      </w:pPr>
      <w:r>
        <w:rPr/>
        <w:t>Accepting imperfection: after you sell it can still go higher — you can never sell exactly at the top.</w:t>
      </w:r>
    </w:p>
    <w:p>
      <w:pPr>
        <w:pStyle w:val="BodyText"/>
        <w:bidi w:val="0"/>
        <w:jc w:val="start"/>
        <w:rPr/>
      </w:pPr>
      <w:r>
        <w:rPr>
          <w:b/>
        </w:rPr>
        <w:t>Caveat to 4b — Singapore bank stocks.</w:t>
      </w:r>
      <w:r>
        <w:rPr/>
        <w:t xml:space="preserve"> He owns a lot of Singapore bank stocks and, although they are cyclical, he </w:t>
      </w:r>
      <w:r>
        <w:rPr>
          <w:b/>
        </w:rPr>
        <w:t>never sells them</w:t>
      </w:r>
      <w:r>
        <w:rPr/>
        <w:t xml:space="preserve">. Reason: he buys them </w:t>
      </w:r>
      <w:r>
        <w:rPr>
          <w:b/>
        </w:rPr>
        <w:t>not as medium-term trades but for dividends</w:t>
      </w:r>
      <w:r>
        <w:rPr/>
        <w:t xml:space="preserve">, entering when yields are very low-priced/high-yield at about </w:t>
      </w:r>
      <w:r>
        <w:rPr>
          <w:b/>
        </w:rPr>
        <w:t>5–6% dividend yield</w:t>
      </w:r>
      <w:r>
        <w:rPr/>
        <w:t xml:space="preserve">, locking in a </w:t>
      </w:r>
      <w:r>
        <w:rPr>
          <w:b/>
        </w:rPr>
        <w:t>tax-free</w:t>
      </w:r>
      <w:r>
        <w:rPr/>
        <w:t xml:space="preserve"> yield and holding for passive income year after year. </w:t>
      </w:r>
      <w:r>
        <w:rPr>
          <w:b/>
        </w:rPr>
        <w:t>US banks</w:t>
      </w:r>
      <w:r>
        <w:rPr/>
        <w:t xml:space="preserve"> he </w:t>
      </w:r>
      <w:r>
        <w:rPr>
          <w:i/>
        </w:rPr>
        <w:t>will</w:t>
      </w:r>
      <w:r>
        <w:rPr/>
        <w:t xml:space="preserve"> sell on the cycle, because their dividends are too small to justify holding.</w:t>
      </w:r>
    </w:p>
    <w:p>
      <w:pPr>
        <w:pStyle w:val="HorizontalLine"/>
        <w:bidi w:val="0"/>
        <w:jc w:val="start"/>
        <w:rPr/>
      </w:pPr>
      <w:r>
        <w:rPr/>
      </w:r>
    </w:p>
    <w:p>
      <w:pPr>
        <w:pStyle w:val="Heading4"/>
        <w:bidi w:val="0"/>
        <w:ind w:hanging="0" w:start="0"/>
        <w:jc w:val="start"/>
        <w:rPr/>
      </w:pPr>
      <w:r>
        <w:rPr/>
        <w:t>SELL RULE 5 — You found a better opportunity and need the cash to fund it</w:t>
      </w:r>
    </w:p>
    <w:p>
      <w:pPr>
        <w:pStyle w:val="BodyText"/>
        <w:bidi w:val="0"/>
        <w:jc w:val="start"/>
        <w:rPr/>
      </w:pPr>
      <w:r>
        <w:rPr/>
        <w:t xml:space="preserve">You own a great company, but you find another stock that is </w:t>
      </w:r>
      <w:r>
        <w:rPr>
          <w:b/>
        </w:rPr>
        <w:t>just as great or better</w:t>
      </w:r>
      <w:r>
        <w:rPr/>
        <w:t xml:space="preserve"> and/or </w:t>
      </w:r>
      <w:r>
        <w:rPr>
          <w:b/>
        </w:rPr>
        <w:t>more undervalued</w:t>
      </w:r>
      <w:r>
        <w:rPr/>
        <w:t xml:space="preserve">. If you </w:t>
      </w:r>
      <w:r>
        <w:rPr>
          <w:b/>
        </w:rPr>
        <w:t>don't have spare cash</w:t>
      </w:r>
      <w:r>
        <w:rPr/>
        <w:t xml:space="preserve">, there is nothing wrong with </w:t>
      </w:r>
      <w:r>
        <w:rPr>
          <w:b/>
        </w:rPr>
        <w:t>swapping</w:t>
      </w:r>
      <w:r>
        <w:rPr/>
        <w:t xml:space="preserve"> — selling the first to buy the second, or selling </w:t>
      </w:r>
      <w:r>
        <w:rPr>
          <w:b/>
        </w:rPr>
        <w:t>half</w:t>
      </w:r>
      <w:r>
        <w:rPr/>
        <w:t xml:space="preserve"> of the first and using the proceeds for the second. </w:t>
      </w:r>
      <w:r>
        <w:rPr>
          <w:b/>
        </w:rPr>
        <w:t>Condition:</w:t>
      </w:r>
      <w:r>
        <w:rPr/>
        <w:t xml:space="preserve"> this only applies when you lack the cash. </w:t>
      </w:r>
      <w:r>
        <w:rPr>
          <w:b/>
        </w:rPr>
        <w:t>If you have extra cash, hold the first and buy the second as well.</w:t>
      </w:r>
    </w:p>
    <w:p>
      <w:pPr>
        <w:pStyle w:val="HorizontalLine"/>
        <w:bidi w:val="0"/>
        <w:jc w:val="start"/>
        <w:rPr/>
      </w:pPr>
      <w:r>
        <w:rPr/>
      </w:r>
    </w:p>
    <w:p>
      <w:pPr>
        <w:pStyle w:val="Heading4"/>
        <w:bidi w:val="0"/>
        <w:ind w:hanging="0" w:start="0"/>
        <w:jc w:val="start"/>
        <w:rPr/>
      </w:pPr>
      <w:r>
        <w:rPr/>
        <w:t>SELL RULE 6 — You need the cash for personal expenses</w:t>
      </w:r>
    </w:p>
    <w:p>
      <w:pPr>
        <w:pStyle w:val="BodyText"/>
        <w:bidi w:val="0"/>
        <w:jc w:val="start"/>
        <w:rPr/>
      </w:pPr>
      <w:r>
        <w:rPr/>
        <w:t>Legitimate: funding a child's college, buying a car, renovating the house.</w:t>
      </w:r>
    </w:p>
    <w:p>
      <w:pPr>
        <w:pStyle w:val="BodyText"/>
        <w:bidi w:val="0"/>
        <w:jc w:val="start"/>
        <w:rPr/>
      </w:pPr>
      <w:r>
        <w:rPr>
          <w:b/>
        </w:rPr>
        <w:t>Framing via founders:</w:t>
      </w:r>
      <w:r>
        <w:rPr/>
        <w:t xml:space="preserve"> when </w:t>
      </w:r>
      <w:r>
        <w:rPr>
          <w:b/>
        </w:rPr>
        <w:t>Jeff Bezos</w:t>
      </w:r>
      <w:r>
        <w:rPr/>
        <w:t xml:space="preserve"> sells Amazon shares or </w:t>
      </w:r>
      <w:r>
        <w:rPr>
          <w:b/>
        </w:rPr>
        <w:t>Mark Zuckerberg</w:t>
      </w:r>
      <w:r>
        <w:rPr/>
        <w:t xml:space="preserve"> sells Meta shares, it usually does </w:t>
      </w:r>
      <w:r>
        <w:rPr>
          <w:b/>
        </w:rPr>
        <w:t>not</w:t>
      </w:r>
      <w:r>
        <w:rPr/>
        <w:t xml:space="preserve"> mean they are bearish — Bezos funds his rocket venture, Zuckerberg funds his charity. Founder selling ≠ bad company.</w:t>
      </w:r>
    </w:p>
    <w:p>
      <w:pPr>
        <w:pStyle w:val="BodyText"/>
        <w:bidi w:val="0"/>
        <w:jc w:val="start"/>
        <w:rPr/>
      </w:pPr>
      <w:r>
        <w:rPr>
          <w:b/>
        </w:rPr>
        <w:t>The attached money-management rule:</w:t>
      </w:r>
      <w:r>
        <w:rPr/>
        <w:t xml:space="preserve"> only invest money you </w:t>
      </w:r>
      <w:r>
        <w:rPr>
          <w:b/>
        </w:rPr>
        <w:t>do not need in the short term</w:t>
      </w:r>
      <w:r>
        <w:rPr/>
        <w:t xml:space="preserve">. Money you need in the </w:t>
      </w:r>
      <w:r>
        <w:rPr>
          <w:b/>
        </w:rPr>
        <w:t>next one or two years must not go into the stock market</w:t>
      </w:r>
      <w:r>
        <w:rPr/>
        <w:t xml:space="preserve"> — put it in </w:t>
      </w:r>
      <w:r>
        <w:rPr>
          <w:b/>
        </w:rPr>
        <w:t>short-term bonds that mature when you need the money, money-market funds, or a fixed/time deposit</w:t>
      </w:r>
      <w:r>
        <w:rPr/>
        <w:t xml:space="preserve">. In the short term markets can drop 50% or rise 50%; the worst outcome is being </w:t>
      </w:r>
      <w:r>
        <w:rPr>
          <w:b/>
        </w:rPr>
        <w:t>forced to sell great companies at a 50–60% discount</w:t>
      </w:r>
      <w:r>
        <w:rPr/>
        <w:t xml:space="preserve"> to raise cash you needed. </w:t>
      </w:r>
      <w:r>
        <w:rPr>
          <w:b/>
        </w:rPr>
        <w:t>Ideal timing:</w:t>
      </w:r>
      <w:r>
        <w:rPr/>
        <w:t xml:space="preserve"> raise personal-expense cash by selling </w:t>
      </w:r>
      <w:r>
        <w:rPr>
          <w:b/>
        </w:rPr>
        <w:t>when stocks are overvalued / at an all-time high</w:t>
      </w:r>
      <w:r>
        <w:rPr/>
        <w:t>, not when you're forced to.</w:t>
      </w:r>
    </w:p>
    <w:p>
      <w:pPr>
        <w:pStyle w:val="HorizontalLine"/>
        <w:bidi w:val="0"/>
        <w:jc w:val="start"/>
        <w:rPr/>
      </w:pPr>
      <w:r>
        <w:rPr/>
      </w:r>
    </w:p>
    <w:p>
      <w:pPr>
        <w:pStyle w:val="Heading3"/>
        <w:bidi w:val="0"/>
        <w:ind w:hanging="0" w:start="0"/>
        <w:jc w:val="start"/>
        <w:rPr/>
      </w:pPr>
      <w:r>
        <w:rPr/>
        <w:t xml:space="preserve">PART 6 — REASONS </w:t>
      </w:r>
      <w:r>
        <w:rPr>
          <w:i/>
        </w:rPr>
        <w:t>NOT</w:t>
      </w:r>
      <w:r>
        <w:rPr/>
        <w:t xml:space="preserve"> TO SELL (INVALID TRIGGERS)</w:t>
      </w:r>
    </w:p>
    <w:p>
      <w:pPr>
        <w:pStyle w:val="Heading4"/>
        <w:bidi w:val="0"/>
        <w:ind w:hanging="0" w:start="0"/>
        <w:jc w:val="start"/>
        <w:rPr/>
      </w:pPr>
      <w:r>
        <w:rPr/>
        <w:t>6.1 The seven bad reasons and the counter-arguments</w:t>
      </w:r>
    </w:p>
    <w:p>
      <w:pPr>
        <w:pStyle w:val="BodyText"/>
        <w:bidi w:val="0"/>
        <w:jc w:val="start"/>
        <w:rPr/>
      </w:pPr>
      <w:r>
        <w:rPr>
          <w:b/>
        </w:rPr>
        <w:t>BAD REASON 1 — "The price is too high" / "I want to lock in my unrealised gains."</w:t>
      </w:r>
      <w:r>
        <w:rPr/>
        <w:t> The mistake: the stock is up 20/30/40%, you get nervous about losing the paper profit and sell to "take profit." </w:t>
      </w:r>
      <w:r>
        <w:rPr>
          <w:b/>
        </w:rPr>
        <w:t>Counter:</w:t>
      </w:r>
      <w:r>
        <w:rPr/>
        <w:t xml:space="preserve"> that's a </w:t>
      </w:r>
      <w:r>
        <w:rPr>
          <w:b/>
        </w:rPr>
        <w:t>short-term trading mentality</w:t>
      </w:r>
      <w:r>
        <w:rPr/>
        <w:t xml:space="preserve">, not an investor's. To get a </w:t>
      </w:r>
      <w:r>
        <w:rPr>
          <w:b/>
        </w:rPr>
        <w:t>5x, 10x or 50x</w:t>
      </w:r>
      <w:r>
        <w:rPr/>
        <w:t xml:space="preserve"> stock you must </w:t>
      </w:r>
      <w:r>
        <w:rPr>
          <w:b/>
        </w:rPr>
        <w:t>resist selling at +50%, +100%, +150%, +200%</w:t>
      </w:r>
      <w:r>
        <w:rPr/>
        <w:t xml:space="preserve">. </w:t>
      </w:r>
      <w:r>
        <w:rPr>
          <w:b/>
        </w:rPr>
        <w:t>There is no such thing as "too high"</w:t>
      </w:r>
      <w:r>
        <w:rPr/>
        <w:t xml:space="preserve"> — high can go higher, especially when the business is growing and </w:t>
      </w:r>
      <w:r>
        <w:rPr>
          <w:b/>
        </w:rPr>
        <w:t>intrinsic value keeps rising</w:t>
      </w:r>
      <w:r>
        <w:rPr/>
        <w:t>. Stocks can run for years and decades; selling early cuts off the entire compounding tail.</w:t>
      </w:r>
    </w:p>
    <w:p>
      <w:pPr>
        <w:pStyle w:val="BodyText"/>
        <w:bidi w:val="0"/>
        <w:jc w:val="start"/>
        <w:rPr/>
      </w:pPr>
      <w:r>
        <w:rPr>
          <w:b/>
        </w:rPr>
        <w:t>BAD REASON 2 — "I'll sell high and buy back lower" (trading in and out).</w:t>
      </w:r>
      <w:r>
        <w:rPr/>
        <w:t> </w:t>
      </w:r>
      <w:r>
        <w:rPr>
          <w:b/>
        </w:rPr>
        <w:t>Counter:</w:t>
      </w:r>
      <w:r>
        <w:rPr/>
        <w:t xml:space="preserve"> he did exactly this for years — on Apple, Microsoft, Meta — and he </w:t>
      </w:r>
      <w:r>
        <w:rPr>
          <w:b/>
        </w:rPr>
        <w:t>made money doing it</w:t>
      </w:r>
      <w:r>
        <w:rPr/>
        <w:t xml:space="preserve">. But had he simply </w:t>
      </w:r>
      <w:r>
        <w:rPr>
          <w:b/>
        </w:rPr>
        <w:t>held Apple, Meta, Microsoft and Amazon for the last 20+ years</w:t>
      </w:r>
      <w:r>
        <w:rPr/>
        <w:t xml:space="preserve">, he'd be </w:t>
      </w:r>
      <w:r>
        <w:rPr>
          <w:b/>
        </w:rPr>
        <w:t>five to ten times richer</w:t>
      </w:r>
      <w:r>
        <w:rPr/>
        <w:t>. Two failure modes he lived through repeatedly:</w:t>
      </w:r>
    </w:p>
    <w:p>
      <w:pPr>
        <w:pStyle w:val="BodyText"/>
        <w:numPr>
          <w:ilvl w:val="0"/>
          <w:numId w:val="565"/>
        </w:numPr>
        <w:tabs>
          <w:tab w:val="clear" w:pos="709"/>
          <w:tab w:val="left" w:pos="709" w:leader="none"/>
        </w:tabs>
        <w:bidi w:val="0"/>
        <w:ind w:hanging="283" w:start="709"/>
        <w:jc w:val="start"/>
        <w:rPr/>
      </w:pPr>
      <w:r>
        <w:rPr/>
        <w:t xml:space="preserve">He sells near a perceived high; price dips slightly, then </w:t>
      </w:r>
      <w:r>
        <w:rPr>
          <w:b/>
        </w:rPr>
        <w:t>flies up without him</w:t>
      </w:r>
      <w:r>
        <w:rPr/>
        <w:t>; to re-enter he'd have to pay far more, missing 100–300% of upside.</w:t>
      </w:r>
    </w:p>
    <w:p>
      <w:pPr>
        <w:pStyle w:val="BodyText"/>
        <w:numPr>
          <w:ilvl w:val="0"/>
          <w:numId w:val="565"/>
        </w:numPr>
        <w:tabs>
          <w:tab w:val="clear" w:pos="709"/>
          <w:tab w:val="left" w:pos="709" w:leader="none"/>
        </w:tabs>
        <w:bidi w:val="0"/>
        <w:ind w:hanging="283" w:start="709"/>
        <w:jc w:val="start"/>
        <w:rPr/>
      </w:pPr>
      <w:r>
        <w:rPr/>
        <w:t xml:space="preserve">He sells, price </w:t>
      </w:r>
      <w:r>
        <w:rPr>
          <w:i/>
        </w:rPr>
        <w:t>does</w:t>
      </w:r>
      <w:r>
        <w:rPr/>
        <w:t xml:space="preserve"> fall, he plans to re-buy at a trend line — but it </w:t>
      </w:r>
      <w:r>
        <w:rPr>
          <w:b/>
        </w:rPr>
        <w:t>zooms up before reaching the trendline</w:t>
      </w:r>
      <w:r>
        <w:rPr/>
        <w:t xml:space="preserve"> and takes off without him. Yes, you can occasionally nail it. But </w:t>
      </w:r>
      <w:r>
        <w:rPr>
          <w:b/>
        </w:rPr>
        <w:t>over the long term you will mistime it often</w:t>
      </w:r>
      <w:r>
        <w:rPr/>
        <w:t xml:space="preserve"> and end up with far lower returns than simply holding.</w:t>
      </w:r>
    </w:p>
    <w:p>
      <w:pPr>
        <w:pStyle w:val="BodyText"/>
        <w:bidi w:val="0"/>
        <w:jc w:val="start"/>
        <w:rPr/>
      </w:pPr>
      <w:r>
        <w:rPr>
          <w:b/>
        </w:rPr>
        <w:t>Quantified illustration — Amazon, 2018–2020, trading the 50/150 moving-average crossovers (pre-split prices):</w:t>
      </w:r>
    </w:p>
    <w:p>
      <w:pPr>
        <w:pStyle w:val="BodyText"/>
        <w:numPr>
          <w:ilvl w:val="0"/>
          <w:numId w:val="566"/>
        </w:numPr>
        <w:tabs>
          <w:tab w:val="clear" w:pos="709"/>
          <w:tab w:val="left" w:pos="709" w:leader="none"/>
        </w:tabs>
        <w:bidi w:val="0"/>
        <w:ind w:hanging="283" w:start="709"/>
        <w:jc w:val="start"/>
        <w:rPr/>
      </w:pPr>
      <w:r>
        <w:rPr/>
        <w:t xml:space="preserve">Buy </w:t>
      </w:r>
      <w:r>
        <w:rPr>
          <w:b/>
        </w:rPr>
        <w:t>1,006</w:t>
      </w:r>
      <w:r>
        <w:rPr/>
        <w:t xml:space="preserve">; downtrend signal (50 crosses below 150) → sell </w:t>
      </w:r>
      <w:r>
        <w:rPr>
          <w:b/>
        </w:rPr>
        <w:t>1,330</w:t>
      </w:r>
      <w:r>
        <w:rPr/>
        <w:t xml:space="preserve"> → transcript states a </w:t>
      </w:r>
      <w:r>
        <w:rPr>
          <w:b/>
        </w:rPr>
        <w:t>−17%</w:t>
      </w:r>
      <w:r>
        <w:rPr/>
        <w:t xml:space="preserve"> leg outcome in the running total;</w:t>
      </w:r>
    </w:p>
    <w:p>
      <w:pPr>
        <w:pStyle w:val="BodyText"/>
        <w:numPr>
          <w:ilvl w:val="0"/>
          <w:numId w:val="566"/>
        </w:numPr>
        <w:tabs>
          <w:tab w:val="clear" w:pos="709"/>
          <w:tab w:val="left" w:pos="709" w:leader="none"/>
        </w:tabs>
        <w:bidi w:val="0"/>
        <w:ind w:hanging="283" w:start="709"/>
        <w:jc w:val="start"/>
        <w:rPr/>
      </w:pPr>
      <w:r>
        <w:rPr/>
        <w:t xml:space="preserve">Re-buy on uptrend at </w:t>
      </w:r>
      <w:r>
        <w:rPr>
          <w:b/>
        </w:rPr>
        <w:t>1,009</w:t>
      </w:r>
      <w:r>
        <w:rPr/>
        <w:t xml:space="preserve">; sell on downtrend at </w:t>
      </w:r>
      <w:r>
        <w:rPr>
          <w:b/>
        </w:rPr>
        <w:t>1,776</w:t>
      </w:r>
      <w:r>
        <w:rPr/>
        <w:t xml:space="preserve"> → </w:t>
      </w:r>
      <w:r>
        <w:rPr>
          <w:b/>
        </w:rPr>
        <w:t>−6.5%</w:t>
      </w:r>
      <w:r>
        <w:rPr/>
        <w:t xml:space="preserve"> leg;</w:t>
      </w:r>
    </w:p>
    <w:p>
      <w:pPr>
        <w:pStyle w:val="BodyText"/>
        <w:numPr>
          <w:ilvl w:val="0"/>
          <w:numId w:val="566"/>
        </w:numPr>
        <w:tabs>
          <w:tab w:val="clear" w:pos="709"/>
          <w:tab w:val="left" w:pos="709" w:leader="none"/>
        </w:tabs>
        <w:bidi w:val="0"/>
        <w:ind w:hanging="283" w:start="709"/>
        <w:jc w:val="start"/>
        <w:rPr/>
      </w:pPr>
      <w:r>
        <w:rPr/>
        <w:t xml:space="preserve">Re-buy at </w:t>
      </w:r>
      <w:r>
        <w:rPr>
          <w:b/>
        </w:rPr>
        <w:t>2,000</w:t>
      </w:r>
      <w:r>
        <w:rPr/>
        <w:t xml:space="preserve">; runs to </w:t>
      </w:r>
      <w:r>
        <w:rPr>
          <w:b/>
        </w:rPr>
        <w:t>3,352</w:t>
      </w:r>
      <w:r>
        <w:rPr/>
        <w:t xml:space="preserve"> → </w:t>
      </w:r>
      <w:r>
        <w:rPr>
          <w:b/>
        </w:rPr>
        <w:t>+62%</w:t>
      </w:r>
      <w:r>
        <w:rPr/>
        <w:t xml:space="preserve"> leg.</w:t>
      </w:r>
    </w:p>
    <w:p>
      <w:pPr>
        <w:pStyle w:val="BodyText"/>
        <w:numPr>
          <w:ilvl w:val="0"/>
          <w:numId w:val="566"/>
        </w:numPr>
        <w:tabs>
          <w:tab w:val="clear" w:pos="709"/>
          <w:tab w:val="left" w:pos="709" w:leader="none"/>
        </w:tabs>
        <w:bidi w:val="0"/>
        <w:ind w:hanging="283" w:start="709"/>
        <w:jc w:val="start"/>
        <w:rPr/>
      </w:pPr>
      <w:r>
        <w:rPr>
          <w:b/>
        </w:rPr>
        <w:t>Total from trading in and out: +24% over two years</w:t>
      </w:r>
      <w:r>
        <w:rPr/>
        <w:t xml:space="preserve"> (62 − 6.5 − 17).</w:t>
      </w:r>
    </w:p>
    <w:p>
      <w:pPr>
        <w:pStyle w:val="BodyText"/>
        <w:numPr>
          <w:ilvl w:val="0"/>
          <w:numId w:val="566"/>
        </w:numPr>
        <w:tabs>
          <w:tab w:val="clear" w:pos="709"/>
          <w:tab w:val="left" w:pos="709" w:leader="none"/>
        </w:tabs>
        <w:bidi w:val="0"/>
        <w:ind w:hanging="283" w:start="709"/>
        <w:jc w:val="start"/>
        <w:rPr/>
      </w:pPr>
      <w:r>
        <w:rPr>
          <w:b/>
        </w:rPr>
        <w:t>Simply buying and holding through the ups and downs: +108%.</w:t>
      </w:r>
    </w:p>
    <w:p>
      <w:pPr>
        <w:pStyle w:val="BodyText"/>
        <w:numPr>
          <w:ilvl w:val="0"/>
          <w:numId w:val="566"/>
        </w:numPr>
        <w:tabs>
          <w:tab w:val="clear" w:pos="709"/>
          <w:tab w:val="left" w:pos="709" w:leader="none"/>
        </w:tabs>
        <w:bidi w:val="0"/>
        <w:ind w:hanging="283" w:start="709"/>
        <w:jc w:val="start"/>
        <w:rPr/>
      </w:pPr>
      <w:r>
        <w:rPr/>
        <w:t xml:space="preserve">Longer horizons for Amazon: </w:t>
      </w:r>
      <w:r>
        <w:rPr>
          <w:b/>
        </w:rPr>
        <w:t>+610% over 5 years</w:t>
      </w:r>
      <w:r>
        <w:rPr/>
        <w:t xml:space="preserve">, </w:t>
      </w:r>
      <w:r>
        <w:rPr>
          <w:b/>
        </w:rPr>
        <w:t>+2,176% over 10 years</w:t>
      </w:r>
      <w:r>
        <w:rPr/>
        <w:t>. Very few investors capture even a fraction — they freak out on dips or take profits on pops and get thrown off the ride.</w:t>
      </w:r>
    </w:p>
    <w:p>
      <w:pPr>
        <w:pStyle w:val="BodyText"/>
        <w:bidi w:val="0"/>
        <w:jc w:val="start"/>
        <w:rPr/>
      </w:pPr>
      <w:r>
        <w:rPr>
          <w:b/>
        </w:rPr>
        <w:t>The relationship analogy:</w:t>
      </w:r>
      <w:r>
        <w:rPr/>
        <w:t xml:space="preserve"> great compounding companies are </w:t>
      </w:r>
      <w:r>
        <w:rPr>
          <w:b/>
        </w:rPr>
        <w:t>rare — less than 1% of US companies</w:t>
      </w:r>
      <w:r>
        <w:rPr/>
        <w:t xml:space="preserve"> are great companies to hold (Microsoft, Nvidia, Amazon, Meta). Finding one is like finding a great spouse — beautiful, funny, loyal, intelligent, kind. Once found, you hold on and go through their ups and downs. If you keep running away every time they're in a bad mood, one day you come back and they're gone. </w:t>
      </w:r>
      <w:r>
        <w:rPr>
          <w:b/>
        </w:rPr>
        <w:t>If you leave a great company, it will leave you behind.</w:t>
      </w:r>
    </w:p>
    <w:p>
      <w:pPr>
        <w:pStyle w:val="BlockQuotation"/>
        <w:bidi w:val="0"/>
        <w:jc w:val="start"/>
        <w:rPr/>
      </w:pPr>
      <w:r>
        <w:rPr>
          <w:b/>
        </w:rPr>
        <w:t>"Time in the markets is more important than timing the markets."</w:t>
      </w:r>
    </w:p>
    <w:p>
      <w:pPr>
        <w:pStyle w:val="BodyText"/>
        <w:bidi w:val="0"/>
        <w:jc w:val="start"/>
        <w:rPr/>
      </w:pPr>
      <w:r>
        <w:rPr>
          <w:b/>
        </w:rPr>
        <w:t>BAD REASON 3 — "A crash / recession is coming" (your own prediction or an expert's).</w:t>
      </w:r>
      <w:r>
        <w:rPr/>
        <w:t> </w:t>
      </w:r>
      <w:r>
        <w:rPr>
          <w:b/>
        </w:rPr>
        <w:t>Counter:</w:t>
      </w:r>
      <w:r>
        <w:rPr/>
        <w:t xml:space="preserve"> </w:t>
      </w:r>
      <w:r>
        <w:rPr>
          <w:b/>
        </w:rPr>
        <w:t>nobody can predict</w:t>
      </w:r>
      <w:r>
        <w:rPr/>
        <w:t xml:space="preserve"> the next recession or crash. Case in point </w:t>
      </w:r>
      <w:r>
        <w:rPr>
          <w:b/>
        </w:rPr>
        <w:t>2023</w:t>
      </w:r>
      <w:r>
        <w:rPr/>
        <w:t xml:space="preserve">: at the end of 2022 the majority of economists and analysts said a recession was inevitable and most predicted a crash. Investors </w:t>
      </w:r>
      <w:r>
        <w:rPr>
          <w:b/>
        </w:rPr>
        <w:t>sold near the bottom</w:t>
      </w:r>
      <w:r>
        <w:rPr/>
        <w:t xml:space="preserve"> at end-2022, and some </w:t>
      </w:r>
      <w:r>
        <w:rPr>
          <w:b/>
        </w:rPr>
        <w:t>shorted</w:t>
      </w:r>
      <w:r>
        <w:rPr/>
        <w:t xml:space="preserve">. In 2023 the </w:t>
      </w:r>
      <w:r>
        <w:rPr>
          <w:b/>
        </w:rPr>
        <w:t>S&amp;P 500 rose over 20%</w:t>
      </w:r>
      <w:r>
        <w:rPr/>
        <w:t xml:space="preserve"> and the </w:t>
      </w:r>
      <w:r>
        <w:rPr>
          <w:b/>
        </w:rPr>
        <w:t>NASDAQ over 40%</w:t>
      </w:r>
      <w:r>
        <w:rPr/>
        <w:t xml:space="preserve">. The sellers missed it and the shorts took huge losses. </w:t>
      </w:r>
      <w:r>
        <w:rPr>
          <w:b/>
        </w:rPr>
        <w:t>Never sell on an economic or market prediction.</w:t>
      </w:r>
    </w:p>
    <w:p>
      <w:pPr>
        <w:pStyle w:val="BodyText"/>
        <w:bidi w:val="0"/>
        <w:jc w:val="start"/>
        <w:rPr/>
      </w:pPr>
      <w:r>
        <w:rPr>
          <w:b/>
        </w:rPr>
        <w:t>BAD REASON 4 — Macro or geopolitical bad news.</w:t>
      </w:r>
      <w:r>
        <w:rPr/>
        <w:t> Inverted yield curve, negative GDP, high interest rates, a new war, declining M2, the Fed doing QT, an earthquake, a virus. </w:t>
      </w:r>
      <w:r>
        <w:rPr>
          <w:b/>
        </w:rPr>
        <w:t>Counter:</w:t>
      </w:r>
      <w:r>
        <w:rPr/>
        <w:t xml:space="preserve"> you will usually regret it — the market keeps rising, or dips slightly and rises without you. </w:t>
      </w:r>
      <w:r>
        <w:rPr>
          <w:b/>
        </w:rPr>
        <w:t>The wall-of-worry evidence:</w:t>
      </w:r>
      <w:r>
        <w:rPr/>
        <w:t xml:space="preserve"> from </w:t>
      </w:r>
      <w:r>
        <w:rPr>
          <w:b/>
        </w:rPr>
        <w:t>March 2009 to December 2019</w:t>
      </w:r>
      <w:r>
        <w:rPr/>
        <w:t xml:space="preserve"> the S&amp;P 500 gained </w:t>
      </w:r>
      <w:r>
        <w:rPr>
          <w:b/>
        </w:rPr>
        <w:t>495%</w:t>
      </w:r>
      <w:r>
        <w:rPr/>
        <w:t>. Very few investors captured a fraction of it, because the news scared them out (bad news drives views and eyeballs). The headlines through that 500% bull market included: 663,000 jobs lost in March; Chrysler and GM bankruptcies; the BP oil spill; the flash crash; the most powerful earthquake on record; the S&amp;P downgrade of US debt; the European sovereign debt crisis; a US government shutdown; Ebola contagion fears; Brexit; Charlottesville; the S&amp;P 500 entering a bear market; a second government shutdown; the trade war; yield-curve inversion; Iranian bombing; the emergency Fed injection into the repo market.</w:t>
      </w:r>
    </w:p>
    <w:p>
      <w:pPr>
        <w:pStyle w:val="BlockQuotation"/>
        <w:bidi w:val="0"/>
        <w:jc w:val="start"/>
        <w:rPr/>
      </w:pPr>
      <w:r>
        <w:rPr>
          <w:b/>
        </w:rPr>
        <w:t>"There is always something to worry about," and "the bull always climbs a wall of constant worry."</w:t>
      </w:r>
      <w:r>
        <w:rPr/>
        <w:t xml:space="preserve"> Peter Lynch: your success or failure depends on your ability to </w:t>
      </w:r>
      <w:r>
        <w:rPr>
          <w:b/>
        </w:rPr>
        <w:t>ignore the worries of the world long enough</w:t>
      </w:r>
      <w:r>
        <w:rPr/>
        <w:t xml:space="preserve"> to let your investments succeed.</w:t>
      </w:r>
    </w:p>
    <w:p>
      <w:pPr>
        <w:pStyle w:val="BodyText"/>
        <w:bidi w:val="0"/>
        <w:jc w:val="start"/>
        <w:rPr/>
      </w:pPr>
      <w:r>
        <w:rPr>
          <w:b/>
        </w:rPr>
        <w:t>BAD REASON 5 — Panic during a correction or bear market.</w:t>
      </w:r>
      <w:r>
        <w:rPr/>
        <w:t xml:space="preserve"> Corrections drop </w:t>
      </w:r>
      <w:r>
        <w:rPr>
          <w:b/>
        </w:rPr>
        <w:t>10–15%</w:t>
      </w:r>
      <w:r>
        <w:rPr/>
        <w:t xml:space="preserve">; bear markets drop </w:t>
      </w:r>
      <w:r>
        <w:rPr>
          <w:b/>
        </w:rPr>
        <w:t>20–25%</w:t>
      </w:r>
      <w:r>
        <w:rPr/>
        <w:t xml:space="preserve">. People who don't understand what they own start fearing the price will keep dropping forever or go to zero, and sell </w:t>
      </w:r>
      <w:r>
        <w:rPr>
          <w:b/>
        </w:rPr>
        <w:t>near or at the bottom</w:t>
      </w:r>
      <w:r>
        <w:rPr/>
        <w:t>. </w:t>
      </w:r>
      <w:r>
        <w:rPr>
          <w:b/>
        </w:rPr>
        <w:t>Counter / evidence:</w:t>
      </w:r>
      <w:r>
        <w:rPr/>
        <w:t xml:space="preserve"> many who sold at the </w:t>
      </w:r>
      <w:r>
        <w:rPr>
          <w:b/>
        </w:rPr>
        <w:t>March 2020</w:t>
      </w:r>
      <w:r>
        <w:rPr/>
        <w:t xml:space="preserve"> bear-market bottom then watched the market rocket </w:t>
      </w:r>
      <w:r>
        <w:rPr>
          <w:b/>
        </w:rPr>
        <w:t>~80% one year later</w:t>
      </w:r>
      <w:r>
        <w:rPr/>
        <w:t xml:space="preserve">. Many who panicked and sold in </w:t>
      </w:r>
      <w:r>
        <w:rPr>
          <w:b/>
        </w:rPr>
        <w:t>September/October 2022</w:t>
      </w:r>
      <w:r>
        <w:rPr/>
        <w:t xml:space="preserve"> — when everyone said it would get worse — watched 2023 rise </w:t>
      </w:r>
      <w:r>
        <w:rPr>
          <w:b/>
        </w:rPr>
        <w:t>20–40%</w:t>
      </w:r>
      <w:r>
        <w:rPr/>
        <w:t>. Stay invested in great companies and ride the temporary drawdowns.</w:t>
      </w:r>
    </w:p>
    <w:p>
      <w:pPr>
        <w:pStyle w:val="BodyText"/>
        <w:bidi w:val="0"/>
        <w:jc w:val="start"/>
        <w:rPr/>
      </w:pPr>
      <w:r>
        <w:rPr>
          <w:b/>
        </w:rPr>
        <w:t>BAD REASON 6 — Selling a great stock purely to reduce its allocation (mechanical rebalancing).</w:t>
      </w:r>
      <w:r>
        <w:rPr/>
        <w:t> The practice: fund managers rebalance at year-end to keep equal weights. </w:t>
      </w:r>
      <w:r>
        <w:rPr>
          <w:i/>
        </w:rPr>
        <w:t>Worked example</w:t>
      </w:r>
      <w:r>
        <w:rPr/>
        <w:t xml:space="preserve">: 10 stocks, </w:t>
      </w:r>
      <w:r>
        <w:rPr>
          <w:b/>
        </w:rPr>
        <w:t>$10,000 invested, $1,000 each = 10% allocations</w:t>
      </w:r>
      <w:r>
        <w:rPr/>
        <w:t xml:space="preserve">. One year later one winner (e.g. an Nvidia-type) </w:t>
      </w:r>
      <w:r>
        <w:rPr>
          <w:b/>
        </w:rPr>
        <w:t>doubles</w:t>
      </w:r>
      <w:r>
        <w:rPr/>
        <w:t xml:space="preserve"> while the rest are flat → the winner is now </w:t>
      </w:r>
      <w:r>
        <w:rPr>
          <w:b/>
        </w:rPr>
        <w:t>~18%</w:t>
      </w:r>
      <w:r>
        <w:rPr/>
        <w:t xml:space="preserve"> of the portfolio and each of the other nine is </w:t>
      </w:r>
      <w:r>
        <w:rPr>
          <w:b/>
        </w:rPr>
        <w:t>~9%</w:t>
      </w:r>
      <w:r>
        <w:rPr/>
        <w:t>. The manager sells down the winner and spreads the cash into the other nine to restore 10% each. </w:t>
      </w:r>
      <w:r>
        <w:rPr>
          <w:b/>
        </w:rPr>
        <w:t>Counter:</w:t>
      </w:r>
      <w:r>
        <w:rPr/>
        <w:t xml:space="preserve"> </w:t>
      </w:r>
      <w:r>
        <w:rPr>
          <w:b/>
        </w:rPr>
        <w:t>Warren Buffett and Peter Lynch both call this stupid.</w:t>
      </w:r>
      <w:r>
        <w:rPr/>
        <w:t xml:space="preserve"> If stock #1 is still a great business and still growing, </w:t>
      </w:r>
      <w:r>
        <w:rPr>
          <w:b/>
        </w:rPr>
        <w:t>do not sell it just because it's big</w:t>
      </w:r>
      <w:r>
        <w:rPr/>
        <w:t xml:space="preserve">. Buffett's Apple started as a normal-sized position and grew to </w:t>
      </w:r>
      <w:r>
        <w:rPr>
          <w:b/>
        </w:rPr>
        <w:t>~50% of his entire public portfolio</w:t>
      </w:r>
      <w:r>
        <w:rPr/>
        <w:t xml:space="preserve"> — he does </w:t>
      </w:r>
      <w:r>
        <w:rPr>
          <w:b/>
        </w:rPr>
        <w:t>not</w:t>
      </w:r>
      <w:r>
        <w:rPr/>
        <w:t xml:space="preserve"> trim it; as long as Apple stays great, keeps growing, keeps dominating and isn't too overpriced, it makes sense </w:t>
      </w:r>
      <w:r>
        <w:rPr>
          <w:b/>
        </w:rPr>
        <w:t>not only to hold but possibly to buy more</w:t>
      </w:r>
      <w:r>
        <w:rPr/>
        <w:t xml:space="preserve">. This is a key difference between super investors and ordinary fund managers — and part of why </w:t>
      </w:r>
      <w:r>
        <w:rPr>
          <w:b/>
        </w:rPr>
        <w:t>over 90% of fund managers can't beat the market</w:t>
      </w:r>
      <w:r>
        <w:rPr/>
        <w:t>.</w:t>
      </w:r>
    </w:p>
    <w:p>
      <w:pPr>
        <w:pStyle w:val="BlockQuotation"/>
        <w:bidi w:val="0"/>
        <w:jc w:val="start"/>
        <w:rPr/>
      </w:pPr>
      <w:r>
        <w:rPr/>
        <w:t xml:space="preserve">Peter Lynch: selling your winner to fund the others is </w:t>
      </w:r>
      <w:r>
        <w:rPr>
          <w:b/>
        </w:rPr>
        <w:t>"cutting the flowers and watering the weeds."</w:t>
      </w:r>
    </w:p>
    <w:p>
      <w:pPr>
        <w:pStyle w:val="BodyText"/>
        <w:bidi w:val="0"/>
        <w:jc w:val="start"/>
        <w:rPr/>
      </w:pPr>
      <w:r>
        <w:rPr>
          <w:b/>
        </w:rPr>
        <w:t>BAD REASON 7 — "The market/my portfolio is at an all-time high, so I should get out before it comes down."</w:t>
      </w:r>
      <w:r>
        <w:rPr/>
        <w:t> At all-time highs there are always two camps: chasers who want to buy more, and sellers who want out before a fall. </w:t>
      </w:r>
      <w:r>
        <w:rPr>
          <w:b/>
        </w:rPr>
        <w:t>Counter:</w:t>
      </w:r>
    </w:p>
    <w:p>
      <w:pPr>
        <w:pStyle w:val="BodyText"/>
        <w:numPr>
          <w:ilvl w:val="0"/>
          <w:numId w:val="567"/>
        </w:numPr>
        <w:tabs>
          <w:tab w:val="clear" w:pos="709"/>
          <w:tab w:val="left" w:pos="709" w:leader="none"/>
        </w:tabs>
        <w:bidi w:val="0"/>
        <w:ind w:hanging="283" w:start="709"/>
        <w:jc w:val="start"/>
        <w:rPr/>
      </w:pPr>
      <w:r>
        <w:rPr/>
        <w:t xml:space="preserve">If already invested, </w:t>
      </w:r>
      <w:r>
        <w:rPr>
          <w:b/>
        </w:rPr>
        <w:t>do not buy more</w:t>
      </w:r>
      <w:r>
        <w:rPr/>
        <w:t xml:space="preserve"> at an all-time high — follow the rules and only add when price drops to undervalued levels </w:t>
      </w:r>
      <w:r>
        <w:rPr>
          <w:b/>
        </w:rPr>
        <w:t>and</w:t>
      </w:r>
      <w:r>
        <w:rPr/>
        <w:t xml:space="preserve"> to support levels.</w:t>
      </w:r>
    </w:p>
    <w:p>
      <w:pPr>
        <w:pStyle w:val="BodyText"/>
        <w:numPr>
          <w:ilvl w:val="0"/>
          <w:numId w:val="567"/>
        </w:numPr>
        <w:tabs>
          <w:tab w:val="clear" w:pos="709"/>
          <w:tab w:val="left" w:pos="709" w:leader="none"/>
        </w:tabs>
        <w:bidi w:val="0"/>
        <w:ind w:hanging="283" w:start="709"/>
        <w:jc w:val="start"/>
        <w:rPr/>
      </w:pPr>
      <w:r>
        <w:rPr/>
        <w:t xml:space="preserve">But that does </w:t>
      </w:r>
      <w:r>
        <w:rPr>
          <w:b/>
        </w:rPr>
        <w:t>not</w:t>
      </w:r>
      <w:r>
        <w:rPr/>
        <w:t xml:space="preserve"> mean sell. He used to sell near perceived tops; sometimes it did dip, but then ran much higher without him; or it dipped and reversed up before he could re-buy. Holding through would have left him </w:t>
      </w:r>
      <w:r>
        <w:rPr>
          <w:b/>
        </w:rPr>
        <w:t>much richer</w:t>
      </w:r>
      <w:r>
        <w:rPr/>
        <w:t>.</w:t>
      </w:r>
    </w:p>
    <w:p>
      <w:pPr>
        <w:pStyle w:val="BodyText"/>
        <w:numPr>
          <w:ilvl w:val="0"/>
          <w:numId w:val="567"/>
        </w:numPr>
        <w:tabs>
          <w:tab w:val="clear" w:pos="709"/>
          <w:tab w:val="left" w:pos="709" w:leader="none"/>
        </w:tabs>
        <w:bidi w:val="0"/>
        <w:ind w:hanging="283" w:start="709"/>
        <w:jc w:val="start"/>
        <w:rPr/>
      </w:pPr>
      <w:r>
        <w:rPr>
          <w:b/>
        </w:rPr>
        <w:t>The risk of mistiming is asymmetric:</w:t>
      </w:r>
      <w:r>
        <w:rPr/>
        <w:t xml:space="preserve"> if you're </w:t>
      </w:r>
      <w:r>
        <w:rPr>
          <w:b/>
        </w:rPr>
        <w:t>in</w:t>
      </w:r>
      <w:r>
        <w:rPr/>
        <w:t xml:space="preserve"> the market and it drops, no problem — you're still in and it comes back. If you're </w:t>
      </w:r>
      <w:r>
        <w:rPr>
          <w:b/>
        </w:rPr>
        <w:t>out</w:t>
      </w:r>
      <w:r>
        <w:rPr/>
        <w:t xml:space="preserve"> and it runs, </w:t>
      </w:r>
      <w:r>
        <w:rPr>
          <w:b/>
        </w:rPr>
        <w:t>you can't get back in except at a much higher price</w:t>
      </w:r>
      <w:r>
        <w:rPr/>
        <w:t>.</w:t>
      </w:r>
    </w:p>
    <w:p>
      <w:pPr>
        <w:pStyle w:val="BlockQuotation"/>
        <w:bidi w:val="0"/>
        <w:jc w:val="start"/>
        <w:rPr/>
      </w:pPr>
      <w:r>
        <w:rPr>
          <w:b/>
        </w:rPr>
        <w:t>"The risk of staying out of the market over the long run is worse than the risk of staying in the market."</w:t>
      </w:r>
    </w:p>
    <w:p>
      <w:pPr>
        <w:pStyle w:val="Heading4"/>
        <w:bidi w:val="0"/>
        <w:ind w:hanging="0" w:start="0"/>
        <w:jc w:val="start"/>
        <w:rPr/>
      </w:pPr>
      <w:r>
        <w:rPr/>
        <w:t>6.2 The cost of missing the best days (why timing kills)</w:t>
      </w:r>
    </w:p>
    <w:p>
      <w:pPr>
        <w:pStyle w:val="BodyText"/>
        <w:bidi w:val="0"/>
        <w:jc w:val="start"/>
        <w:rPr/>
      </w:pPr>
      <w:r>
        <w:rPr>
          <w:b/>
        </w:rPr>
        <w:t>$10,000 invested in the S&amp;P 500 for 20 years, January 2003 to 2022:</w:t>
      </w:r>
    </w:p>
    <w:tbl>
      <w:tblPr>
        <w:tblW w:w="5000" w:type="pct"/>
        <w:jc w:val="start"/>
        <w:tblInd w:w="-5" w:type="dxa"/>
        <w:tblLayout w:type="fixed"/>
        <w:tblCellMar>
          <w:top w:w="55" w:type="dxa"/>
          <w:start w:w="55" w:type="dxa"/>
          <w:bottom w:w="55" w:type="dxa"/>
          <w:end w:w="55" w:type="dxa"/>
        </w:tblCellMar>
      </w:tblPr>
      <w:tblGrid>
        <w:gridCol w:w="4819"/>
        <w:gridCol w:w="4819"/>
      </w:tblGrid>
      <w:tr>
        <w:trPr>
          <w:tblHeader w:val="true"/>
        </w:trPr>
        <w:tc>
          <w:tcPr>
            <w:tcW w:w="4819" w:type="dxa"/>
            <w:tcBorders>
              <w:top w:val="single" w:sz="4" w:space="0" w:color="000000"/>
              <w:start w:val="single" w:sz="4" w:space="0" w:color="000000"/>
              <w:bottom w:val="single" w:sz="4" w:space="0" w:color="000000"/>
            </w:tcBorders>
          </w:tcPr>
          <w:p>
            <w:pPr>
              <w:pStyle w:val="TableHeading"/>
              <w:bidi w:val="0"/>
              <w:jc w:val="start"/>
              <w:rPr/>
            </w:pPr>
            <w:r>
              <w:rPr/>
              <w:t>Scenario</w:t>
            </w:r>
          </w:p>
        </w:tc>
        <w:tc>
          <w:tcPr>
            <w:tcW w:w="4819"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20-year return</w:t>
            </w:r>
          </w:p>
        </w:tc>
      </w:tr>
      <w:tr>
        <w:trPr/>
        <w:tc>
          <w:tcPr>
            <w:tcW w:w="4819" w:type="dxa"/>
            <w:tcBorders>
              <w:start w:val="single" w:sz="4" w:space="0" w:color="000000"/>
              <w:bottom w:val="single" w:sz="4" w:space="0" w:color="000000"/>
            </w:tcBorders>
          </w:tcPr>
          <w:p>
            <w:pPr>
              <w:pStyle w:val="TableContents"/>
              <w:bidi w:val="0"/>
              <w:jc w:val="start"/>
              <w:rPr/>
            </w:pPr>
            <w:r>
              <w:rPr/>
              <w:t>Fully invested (held through all ups and downs)</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b/>
              </w:rPr>
              <w:t>+548%</w:t>
            </w:r>
          </w:p>
        </w:tc>
      </w:tr>
      <w:tr>
        <w:trPr/>
        <w:tc>
          <w:tcPr>
            <w:tcW w:w="4819" w:type="dxa"/>
            <w:tcBorders>
              <w:start w:val="single" w:sz="4" w:space="0" w:color="000000"/>
              <w:bottom w:val="single" w:sz="4" w:space="0" w:color="000000"/>
            </w:tcBorders>
          </w:tcPr>
          <w:p>
            <w:pPr>
              <w:pStyle w:val="TableContents"/>
              <w:bidi w:val="0"/>
              <w:jc w:val="start"/>
              <w:rPr/>
            </w:pPr>
            <w:r>
              <w:rPr/>
              <w:t xml:space="preserve">Missed the best </w:t>
            </w:r>
            <w:r>
              <w:rPr>
                <w:b/>
              </w:rPr>
              <w:t>10</w:t>
            </w:r>
            <w:r>
              <w:rPr/>
              <w:t xml:space="preserve"> days</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b/>
              </w:rPr>
              <w:t>+197%</w:t>
            </w:r>
          </w:p>
        </w:tc>
      </w:tr>
      <w:tr>
        <w:trPr/>
        <w:tc>
          <w:tcPr>
            <w:tcW w:w="4819" w:type="dxa"/>
            <w:tcBorders>
              <w:start w:val="single" w:sz="4" w:space="0" w:color="000000"/>
              <w:bottom w:val="single" w:sz="4" w:space="0" w:color="000000"/>
            </w:tcBorders>
          </w:tcPr>
          <w:p>
            <w:pPr>
              <w:pStyle w:val="TableContents"/>
              <w:bidi w:val="0"/>
              <w:jc w:val="start"/>
              <w:rPr/>
            </w:pPr>
            <w:r>
              <w:rPr/>
              <w:t xml:space="preserve">Missed the best </w:t>
            </w:r>
            <w:r>
              <w:rPr>
                <w:b/>
              </w:rPr>
              <w:t>20</w:t>
            </w:r>
            <w:r>
              <w:rPr/>
              <w:t xml:space="preserve"> days</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b/>
              </w:rPr>
              <w:t>+78%</w:t>
            </w:r>
          </w:p>
        </w:tc>
      </w:tr>
      <w:tr>
        <w:trPr/>
        <w:tc>
          <w:tcPr>
            <w:tcW w:w="4819" w:type="dxa"/>
            <w:tcBorders>
              <w:start w:val="single" w:sz="4" w:space="0" w:color="000000"/>
              <w:bottom w:val="single" w:sz="4" w:space="0" w:color="000000"/>
            </w:tcBorders>
          </w:tcPr>
          <w:p>
            <w:pPr>
              <w:pStyle w:val="TableContents"/>
              <w:bidi w:val="0"/>
              <w:jc w:val="start"/>
              <w:rPr/>
            </w:pPr>
            <w:r>
              <w:rPr/>
              <w:t xml:space="preserve">Missed the best </w:t>
            </w:r>
            <w:r>
              <w:rPr>
                <w:b/>
              </w:rPr>
              <w:t>30</w:t>
            </w:r>
            <w:r>
              <w:rPr/>
              <w:t xml:space="preserve"> days</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b/>
              </w:rPr>
              <w:t>+17%</w:t>
            </w:r>
          </w:p>
        </w:tc>
      </w:tr>
      <w:tr>
        <w:trPr/>
        <w:tc>
          <w:tcPr>
            <w:tcW w:w="4819" w:type="dxa"/>
            <w:tcBorders>
              <w:start w:val="single" w:sz="4" w:space="0" w:color="000000"/>
              <w:bottom w:val="single" w:sz="4" w:space="0" w:color="000000"/>
            </w:tcBorders>
          </w:tcPr>
          <w:p>
            <w:pPr>
              <w:pStyle w:val="TableContents"/>
              <w:bidi w:val="0"/>
              <w:jc w:val="start"/>
              <w:rPr/>
            </w:pPr>
            <w:r>
              <w:rPr/>
              <w:t xml:space="preserve">Missed the best </w:t>
            </w:r>
            <w:r>
              <w:rPr>
                <w:b/>
              </w:rPr>
              <w:t>40</w:t>
            </w:r>
            <w:r>
              <w:rPr/>
              <w:t xml:space="preserve"> days</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b/>
              </w:rPr>
              <w:t>−</w:t>
            </w:r>
            <w:r>
              <w:rPr>
                <w:b/>
              </w:rPr>
              <w:t>19%</w:t>
            </w:r>
          </w:p>
        </w:tc>
      </w:tr>
      <w:tr>
        <w:trPr/>
        <w:tc>
          <w:tcPr>
            <w:tcW w:w="4819" w:type="dxa"/>
            <w:tcBorders>
              <w:start w:val="single" w:sz="4" w:space="0" w:color="000000"/>
              <w:bottom w:val="single" w:sz="4" w:space="0" w:color="000000"/>
            </w:tcBorders>
          </w:tcPr>
          <w:p>
            <w:pPr>
              <w:pStyle w:val="TableContents"/>
              <w:bidi w:val="0"/>
              <w:jc w:val="start"/>
              <w:rPr/>
            </w:pPr>
            <w:r>
              <w:rPr/>
              <w:t xml:space="preserve">Missed the best </w:t>
            </w:r>
            <w:r>
              <w:rPr>
                <w:b/>
              </w:rPr>
              <w:t>50</w:t>
            </w:r>
            <w:r>
              <w:rPr/>
              <w:t xml:space="preserve"> days</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b/>
              </w:rPr>
              <w:t>−</w:t>
            </w:r>
            <w:r>
              <w:rPr>
                <w:b/>
              </w:rPr>
              <w:t>42%</w:t>
            </w:r>
          </w:p>
        </w:tc>
      </w:tr>
      <w:tr>
        <w:trPr/>
        <w:tc>
          <w:tcPr>
            <w:tcW w:w="4819" w:type="dxa"/>
            <w:tcBorders>
              <w:start w:val="single" w:sz="4" w:space="0" w:color="000000"/>
              <w:bottom w:val="single" w:sz="4" w:space="0" w:color="000000"/>
            </w:tcBorders>
          </w:tcPr>
          <w:p>
            <w:pPr>
              <w:pStyle w:val="TableContents"/>
              <w:bidi w:val="0"/>
              <w:jc w:val="start"/>
              <w:rPr/>
            </w:pPr>
            <w:r>
              <w:rPr/>
              <w:t xml:space="preserve">Missed the best </w:t>
            </w:r>
            <w:r>
              <w:rPr>
                <w:b/>
              </w:rPr>
              <w:t>60</w:t>
            </w:r>
            <w:r>
              <w:rPr/>
              <w:t xml:space="preserve"> days</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b/>
              </w:rPr>
              <w:t>−</w:t>
            </w:r>
            <w:r>
              <w:rPr>
                <w:b/>
              </w:rPr>
              <w:t>57%</w:t>
            </w:r>
          </w:p>
        </w:tc>
      </w:tr>
    </w:tbl>
    <w:p>
      <w:pPr>
        <w:pStyle w:val="BodyText"/>
        <w:bidi w:val="0"/>
        <w:jc w:val="start"/>
        <w:rPr/>
      </w:pPr>
      <w:r>
        <w:rPr/>
      </w:r>
    </w:p>
    <w:p>
      <w:pPr>
        <w:pStyle w:val="BodyText"/>
        <w:numPr>
          <w:ilvl w:val="0"/>
          <w:numId w:val="568"/>
        </w:numPr>
        <w:tabs>
          <w:tab w:val="clear" w:pos="709"/>
          <w:tab w:val="left" w:pos="709" w:leader="none"/>
        </w:tabs>
        <w:bidi w:val="0"/>
        <w:ind w:hanging="283" w:start="709"/>
        <w:jc w:val="start"/>
        <w:rPr/>
      </w:pPr>
      <w:r>
        <w:rPr/>
        <w:t xml:space="preserve">Missing just </w:t>
      </w:r>
      <w:r>
        <w:rPr>
          <w:b/>
        </w:rPr>
        <w:t>10 days out of 20 years cuts returns by more than half</w:t>
      </w:r>
      <w:r>
        <w:rPr/>
        <w:t>.</w:t>
      </w:r>
    </w:p>
    <w:p>
      <w:pPr>
        <w:pStyle w:val="BodyText"/>
        <w:numPr>
          <w:ilvl w:val="0"/>
          <w:numId w:val="568"/>
        </w:numPr>
        <w:tabs>
          <w:tab w:val="clear" w:pos="709"/>
          <w:tab w:val="left" w:pos="709" w:leader="none"/>
        </w:tabs>
        <w:bidi w:val="0"/>
        <w:ind w:hanging="283" w:start="709"/>
        <w:jc w:val="start"/>
        <w:rPr/>
      </w:pPr>
      <w:r>
        <w:rPr>
          <w:b/>
        </w:rPr>
        <w:t>7 of the 10 best days in the entire 20-year history occurred during bear markets</w:t>
      </w:r>
      <w:r>
        <w:rPr/>
        <w:t xml:space="preserve"> — precisely when most investors are out of the market, which is why they end up with big losses.</w:t>
      </w:r>
    </w:p>
    <w:p>
      <w:pPr>
        <w:pStyle w:val="BodyText"/>
        <w:numPr>
          <w:ilvl w:val="0"/>
          <w:numId w:val="568"/>
        </w:numPr>
        <w:tabs>
          <w:tab w:val="clear" w:pos="709"/>
          <w:tab w:val="left" w:pos="709" w:leader="none"/>
        </w:tabs>
        <w:bidi w:val="0"/>
        <w:ind w:hanging="283" w:start="709"/>
        <w:jc w:val="start"/>
        <w:rPr/>
      </w:pPr>
      <w:r>
        <w:rPr/>
        <w:t xml:space="preserve">"But can't I just miss the 10 </w:t>
      </w:r>
      <w:r>
        <w:rPr>
          <w:i/>
        </w:rPr>
        <w:t>worst</w:t>
      </w:r>
      <w:r>
        <w:rPr/>
        <w:t xml:space="preserve"> days?" — only with a crystal ball. </w:t>
      </w:r>
      <w:r>
        <w:rPr>
          <w:b/>
        </w:rPr>
        <w:t>In trying to dodge the 10 worst days you will unknowingly miss the 10 best days.</w:t>
      </w:r>
      <w:r>
        <w:rPr/>
        <w:t xml:space="preserve"> Better to stay put and miss none.</w:t>
      </w:r>
    </w:p>
    <w:p>
      <w:pPr>
        <w:pStyle w:val="BodyText"/>
        <w:numPr>
          <w:ilvl w:val="0"/>
          <w:numId w:val="568"/>
        </w:numPr>
        <w:tabs>
          <w:tab w:val="clear" w:pos="709"/>
          <w:tab w:val="left" w:pos="709" w:leader="none"/>
        </w:tabs>
        <w:bidi w:val="0"/>
        <w:ind w:hanging="283" w:start="709"/>
        <w:jc w:val="start"/>
        <w:rPr/>
      </w:pPr>
      <w:r>
        <w:rPr/>
        <w:t xml:space="preserve">The market averages about </w:t>
      </w:r>
      <w:r>
        <w:rPr>
          <w:b/>
        </w:rPr>
        <w:t>10% a year</w:t>
      </w:r>
      <w:r>
        <w:rPr/>
        <w:t xml:space="preserve">, but it does not accrue smoothly — </w:t>
      </w:r>
      <w:r>
        <w:rPr>
          <w:b/>
        </w:rPr>
        <w:t>an entire year's return can arrive in a single day.</w:t>
      </w:r>
    </w:p>
    <w:p>
      <w:pPr>
        <w:pStyle w:val="BodyText"/>
        <w:numPr>
          <w:ilvl w:val="0"/>
          <w:numId w:val="568"/>
        </w:numPr>
        <w:tabs>
          <w:tab w:val="clear" w:pos="709"/>
          <w:tab w:val="left" w:pos="709" w:leader="none"/>
        </w:tabs>
        <w:bidi w:val="0"/>
        <w:ind w:hanging="283" w:start="709"/>
        <w:jc w:val="start"/>
        <w:rPr/>
      </w:pPr>
      <w:r>
        <w:rPr>
          <w:b/>
        </w:rPr>
        <w:t>His own screenshot evidence</w:t>
      </w:r>
      <w:r>
        <w:rPr/>
        <w:t xml:space="preserve"> from one such day (two Interactive Brokers portfolios): one portfolio </w:t>
      </w:r>
      <w:r>
        <w:rPr>
          <w:b/>
        </w:rPr>
        <w:t>+10.5%</w:t>
      </w:r>
      <w:r>
        <w:rPr/>
        <w:t xml:space="preserve"> and the other </w:t>
      </w:r>
      <w:r>
        <w:rPr>
          <w:b/>
        </w:rPr>
        <w:t>+10.83%</w:t>
      </w:r>
      <w:r>
        <w:rPr/>
        <w:t xml:space="preserve"> in a single day; </w:t>
      </w:r>
      <w:r>
        <w:rPr>
          <w:b/>
        </w:rPr>
        <w:t>+$175k</w:t>
      </w:r>
      <w:r>
        <w:rPr/>
        <w:t xml:space="preserve"> and </w:t>
      </w:r>
      <w:r>
        <w:rPr>
          <w:b/>
        </w:rPr>
        <w:t>+$231k</w:t>
      </w:r>
      <w:r>
        <w:rPr/>
        <w:t xml:space="preserve"> respectively — </w:t>
      </w:r>
      <w:r>
        <w:rPr>
          <w:b/>
        </w:rPr>
        <w:t>+$396,000 USD in one day.</w:t>
      </w:r>
      <w:r>
        <w:rPr/>
        <w:t xml:space="preserve"> Missing that one day would have changed his returns for that year and for the five-year period.</w:t>
      </w:r>
    </w:p>
    <w:p>
      <w:pPr>
        <w:pStyle w:val="BlockQuotation"/>
        <w:bidi w:val="0"/>
        <w:jc w:val="start"/>
        <w:rPr/>
      </w:pPr>
      <w:r>
        <w:rPr/>
        <w:t xml:space="preserve">Peter Lynch: </w:t>
      </w:r>
      <w:r>
        <w:rPr>
          <w:b/>
        </w:rPr>
        <w:t>far more money has been lost by investors preparing for or anticipating corrections than has been lost in the corrections themselves.</w:t>
      </w:r>
      <w:r>
        <w:rPr/>
        <w:t xml:space="preserve"> People predict a crash, get out or stay out, and lose far more in opportunity cost than they'd have lost by simply riding the short-term swings.</w:t>
      </w:r>
    </w:p>
    <w:p>
      <w:pPr>
        <w:pStyle w:val="Heading4"/>
        <w:bidi w:val="0"/>
        <w:ind w:hanging="0" w:start="0"/>
        <w:jc w:val="start"/>
        <w:rPr/>
      </w:pPr>
      <w:r>
        <w:rPr/>
        <w:t>6.3 Quoted words of wisdom he credits with changing his approach</w:t>
      </w:r>
    </w:p>
    <w:p>
      <w:pPr>
        <w:pStyle w:val="BodyText"/>
        <w:numPr>
          <w:ilvl w:val="0"/>
          <w:numId w:val="569"/>
        </w:numPr>
        <w:tabs>
          <w:tab w:val="clear" w:pos="709"/>
          <w:tab w:val="left" w:pos="709" w:leader="none"/>
        </w:tabs>
        <w:bidi w:val="0"/>
        <w:ind w:hanging="283" w:start="709"/>
        <w:jc w:val="start"/>
        <w:rPr/>
      </w:pPr>
      <w:r>
        <w:rPr>
          <w:b/>
        </w:rPr>
        <w:t>Charlie Munger:</w:t>
      </w:r>
      <w:r>
        <w:rPr/>
        <w:t xml:space="preserve"> the big money is not in the buying and selling, it is in the </w:t>
      </w:r>
      <w:r>
        <w:rPr>
          <w:b/>
        </w:rPr>
        <w:t>waiting</w:t>
      </w:r>
      <w:r>
        <w:rPr/>
        <w:t xml:space="preserve"> — sitting patiently. Few people can do it.</w:t>
      </w:r>
    </w:p>
    <w:p>
      <w:pPr>
        <w:pStyle w:val="BodyText"/>
        <w:numPr>
          <w:ilvl w:val="0"/>
          <w:numId w:val="569"/>
        </w:numPr>
        <w:tabs>
          <w:tab w:val="clear" w:pos="709"/>
          <w:tab w:val="left" w:pos="709" w:leader="none"/>
        </w:tabs>
        <w:bidi w:val="0"/>
        <w:ind w:hanging="283" w:start="709"/>
        <w:jc w:val="start"/>
        <w:rPr/>
      </w:pPr>
      <w:r>
        <w:rPr>
          <w:b/>
        </w:rPr>
        <w:t>Peter Lynch:</w:t>
      </w:r>
      <w:r>
        <w:rPr/>
        <w:t xml:space="preserve"> his best stocks delivered their greatest gains in the </w:t>
      </w:r>
      <w:r>
        <w:rPr>
          <w:b/>
        </w:rPr>
        <w:t>third, fourth or even fifth year</w:t>
      </w:r>
      <w:r>
        <w:rPr/>
        <w:t xml:space="preserve"> of ownership — not the third or fourth </w:t>
      </w:r>
      <w:r>
        <w:rPr>
          <w:i/>
        </w:rPr>
        <w:t>week</w:t>
      </w:r>
      <w:r>
        <w:rPr/>
        <w:t xml:space="preserve">. People want money rapidly; it doesn't work that way. You can make small money fast; you will </w:t>
      </w:r>
      <w:r>
        <w:rPr>
          <w:b/>
        </w:rPr>
        <w:t>never make millions with a short-term mentality</w:t>
      </w:r>
      <w:r>
        <w:rPr/>
        <w:t>.</w:t>
      </w:r>
    </w:p>
    <w:p>
      <w:pPr>
        <w:pStyle w:val="BodyText"/>
        <w:numPr>
          <w:ilvl w:val="0"/>
          <w:numId w:val="569"/>
        </w:numPr>
        <w:tabs>
          <w:tab w:val="clear" w:pos="709"/>
          <w:tab w:val="left" w:pos="709" w:leader="none"/>
        </w:tabs>
        <w:bidi w:val="0"/>
        <w:ind w:hanging="283" w:start="709"/>
        <w:jc w:val="start"/>
        <w:rPr/>
      </w:pPr>
      <w:r>
        <w:rPr>
          <w:b/>
        </w:rPr>
        <w:t>Charlie Munger:</w:t>
      </w:r>
      <w:r>
        <w:rPr/>
        <w:t xml:space="preserve"> the first rule of compounding is </w:t>
      </w:r>
      <w:r>
        <w:rPr>
          <w:b/>
        </w:rPr>
        <w:t>never interrupt it unnecessarily</w:t>
      </w:r>
      <w:r>
        <w:rPr/>
        <w:t>.</w:t>
      </w:r>
    </w:p>
    <w:p>
      <w:pPr>
        <w:pStyle w:val="BodyText"/>
        <w:numPr>
          <w:ilvl w:val="0"/>
          <w:numId w:val="569"/>
        </w:numPr>
        <w:tabs>
          <w:tab w:val="clear" w:pos="709"/>
          <w:tab w:val="left" w:pos="709" w:leader="none"/>
        </w:tabs>
        <w:bidi w:val="0"/>
        <w:ind w:hanging="283" w:start="709"/>
        <w:jc w:val="start"/>
        <w:rPr/>
      </w:pPr>
      <w:r>
        <w:rPr/>
        <w:t xml:space="preserve">The stock market is a </w:t>
      </w:r>
      <w:r>
        <w:rPr>
          <w:b/>
        </w:rPr>
        <w:t>device for transferring money from the impatient to the patient</w:t>
      </w:r>
      <w:r>
        <w:rPr/>
        <w:t>.</w:t>
      </w:r>
    </w:p>
    <w:p>
      <w:pPr>
        <w:pStyle w:val="Heading4"/>
        <w:numPr>
          <w:ilvl w:val="0"/>
          <w:numId w:val="0"/>
        </w:numPr>
        <w:bidi w:val="0"/>
        <w:ind w:hanging="0" w:start="0"/>
        <w:jc w:val="start"/>
        <w:rPr/>
      </w:pPr>
      <w:r>
        <w:rPr/>
        <w:t>6.4 The third option at market highs — hedging (optional)</w:t>
      </w:r>
    </w:p>
    <w:p>
      <w:pPr>
        <w:pStyle w:val="BodyText"/>
        <w:bidi w:val="0"/>
        <w:jc w:val="start"/>
        <w:rPr/>
      </w:pPr>
      <w:r>
        <w:rPr/>
        <w:t xml:space="preserve">Instead of holding blindly (option 1) or trying to sell high and buy back low (option 2, "good luck to you"), there is a </w:t>
      </w:r>
      <w:r>
        <w:rPr>
          <w:b/>
        </w:rPr>
        <w:t>third option</w:t>
      </w:r>
      <w:r>
        <w:rPr/>
        <w:t>:</w:t>
      </w:r>
    </w:p>
    <w:p>
      <w:pPr>
        <w:pStyle w:val="BodyText"/>
        <w:numPr>
          <w:ilvl w:val="0"/>
          <w:numId w:val="570"/>
        </w:numPr>
        <w:tabs>
          <w:tab w:val="clear" w:pos="709"/>
          <w:tab w:val="left" w:pos="709" w:leader="none"/>
        </w:tabs>
        <w:bidi w:val="0"/>
        <w:spacing w:before="0" w:after="0"/>
        <w:ind w:hanging="283" w:start="709"/>
        <w:jc w:val="start"/>
        <w:rPr/>
      </w:pPr>
      <w:r>
        <w:rPr>
          <w:b/>
        </w:rPr>
        <w:t>Hold your shares — don't sell</w:t>
      </w:r>
      <w:r>
        <w:rPr/>
        <w:t xml:space="preserve"> — and, if a correction or bear market is developing:</w:t>
      </w:r>
    </w:p>
    <w:p>
      <w:pPr>
        <w:pStyle w:val="BodyText"/>
        <w:numPr>
          <w:ilvl w:val="1"/>
          <w:numId w:val="570"/>
        </w:numPr>
        <w:tabs>
          <w:tab w:val="clear" w:pos="709"/>
          <w:tab w:val="left" w:pos="1418" w:leader="none"/>
        </w:tabs>
        <w:bidi w:val="0"/>
        <w:ind w:hanging="283" w:start="1418"/>
        <w:jc w:val="start"/>
        <w:rPr/>
      </w:pPr>
      <w:r>
        <w:rPr>
          <w:b/>
        </w:rPr>
        <w:t>Sell covered call options</w:t>
      </w:r>
      <w:r>
        <w:rPr/>
        <w:t xml:space="preserve"> to generate extra income while price corrects and consolidates.</w:t>
      </w:r>
    </w:p>
    <w:p>
      <w:pPr>
        <w:pStyle w:val="BodyText"/>
        <w:numPr>
          <w:ilvl w:val="1"/>
          <w:numId w:val="570"/>
        </w:numPr>
        <w:tabs>
          <w:tab w:val="clear" w:pos="709"/>
          <w:tab w:val="left" w:pos="1418" w:leader="none"/>
        </w:tabs>
        <w:bidi w:val="0"/>
        <w:ind w:hanging="283" w:start="1418"/>
        <w:jc w:val="start"/>
        <w:rPr/>
      </w:pPr>
      <w:r>
        <w:rPr>
          <w:b/>
        </w:rPr>
        <w:t>Buy protective put options</w:t>
      </w:r>
      <w:r>
        <w:rPr/>
        <w:t xml:space="preserve"> to generate profits as the market drops, offsetting the drawdown.</w:t>
      </w:r>
    </w:p>
    <w:p>
      <w:pPr>
        <w:pStyle w:val="BodyText"/>
        <w:numPr>
          <w:ilvl w:val="0"/>
          <w:numId w:val="570"/>
        </w:numPr>
        <w:tabs>
          <w:tab w:val="clear" w:pos="709"/>
          <w:tab w:val="left" w:pos="709" w:leader="none"/>
        </w:tabs>
        <w:bidi w:val="0"/>
        <w:ind w:hanging="283" w:start="709"/>
        <w:jc w:val="start"/>
        <w:rPr/>
      </w:pPr>
      <w:r>
        <w:rPr/>
        <w:t xml:space="preserve">Structures he showed from his own bear-market portfolios: </w:t>
      </w:r>
      <w:r>
        <w:rPr>
          <w:b/>
        </w:rPr>
        <w:t>calendar spreads</w:t>
      </w:r>
      <w:r>
        <w:rPr/>
        <w:t xml:space="preserve"> producing short-term profits while holdings fell; a </w:t>
      </w:r>
      <w:r>
        <w:rPr>
          <w:b/>
        </w:rPr>
        <w:t>bear put spread combo</w:t>
      </w:r>
      <w:r>
        <w:rPr/>
        <w:t xml:space="preserve"> producing put-option profits during a bear market. This is </w:t>
      </w:r>
      <w:r>
        <w:rPr>
          <w:b/>
        </w:rPr>
        <w:t>hedging</w:t>
      </w:r>
      <w:r>
        <w:rPr/>
        <w:t>.</w:t>
      </w:r>
    </w:p>
    <w:p>
      <w:pPr>
        <w:pStyle w:val="BodyText"/>
        <w:numPr>
          <w:ilvl w:val="0"/>
          <w:numId w:val="570"/>
        </w:numPr>
        <w:tabs>
          <w:tab w:val="clear" w:pos="709"/>
          <w:tab w:val="left" w:pos="709" w:leader="none"/>
        </w:tabs>
        <w:bidi w:val="0"/>
        <w:ind w:hanging="283" w:start="709"/>
        <w:jc w:val="start"/>
        <w:rPr/>
      </w:pPr>
      <w:r>
        <w:rPr>
          <w:b/>
        </w:rPr>
        <w:t>Explicitly optional:</w:t>
      </w:r>
      <w:r>
        <w:rPr/>
        <w:t xml:space="preserve"> "learning to hedge your portfolio is not a must. It is nice to have, but it's not a must." If you don't know how, just hold — you will still do very well simply holding great companies through short-term ups and downs. Options are taught in a separate Piranha Profits options trading course.</w:t>
      </w:r>
    </w:p>
    <w:p>
      <w:pPr>
        <w:pStyle w:val="HorizontalLine"/>
        <w:bidi w:val="0"/>
        <w:jc w:val="start"/>
        <w:rPr/>
      </w:pPr>
      <w:r>
        <w:rPr/>
      </w:r>
    </w:p>
    <w:p>
      <w:pPr>
        <w:pStyle w:val="Heading3"/>
        <w:bidi w:val="0"/>
        <w:ind w:hanging="0" w:start="0"/>
        <w:jc w:val="start"/>
        <w:rPr/>
      </w:pPr>
      <w:r>
        <w:rPr/>
        <w:t>KEY TAKEAWAYS</w:t>
      </w:r>
    </w:p>
    <w:p>
      <w:pPr>
        <w:pStyle w:val="BodyText"/>
        <w:numPr>
          <w:ilvl w:val="0"/>
          <w:numId w:val="571"/>
        </w:numPr>
        <w:tabs>
          <w:tab w:val="clear" w:pos="709"/>
          <w:tab w:val="left" w:pos="709" w:leader="none"/>
        </w:tabs>
        <w:bidi w:val="0"/>
        <w:ind w:hanging="283" w:start="709"/>
        <w:jc w:val="start"/>
        <w:rPr/>
      </w:pPr>
      <w:r>
        <w:rPr>
          <w:b/>
        </w:rPr>
        <w:t>The best ideas come from your own life.</w:t>
      </w:r>
      <w:r>
        <w:rPr/>
        <w:t xml:space="preserve"> Buy the businesses you personally patronise — consumer monopolies with brand power, market leadership and predictable revenue and cash flow. Do the daily inventory: soap, toothpaste, breakfast, groceries, car, lunch, dinner, software.</w:t>
      </w:r>
    </w:p>
    <w:p>
      <w:pPr>
        <w:pStyle w:val="BodyText"/>
        <w:numPr>
          <w:ilvl w:val="0"/>
          <w:numId w:val="571"/>
        </w:numPr>
        <w:tabs>
          <w:tab w:val="clear" w:pos="709"/>
          <w:tab w:val="left" w:pos="709" w:leader="none"/>
        </w:tabs>
        <w:bidi w:val="0"/>
        <w:ind w:hanging="283" w:start="709"/>
        <w:jc w:val="start"/>
        <w:rPr/>
      </w:pPr>
      <w:r>
        <w:rPr>
          <w:b/>
        </w:rPr>
        <w:t>Using a product is a lead, not a decision.</w:t>
      </w:r>
      <w:r>
        <w:rPr/>
        <w:t xml:space="preserve"> Every candidate must pass the </w:t>
      </w:r>
      <w:r>
        <w:rPr>
          <w:b/>
        </w:rPr>
        <w:t>7-step criteria</w:t>
      </w:r>
      <w:r>
        <w:rPr/>
        <w:t xml:space="preserve"> — Netflix is used in his household and still isn't owned (high maintenance capex, hit-or-miss content, not predictable).</w:t>
      </w:r>
    </w:p>
    <w:p>
      <w:pPr>
        <w:pStyle w:val="BodyText"/>
        <w:numPr>
          <w:ilvl w:val="0"/>
          <w:numId w:val="571"/>
        </w:numPr>
        <w:tabs>
          <w:tab w:val="clear" w:pos="709"/>
          <w:tab w:val="left" w:pos="709" w:leader="none"/>
        </w:tabs>
        <w:bidi w:val="0"/>
        <w:ind w:hanging="283" w:start="709"/>
        <w:jc w:val="start"/>
        <w:rPr/>
      </w:pPr>
      <w:r>
        <w:rPr>
          <w:b/>
        </w:rPr>
        <w:t>Bad news on great companies is the second-best source of ideas</w:t>
      </w:r>
      <w:r>
        <w:rPr/>
        <w:t xml:space="preserve"> — but only if the bad news is temporary and the moat is intact. Fraud accusations are the one exclusion.</w:t>
      </w:r>
    </w:p>
    <w:p>
      <w:pPr>
        <w:pStyle w:val="BodyText"/>
        <w:numPr>
          <w:ilvl w:val="0"/>
          <w:numId w:val="571"/>
        </w:numPr>
        <w:tabs>
          <w:tab w:val="clear" w:pos="709"/>
          <w:tab w:val="left" w:pos="709" w:leader="none"/>
        </w:tabs>
        <w:bidi w:val="0"/>
        <w:ind w:hanging="283" w:start="709"/>
        <w:jc w:val="start"/>
        <w:rPr/>
      </w:pPr>
      <w:r>
        <w:rPr>
          <w:b/>
        </w:rPr>
        <w:t>News points to the opportunity; fundamentals and technicals authorise the buy</w:t>
      </w:r>
      <w:r>
        <w:rPr/>
        <w:t xml:space="preserve"> — undervalued vs intrinsic value + at a support level + reversal pattern.</w:t>
      </w:r>
    </w:p>
    <w:p>
      <w:pPr>
        <w:pStyle w:val="BodyText"/>
        <w:numPr>
          <w:ilvl w:val="0"/>
          <w:numId w:val="571"/>
        </w:numPr>
        <w:tabs>
          <w:tab w:val="clear" w:pos="709"/>
          <w:tab w:val="left" w:pos="709" w:leader="none"/>
        </w:tabs>
        <w:bidi w:val="0"/>
        <w:ind w:hanging="283" w:start="709"/>
        <w:jc w:val="start"/>
        <w:rPr/>
      </w:pPr>
      <w:r>
        <w:rPr>
          <w:b/>
        </w:rPr>
        <w:t>Screeners shortlist; they never qualify.</w:t>
      </w:r>
      <w:r>
        <w:rPr/>
        <w:t xml:space="preserve"> Finviz free (P/E deliberately "Any"), GuruFocus paid for exact thresholds and non-US regions. </w:t>
      </w:r>
      <w:r>
        <w:rPr>
          <w:b/>
        </w:rPr>
        <w:t>Screen at least once a month.</w:t>
      </w:r>
    </w:p>
    <w:p>
      <w:pPr>
        <w:pStyle w:val="BodyText"/>
        <w:numPr>
          <w:ilvl w:val="0"/>
          <w:numId w:val="571"/>
        </w:numPr>
        <w:tabs>
          <w:tab w:val="clear" w:pos="709"/>
          <w:tab w:val="left" w:pos="709" w:leader="none"/>
        </w:tabs>
        <w:bidi w:val="0"/>
        <w:ind w:hanging="283" w:start="709"/>
        <w:jc w:val="start"/>
        <w:rPr/>
      </w:pPr>
      <w:r>
        <w:rPr>
          <w:b/>
        </w:rPr>
        <w:t>Follow super investors for ideas, never for orders.</w:t>
      </w:r>
      <w:r>
        <w:rPr/>
        <w:t xml:space="preserve"> Dataroma 13F data; the aggregate "most owned / most bought" lists are more useful than any one manager — and they can all be wrong (he sold Disney while they were buying it).</w:t>
      </w:r>
    </w:p>
    <w:p>
      <w:pPr>
        <w:pStyle w:val="BodyText"/>
        <w:numPr>
          <w:ilvl w:val="0"/>
          <w:numId w:val="571"/>
        </w:numPr>
        <w:tabs>
          <w:tab w:val="clear" w:pos="709"/>
          <w:tab w:val="left" w:pos="709" w:leader="none"/>
        </w:tabs>
        <w:bidi w:val="0"/>
        <w:ind w:hanging="283" w:start="709"/>
        <w:jc w:val="start"/>
        <w:rPr/>
      </w:pPr>
      <w:r>
        <w:rPr>
          <w:b/>
        </w:rPr>
        <w:t>Watch list of 20–30 great companies, 5 minutes a day; portfolio review under 10 minutes a day.</w:t>
      </w:r>
      <w:r>
        <w:rPr/>
        <w:t xml:space="preserve"> Mark the chart with an intrinsic-value line and </w:t>
      </w:r>
      <w:r>
        <w:rPr>
          <w:b/>
        </w:rPr>
        <w:t>3–4 support-based buy levels</w:t>
      </w:r>
      <w:r>
        <w:rPr/>
        <w:t>; buy a quarter at a time.</w:t>
      </w:r>
    </w:p>
    <w:p>
      <w:pPr>
        <w:pStyle w:val="BodyText"/>
        <w:numPr>
          <w:ilvl w:val="0"/>
          <w:numId w:val="571"/>
        </w:numPr>
        <w:tabs>
          <w:tab w:val="clear" w:pos="709"/>
          <w:tab w:val="left" w:pos="709" w:leader="none"/>
        </w:tabs>
        <w:bidi w:val="0"/>
        <w:ind w:hanging="283" w:start="709"/>
        <w:jc w:val="start"/>
        <w:rPr/>
      </w:pPr>
      <w:r>
        <w:rPr>
          <w:b/>
        </w:rPr>
        <w:t>Daily price moves are noise.</w:t>
      </w:r>
      <w:r>
        <w:rPr/>
        <w:t xml:space="preserve"> 9 of the 10 causes of a price drop are temporary and are buying opportunities. Only </w:t>
      </w:r>
      <w:r>
        <w:rPr>
          <w:b/>
        </w:rPr>
        <w:t>permanent structural damage</w:t>
      </w:r>
      <w:r>
        <w:rPr/>
        <w:t xml:space="preserve"> matters — and it takes years to develop, so you will see it coming.</w:t>
      </w:r>
    </w:p>
    <w:p>
      <w:pPr>
        <w:pStyle w:val="BodyText"/>
        <w:numPr>
          <w:ilvl w:val="0"/>
          <w:numId w:val="571"/>
        </w:numPr>
        <w:tabs>
          <w:tab w:val="clear" w:pos="709"/>
          <w:tab w:val="left" w:pos="709" w:leader="none"/>
        </w:tabs>
        <w:bidi w:val="0"/>
        <w:ind w:hanging="283" w:start="709"/>
        <w:jc w:val="start"/>
        <w:rPr/>
      </w:pPr>
      <w:r>
        <w:rPr>
          <w:b/>
        </w:rPr>
        <w:t>Read the quarterly report and the conference call transcript</w:t>
      </w:r>
      <w:r>
        <w:rPr/>
        <w:t xml:space="preserve"> (company IR page, Seeking Alpha, Google search). You're checking execution and management's explanation — not celebrating beats or mourning misses. Beats and misses are a coin toss.</w:t>
      </w:r>
    </w:p>
    <w:p>
      <w:pPr>
        <w:pStyle w:val="BodyText"/>
        <w:numPr>
          <w:ilvl w:val="0"/>
          <w:numId w:val="571"/>
        </w:numPr>
        <w:tabs>
          <w:tab w:val="clear" w:pos="709"/>
          <w:tab w:val="left" w:pos="709" w:leader="none"/>
        </w:tabs>
        <w:bidi w:val="0"/>
        <w:ind w:hanging="283" w:start="709"/>
        <w:jc w:val="start"/>
        <w:rPr/>
      </w:pPr>
      <w:r>
        <w:rPr>
          <w:b/>
        </w:rPr>
        <w:t>Drawdowns are unavoidable and psychological preparation is 70% of the game.</w:t>
      </w:r>
      <w:r>
        <w:rPr/>
        <w:t xml:space="preserve"> His own: −25% (2020), −30% (2022), yet +141% over five years. Buffett: −30%, −27%. Lynch: −56%, −42% — while returning 29% a year, and yet </w:t>
      </w:r>
      <w:r>
        <w:rPr>
          <w:b/>
        </w:rPr>
        <w:t>over 50% of his clients lost money</w:t>
      </w:r>
      <w:r>
        <w:rPr/>
        <w:t xml:space="preserve"> by buying high and selling low.</w:t>
      </w:r>
    </w:p>
    <w:p>
      <w:pPr>
        <w:pStyle w:val="BodyText"/>
        <w:numPr>
          <w:ilvl w:val="0"/>
          <w:numId w:val="571"/>
        </w:numPr>
        <w:tabs>
          <w:tab w:val="clear" w:pos="709"/>
          <w:tab w:val="left" w:pos="709" w:leader="none"/>
        </w:tabs>
        <w:bidi w:val="0"/>
        <w:ind w:hanging="283" w:start="709"/>
        <w:jc w:val="start"/>
        <w:rPr/>
      </w:pPr>
      <w:r>
        <w:rPr>
          <w:b/>
        </w:rPr>
        <w:t>Only six things justify a sale.</w:t>
      </w:r>
      <w:r>
        <w:rPr/>
        <w:t xml:space="preserve"> Permanent fundamental deterioration; an analytical mistake; management acting against shareholders; gross overvaluation (&gt;50–100% above intrinsic value); a strictly better opportunity when cash-constrained; a genuine personal cash need.</w:t>
      </w:r>
    </w:p>
    <w:p>
      <w:pPr>
        <w:pStyle w:val="BodyText"/>
        <w:numPr>
          <w:ilvl w:val="0"/>
          <w:numId w:val="571"/>
        </w:numPr>
        <w:tabs>
          <w:tab w:val="clear" w:pos="709"/>
          <w:tab w:val="left" w:pos="709" w:leader="none"/>
        </w:tabs>
        <w:bidi w:val="0"/>
        <w:ind w:hanging="283" w:start="709"/>
        <w:jc w:val="start"/>
        <w:rPr/>
      </w:pPr>
      <w:r>
        <w:rPr>
          <w:b/>
        </w:rPr>
        <w:t>Sell in tranches, just as you buy in tranches</w:t>
      </w:r>
      <w:r>
        <w:rPr/>
        <w:t xml:space="preserve"> — you can no more pick the top than the bottom.</w:t>
      </w:r>
    </w:p>
    <w:p>
      <w:pPr>
        <w:pStyle w:val="BodyText"/>
        <w:numPr>
          <w:ilvl w:val="0"/>
          <w:numId w:val="571"/>
        </w:numPr>
        <w:tabs>
          <w:tab w:val="clear" w:pos="709"/>
          <w:tab w:val="left" w:pos="709" w:leader="none"/>
        </w:tabs>
        <w:bidi w:val="0"/>
        <w:ind w:hanging="283" w:start="709"/>
        <w:jc w:val="start"/>
        <w:rPr/>
      </w:pPr>
      <w:r>
        <w:rPr>
          <w:b/>
        </w:rPr>
        <w:t>The technical confirmation of a sell is the parabolic move</w:t>
      </w:r>
      <w:r>
        <w:rPr/>
        <w:t>: a healthy uptrend runs ~45° near the 20 EMA; a 90° vertical run on long green candles is panic buying and usually the end.</w:t>
      </w:r>
    </w:p>
    <w:p>
      <w:pPr>
        <w:pStyle w:val="BodyText"/>
        <w:numPr>
          <w:ilvl w:val="0"/>
          <w:numId w:val="571"/>
        </w:numPr>
        <w:tabs>
          <w:tab w:val="clear" w:pos="709"/>
          <w:tab w:val="left" w:pos="709" w:leader="none"/>
        </w:tabs>
        <w:bidi w:val="0"/>
        <w:ind w:hanging="283" w:start="709"/>
        <w:jc w:val="start"/>
        <w:rPr/>
      </w:pPr>
      <w:r>
        <w:rPr>
          <w:b/>
        </w:rPr>
        <w:t>Cyclicals are the exception to buy-and-hold</w:t>
      </w:r>
      <w:r>
        <w:rPr/>
        <w:t xml:space="preserve"> — enter below the 10-year median P/B, exit at the midpoint of the median and the 10-year high (JPM: buy &lt; 1.26, sell ≈ 1.56). Unless, like his Singapore banks, you hold them purely for a locked-in 5–6% dividend yield.</w:t>
      </w:r>
    </w:p>
    <w:p>
      <w:pPr>
        <w:pStyle w:val="BodyText"/>
        <w:numPr>
          <w:ilvl w:val="0"/>
          <w:numId w:val="571"/>
        </w:numPr>
        <w:tabs>
          <w:tab w:val="clear" w:pos="709"/>
          <w:tab w:val="left" w:pos="709" w:leader="none"/>
        </w:tabs>
        <w:bidi w:val="0"/>
        <w:ind w:hanging="283" w:start="709"/>
        <w:jc w:val="start"/>
        <w:rPr/>
      </w:pPr>
      <w:r>
        <w:rPr>
          <w:b/>
        </w:rPr>
        <w:t>The biggest destroyer of returns is being out of the market.</w:t>
      </w:r>
      <w:r>
        <w:rPr/>
        <w:t xml:space="preserve"> Missing the 10 best days in 20 years cuts +548% to +197%; missing 40 turns it negative — and </w:t>
      </w:r>
      <w:r>
        <w:rPr>
          <w:b/>
        </w:rPr>
        <w:t>7 of the 10 best days happened inside bear markets</w:t>
      </w:r>
      <w:r>
        <w:rPr/>
        <w:t>.</w:t>
      </w:r>
    </w:p>
    <w:p>
      <w:pPr>
        <w:pStyle w:val="BodyText"/>
        <w:numPr>
          <w:ilvl w:val="0"/>
          <w:numId w:val="571"/>
        </w:numPr>
        <w:tabs>
          <w:tab w:val="clear" w:pos="709"/>
          <w:tab w:val="left" w:pos="709" w:leader="none"/>
        </w:tabs>
        <w:bidi w:val="0"/>
        <w:ind w:hanging="283" w:start="709"/>
        <w:jc w:val="start"/>
        <w:rPr/>
      </w:pPr>
      <w:r>
        <w:rPr>
          <w:b/>
        </w:rPr>
        <w:t>There is always something to worry about.</w:t>
      </w:r>
      <w:r>
        <w:rPr/>
        <w:t xml:space="preserve"> The bull climbs a wall of worry; the 2009–2019 500% bull market ran through jobs collapses, bankruptcies, downgrades, a debt crisis, Ebola, Brexit, shutdowns, a trade war and yield-curve inversion.</w:t>
      </w:r>
    </w:p>
    <w:p>
      <w:pPr>
        <w:pStyle w:val="BodyText"/>
        <w:numPr>
          <w:ilvl w:val="0"/>
          <w:numId w:val="571"/>
        </w:numPr>
        <w:tabs>
          <w:tab w:val="clear" w:pos="709"/>
          <w:tab w:val="left" w:pos="709" w:leader="none"/>
        </w:tabs>
        <w:bidi w:val="0"/>
        <w:ind w:hanging="283" w:start="709"/>
        <w:jc w:val="start"/>
        <w:rPr/>
      </w:pPr>
      <w:r>
        <w:rPr>
          <w:b/>
        </w:rPr>
        <w:t>Never invest money you need within one to two years</w:t>
      </w:r>
      <w:r>
        <w:rPr/>
        <w:t xml:space="preserve"> — use short-term bonds, money-market funds or fixed deposits, so you are never forced to sell great companies at a 50–60% discount.</w:t>
      </w:r>
    </w:p>
    <w:p>
      <w:pPr>
        <w:pStyle w:val="BodyText"/>
        <w:numPr>
          <w:ilvl w:val="0"/>
          <w:numId w:val="571"/>
        </w:numPr>
        <w:tabs>
          <w:tab w:val="clear" w:pos="709"/>
          <w:tab w:val="left" w:pos="709" w:leader="none"/>
        </w:tabs>
        <w:bidi w:val="0"/>
        <w:ind w:hanging="283" w:start="709"/>
        <w:jc w:val="start"/>
        <w:rPr/>
      </w:pPr>
      <w:r>
        <w:rPr>
          <w:b/>
        </w:rPr>
        <w:t>Don't cut the flowers to water the weeds.</w:t>
      </w:r>
      <w:r>
        <w:rPr/>
        <w:t xml:space="preserve"> Mechanical rebalancing out of a winner is why 90%+ of fund managers underperform. Buffett lets Apple sit at ~50% of his public portfolio.</w:t>
      </w:r>
    </w:p>
    <w:p>
      <w:pPr>
        <w:pStyle w:val="HorizontalLine"/>
        <w:bidi w:val="0"/>
        <w:jc w:val="start"/>
        <w:rPr/>
      </w:pPr>
      <w:r>
        <w:rPr/>
      </w:r>
    </w:p>
    <w:p>
      <w:pPr>
        <w:pStyle w:val="Heading3"/>
        <w:bidi w:val="0"/>
        <w:ind w:hanging="0" w:start="0"/>
        <w:jc w:val="start"/>
        <w:rPr/>
      </w:pPr>
      <w:r>
        <w:rPr/>
        <w:t>CHEAT SHEET A — SELL CHECKLIST (VALID TRIGGERS)</w:t>
      </w:r>
    </w:p>
    <w:tbl>
      <w:tblPr>
        <w:tblW w:w="5000" w:type="pct"/>
        <w:jc w:val="start"/>
        <w:tblInd w:w="-5" w:type="dxa"/>
        <w:tblLayout w:type="fixed"/>
        <w:tblCellMar>
          <w:top w:w="55" w:type="dxa"/>
          <w:start w:w="55" w:type="dxa"/>
          <w:bottom w:w="55" w:type="dxa"/>
          <w:end w:w="55" w:type="dxa"/>
        </w:tblCellMar>
      </w:tblPr>
      <w:tblGrid>
        <w:gridCol w:w="2409"/>
        <w:gridCol w:w="2410"/>
        <w:gridCol w:w="2409"/>
        <w:gridCol w:w="2410"/>
      </w:tblGrid>
      <w:tr>
        <w:trPr>
          <w:tblHeader w:val="true"/>
        </w:trPr>
        <w:tc>
          <w:tcPr>
            <w:tcW w:w="2409" w:type="dxa"/>
            <w:tcBorders>
              <w:top w:val="single" w:sz="4" w:space="0" w:color="000000"/>
              <w:start w:val="single" w:sz="4" w:space="0" w:color="000000"/>
              <w:bottom w:val="single" w:sz="4" w:space="0" w:color="000000"/>
            </w:tcBorders>
          </w:tcPr>
          <w:p>
            <w:pPr>
              <w:pStyle w:val="TableHeading"/>
              <w:bidi w:val="0"/>
              <w:jc w:val="start"/>
              <w:rPr/>
            </w:pPr>
            <w:r>
              <w:rPr/>
              <w:t>#</w:t>
            </w:r>
          </w:p>
        </w:tc>
        <w:tc>
          <w:tcPr>
            <w:tcW w:w="2410" w:type="dxa"/>
            <w:tcBorders>
              <w:top w:val="single" w:sz="4" w:space="0" w:color="000000"/>
              <w:start w:val="single" w:sz="4" w:space="0" w:color="000000"/>
              <w:bottom w:val="single" w:sz="4" w:space="0" w:color="000000"/>
            </w:tcBorders>
          </w:tcPr>
          <w:p>
            <w:pPr>
              <w:pStyle w:val="TableHeading"/>
              <w:bidi w:val="0"/>
              <w:jc w:val="start"/>
              <w:rPr/>
            </w:pPr>
            <w:r>
              <w:rPr/>
              <w:t>Trigger</w:t>
            </w:r>
          </w:p>
        </w:tc>
        <w:tc>
          <w:tcPr>
            <w:tcW w:w="2409" w:type="dxa"/>
            <w:tcBorders>
              <w:top w:val="single" w:sz="4" w:space="0" w:color="000000"/>
              <w:start w:val="single" w:sz="4" w:space="0" w:color="000000"/>
              <w:bottom w:val="single" w:sz="4" w:space="0" w:color="000000"/>
            </w:tcBorders>
          </w:tcPr>
          <w:p>
            <w:pPr>
              <w:pStyle w:val="TableHeading"/>
              <w:bidi w:val="0"/>
              <w:jc w:val="start"/>
              <w:rPr/>
            </w:pPr>
            <w:r>
              <w:rPr/>
              <w:t>Threshold / test</w:t>
            </w:r>
          </w:p>
        </w:tc>
        <w:tc>
          <w:tcPr>
            <w:tcW w:w="2410"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Action</w:t>
            </w:r>
          </w:p>
        </w:tc>
      </w:tr>
      <w:tr>
        <w:trPr/>
        <w:tc>
          <w:tcPr>
            <w:tcW w:w="2409" w:type="dxa"/>
            <w:tcBorders>
              <w:start w:val="single" w:sz="4" w:space="0" w:color="000000"/>
              <w:bottom w:val="single" w:sz="4" w:space="0" w:color="000000"/>
            </w:tcBorders>
          </w:tcPr>
          <w:p>
            <w:pPr>
              <w:pStyle w:val="TableContents"/>
              <w:bidi w:val="0"/>
              <w:jc w:val="start"/>
              <w:rPr/>
            </w:pPr>
            <w:r>
              <w:rPr/>
              <w:t>1</w:t>
            </w:r>
          </w:p>
        </w:tc>
        <w:tc>
          <w:tcPr>
            <w:tcW w:w="2410" w:type="dxa"/>
            <w:tcBorders>
              <w:start w:val="single" w:sz="4" w:space="0" w:color="000000"/>
              <w:bottom w:val="single" w:sz="4" w:space="0" w:color="000000"/>
            </w:tcBorders>
          </w:tcPr>
          <w:p>
            <w:pPr>
              <w:pStyle w:val="TableContents"/>
              <w:bidi w:val="0"/>
              <w:jc w:val="start"/>
              <w:rPr/>
            </w:pPr>
            <w:r>
              <w:rPr>
                <w:b/>
              </w:rPr>
              <w:t>Permanent fundamental deterioration</w:t>
            </w:r>
            <w:r>
              <w:rPr/>
              <w:t xml:space="preserve"> — moat destroyed by technology, competition or changed consumer preferences</w:t>
            </w:r>
          </w:p>
        </w:tc>
        <w:tc>
          <w:tcPr>
            <w:tcW w:w="2409" w:type="dxa"/>
            <w:tcBorders>
              <w:start w:val="single" w:sz="4" w:space="0" w:color="000000"/>
              <w:bottom w:val="single" w:sz="4" w:space="0" w:color="000000"/>
            </w:tcBorders>
          </w:tcPr>
          <w:p>
            <w:pPr>
              <w:pStyle w:val="TableContents"/>
              <w:bidi w:val="0"/>
              <w:jc w:val="start"/>
              <w:rPr/>
            </w:pPr>
            <w:r>
              <w:rPr/>
              <w:t xml:space="preserve">You and the people around you have </w:t>
            </w:r>
            <w:r>
              <w:rPr>
                <w:b/>
              </w:rPr>
              <w:t>stopped buying</w:t>
            </w:r>
            <w:r>
              <w:rPr/>
              <w:t xml:space="preserve"> the product; profit margins declining </w:t>
            </w:r>
            <w:r>
              <w:rPr>
                <w:b/>
              </w:rPr>
              <w:t>2–3 years straight</w:t>
            </w:r>
            <w:r>
              <w:rPr/>
              <w:t xml:space="preserve"> because of </w:t>
            </w:r>
            <w:r>
              <w:rPr>
                <w:b/>
              </w:rPr>
              <w:t>forced discounting</w:t>
            </w:r>
            <w:r>
              <w:rPr/>
              <w:t xml:space="preserve"> (lost pricing power); margins squeezed by higher cost of sales; </w:t>
            </w:r>
            <w:r>
              <w:rPr>
                <w:b/>
              </w:rPr>
              <w:t>market share falling 2 straight years</w:t>
            </w:r>
            <w:r>
              <w:rPr/>
              <w:t>; customers switching to competitors</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b/>
              </w:rPr>
              <w:t>Sell.</w:t>
            </w:r>
            <w:r>
              <w:rPr/>
              <w:t xml:space="preserve"> Rare — wide moats last 20+ yrs, narrow 10+ yrs — and it never happens overnight, so exit early</w:t>
            </w:r>
          </w:p>
        </w:tc>
      </w:tr>
      <w:tr>
        <w:trPr/>
        <w:tc>
          <w:tcPr>
            <w:tcW w:w="2409" w:type="dxa"/>
            <w:tcBorders>
              <w:start w:val="single" w:sz="4" w:space="0" w:color="000000"/>
              <w:bottom w:val="single" w:sz="4" w:space="0" w:color="000000"/>
            </w:tcBorders>
          </w:tcPr>
          <w:p>
            <w:pPr>
              <w:pStyle w:val="TableContents"/>
              <w:bidi w:val="0"/>
              <w:jc w:val="start"/>
              <w:rPr/>
            </w:pPr>
            <w:r>
              <w:rPr/>
              <w:t>2</w:t>
            </w:r>
          </w:p>
        </w:tc>
        <w:tc>
          <w:tcPr>
            <w:tcW w:w="2410" w:type="dxa"/>
            <w:tcBorders>
              <w:start w:val="single" w:sz="4" w:space="0" w:color="000000"/>
              <w:bottom w:val="single" w:sz="4" w:space="0" w:color="000000"/>
            </w:tcBorders>
          </w:tcPr>
          <w:p>
            <w:pPr>
              <w:pStyle w:val="TableContents"/>
              <w:bidi w:val="0"/>
              <w:jc w:val="start"/>
              <w:rPr/>
            </w:pPr>
            <w:r>
              <w:rPr>
                <w:b/>
              </w:rPr>
              <w:t>Accusation of financial fraud or financial irregularity</w:t>
            </w:r>
          </w:p>
        </w:tc>
        <w:tc>
          <w:tcPr>
            <w:tcW w:w="2409" w:type="dxa"/>
            <w:tcBorders>
              <w:start w:val="single" w:sz="4" w:space="0" w:color="000000"/>
              <w:bottom w:val="single" w:sz="4" w:space="0" w:color="000000"/>
            </w:tcBorders>
          </w:tcPr>
          <w:p>
            <w:pPr>
              <w:pStyle w:val="TableContents"/>
              <w:bidi w:val="0"/>
              <w:jc w:val="start"/>
              <w:rPr/>
            </w:pPr>
            <w:r>
              <w:rPr/>
              <w:t>Any credible accusation, regardless of company size or fame (Enron, WorldCom both went to zero)</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b/>
              </w:rPr>
              <w:t>Sell immediately. Don't look back.</w:t>
            </w:r>
          </w:p>
        </w:tc>
      </w:tr>
      <w:tr>
        <w:trPr/>
        <w:tc>
          <w:tcPr>
            <w:tcW w:w="2409" w:type="dxa"/>
            <w:tcBorders>
              <w:start w:val="single" w:sz="4" w:space="0" w:color="000000"/>
              <w:bottom w:val="single" w:sz="4" w:space="0" w:color="000000"/>
            </w:tcBorders>
          </w:tcPr>
          <w:p>
            <w:pPr>
              <w:pStyle w:val="TableContents"/>
              <w:bidi w:val="0"/>
              <w:jc w:val="start"/>
              <w:rPr/>
            </w:pPr>
            <w:r>
              <w:rPr/>
              <w:t>3</w:t>
            </w:r>
          </w:p>
        </w:tc>
        <w:tc>
          <w:tcPr>
            <w:tcW w:w="2410" w:type="dxa"/>
            <w:tcBorders>
              <w:start w:val="single" w:sz="4" w:space="0" w:color="000000"/>
              <w:bottom w:val="single" w:sz="4" w:space="0" w:color="000000"/>
            </w:tcBorders>
          </w:tcPr>
          <w:p>
            <w:pPr>
              <w:pStyle w:val="TableContents"/>
              <w:bidi w:val="0"/>
              <w:jc w:val="start"/>
              <w:rPr/>
            </w:pPr>
            <w:r>
              <w:rPr>
                <w:b/>
              </w:rPr>
              <w:t>You made a mistake in the original analysis</w:t>
            </w:r>
          </w:p>
        </w:tc>
        <w:tc>
          <w:tcPr>
            <w:tcW w:w="2409" w:type="dxa"/>
            <w:tcBorders>
              <w:start w:val="single" w:sz="4" w:space="0" w:color="000000"/>
              <w:bottom w:val="single" w:sz="4" w:space="0" w:color="000000"/>
            </w:tcBorders>
          </w:tcPr>
          <w:p>
            <w:pPr>
              <w:pStyle w:val="TableContents"/>
              <w:bidi w:val="0"/>
              <w:jc w:val="start"/>
              <w:rPr/>
            </w:pPr>
            <w:r>
              <w:rPr/>
              <w:t>Business isn't as great as you judged, or you were too optimistic in your valuation (Disney: content hit-or-miss, not predictable)</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b/>
              </w:rPr>
              <w:t>Sell all, take the loss, immediately redeploy into a great undervalued business</w:t>
            </w:r>
          </w:p>
        </w:tc>
      </w:tr>
      <w:tr>
        <w:trPr/>
        <w:tc>
          <w:tcPr>
            <w:tcW w:w="2409" w:type="dxa"/>
            <w:tcBorders>
              <w:start w:val="single" w:sz="4" w:space="0" w:color="000000"/>
              <w:bottom w:val="single" w:sz="4" w:space="0" w:color="000000"/>
            </w:tcBorders>
          </w:tcPr>
          <w:p>
            <w:pPr>
              <w:pStyle w:val="TableContents"/>
              <w:bidi w:val="0"/>
              <w:jc w:val="start"/>
              <w:rPr/>
            </w:pPr>
            <w:r>
              <w:rPr/>
              <w:t>4</w:t>
            </w:r>
          </w:p>
        </w:tc>
        <w:tc>
          <w:tcPr>
            <w:tcW w:w="2410" w:type="dxa"/>
            <w:tcBorders>
              <w:start w:val="single" w:sz="4" w:space="0" w:color="000000"/>
              <w:bottom w:val="single" w:sz="4" w:space="0" w:color="000000"/>
            </w:tcBorders>
          </w:tcPr>
          <w:p>
            <w:pPr>
              <w:pStyle w:val="TableContents"/>
              <w:bidi w:val="0"/>
              <w:jc w:val="start"/>
              <w:rPr/>
            </w:pPr>
            <w:r>
              <w:rPr>
                <w:b/>
              </w:rPr>
              <w:t>Management acts against shareholders</w:t>
            </w:r>
          </w:p>
        </w:tc>
        <w:tc>
          <w:tcPr>
            <w:tcW w:w="2409" w:type="dxa"/>
            <w:tcBorders>
              <w:start w:val="single" w:sz="4" w:space="0" w:color="000000"/>
              <w:bottom w:val="single" w:sz="4" w:space="0" w:color="000000"/>
            </w:tcBorders>
          </w:tcPr>
          <w:p>
            <w:pPr>
              <w:pStyle w:val="TableContents"/>
              <w:bidi w:val="0"/>
              <w:jc w:val="start"/>
              <w:rPr/>
            </w:pPr>
            <w:r>
              <w:rPr/>
              <w:t>Buybacks at all-time highs / while the business deteriorates; new share issuance despite a cash-rich balance sheet</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b/>
              </w:rPr>
              <w:t>Sell</w:t>
            </w:r>
          </w:p>
        </w:tc>
      </w:tr>
      <w:tr>
        <w:trPr/>
        <w:tc>
          <w:tcPr>
            <w:tcW w:w="2409" w:type="dxa"/>
            <w:tcBorders>
              <w:start w:val="single" w:sz="4" w:space="0" w:color="000000"/>
              <w:bottom w:val="single" w:sz="4" w:space="0" w:color="000000"/>
            </w:tcBorders>
          </w:tcPr>
          <w:p>
            <w:pPr>
              <w:pStyle w:val="TableContents"/>
              <w:bidi w:val="0"/>
              <w:jc w:val="start"/>
              <w:rPr/>
            </w:pPr>
            <w:r>
              <w:rPr/>
              <w:t>5</w:t>
            </w:r>
          </w:p>
        </w:tc>
        <w:tc>
          <w:tcPr>
            <w:tcW w:w="2410" w:type="dxa"/>
            <w:tcBorders>
              <w:start w:val="single" w:sz="4" w:space="0" w:color="000000"/>
              <w:bottom w:val="single" w:sz="4" w:space="0" w:color="000000"/>
            </w:tcBorders>
          </w:tcPr>
          <w:p>
            <w:pPr>
              <w:pStyle w:val="TableContents"/>
              <w:bidi w:val="0"/>
              <w:jc w:val="start"/>
              <w:rPr/>
            </w:pPr>
            <w:r>
              <w:rPr>
                <w:b/>
              </w:rPr>
              <w:t>Grossly overvalued</w:t>
            </w:r>
          </w:p>
        </w:tc>
        <w:tc>
          <w:tcPr>
            <w:tcW w:w="2409" w:type="dxa"/>
            <w:tcBorders>
              <w:start w:val="single" w:sz="4" w:space="0" w:color="000000"/>
              <w:bottom w:val="single" w:sz="4" w:space="0" w:color="000000"/>
            </w:tcBorders>
          </w:tcPr>
          <w:p>
            <w:pPr>
              <w:pStyle w:val="TableContents"/>
              <w:bidi w:val="0"/>
              <w:jc w:val="start"/>
              <w:rPr/>
            </w:pPr>
            <w:r>
              <w:rPr>
                <w:b/>
              </w:rPr>
              <w:t>&gt;50–100% above intrinsic value.</w:t>
            </w:r>
            <w:r>
              <w:rPr/>
              <w:t xml:space="preserve"> (10–30% overvalued = HOLD)</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b/>
              </w:rPr>
              <w:t>Start reducing — sell in tranches</w:t>
            </w:r>
            <w:r>
              <w:rPr/>
              <w:t xml:space="preserve"> (e.g. 25 shares at a time, or 1/3 → 1/2 → rest); redeploy into an equally great, cheaper business</w:t>
            </w:r>
          </w:p>
        </w:tc>
      </w:tr>
      <w:tr>
        <w:trPr/>
        <w:tc>
          <w:tcPr>
            <w:tcW w:w="2409" w:type="dxa"/>
            <w:tcBorders>
              <w:start w:val="single" w:sz="4" w:space="0" w:color="000000"/>
              <w:bottom w:val="single" w:sz="4" w:space="0" w:color="000000"/>
            </w:tcBorders>
          </w:tcPr>
          <w:p>
            <w:pPr>
              <w:pStyle w:val="TableContents"/>
              <w:bidi w:val="0"/>
              <w:jc w:val="start"/>
              <w:rPr/>
            </w:pPr>
            <w:r>
              <w:rPr/>
              <w:t>6</w:t>
            </w:r>
          </w:p>
        </w:tc>
        <w:tc>
          <w:tcPr>
            <w:tcW w:w="2410" w:type="dxa"/>
            <w:tcBorders>
              <w:start w:val="single" w:sz="4" w:space="0" w:color="000000"/>
              <w:bottom w:val="single" w:sz="4" w:space="0" w:color="000000"/>
            </w:tcBorders>
          </w:tcPr>
          <w:p>
            <w:pPr>
              <w:pStyle w:val="TableContents"/>
              <w:bidi w:val="0"/>
              <w:jc w:val="start"/>
              <w:rPr/>
            </w:pPr>
            <w:r>
              <w:rPr>
                <w:b/>
              </w:rPr>
              <w:t>Parabolic price action</w:t>
            </w:r>
            <w:r>
              <w:rPr/>
              <w:t xml:space="preserve"> (confirming trigger 5)</w:t>
            </w:r>
          </w:p>
        </w:tc>
        <w:tc>
          <w:tcPr>
            <w:tcW w:w="2409" w:type="dxa"/>
            <w:tcBorders>
              <w:start w:val="single" w:sz="4" w:space="0" w:color="000000"/>
              <w:bottom w:val="single" w:sz="4" w:space="0" w:color="000000"/>
            </w:tcBorders>
          </w:tcPr>
          <w:p>
            <w:pPr>
              <w:pStyle w:val="TableContents"/>
              <w:bidi w:val="0"/>
              <w:jc w:val="start"/>
              <w:rPr/>
            </w:pPr>
            <w:r>
              <w:rPr/>
              <w:t xml:space="preserve">Trend shifts from ~45° near the 20 EMA to a </w:t>
            </w:r>
            <w:r>
              <w:rPr>
                <w:b/>
              </w:rPr>
              <w:t>90° vertical run with long green candles</w:t>
            </w:r>
            <w:r>
              <w:rPr/>
              <w:t xml:space="preserve"> = panic buying, usually the end of the uptrend</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b/>
              </w:rPr>
              <w:t>Exit</w:t>
            </w:r>
            <w:r>
              <w:rPr/>
              <w:t>, especially if already overvalued</w:t>
            </w:r>
          </w:p>
        </w:tc>
      </w:tr>
      <w:tr>
        <w:trPr/>
        <w:tc>
          <w:tcPr>
            <w:tcW w:w="2409" w:type="dxa"/>
            <w:tcBorders>
              <w:start w:val="single" w:sz="4" w:space="0" w:color="000000"/>
              <w:bottom w:val="single" w:sz="4" w:space="0" w:color="000000"/>
            </w:tcBorders>
          </w:tcPr>
          <w:p>
            <w:pPr>
              <w:pStyle w:val="TableContents"/>
              <w:bidi w:val="0"/>
              <w:jc w:val="start"/>
              <w:rPr/>
            </w:pPr>
            <w:r>
              <w:rPr/>
              <w:t>7</w:t>
            </w:r>
          </w:p>
        </w:tc>
        <w:tc>
          <w:tcPr>
            <w:tcW w:w="2410" w:type="dxa"/>
            <w:tcBorders>
              <w:start w:val="single" w:sz="4" w:space="0" w:color="000000"/>
              <w:bottom w:val="single" w:sz="4" w:space="0" w:color="000000"/>
            </w:tcBorders>
          </w:tcPr>
          <w:p>
            <w:pPr>
              <w:pStyle w:val="TableContents"/>
              <w:bidi w:val="0"/>
              <w:jc w:val="start"/>
              <w:rPr/>
            </w:pPr>
            <w:r>
              <w:rPr>
                <w:b/>
              </w:rPr>
              <w:t>Cyclical stock reaches the top of its cycle</w:t>
            </w:r>
            <w:r>
              <w:rPr/>
              <w:t xml:space="preserve"> (banks, insurers, industrials, property, shipping, commodities)</w:t>
            </w:r>
          </w:p>
        </w:tc>
        <w:tc>
          <w:tcPr>
            <w:tcW w:w="2409" w:type="dxa"/>
            <w:tcBorders>
              <w:start w:val="single" w:sz="4" w:space="0" w:color="000000"/>
              <w:bottom w:val="single" w:sz="4" w:space="0" w:color="000000"/>
            </w:tcBorders>
          </w:tcPr>
          <w:p>
            <w:pPr>
              <w:pStyle w:val="TableContents"/>
              <w:bidi w:val="0"/>
              <w:jc w:val="start"/>
              <w:rPr/>
            </w:pPr>
            <w:r>
              <w:rPr/>
              <w:t xml:space="preserve">P/B reaches the </w:t>
            </w:r>
            <w:r>
              <w:rPr>
                <w:b/>
              </w:rPr>
              <w:t>midpoint between the 10-yr median and the 10-yr high</w:t>
            </w:r>
            <w:r>
              <w:rPr/>
              <w:t xml:space="preserve"> — JPM: high 1.89, low 0.64, median 1.26, </w:t>
            </w:r>
            <w:r>
              <w:rPr>
                <w:b/>
              </w:rPr>
              <w:t>sell ≈ 1.56</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b/>
              </w:rPr>
              <w:t>Sell the medium-term trade.</w:t>
            </w:r>
            <w:r>
              <w:rPr/>
              <w:t xml:space="preserve"> Exception: cyclicals held purely for locked-in 5–6% dividend yield are never sold</w:t>
            </w:r>
          </w:p>
        </w:tc>
      </w:tr>
      <w:tr>
        <w:trPr/>
        <w:tc>
          <w:tcPr>
            <w:tcW w:w="2409" w:type="dxa"/>
            <w:tcBorders>
              <w:start w:val="single" w:sz="4" w:space="0" w:color="000000"/>
              <w:bottom w:val="single" w:sz="4" w:space="0" w:color="000000"/>
            </w:tcBorders>
          </w:tcPr>
          <w:p>
            <w:pPr>
              <w:pStyle w:val="TableContents"/>
              <w:bidi w:val="0"/>
              <w:jc w:val="start"/>
              <w:rPr/>
            </w:pPr>
            <w:r>
              <w:rPr/>
              <w:t>8</w:t>
            </w:r>
          </w:p>
        </w:tc>
        <w:tc>
          <w:tcPr>
            <w:tcW w:w="2410" w:type="dxa"/>
            <w:tcBorders>
              <w:start w:val="single" w:sz="4" w:space="0" w:color="000000"/>
              <w:bottom w:val="single" w:sz="4" w:space="0" w:color="000000"/>
            </w:tcBorders>
          </w:tcPr>
          <w:p>
            <w:pPr>
              <w:pStyle w:val="TableContents"/>
              <w:bidi w:val="0"/>
              <w:jc w:val="start"/>
              <w:rPr/>
            </w:pPr>
            <w:r>
              <w:rPr>
                <w:b/>
              </w:rPr>
              <w:t>A strictly better opportunity and no spare cash</w:t>
            </w:r>
          </w:p>
        </w:tc>
        <w:tc>
          <w:tcPr>
            <w:tcW w:w="2409" w:type="dxa"/>
            <w:tcBorders>
              <w:start w:val="single" w:sz="4" w:space="0" w:color="000000"/>
              <w:bottom w:val="single" w:sz="4" w:space="0" w:color="000000"/>
            </w:tcBorders>
          </w:tcPr>
          <w:p>
            <w:pPr>
              <w:pStyle w:val="TableContents"/>
              <w:bidi w:val="0"/>
              <w:jc w:val="start"/>
              <w:rPr/>
            </w:pPr>
            <w:r>
              <w:rPr/>
              <w:t>The alternative is as great or better and more undervalued, and you have no cash to fund it</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b/>
              </w:rPr>
              <w:t>Swap</w:t>
            </w:r>
            <w:r>
              <w:rPr/>
              <w:t xml:space="preserve"> — sell all or half and redeploy. If you </w:t>
            </w:r>
            <w:r>
              <w:rPr>
                <w:i/>
              </w:rPr>
              <w:t>do</w:t>
            </w:r>
            <w:r>
              <w:rPr/>
              <w:t xml:space="preserve"> have cash, hold both</w:t>
            </w:r>
          </w:p>
        </w:tc>
      </w:tr>
      <w:tr>
        <w:trPr/>
        <w:tc>
          <w:tcPr>
            <w:tcW w:w="2409" w:type="dxa"/>
            <w:tcBorders>
              <w:start w:val="single" w:sz="4" w:space="0" w:color="000000"/>
              <w:bottom w:val="single" w:sz="4" w:space="0" w:color="000000"/>
            </w:tcBorders>
          </w:tcPr>
          <w:p>
            <w:pPr>
              <w:pStyle w:val="TableContents"/>
              <w:bidi w:val="0"/>
              <w:jc w:val="start"/>
              <w:rPr/>
            </w:pPr>
            <w:r>
              <w:rPr/>
              <w:t>9</w:t>
            </w:r>
          </w:p>
        </w:tc>
        <w:tc>
          <w:tcPr>
            <w:tcW w:w="2410" w:type="dxa"/>
            <w:tcBorders>
              <w:start w:val="single" w:sz="4" w:space="0" w:color="000000"/>
              <w:bottom w:val="single" w:sz="4" w:space="0" w:color="000000"/>
            </w:tcBorders>
          </w:tcPr>
          <w:p>
            <w:pPr>
              <w:pStyle w:val="TableContents"/>
              <w:bidi w:val="0"/>
              <w:jc w:val="start"/>
              <w:rPr/>
            </w:pPr>
            <w:r>
              <w:rPr>
                <w:b/>
              </w:rPr>
              <w:t>Genuine personal cash need</w:t>
            </w:r>
          </w:p>
        </w:tc>
        <w:tc>
          <w:tcPr>
            <w:tcW w:w="2409" w:type="dxa"/>
            <w:tcBorders>
              <w:start w:val="single" w:sz="4" w:space="0" w:color="000000"/>
              <w:bottom w:val="single" w:sz="4" w:space="0" w:color="000000"/>
            </w:tcBorders>
          </w:tcPr>
          <w:p>
            <w:pPr>
              <w:pStyle w:val="TableContents"/>
              <w:bidi w:val="0"/>
              <w:jc w:val="start"/>
              <w:rPr/>
            </w:pPr>
            <w:r>
              <w:rPr/>
              <w:t>College fees, a car, home renovation</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b/>
              </w:rPr>
              <w:t>Sell</w:t>
            </w:r>
            <w:r>
              <w:rPr/>
              <w:t xml:space="preserve"> — ideally when the holding is overvalued / at an all-time high, never under forced conditions</w:t>
            </w:r>
          </w:p>
        </w:tc>
      </w:tr>
    </w:tbl>
    <w:p>
      <w:pPr>
        <w:pStyle w:val="BodyText"/>
        <w:bidi w:val="0"/>
        <w:jc w:val="start"/>
        <w:rPr/>
      </w:pPr>
      <w:r>
        <w:rPr/>
      </w:r>
    </w:p>
    <w:p>
      <w:pPr>
        <w:pStyle w:val="HorizontalLine"/>
        <w:bidi w:val="0"/>
        <w:jc w:val="start"/>
        <w:rPr/>
      </w:pPr>
      <w:r>
        <w:rPr/>
      </w:r>
    </w:p>
    <w:p>
      <w:pPr>
        <w:pStyle w:val="Heading3"/>
        <w:bidi w:val="0"/>
        <w:ind w:hanging="0" w:start="0"/>
        <w:jc w:val="start"/>
        <w:rPr/>
      </w:pPr>
      <w:r>
        <w:rPr/>
        <w:t xml:space="preserve">CHEAT SHEET B — DO </w:t>
      </w:r>
      <w:r>
        <w:rPr>
          <w:b/>
        </w:rPr>
        <w:t>NOT</w:t>
      </w:r>
      <w:r>
        <w:rPr/>
        <w:t xml:space="preserve"> SELL BECAUSE…</w:t>
      </w:r>
    </w:p>
    <w:tbl>
      <w:tblPr>
        <w:tblW w:w="5000" w:type="pct"/>
        <w:jc w:val="start"/>
        <w:tblInd w:w="-5" w:type="dxa"/>
        <w:tblLayout w:type="fixed"/>
        <w:tblCellMar>
          <w:top w:w="55" w:type="dxa"/>
          <w:start w:w="55" w:type="dxa"/>
          <w:bottom w:w="55" w:type="dxa"/>
          <w:end w:w="55" w:type="dxa"/>
        </w:tblCellMar>
      </w:tblPr>
      <w:tblGrid>
        <w:gridCol w:w="3212"/>
        <w:gridCol w:w="3213"/>
        <w:gridCol w:w="3213"/>
      </w:tblGrid>
      <w:tr>
        <w:trPr>
          <w:tblHeader w:val="true"/>
        </w:trPr>
        <w:tc>
          <w:tcPr>
            <w:tcW w:w="3212" w:type="dxa"/>
            <w:tcBorders>
              <w:top w:val="single" w:sz="4" w:space="0" w:color="000000"/>
              <w:start w:val="single" w:sz="4" w:space="0" w:color="000000"/>
              <w:bottom w:val="single" w:sz="4" w:space="0" w:color="000000"/>
            </w:tcBorders>
          </w:tcPr>
          <w:p>
            <w:pPr>
              <w:pStyle w:val="TableHeading"/>
              <w:bidi w:val="0"/>
              <w:jc w:val="start"/>
              <w:rPr/>
            </w:pPr>
            <w:r>
              <w:rPr/>
              <w:t>#</w:t>
            </w:r>
          </w:p>
        </w:tc>
        <w:tc>
          <w:tcPr>
            <w:tcW w:w="3213" w:type="dxa"/>
            <w:tcBorders>
              <w:top w:val="single" w:sz="4" w:space="0" w:color="000000"/>
              <w:start w:val="single" w:sz="4" w:space="0" w:color="000000"/>
              <w:bottom w:val="single" w:sz="4" w:space="0" w:color="000000"/>
            </w:tcBorders>
          </w:tcPr>
          <w:p>
            <w:pPr>
              <w:pStyle w:val="TableHeading"/>
              <w:bidi w:val="0"/>
              <w:jc w:val="start"/>
              <w:rPr/>
            </w:pPr>
            <w:r>
              <w:rPr/>
              <w:t>Invalid trigger</w:t>
            </w:r>
          </w:p>
        </w:tc>
        <w:tc>
          <w:tcPr>
            <w:tcW w:w="3213"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Why it's wrong</w:t>
            </w:r>
          </w:p>
        </w:tc>
      </w:tr>
      <w:tr>
        <w:trPr/>
        <w:tc>
          <w:tcPr>
            <w:tcW w:w="3212" w:type="dxa"/>
            <w:tcBorders>
              <w:start w:val="single" w:sz="4" w:space="0" w:color="000000"/>
              <w:bottom w:val="single" w:sz="4" w:space="0" w:color="000000"/>
            </w:tcBorders>
          </w:tcPr>
          <w:p>
            <w:pPr>
              <w:pStyle w:val="TableContents"/>
              <w:bidi w:val="0"/>
              <w:jc w:val="start"/>
              <w:rPr/>
            </w:pPr>
            <w:r>
              <w:rPr/>
              <w:t>1</w:t>
            </w:r>
          </w:p>
        </w:tc>
        <w:tc>
          <w:tcPr>
            <w:tcW w:w="3213" w:type="dxa"/>
            <w:tcBorders>
              <w:start w:val="single" w:sz="4" w:space="0" w:color="000000"/>
              <w:bottom w:val="single" w:sz="4" w:space="0" w:color="000000"/>
            </w:tcBorders>
          </w:tcPr>
          <w:p>
            <w:pPr>
              <w:pStyle w:val="TableContents"/>
              <w:bidi w:val="0"/>
              <w:jc w:val="start"/>
              <w:rPr/>
            </w:pPr>
            <w:r>
              <w:rPr/>
              <w:t>"The price is too high" / "I want to lock in my unrealised gains"</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High can go higher; intrinsic value keeps rising. A 5x/10x/50x stock requires refusing to sell at +50%, +100%, +200%. Trader mentality, not investor</w:t>
            </w:r>
          </w:p>
        </w:tc>
      </w:tr>
      <w:tr>
        <w:trPr/>
        <w:tc>
          <w:tcPr>
            <w:tcW w:w="3212" w:type="dxa"/>
            <w:tcBorders>
              <w:start w:val="single" w:sz="4" w:space="0" w:color="000000"/>
              <w:bottom w:val="single" w:sz="4" w:space="0" w:color="000000"/>
            </w:tcBorders>
          </w:tcPr>
          <w:p>
            <w:pPr>
              <w:pStyle w:val="TableContents"/>
              <w:bidi w:val="0"/>
              <w:jc w:val="start"/>
              <w:rPr/>
            </w:pPr>
            <w:r>
              <w:rPr/>
              <w:t>2</w:t>
            </w:r>
          </w:p>
        </w:tc>
        <w:tc>
          <w:tcPr>
            <w:tcW w:w="3213" w:type="dxa"/>
            <w:tcBorders>
              <w:start w:val="single" w:sz="4" w:space="0" w:color="000000"/>
              <w:bottom w:val="single" w:sz="4" w:space="0" w:color="000000"/>
            </w:tcBorders>
          </w:tcPr>
          <w:p>
            <w:pPr>
              <w:pStyle w:val="TableContents"/>
              <w:bidi w:val="0"/>
              <w:jc w:val="start"/>
              <w:rPr/>
            </w:pPr>
            <w:r>
              <w:rPr/>
              <w:t>"I'll sell high and re-buy lower"</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 xml:space="preserve">Very high risk of mistiming. Amazon 2018–20: trading the crossovers gave </w:t>
            </w:r>
            <w:r>
              <w:rPr>
                <w:b/>
              </w:rPr>
              <w:t>+24%</w:t>
            </w:r>
            <w:r>
              <w:rPr/>
              <w:t xml:space="preserve"> vs </w:t>
            </w:r>
            <w:r>
              <w:rPr>
                <w:b/>
              </w:rPr>
              <w:t>+108%</w:t>
            </w:r>
            <w:r>
              <w:rPr/>
              <w:t xml:space="preserve"> for holding. He'd be </w:t>
            </w:r>
            <w:r>
              <w:rPr>
                <w:b/>
              </w:rPr>
              <w:t>5–10x richer</w:t>
            </w:r>
            <w:r>
              <w:rPr/>
              <w:t xml:space="preserve"> had he held Apple/Meta/Microsoft/Amazon for 20+ years</w:t>
            </w:r>
          </w:p>
        </w:tc>
      </w:tr>
      <w:tr>
        <w:trPr/>
        <w:tc>
          <w:tcPr>
            <w:tcW w:w="3212" w:type="dxa"/>
            <w:tcBorders>
              <w:start w:val="single" w:sz="4" w:space="0" w:color="000000"/>
              <w:bottom w:val="single" w:sz="4" w:space="0" w:color="000000"/>
            </w:tcBorders>
          </w:tcPr>
          <w:p>
            <w:pPr>
              <w:pStyle w:val="TableContents"/>
              <w:bidi w:val="0"/>
              <w:jc w:val="start"/>
              <w:rPr/>
            </w:pPr>
            <w:r>
              <w:rPr/>
              <w:t>3</w:t>
            </w:r>
          </w:p>
        </w:tc>
        <w:tc>
          <w:tcPr>
            <w:tcW w:w="3213" w:type="dxa"/>
            <w:tcBorders>
              <w:start w:val="single" w:sz="4" w:space="0" w:color="000000"/>
              <w:bottom w:val="single" w:sz="4" w:space="0" w:color="000000"/>
            </w:tcBorders>
          </w:tcPr>
          <w:p>
            <w:pPr>
              <w:pStyle w:val="TableContents"/>
              <w:bidi w:val="0"/>
              <w:jc w:val="start"/>
              <w:rPr/>
            </w:pPr>
            <w:r>
              <w:rPr/>
              <w:t>"A crash / recession is coming" (your prediction or an expert's)</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 xml:space="preserve">Nobody can predict it. End-2022 consensus said recession was inevitable; 2023 gave </w:t>
            </w:r>
            <w:r>
              <w:rPr>
                <w:b/>
              </w:rPr>
              <w:t>S&amp;P +20%, NASDAQ +40%</w:t>
            </w:r>
            <w:r>
              <w:rPr/>
              <w:t>. Sellers missed it; shorts got crushed</w:t>
            </w:r>
          </w:p>
        </w:tc>
      </w:tr>
      <w:tr>
        <w:trPr/>
        <w:tc>
          <w:tcPr>
            <w:tcW w:w="3212" w:type="dxa"/>
            <w:tcBorders>
              <w:start w:val="single" w:sz="4" w:space="0" w:color="000000"/>
              <w:bottom w:val="single" w:sz="4" w:space="0" w:color="000000"/>
            </w:tcBorders>
          </w:tcPr>
          <w:p>
            <w:pPr>
              <w:pStyle w:val="TableContents"/>
              <w:bidi w:val="0"/>
              <w:jc w:val="start"/>
              <w:rPr/>
            </w:pPr>
            <w:r>
              <w:rPr/>
              <w:t>4</w:t>
            </w:r>
          </w:p>
        </w:tc>
        <w:tc>
          <w:tcPr>
            <w:tcW w:w="3213" w:type="dxa"/>
            <w:tcBorders>
              <w:start w:val="single" w:sz="4" w:space="0" w:color="000000"/>
              <w:bottom w:val="single" w:sz="4" w:space="0" w:color="000000"/>
            </w:tcBorders>
          </w:tcPr>
          <w:p>
            <w:pPr>
              <w:pStyle w:val="TableContents"/>
              <w:bidi w:val="0"/>
              <w:jc w:val="start"/>
              <w:rPr/>
            </w:pPr>
            <w:r>
              <w:rPr/>
              <w:t>Macro or geopolitical bad news (inverted yield curve, negative GDP, high rates, war, QT, virus)</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 xml:space="preserve">The bull climbs a wall of worry. March 2009–Dec 2019 = </w:t>
            </w:r>
            <w:r>
              <w:rPr>
                <w:b/>
              </w:rPr>
              <w:t>+495%</w:t>
            </w:r>
            <w:r>
              <w:rPr/>
              <w:t xml:space="preserve"> through jobs collapses, bankruptcies, the US downgrade, the euro debt crisis, Ebola, Brexit, shutdowns, trade war and yield-curve inversion</w:t>
            </w:r>
          </w:p>
        </w:tc>
      </w:tr>
      <w:tr>
        <w:trPr/>
        <w:tc>
          <w:tcPr>
            <w:tcW w:w="3212" w:type="dxa"/>
            <w:tcBorders>
              <w:start w:val="single" w:sz="4" w:space="0" w:color="000000"/>
              <w:bottom w:val="single" w:sz="4" w:space="0" w:color="000000"/>
            </w:tcBorders>
          </w:tcPr>
          <w:p>
            <w:pPr>
              <w:pStyle w:val="TableContents"/>
              <w:bidi w:val="0"/>
              <w:jc w:val="start"/>
              <w:rPr/>
            </w:pPr>
            <w:r>
              <w:rPr/>
              <w:t>5</w:t>
            </w:r>
          </w:p>
        </w:tc>
        <w:tc>
          <w:tcPr>
            <w:tcW w:w="3213" w:type="dxa"/>
            <w:tcBorders>
              <w:start w:val="single" w:sz="4" w:space="0" w:color="000000"/>
              <w:bottom w:val="single" w:sz="4" w:space="0" w:color="000000"/>
            </w:tcBorders>
          </w:tcPr>
          <w:p>
            <w:pPr>
              <w:pStyle w:val="TableContents"/>
              <w:bidi w:val="0"/>
              <w:jc w:val="start"/>
              <w:rPr/>
            </w:pPr>
            <w:r>
              <w:rPr/>
              <w:t>Panic during a correction (−10–15%) or bear market (−20–25%)</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 xml:space="preserve">Sellers at the March 2020 bottom missed a </w:t>
            </w:r>
            <w:r>
              <w:rPr>
                <w:b/>
              </w:rPr>
              <w:t>~80%</w:t>
            </w:r>
            <w:r>
              <w:rPr/>
              <w:t xml:space="preserve"> one-year rebound; panic sellers of Sept/Oct 2022 missed </w:t>
            </w:r>
            <w:r>
              <w:rPr>
                <w:b/>
              </w:rPr>
              <w:t>+20–40%</w:t>
            </w:r>
            <w:r>
              <w:rPr/>
              <w:t xml:space="preserve"> in 2023. And </w:t>
            </w:r>
            <w:r>
              <w:rPr>
                <w:b/>
              </w:rPr>
              <w:t>7 of the 10 best days in 20 years happened inside bear markets</w:t>
            </w:r>
          </w:p>
        </w:tc>
      </w:tr>
      <w:tr>
        <w:trPr/>
        <w:tc>
          <w:tcPr>
            <w:tcW w:w="3212" w:type="dxa"/>
            <w:tcBorders>
              <w:start w:val="single" w:sz="4" w:space="0" w:color="000000"/>
              <w:bottom w:val="single" w:sz="4" w:space="0" w:color="000000"/>
            </w:tcBorders>
          </w:tcPr>
          <w:p>
            <w:pPr>
              <w:pStyle w:val="TableContents"/>
              <w:bidi w:val="0"/>
              <w:jc w:val="start"/>
              <w:rPr/>
            </w:pPr>
            <w:r>
              <w:rPr/>
              <w:t>6</w:t>
            </w:r>
          </w:p>
        </w:tc>
        <w:tc>
          <w:tcPr>
            <w:tcW w:w="3213" w:type="dxa"/>
            <w:tcBorders>
              <w:start w:val="single" w:sz="4" w:space="0" w:color="000000"/>
              <w:bottom w:val="single" w:sz="4" w:space="0" w:color="000000"/>
            </w:tcBorders>
          </w:tcPr>
          <w:p>
            <w:pPr>
              <w:pStyle w:val="TableContents"/>
              <w:bidi w:val="0"/>
              <w:jc w:val="start"/>
              <w:rPr/>
            </w:pPr>
            <w:r>
              <w:rPr/>
              <w:t>Earnings miss or lowered forward guidance</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 xml:space="preserve">Beat/miss is a </w:t>
            </w:r>
            <w:r>
              <w:rPr>
                <w:b/>
              </w:rPr>
              <w:t>50/50 coin toss</w:t>
            </w:r>
            <w:r>
              <w:rPr/>
              <w:t>; great companies have bad quarters. Adobe beat and still fell 6% on guidance — a buying opportunity, not a sell</w:t>
            </w:r>
          </w:p>
        </w:tc>
      </w:tr>
      <w:tr>
        <w:trPr/>
        <w:tc>
          <w:tcPr>
            <w:tcW w:w="3212" w:type="dxa"/>
            <w:tcBorders>
              <w:start w:val="single" w:sz="4" w:space="0" w:color="000000"/>
              <w:bottom w:val="single" w:sz="4" w:space="0" w:color="000000"/>
            </w:tcBorders>
          </w:tcPr>
          <w:p>
            <w:pPr>
              <w:pStyle w:val="TableContents"/>
              <w:bidi w:val="0"/>
              <w:jc w:val="start"/>
              <w:rPr/>
            </w:pPr>
            <w:r>
              <w:rPr/>
              <w:t>7</w:t>
            </w:r>
          </w:p>
        </w:tc>
        <w:tc>
          <w:tcPr>
            <w:tcW w:w="3213" w:type="dxa"/>
            <w:tcBorders>
              <w:start w:val="single" w:sz="4" w:space="0" w:color="000000"/>
              <w:bottom w:val="single" w:sz="4" w:space="0" w:color="000000"/>
            </w:tcBorders>
          </w:tcPr>
          <w:p>
            <w:pPr>
              <w:pStyle w:val="TableContents"/>
              <w:bidi w:val="0"/>
              <w:jc w:val="start"/>
              <w:rPr/>
            </w:pPr>
            <w:r>
              <w:rPr/>
              <w:t>Sector rotation, industry-wide news, market-maker/algo manipulation, a forced seller dumping stock</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Nothing changed at the company. Money rotates back; discounts are opportunities (2023: healthcare sold off wholesale; Ozempic knocked 20–30% off food stocks whose revenues never fell)</w:t>
            </w:r>
          </w:p>
        </w:tc>
      </w:tr>
      <w:tr>
        <w:trPr/>
        <w:tc>
          <w:tcPr>
            <w:tcW w:w="3212" w:type="dxa"/>
            <w:tcBorders>
              <w:start w:val="single" w:sz="4" w:space="0" w:color="000000"/>
              <w:bottom w:val="single" w:sz="4" w:space="0" w:color="000000"/>
            </w:tcBorders>
          </w:tcPr>
          <w:p>
            <w:pPr>
              <w:pStyle w:val="TableContents"/>
              <w:bidi w:val="0"/>
              <w:jc w:val="start"/>
              <w:rPr/>
            </w:pPr>
            <w:r>
              <w:rPr/>
              <w:t>8</w:t>
            </w:r>
          </w:p>
        </w:tc>
        <w:tc>
          <w:tcPr>
            <w:tcW w:w="3213" w:type="dxa"/>
            <w:tcBorders>
              <w:start w:val="single" w:sz="4" w:space="0" w:color="000000"/>
              <w:bottom w:val="single" w:sz="4" w:space="0" w:color="000000"/>
            </w:tcBorders>
          </w:tcPr>
          <w:p>
            <w:pPr>
              <w:pStyle w:val="TableContents"/>
              <w:bidi w:val="0"/>
              <w:jc w:val="start"/>
              <w:rPr/>
            </w:pPr>
            <w:r>
              <w:rPr/>
              <w:t>Cyclical slowdown in demand</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Semiconductors and advertising dip and re-accelerate. 2022 ad-spend fear dented Alphabet and Meta revenue; it re-accelerated the next year</w:t>
            </w:r>
          </w:p>
        </w:tc>
      </w:tr>
      <w:tr>
        <w:trPr/>
        <w:tc>
          <w:tcPr>
            <w:tcW w:w="3212" w:type="dxa"/>
            <w:tcBorders>
              <w:start w:val="single" w:sz="4" w:space="0" w:color="000000"/>
              <w:bottom w:val="single" w:sz="4" w:space="0" w:color="000000"/>
            </w:tcBorders>
          </w:tcPr>
          <w:p>
            <w:pPr>
              <w:pStyle w:val="TableContents"/>
              <w:bidi w:val="0"/>
              <w:jc w:val="start"/>
              <w:rPr/>
            </w:pPr>
            <w:r>
              <w:rPr/>
              <w:t>9</w:t>
            </w:r>
          </w:p>
        </w:tc>
        <w:tc>
          <w:tcPr>
            <w:tcW w:w="3213" w:type="dxa"/>
            <w:tcBorders>
              <w:start w:val="single" w:sz="4" w:space="0" w:color="000000"/>
              <w:bottom w:val="single" w:sz="4" w:space="0" w:color="000000"/>
            </w:tcBorders>
          </w:tcPr>
          <w:p>
            <w:pPr>
              <w:pStyle w:val="TableContents"/>
              <w:bidi w:val="0"/>
              <w:jc w:val="start"/>
              <w:rPr/>
            </w:pPr>
            <w:r>
              <w:rPr/>
              <w:t>Product recall, lawsuit, scandal</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All temporary. (Fraud is the sole exception — see Cheat Sheet A #2)</w:t>
            </w:r>
          </w:p>
        </w:tc>
      </w:tr>
      <w:tr>
        <w:trPr/>
        <w:tc>
          <w:tcPr>
            <w:tcW w:w="3212" w:type="dxa"/>
            <w:tcBorders>
              <w:start w:val="single" w:sz="4" w:space="0" w:color="000000"/>
              <w:bottom w:val="single" w:sz="4" w:space="0" w:color="000000"/>
            </w:tcBorders>
          </w:tcPr>
          <w:p>
            <w:pPr>
              <w:pStyle w:val="TableContents"/>
              <w:bidi w:val="0"/>
              <w:jc w:val="start"/>
              <w:rPr/>
            </w:pPr>
            <w:r>
              <w:rPr/>
              <w:t>10</w:t>
            </w:r>
          </w:p>
        </w:tc>
        <w:tc>
          <w:tcPr>
            <w:tcW w:w="3213" w:type="dxa"/>
            <w:tcBorders>
              <w:start w:val="single" w:sz="4" w:space="0" w:color="000000"/>
              <w:bottom w:val="single" w:sz="4" w:space="0" w:color="000000"/>
            </w:tcBorders>
          </w:tcPr>
          <w:p>
            <w:pPr>
              <w:pStyle w:val="TableContents"/>
              <w:bidi w:val="0"/>
              <w:jc w:val="start"/>
              <w:rPr/>
            </w:pPr>
            <w:r>
              <w:rPr/>
              <w:t>Rebalancing — trimming a winner just because its allocation grew</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 xml:space="preserve">Buffett and Lynch both call it stupid; Buffett lets Apple sit at </w:t>
            </w:r>
            <w:r>
              <w:rPr>
                <w:b/>
              </w:rPr>
              <w:t>~50%</w:t>
            </w:r>
            <w:r>
              <w:rPr/>
              <w:t xml:space="preserve"> of his public portfolio. Lynch: </w:t>
            </w:r>
            <w:r>
              <w:rPr>
                <w:b/>
              </w:rPr>
              <w:t>cutting the flowers and watering the weeds</w:t>
            </w:r>
            <w:r>
              <w:rPr/>
              <w:t xml:space="preserve">. It's part of why </w:t>
            </w:r>
            <w:r>
              <w:rPr>
                <w:b/>
              </w:rPr>
              <w:t>90%+ of fund managers can't beat the market</w:t>
            </w:r>
          </w:p>
        </w:tc>
      </w:tr>
      <w:tr>
        <w:trPr/>
        <w:tc>
          <w:tcPr>
            <w:tcW w:w="3212" w:type="dxa"/>
            <w:tcBorders>
              <w:start w:val="single" w:sz="4" w:space="0" w:color="000000"/>
              <w:bottom w:val="single" w:sz="4" w:space="0" w:color="000000"/>
            </w:tcBorders>
          </w:tcPr>
          <w:p>
            <w:pPr>
              <w:pStyle w:val="TableContents"/>
              <w:bidi w:val="0"/>
              <w:jc w:val="start"/>
              <w:rPr/>
            </w:pPr>
            <w:r>
              <w:rPr/>
              <w:t>11</w:t>
            </w:r>
          </w:p>
        </w:tc>
        <w:tc>
          <w:tcPr>
            <w:tcW w:w="3213" w:type="dxa"/>
            <w:tcBorders>
              <w:start w:val="single" w:sz="4" w:space="0" w:color="000000"/>
              <w:bottom w:val="single" w:sz="4" w:space="0" w:color="000000"/>
            </w:tcBorders>
          </w:tcPr>
          <w:p>
            <w:pPr>
              <w:pStyle w:val="TableContents"/>
              <w:bidi w:val="0"/>
              <w:jc w:val="start"/>
              <w:rPr/>
            </w:pPr>
            <w:r>
              <w:rPr/>
              <w:t>The market / your portfolio is at an all-time high</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 xml:space="preserve">Don't buy more, but don't sell either. </w:t>
            </w:r>
            <w:r>
              <w:rPr>
                <w:b/>
              </w:rPr>
              <w:t>The risk of being out is worse than the risk of being in</w:t>
            </w:r>
            <w:r>
              <w:rPr/>
              <w:t xml:space="preserve"> — if you're in and it drops, it comes back; if you're out and it runs, you can only re-enter far higher</w:t>
            </w:r>
          </w:p>
        </w:tc>
      </w:tr>
      <w:tr>
        <w:trPr/>
        <w:tc>
          <w:tcPr>
            <w:tcW w:w="3212" w:type="dxa"/>
            <w:tcBorders>
              <w:start w:val="single" w:sz="4" w:space="0" w:color="000000"/>
              <w:bottom w:val="single" w:sz="4" w:space="0" w:color="000000"/>
            </w:tcBorders>
          </w:tcPr>
          <w:p>
            <w:pPr>
              <w:pStyle w:val="TableContents"/>
              <w:bidi w:val="0"/>
              <w:jc w:val="start"/>
              <w:rPr/>
            </w:pPr>
            <w:r>
              <w:rPr/>
              <w:t>12</w:t>
            </w:r>
          </w:p>
        </w:tc>
        <w:tc>
          <w:tcPr>
            <w:tcW w:w="3213" w:type="dxa"/>
            <w:tcBorders>
              <w:start w:val="single" w:sz="4" w:space="0" w:color="000000"/>
              <w:bottom w:val="single" w:sz="4" w:space="0" w:color="000000"/>
            </w:tcBorders>
          </w:tcPr>
          <w:p>
            <w:pPr>
              <w:pStyle w:val="TableContents"/>
              <w:bidi w:val="0"/>
              <w:jc w:val="start"/>
              <w:rPr/>
            </w:pPr>
            <w:r>
              <w:rPr/>
              <w:t>A founder or CEO is selling shares</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Bezos funds rockets; Zuckerberg funds charity. Founder selling is usually a personal cash need, not a bearish signal</w:t>
            </w:r>
          </w:p>
        </w:tc>
      </w:tr>
      <w:tr>
        <w:trPr/>
        <w:tc>
          <w:tcPr>
            <w:tcW w:w="3212" w:type="dxa"/>
            <w:tcBorders>
              <w:start w:val="single" w:sz="4" w:space="0" w:color="000000"/>
              <w:bottom w:val="single" w:sz="4" w:space="0" w:color="000000"/>
            </w:tcBorders>
          </w:tcPr>
          <w:p>
            <w:pPr>
              <w:pStyle w:val="TableContents"/>
              <w:bidi w:val="0"/>
              <w:jc w:val="start"/>
              <w:rPr/>
            </w:pPr>
            <w:r>
              <w:rPr/>
              <w:t>13</w:t>
            </w:r>
          </w:p>
        </w:tc>
        <w:tc>
          <w:tcPr>
            <w:tcW w:w="3213" w:type="dxa"/>
            <w:tcBorders>
              <w:start w:val="single" w:sz="4" w:space="0" w:color="000000"/>
              <w:bottom w:val="single" w:sz="4" w:space="0" w:color="000000"/>
            </w:tcBorders>
          </w:tcPr>
          <w:p>
            <w:pPr>
              <w:pStyle w:val="TableContents"/>
              <w:bidi w:val="0"/>
              <w:jc w:val="start"/>
              <w:rPr/>
            </w:pPr>
            <w:r>
              <w:rPr/>
              <w:t>Daily volatility / a 10–20–30% drawdown in a great company</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Volatility is normal; drawdowns are inevitable even for Buffett (−30%, −27%) and Lynch (−56%, −42%). The roller coaster only hurts those who jump off halfway</w:t>
            </w:r>
          </w:p>
        </w:tc>
      </w:tr>
    </w:tbl>
    <w:p>
      <w:pPr>
        <w:pStyle w:val="BodyText"/>
        <w:bidi w:val="0"/>
        <w:jc w:val="start"/>
        <w:rPr/>
      </w:pPr>
      <w:r>
        <w:rPr/>
      </w:r>
    </w:p>
    <w:p>
      <w:pPr>
        <w:pStyle w:val="HorizontalLine"/>
        <w:bidi w:val="0"/>
        <w:jc w:val="start"/>
        <w:rPr/>
      </w:pPr>
      <w:r>
        <w:rPr/>
      </w:r>
    </w:p>
    <w:p>
      <w:pPr>
        <w:pStyle w:val="Heading1"/>
        <w:bidi w:val="0"/>
        <w:ind w:hanging="0" w:start="0"/>
        <w:jc w:val="start"/>
        <w:rPr/>
      </w:pPr>
      <w:r>
        <w:rPr/>
        <w:t>Part X — Investor Psychology (The Most Important Lesson)</w:t>
      </w:r>
    </w:p>
    <w:p>
      <w:pPr>
        <w:pStyle w:val="Heading2"/>
        <w:bidi w:val="0"/>
        <w:ind w:hanging="0" w:start="0"/>
        <w:jc w:val="start"/>
        <w:rPr/>
      </w:pPr>
      <w:r>
        <w:rPr/>
        <w:t>Lesson 10: The Psychology of Winning Investors</w:t>
      </w:r>
    </w:p>
    <w:p>
      <w:pPr>
        <w:pStyle w:val="BlockQuotation"/>
        <w:bidi w:val="0"/>
        <w:jc w:val="start"/>
        <w:rPr/>
      </w:pPr>
      <w:r>
        <w:rPr/>
        <w:t xml:space="preserve">Adam Khoo frames this as </w:t>
      </w:r>
      <w:r>
        <w:rPr>
          <w:b/>
        </w:rPr>
        <w:t>the most important lesson in the entire course</w:t>
      </w:r>
      <w:r>
        <w:rPr/>
        <w:t xml:space="preserve">: "to achieve success in anything, it takes two factors" — strategy and psychology. </w:t>
      </w:r>
      <w:r>
        <w:rPr>
          <w:b/>
        </w:rPr>
        <w:t>Strategy makes up only 30% of success; psychology/mindset makes up 70%.</w:t>
      </w:r>
      <w:r>
        <w:rPr/>
        <w:t xml:space="preserve"> Most people focus only on strategy and leave psychology to chance, wrongly assuming they already have "the right psychology."</w:t>
      </w:r>
    </w:p>
    <w:p>
      <w:pPr>
        <w:pStyle w:val="BodyText"/>
        <w:bidi w:val="0"/>
        <w:jc w:val="start"/>
        <w:rPr/>
      </w:pPr>
      <w:r>
        <w:rPr>
          <w:b/>
        </w:rPr>
        <w:t>Part breakdown (content-based, not file-order labels):</w:t>
      </w:r>
    </w:p>
    <w:p>
      <w:pPr>
        <w:pStyle w:val="BodyText"/>
        <w:numPr>
          <w:ilvl w:val="0"/>
          <w:numId w:val="572"/>
        </w:numPr>
        <w:tabs>
          <w:tab w:val="clear" w:pos="709"/>
          <w:tab w:val="left" w:pos="709" w:leader="none"/>
        </w:tabs>
        <w:bidi w:val="0"/>
        <w:ind w:hanging="283" w:start="709"/>
        <w:jc w:val="start"/>
        <w:rPr/>
      </w:pPr>
      <w:r>
        <w:rPr>
          <w:b/>
        </w:rPr>
        <w:t>Part 1 (file 74):</w:t>
      </w:r>
      <w:r>
        <w:rPr/>
        <w:t xml:space="preserve"> Discipline as the foundation; sticking to rules under pressure; Warren Buffett &amp; the dot-com bubble case study; 2020–2021 hype-stock parallel; circle of competence; never blindly follow experts/analysts — with three detailed case studies (Nobel Group failure, Meituan success, Goldman Sachs short call).</w:t>
      </w:r>
    </w:p>
    <w:p>
      <w:pPr>
        <w:pStyle w:val="BodyText"/>
        <w:numPr>
          <w:ilvl w:val="0"/>
          <w:numId w:val="572"/>
        </w:numPr>
        <w:tabs>
          <w:tab w:val="clear" w:pos="709"/>
          <w:tab w:val="left" w:pos="709" w:leader="none"/>
        </w:tabs>
        <w:bidi w:val="0"/>
        <w:ind w:hanging="283" w:start="709"/>
        <w:jc w:val="start"/>
        <w:rPr/>
      </w:pPr>
      <w:r>
        <w:rPr>
          <w:b/>
        </w:rPr>
        <w:t>Part 2 (file 75):</w:t>
      </w:r>
      <w:r>
        <w:rPr/>
        <w:t xml:space="preserve"> Patience and long-term thinking; the golf compounding exercise; "buy slowly, sell even slower"; the Fidelity dormant-accounts study; Adam's own Facebook mistake; judging investments by business performance not price; the Washington Post / Warren Buffett interview case study.</w:t>
      </w:r>
    </w:p>
    <w:p>
      <w:pPr>
        <w:pStyle w:val="BodyText"/>
        <w:numPr>
          <w:ilvl w:val="0"/>
          <w:numId w:val="572"/>
        </w:numPr>
        <w:tabs>
          <w:tab w:val="clear" w:pos="709"/>
          <w:tab w:val="left" w:pos="709" w:leader="none"/>
        </w:tabs>
        <w:bidi w:val="0"/>
        <w:ind w:hanging="283" w:start="709"/>
        <w:jc w:val="start"/>
        <w:rPr/>
      </w:pPr>
      <w:r>
        <w:rPr>
          <w:b/>
        </w:rPr>
        <w:t>Part 3 (file 76):</w:t>
      </w:r>
      <w:r>
        <w:rPr/>
        <w:t xml:space="preserve"> Thinking independently and contrarian psychology; the fear/greed cycle and Fear &amp; Greed Index; "worst day" media pattern; John Templeton quote on bull market phases; why you should never predict the market (with a decade of failed doomsday headlines as evidence); ignoring macroeconomic/geopolitical noise; risk management and capital protection; taking responsibility for mistakes; final 10-rule summary.</w:t>
      </w:r>
    </w:p>
    <w:p>
      <w:pPr>
        <w:pStyle w:val="HorizontalLine"/>
        <w:bidi w:val="0"/>
        <w:jc w:val="start"/>
        <w:rPr/>
      </w:pPr>
      <w:r>
        <w:rPr/>
      </w:r>
    </w:p>
    <w:p>
      <w:pPr>
        <w:pStyle w:val="Heading3"/>
        <w:bidi w:val="0"/>
        <w:ind w:hanging="0" w:start="0"/>
        <w:jc w:val="start"/>
        <w:rPr/>
      </w:pPr>
      <w:r>
        <w:rPr/>
        <w:t>Opening Framework: Strategy (30%) vs. Psychology (70%)</w:t>
      </w:r>
    </w:p>
    <w:p>
      <w:pPr>
        <w:pStyle w:val="BodyText"/>
        <w:numPr>
          <w:ilvl w:val="0"/>
          <w:numId w:val="573"/>
        </w:numPr>
        <w:tabs>
          <w:tab w:val="clear" w:pos="709"/>
          <w:tab w:val="left" w:pos="709" w:leader="none"/>
        </w:tabs>
        <w:bidi w:val="0"/>
        <w:ind w:hanging="283" w:start="709"/>
        <w:jc w:val="start"/>
        <w:rPr/>
      </w:pPr>
      <w:r>
        <w:rPr/>
        <w:t xml:space="preserve">To achieve success in </w:t>
      </w:r>
      <w:r>
        <w:rPr>
          <w:b/>
        </w:rPr>
        <w:t>anything</w:t>
      </w:r>
      <w:r>
        <w:rPr/>
        <w:t xml:space="preserve"> requires two factors: the right strategy AND the right psychology (emotional discipline, focus, self-motivation to apply what you've learned and follow the rules).</w:t>
      </w:r>
    </w:p>
    <w:p>
      <w:pPr>
        <w:pStyle w:val="BodyText"/>
        <w:numPr>
          <w:ilvl w:val="0"/>
          <w:numId w:val="573"/>
        </w:numPr>
        <w:tabs>
          <w:tab w:val="clear" w:pos="709"/>
          <w:tab w:val="left" w:pos="709" w:leader="none"/>
        </w:tabs>
        <w:bidi w:val="0"/>
        <w:ind w:hanging="283" w:start="709"/>
        <w:jc w:val="start"/>
        <w:rPr/>
      </w:pPr>
      <w:r>
        <w:rPr>
          <w:b/>
        </w:rPr>
        <w:t>Analogy — weight loss:</w:t>
      </w:r>
      <w:r>
        <w:rPr/>
        <w:t xml:space="preserve"> The strategy for losing weight is simple and freely available (diets, exercise regimes), yet </w:t>
      </w:r>
      <w:r>
        <w:rPr>
          <w:b/>
        </w:rPr>
        <w:t>fewer than 5% of people who attempt to lose weight succeed</w:t>
      </w:r>
      <w:r>
        <w:rPr/>
        <w:t xml:space="preserve">, and of that 5%, </w:t>
      </w:r>
      <w:r>
        <w:rPr>
          <w:b/>
        </w:rPr>
        <w:t>3% put the weight back on within a couple of years</w:t>
      </w:r>
      <w:r>
        <w:rPr/>
        <w:t xml:space="preserve">. People know </w:t>
      </w:r>
      <w:r>
        <w:rPr>
          <w:i/>
        </w:rPr>
        <w:t>what</w:t>
      </w:r>
      <w:r>
        <w:rPr/>
        <w:t xml:space="preserve"> to do but lack the discipline to </w:t>
      </w:r>
      <w:r>
        <w:rPr>
          <w:i/>
        </w:rPr>
        <w:t>do</w:t>
      </w:r>
      <w:r>
        <w:rPr/>
        <w:t xml:space="preserve"> it. "Again, it's all about psychology."</w:t>
      </w:r>
    </w:p>
    <w:p>
      <w:pPr>
        <w:pStyle w:val="BodyText"/>
        <w:numPr>
          <w:ilvl w:val="0"/>
          <w:numId w:val="573"/>
        </w:numPr>
        <w:tabs>
          <w:tab w:val="clear" w:pos="709"/>
          <w:tab w:val="left" w:pos="709" w:leader="none"/>
        </w:tabs>
        <w:bidi w:val="0"/>
        <w:ind w:hanging="283" w:start="709"/>
        <w:jc w:val="start"/>
        <w:rPr/>
      </w:pPr>
      <w:r>
        <w:rPr>
          <w:b/>
        </w:rPr>
        <w:t>Analogy — business:</w:t>
      </w:r>
      <w:r>
        <w:rPr/>
        <w:t xml:space="preserve"> If strategy alone were sufficient, everyone with an MBA would build a successful business and everyone with a PhD in finance would be a billionaire. Neither is true — many MBAs fail in business; many successful entrepreneurs are dropouts.</w:t>
      </w:r>
    </w:p>
    <w:p>
      <w:pPr>
        <w:pStyle w:val="BodyText"/>
        <w:numPr>
          <w:ilvl w:val="0"/>
          <w:numId w:val="573"/>
        </w:numPr>
        <w:tabs>
          <w:tab w:val="clear" w:pos="709"/>
          <w:tab w:val="left" w:pos="709" w:leader="none"/>
        </w:tabs>
        <w:bidi w:val="0"/>
        <w:ind w:hanging="283" w:start="709"/>
        <w:jc w:val="start"/>
        <w:rPr/>
      </w:pPr>
      <w:r>
        <w:rPr/>
        <w:t>By this point in the course, students already have the strategy (fundamental analysis, technical analysis, identifying great businesses). This lesson covers the missing 70%.</w:t>
      </w:r>
    </w:p>
    <w:p>
      <w:pPr>
        <w:pStyle w:val="HorizontalLine"/>
        <w:bidi w:val="0"/>
        <w:jc w:val="start"/>
        <w:rPr/>
      </w:pPr>
      <w:r>
        <w:rPr/>
      </w:r>
    </w:p>
    <w:p>
      <w:pPr>
        <w:pStyle w:val="Heading3"/>
        <w:bidi w:val="0"/>
        <w:ind w:hanging="0" w:start="0"/>
        <w:jc w:val="start"/>
        <w:rPr/>
      </w:pPr>
      <w:r>
        <w:rPr/>
        <w:t>Psychology Rule #1: Absolute Discipline</w:t>
      </w:r>
    </w:p>
    <w:p>
      <w:pPr>
        <w:pStyle w:val="BodyText"/>
        <w:numPr>
          <w:ilvl w:val="0"/>
          <w:numId w:val="574"/>
        </w:numPr>
        <w:tabs>
          <w:tab w:val="clear" w:pos="709"/>
          <w:tab w:val="left" w:pos="709" w:leader="none"/>
        </w:tabs>
        <w:bidi w:val="0"/>
        <w:ind w:hanging="283" w:start="709"/>
        <w:jc w:val="start"/>
        <w:rPr/>
      </w:pPr>
      <w:r>
        <w:rPr>
          <w:b/>
        </w:rPr>
        <w:t>Discipline defined:</w:t>
      </w:r>
      <w:r>
        <w:rPr/>
        <w:t xml:space="preserve"> You only buy/sell a stock based on </w:t>
      </w:r>
      <w:r>
        <w:rPr>
          <w:b/>
        </w:rPr>
        <w:t>predetermined, objective rules</w:t>
      </w:r>
      <w:r>
        <w:rPr/>
        <w:t xml:space="preserve"> in your investment plan — rules grounded in fundamental and technical analysis (e.g., buy only businesses with strong fundamentals: consistently increasing sales, earnings, cash flow, low debt, undervalued, on a clear uptrend).</w:t>
      </w:r>
    </w:p>
    <w:p>
      <w:pPr>
        <w:pStyle w:val="BodyText"/>
        <w:numPr>
          <w:ilvl w:val="0"/>
          <w:numId w:val="574"/>
        </w:numPr>
        <w:tabs>
          <w:tab w:val="clear" w:pos="709"/>
          <w:tab w:val="left" w:pos="709" w:leader="none"/>
        </w:tabs>
        <w:bidi w:val="0"/>
        <w:spacing w:before="0" w:after="0"/>
        <w:ind w:hanging="283" w:start="709"/>
        <w:jc w:val="start"/>
        <w:rPr/>
      </w:pPr>
      <w:r>
        <w:rPr>
          <w:b/>
        </w:rPr>
        <w:t>What most people actually do instead (the failure modes):</w:t>
      </w:r>
    </w:p>
    <w:p>
      <w:pPr>
        <w:pStyle w:val="BodyText"/>
        <w:numPr>
          <w:ilvl w:val="1"/>
          <w:numId w:val="574"/>
        </w:numPr>
        <w:tabs>
          <w:tab w:val="clear" w:pos="709"/>
          <w:tab w:val="left" w:pos="1418" w:leader="none"/>
        </w:tabs>
        <w:bidi w:val="0"/>
        <w:ind w:hanging="283" w:start="1418"/>
        <w:jc w:val="start"/>
        <w:rPr/>
      </w:pPr>
      <w:r>
        <w:rPr/>
        <w:t xml:space="preserve">Buy/sell based on </w:t>
      </w:r>
      <w:r>
        <w:rPr>
          <w:b/>
        </w:rPr>
        <w:t>rumors</w:t>
      </w:r>
      <w:r>
        <w:rPr/>
        <w:t xml:space="preserve"> ("I heard this company's going to be taken over").</w:t>
      </w:r>
    </w:p>
    <w:p>
      <w:pPr>
        <w:pStyle w:val="BodyText"/>
        <w:numPr>
          <w:ilvl w:val="1"/>
          <w:numId w:val="574"/>
        </w:numPr>
        <w:tabs>
          <w:tab w:val="clear" w:pos="709"/>
          <w:tab w:val="left" w:pos="1418" w:leader="none"/>
        </w:tabs>
        <w:bidi w:val="0"/>
        <w:ind w:hanging="283" w:start="1418"/>
        <w:jc w:val="start"/>
        <w:rPr/>
      </w:pPr>
      <w:r>
        <w:rPr/>
        <w:t xml:space="preserve">Buy/sell based on </w:t>
      </w:r>
      <w:r>
        <w:rPr>
          <w:b/>
        </w:rPr>
        <w:t>emotions</w:t>
      </w:r>
      <w:r>
        <w:rPr/>
        <w:t xml:space="preserve"> — the two core emotions are </w:t>
      </w:r>
      <w:r>
        <w:rPr>
          <w:b/>
        </w:rPr>
        <w:t>fear and greed</w:t>
      </w:r>
      <w:r>
        <w:rPr/>
        <w:t>: people buy out of greed and sell based on fear.</w:t>
      </w:r>
    </w:p>
    <w:p>
      <w:pPr>
        <w:pStyle w:val="BodyText"/>
        <w:numPr>
          <w:ilvl w:val="1"/>
          <w:numId w:val="574"/>
        </w:numPr>
        <w:tabs>
          <w:tab w:val="clear" w:pos="709"/>
          <w:tab w:val="left" w:pos="1418" w:leader="none"/>
        </w:tabs>
        <w:bidi w:val="0"/>
        <w:ind w:hanging="283" w:start="1418"/>
        <w:jc w:val="start"/>
        <w:rPr/>
      </w:pPr>
      <w:r>
        <w:rPr/>
        <w:t xml:space="preserve">Buy/sell based on </w:t>
      </w:r>
      <w:r>
        <w:rPr>
          <w:b/>
        </w:rPr>
        <w:t>the opinions of other people</w:t>
      </w:r>
      <w:r>
        <w:rPr/>
        <w:t>.</w:t>
      </w:r>
    </w:p>
    <w:p>
      <w:pPr>
        <w:pStyle w:val="BodyText"/>
        <w:numPr>
          <w:ilvl w:val="1"/>
          <w:numId w:val="574"/>
        </w:numPr>
        <w:tabs>
          <w:tab w:val="clear" w:pos="709"/>
          <w:tab w:val="left" w:pos="1418" w:leader="none"/>
        </w:tabs>
        <w:bidi w:val="0"/>
        <w:ind w:hanging="283" w:start="1418"/>
        <w:jc w:val="start"/>
        <w:rPr/>
      </w:pPr>
      <w:r>
        <w:rPr>
          <w:b/>
        </w:rPr>
        <w:t>FOMO (Fear Of Missing Out):</w:t>
      </w:r>
      <w:r>
        <w:rPr/>
        <w:t xml:space="preserve"> buying something you don't understand, outside your plan, because "everyone's buying it" — Adam compares this to </w:t>
      </w:r>
      <w:r>
        <w:rPr>
          <w:b/>
        </w:rPr>
        <w:t>lemmings following each other off a cliff</w:t>
      </w:r>
      <w:r>
        <w:rPr/>
        <w:t>, "they get slaughtered like lemmings."</w:t>
      </w:r>
    </w:p>
    <w:p>
      <w:pPr>
        <w:pStyle w:val="BodyText"/>
        <w:numPr>
          <w:ilvl w:val="1"/>
          <w:numId w:val="574"/>
        </w:numPr>
        <w:tabs>
          <w:tab w:val="clear" w:pos="709"/>
          <w:tab w:val="left" w:pos="1418" w:leader="none"/>
        </w:tabs>
        <w:bidi w:val="0"/>
        <w:ind w:hanging="283" w:start="1418"/>
        <w:jc w:val="start"/>
        <w:rPr/>
      </w:pPr>
      <w:r>
        <w:rPr>
          <w:b/>
        </w:rPr>
        <w:t>Panic selling:</w:t>
      </w:r>
      <w:r>
        <w:rPr/>
        <w:t xml:space="preserve"> selling because of media scare stories (market crash warnings, trade war headlines) — "the moment you sell, the stock keeps going up."</w:t>
      </w:r>
    </w:p>
    <w:p>
      <w:pPr>
        <w:pStyle w:val="BodyText"/>
        <w:numPr>
          <w:ilvl w:val="0"/>
          <w:numId w:val="574"/>
        </w:numPr>
        <w:tabs>
          <w:tab w:val="clear" w:pos="709"/>
          <w:tab w:val="left" w:pos="709" w:leader="none"/>
        </w:tabs>
        <w:bidi w:val="0"/>
        <w:ind w:hanging="283" w:start="709"/>
        <w:jc w:val="start"/>
        <w:rPr/>
      </w:pPr>
      <w:r>
        <w:rPr/>
        <w:t>Doing any of these guarantees you will never make money in the long run.</w:t>
      </w:r>
    </w:p>
    <w:p>
      <w:pPr>
        <w:pStyle w:val="Heading4"/>
        <w:numPr>
          <w:ilvl w:val="0"/>
          <w:numId w:val="0"/>
        </w:numPr>
        <w:bidi w:val="0"/>
        <w:ind w:hanging="0" w:start="0"/>
        <w:jc w:val="start"/>
        <w:rPr/>
      </w:pPr>
      <w:r>
        <w:rPr/>
        <w:t>Case Study: Warren Buffett and the Dot-Com Bubble (1999–2000)</w:t>
      </w:r>
    </w:p>
    <w:p>
      <w:pPr>
        <w:pStyle w:val="BodyText"/>
        <w:numPr>
          <w:ilvl w:val="0"/>
          <w:numId w:val="575"/>
        </w:numPr>
        <w:tabs>
          <w:tab w:val="clear" w:pos="709"/>
          <w:tab w:val="left" w:pos="709" w:leader="none"/>
        </w:tabs>
        <w:bidi w:val="0"/>
        <w:ind w:hanging="283" w:start="709"/>
        <w:jc w:val="start"/>
        <w:rPr/>
      </w:pPr>
      <w:r>
        <w:rPr/>
        <w:t xml:space="preserve">Buffett is considered the greatest investor not because he's the most intelligent (by his own admission) but because he is </w:t>
      </w:r>
      <w:r>
        <w:rPr>
          <w:b/>
        </w:rPr>
        <w:t>the most disciplined</w:t>
      </w:r>
      <w:r>
        <w:rPr/>
        <w:t>. Adam's method mirrors his: only invest in profitable, undervalued businesses; avoid unprofitable, overpriced/hyped businesses.</w:t>
      </w:r>
    </w:p>
    <w:p>
      <w:pPr>
        <w:pStyle w:val="BodyText"/>
        <w:numPr>
          <w:ilvl w:val="0"/>
          <w:numId w:val="575"/>
        </w:numPr>
        <w:tabs>
          <w:tab w:val="clear" w:pos="709"/>
          <w:tab w:val="left" w:pos="709" w:leader="none"/>
        </w:tabs>
        <w:bidi w:val="0"/>
        <w:ind w:hanging="283" w:start="709"/>
        <w:jc w:val="start"/>
        <w:rPr/>
      </w:pPr>
      <w:r>
        <w:rPr/>
        <w:t>During the dot-com bubble, unprofitable, overpriced "speculative stocks" (Netscape, AOL, Pets.com) kept rising, while profitable undervalued companies (McDonald's, Procter &amp; Gamble, Coca-Cola) kept falling.</w:t>
      </w:r>
    </w:p>
    <w:p>
      <w:pPr>
        <w:pStyle w:val="BodyText"/>
        <w:numPr>
          <w:ilvl w:val="0"/>
          <w:numId w:val="575"/>
        </w:numPr>
        <w:tabs>
          <w:tab w:val="clear" w:pos="709"/>
          <w:tab w:val="left" w:pos="709" w:leader="none"/>
        </w:tabs>
        <w:bidi w:val="0"/>
        <w:ind w:hanging="283" w:start="709"/>
        <w:jc w:val="start"/>
        <w:rPr/>
      </w:pPr>
      <w:r>
        <w:rPr>
          <w:b/>
        </w:rPr>
        <w:t>1999:</w:t>
      </w:r>
      <w:r>
        <w:rPr/>
        <w:t xml:space="preserve"> S&amp;P 500 up 18%; Buffett's Berkshire Hathaway </w:t>
      </w:r>
      <w:r>
        <w:rPr>
          <w:b/>
        </w:rPr>
        <w:t>down 23%</w:t>
      </w:r>
      <w:r>
        <w:rPr/>
        <w:t>. Most investors would have abandoned their plan and chased the hype (FOMO) — Buffett refused.</w:t>
      </w:r>
    </w:p>
    <w:p>
      <w:pPr>
        <w:pStyle w:val="BodyText"/>
        <w:numPr>
          <w:ilvl w:val="0"/>
          <w:numId w:val="575"/>
        </w:numPr>
        <w:tabs>
          <w:tab w:val="clear" w:pos="709"/>
          <w:tab w:val="left" w:pos="709" w:leader="none"/>
        </w:tabs>
        <w:bidi w:val="0"/>
        <w:ind w:hanging="283" w:start="709"/>
        <w:jc w:val="start"/>
        <w:rPr/>
      </w:pPr>
      <w:r>
        <w:rPr/>
        <w:t xml:space="preserve">He was publicly ridiculed. </w:t>
      </w:r>
      <w:r>
        <w:rPr>
          <w:i/>
        </w:rPr>
        <w:t>Barron's</w:t>
      </w:r>
      <w:r>
        <w:rPr/>
        <w:t xml:space="preserve"> ran a piece: </w:t>
      </w:r>
      <w:r>
        <w:rPr>
          <w:i/>
        </w:rPr>
        <w:t>"What's Wrong, Warren? After 30 years of unrivaled investment success, Warren Buffett may be losing his magic touch."</w:t>
      </w:r>
      <w:r>
        <w:rPr/>
        <w:t xml:space="preserve"> Called a dinosaur who didn't understand tech.</w:t>
      </w:r>
    </w:p>
    <w:p>
      <w:pPr>
        <w:pStyle w:val="BodyText"/>
        <w:numPr>
          <w:ilvl w:val="0"/>
          <w:numId w:val="575"/>
        </w:numPr>
        <w:tabs>
          <w:tab w:val="clear" w:pos="709"/>
          <w:tab w:val="left" w:pos="709" w:leader="none"/>
        </w:tabs>
        <w:bidi w:val="0"/>
        <w:ind w:hanging="283" w:start="709"/>
        <w:jc w:val="start"/>
        <w:rPr/>
      </w:pPr>
      <w:r>
        <w:rPr/>
        <w:t xml:space="preserve">Berkshire fell from </w:t>
      </w:r>
      <w:r>
        <w:rPr>
          <w:strike/>
        </w:rPr>
        <w:t xml:space="preserve">$80,000/share to </w:t>
      </w:r>
      <w:r>
        <w:rPr/>
        <w:t xml:space="preserve">$54,000/share (23% drop) — yet Buffett stayed unfazed, knowing that </w:t>
      </w:r>
      <w:r>
        <w:rPr>
          <w:b/>
        </w:rPr>
        <w:t>short-term the market is irrational, but eventually prices reflect business fundamentals.</w:t>
      </w:r>
    </w:p>
    <w:p>
      <w:pPr>
        <w:pStyle w:val="BodyText"/>
        <w:numPr>
          <w:ilvl w:val="0"/>
          <w:numId w:val="575"/>
        </w:numPr>
        <w:tabs>
          <w:tab w:val="clear" w:pos="709"/>
          <w:tab w:val="left" w:pos="709" w:leader="none"/>
        </w:tabs>
        <w:bidi w:val="0"/>
        <w:ind w:hanging="283" w:start="709"/>
        <w:jc w:val="start"/>
        <w:rPr/>
      </w:pPr>
      <w:r>
        <w:rPr>
          <w:b/>
        </w:rPr>
        <w:t>One year later</w:t>
      </w:r>
      <w:r>
        <w:rPr/>
        <w:t xml:space="preserve">, the bubble burst: NASDAQ dropped </w:t>
      </w:r>
      <w:r>
        <w:rPr>
          <w:b/>
        </w:rPr>
        <w:t>72%</w:t>
      </w:r>
      <w:r>
        <w:rPr/>
        <w:t xml:space="preserve">, S&amp;P 500 lost </w:t>
      </w:r>
      <w:r>
        <w:rPr>
          <w:b/>
        </w:rPr>
        <w:t>28%</w:t>
      </w:r>
      <w:r>
        <w:rPr/>
        <w:t xml:space="preserve">. Buffett ultimately outperformed for years. From the $54,000 low, the stock later reached </w:t>
      </w:r>
      <w:r>
        <w:rPr>
          <w:b/>
        </w:rPr>
        <w:t>$443,000</w:t>
      </w:r>
      <w:r>
        <w:rPr/>
        <w:t>.</w:t>
      </w:r>
    </w:p>
    <w:p>
      <w:pPr>
        <w:pStyle w:val="BodyText"/>
        <w:numPr>
          <w:ilvl w:val="0"/>
          <w:numId w:val="575"/>
        </w:numPr>
        <w:tabs>
          <w:tab w:val="clear" w:pos="709"/>
          <w:tab w:val="left" w:pos="709" w:leader="none"/>
        </w:tabs>
        <w:bidi w:val="0"/>
        <w:ind w:hanging="283" w:start="709"/>
        <w:jc w:val="start"/>
        <w:rPr/>
      </w:pPr>
      <w:r>
        <w:rPr>
          <w:b/>
        </w:rPr>
        <w:t>Lesson:</w:t>
      </w:r>
      <w:r>
        <w:rPr/>
        <w:t xml:space="preserve"> Stick to your investment plan even when the market temporarily punishes you for it. Short-term the market is irrational/manipulated; long-term it always reflects reality.</w:t>
      </w:r>
    </w:p>
    <w:p>
      <w:pPr>
        <w:pStyle w:val="Heading4"/>
        <w:numPr>
          <w:ilvl w:val="0"/>
          <w:numId w:val="0"/>
        </w:numPr>
        <w:bidi w:val="0"/>
        <w:ind w:hanging="0" w:start="0"/>
        <w:jc w:val="start"/>
        <w:rPr/>
      </w:pPr>
      <w:r>
        <w:rPr/>
        <w:t>Modern Parallel: 2020–2021</w:t>
      </w:r>
    </w:p>
    <w:p>
      <w:pPr>
        <w:pStyle w:val="BodyText"/>
        <w:numPr>
          <w:ilvl w:val="0"/>
          <w:numId w:val="576"/>
        </w:numPr>
        <w:tabs>
          <w:tab w:val="clear" w:pos="709"/>
          <w:tab w:val="left" w:pos="709" w:leader="none"/>
        </w:tabs>
        <w:bidi w:val="0"/>
        <w:ind w:hanging="283" w:start="709"/>
        <w:jc w:val="start"/>
        <w:rPr/>
      </w:pPr>
      <w:r>
        <w:rPr/>
        <w:t>In 2020, unprofitable/overpriced companies (Roku, Zoom, Tesla, Peloton, Fastly) kept rising. Adam refused to buy them and was criticized ("Ed, why aren't you buying these stocks? They're going up.") His reply: "It won't last."</w:t>
      </w:r>
    </w:p>
    <w:p>
      <w:pPr>
        <w:pStyle w:val="BodyText"/>
        <w:numPr>
          <w:ilvl w:val="0"/>
          <w:numId w:val="576"/>
        </w:numPr>
        <w:tabs>
          <w:tab w:val="clear" w:pos="709"/>
          <w:tab w:val="left" w:pos="709" w:leader="none"/>
        </w:tabs>
        <w:bidi w:val="0"/>
        <w:ind w:hanging="283" w:start="709"/>
        <w:jc w:val="start"/>
        <w:rPr/>
      </w:pPr>
      <w:r>
        <w:rPr>
          <w:b/>
        </w:rPr>
        <w:t>2021:</w:t>
      </w:r>
      <w:r>
        <w:rPr/>
        <w:t xml:space="preserve"> these stocks collapsed 50–60%, while Adam's holdings (Microsoft, Alphabet, McDonald's, Yum Brands) held their value and some kept rising through the correction.</w:t>
      </w:r>
    </w:p>
    <w:p>
      <w:pPr>
        <w:pStyle w:val="BodyText"/>
        <w:numPr>
          <w:ilvl w:val="0"/>
          <w:numId w:val="576"/>
        </w:numPr>
        <w:tabs>
          <w:tab w:val="clear" w:pos="709"/>
          <w:tab w:val="left" w:pos="709" w:leader="none"/>
        </w:tabs>
        <w:bidi w:val="0"/>
        <w:ind w:hanging="283" w:start="709"/>
        <w:jc w:val="start"/>
        <w:rPr/>
      </w:pPr>
      <w:r>
        <w:rPr/>
        <w:t>Reinforces: always stick to the investment plan no matter what others are doing in the short term.</w:t>
      </w:r>
    </w:p>
    <w:p>
      <w:pPr>
        <w:pStyle w:val="HorizontalLine"/>
        <w:bidi w:val="0"/>
        <w:jc w:val="start"/>
        <w:rPr/>
      </w:pPr>
      <w:r>
        <w:rPr/>
      </w:r>
    </w:p>
    <w:p>
      <w:pPr>
        <w:pStyle w:val="Heading3"/>
        <w:bidi w:val="0"/>
        <w:ind w:hanging="0" w:start="0"/>
        <w:jc w:val="start"/>
        <w:rPr/>
      </w:pPr>
      <w:r>
        <w:rPr/>
        <w:t>Psychology Rule #2: Invest Only Within Your Circle of Competence; Never Blindly Follow Experts</w:t>
      </w:r>
    </w:p>
    <w:p>
      <w:pPr>
        <w:pStyle w:val="BodyText"/>
        <w:numPr>
          <w:ilvl w:val="0"/>
          <w:numId w:val="577"/>
        </w:numPr>
        <w:tabs>
          <w:tab w:val="clear" w:pos="709"/>
          <w:tab w:val="left" w:pos="709" w:leader="none"/>
        </w:tabs>
        <w:bidi w:val="0"/>
        <w:ind w:hanging="283" w:start="709"/>
        <w:jc w:val="start"/>
        <w:rPr/>
      </w:pPr>
      <w:r>
        <w:rPr>
          <w:b/>
        </w:rPr>
        <w:t>Circle of competence:</w:t>
      </w:r>
      <w:r>
        <w:rPr/>
        <w:t xml:space="preserve"> only invest in businesses you truly understand and have personally researched. "No matter how smart you are, you can't be an expert in everything... you don't have to win at every game. You only have to win at the game which you understand."</w:t>
      </w:r>
    </w:p>
    <w:p>
      <w:pPr>
        <w:pStyle w:val="BodyText"/>
        <w:numPr>
          <w:ilvl w:val="0"/>
          <w:numId w:val="577"/>
        </w:numPr>
        <w:tabs>
          <w:tab w:val="clear" w:pos="709"/>
          <w:tab w:val="left" w:pos="709" w:leader="none"/>
        </w:tabs>
        <w:bidi w:val="0"/>
        <w:spacing w:before="0" w:after="0"/>
        <w:ind w:hanging="283" w:start="709"/>
        <w:jc w:val="start"/>
        <w:rPr/>
      </w:pPr>
      <w:r>
        <w:rPr>
          <w:b/>
        </w:rPr>
        <w:t>Adam's personal examples of businesses he avoids:</w:t>
      </w:r>
    </w:p>
    <w:p>
      <w:pPr>
        <w:pStyle w:val="BodyText"/>
        <w:numPr>
          <w:ilvl w:val="1"/>
          <w:numId w:val="577"/>
        </w:numPr>
        <w:tabs>
          <w:tab w:val="clear" w:pos="709"/>
          <w:tab w:val="left" w:pos="1418" w:leader="none"/>
        </w:tabs>
        <w:bidi w:val="0"/>
        <w:ind w:hanging="283" w:start="1418"/>
        <w:jc w:val="start"/>
        <w:rPr/>
      </w:pPr>
      <w:r>
        <w:rPr>
          <w:b/>
        </w:rPr>
        <w:t>Energy companies</w:t>
      </w:r>
      <w:r>
        <w:rPr/>
        <w:t xml:space="preserve"> — energy prices are too unpredictable.</w:t>
      </w:r>
    </w:p>
    <w:p>
      <w:pPr>
        <w:pStyle w:val="BodyText"/>
        <w:numPr>
          <w:ilvl w:val="1"/>
          <w:numId w:val="577"/>
        </w:numPr>
        <w:tabs>
          <w:tab w:val="clear" w:pos="709"/>
          <w:tab w:val="left" w:pos="1418" w:leader="none"/>
        </w:tabs>
        <w:bidi w:val="0"/>
        <w:ind w:hanging="283" w:start="1418"/>
        <w:jc w:val="start"/>
        <w:rPr/>
      </w:pPr>
      <w:r>
        <w:rPr>
          <w:b/>
        </w:rPr>
        <w:t>Commodity companies</w:t>
      </w:r>
      <w:r>
        <w:rPr/>
        <w:t xml:space="preserve"> — commodity prices are too unpredictable.</w:t>
      </w:r>
    </w:p>
    <w:p>
      <w:pPr>
        <w:pStyle w:val="BodyText"/>
        <w:numPr>
          <w:ilvl w:val="1"/>
          <w:numId w:val="577"/>
        </w:numPr>
        <w:tabs>
          <w:tab w:val="clear" w:pos="709"/>
          <w:tab w:val="left" w:pos="1418" w:leader="none"/>
        </w:tabs>
        <w:bidi w:val="0"/>
        <w:ind w:hanging="283" w:start="1418"/>
        <w:jc w:val="start"/>
        <w:rPr/>
      </w:pPr>
      <w:r>
        <w:rPr>
          <w:b/>
        </w:rPr>
        <w:t>Tesla</w:t>
      </w:r>
      <w:r>
        <w:rPr/>
        <w:t xml:space="preserve"> — considers it overpriced and the EV market too competitive; despite being told "it's not just a car company, it's a software company, it's a battery company," he still doesn't understand the business well enough to invest, and refuses regardless of criticism.</w:t>
      </w:r>
    </w:p>
    <w:p>
      <w:pPr>
        <w:pStyle w:val="BodyText"/>
        <w:numPr>
          <w:ilvl w:val="1"/>
          <w:numId w:val="577"/>
        </w:numPr>
        <w:tabs>
          <w:tab w:val="clear" w:pos="709"/>
          <w:tab w:val="left" w:pos="1418" w:leader="none"/>
        </w:tabs>
        <w:bidi w:val="0"/>
        <w:ind w:hanging="283" w:start="1418"/>
        <w:jc w:val="start"/>
        <w:rPr/>
      </w:pPr>
      <w:r>
        <w:rPr/>
        <w:t>He instead focuses on businesses he understands with predictable, consistent cash flow (Facebook, Amazon, Alphabet, Microsoft).</w:t>
      </w:r>
    </w:p>
    <w:p>
      <w:pPr>
        <w:pStyle w:val="BodyText"/>
        <w:numPr>
          <w:ilvl w:val="0"/>
          <w:numId w:val="577"/>
        </w:numPr>
        <w:tabs>
          <w:tab w:val="clear" w:pos="709"/>
          <w:tab w:val="left" w:pos="709" w:leader="none"/>
        </w:tabs>
        <w:bidi w:val="0"/>
        <w:spacing w:before="0" w:after="0"/>
        <w:ind w:hanging="283" w:start="709"/>
        <w:jc w:val="start"/>
        <w:rPr/>
      </w:pPr>
      <w:r>
        <w:rPr>
          <w:b/>
        </w:rPr>
        <w:t>Never blindly rely on recommendations/tips from experts</w:t>
      </w:r>
      <w:r>
        <w:rPr/>
        <w:t xml:space="preserve"> — even from investors you admire.</w:t>
      </w:r>
    </w:p>
    <w:p>
      <w:pPr>
        <w:pStyle w:val="BodyText"/>
        <w:numPr>
          <w:ilvl w:val="1"/>
          <w:numId w:val="577"/>
        </w:numPr>
        <w:tabs>
          <w:tab w:val="clear" w:pos="709"/>
          <w:tab w:val="left" w:pos="1418" w:leader="none"/>
        </w:tabs>
        <w:bidi w:val="0"/>
        <w:ind w:hanging="283" w:start="1418"/>
        <w:jc w:val="start"/>
        <w:rPr/>
      </w:pPr>
      <w:r>
        <w:rPr>
          <w:b/>
        </w:rPr>
        <w:t>Thought experiment:</w:t>
      </w:r>
      <w:r>
        <w:rPr/>
        <w:t xml:space="preserve"> if Adam had dinner with Warren Buffett, Carl Icahn, and Bill Ackman and all recommended a stock (e.g., "Micron"), would he buy it? </w:t>
      </w:r>
      <w:r>
        <w:rPr>
          <w:b/>
        </w:rPr>
        <w:t>No</w:t>
      </w:r>
      <w:r>
        <w:rPr/>
        <w:t xml:space="preserve"> — he'd run it through his own </w:t>
      </w:r>
      <w:r>
        <w:rPr>
          <w:b/>
        </w:rPr>
        <w:t>seven-step investment analysis</w:t>
      </w:r>
      <w:r>
        <w:rPr/>
        <w:t xml:space="preserve"> first. He only invests if it meets his own criteria, not because admired people invested in it.</w:t>
      </w:r>
    </w:p>
    <w:p>
      <w:pPr>
        <w:pStyle w:val="BodyText"/>
        <w:numPr>
          <w:ilvl w:val="1"/>
          <w:numId w:val="577"/>
        </w:numPr>
        <w:tabs>
          <w:tab w:val="clear" w:pos="709"/>
          <w:tab w:val="left" w:pos="1418" w:leader="none"/>
        </w:tabs>
        <w:bidi w:val="0"/>
        <w:ind w:hanging="283" w:start="1418"/>
        <w:jc w:val="start"/>
        <w:rPr/>
      </w:pPr>
      <w:r>
        <w:rPr/>
        <w:t>Example: Adam admires Buffett but would never have bought some of Buffett's own picks — General Motors, airlines, Occidental Petroleum, IBM — because they didn't meet his criteria, and these turned out to be some of Buffett's losing investments.</w:t>
      </w:r>
    </w:p>
    <w:p>
      <w:pPr>
        <w:pStyle w:val="BodyText"/>
        <w:numPr>
          <w:ilvl w:val="0"/>
          <w:numId w:val="577"/>
        </w:numPr>
        <w:tabs>
          <w:tab w:val="clear" w:pos="709"/>
          <w:tab w:val="left" w:pos="709" w:leader="none"/>
        </w:tabs>
        <w:bidi w:val="0"/>
        <w:ind w:hanging="283" w:start="709"/>
        <w:jc w:val="start"/>
        <w:rPr/>
      </w:pPr>
      <w:r>
        <w:rPr/>
        <w:t xml:space="preserve">Always do your own research on every investment, </w:t>
      </w:r>
      <w:r>
        <w:rPr>
          <w:b/>
        </w:rPr>
        <w:t>monitor stocks regularly</w:t>
      </w:r>
      <w:r>
        <w:rPr/>
        <w:t xml:space="preserve">, and </w:t>
      </w:r>
      <w:r>
        <w:rPr>
          <w:b/>
        </w:rPr>
        <w:t>keep investment records</w:t>
      </w:r>
      <w:r>
        <w:rPr/>
        <w:t xml:space="preserve"> — a portfolio tracker and an investment journal. "There's no free lunch in this world... to create wealth, you got to put in the work."</w:t>
      </w:r>
    </w:p>
    <w:p>
      <w:pPr>
        <w:pStyle w:val="BodyText"/>
        <w:numPr>
          <w:ilvl w:val="0"/>
          <w:numId w:val="577"/>
        </w:numPr>
        <w:tabs>
          <w:tab w:val="clear" w:pos="709"/>
          <w:tab w:val="left" w:pos="709" w:leader="none"/>
        </w:tabs>
        <w:bidi w:val="0"/>
        <w:ind w:hanging="283" w:start="709"/>
        <w:jc w:val="start"/>
        <w:rPr/>
      </w:pPr>
      <w:r>
        <w:rPr/>
        <w:t xml:space="preserve">Analyst reports (from brokers, private banks) can be </w:t>
      </w:r>
      <w:r>
        <w:rPr>
          <w:b/>
        </w:rPr>
        <w:t>leveraged for research</w:t>
      </w:r>
      <w:r>
        <w:rPr/>
        <w:t xml:space="preserve"> but never blindly followed — always run them through your own checklist.</w:t>
      </w:r>
    </w:p>
    <w:p>
      <w:pPr>
        <w:pStyle w:val="Heading4"/>
        <w:numPr>
          <w:ilvl w:val="0"/>
          <w:numId w:val="0"/>
        </w:numPr>
        <w:bidi w:val="0"/>
        <w:ind w:hanging="0" w:start="0"/>
        <w:jc w:val="start"/>
        <w:rPr/>
      </w:pPr>
      <w:r>
        <w:rPr/>
        <w:t>Case Study: Nobel Group (November 2011) — a failed "buy" recommendation</w:t>
      </w:r>
    </w:p>
    <w:p>
      <w:pPr>
        <w:pStyle w:val="BodyText"/>
        <w:numPr>
          <w:ilvl w:val="0"/>
          <w:numId w:val="578"/>
        </w:numPr>
        <w:tabs>
          <w:tab w:val="clear" w:pos="709"/>
          <w:tab w:val="left" w:pos="709" w:leader="none"/>
        </w:tabs>
        <w:bidi w:val="0"/>
        <w:ind w:hanging="283" w:start="709"/>
        <w:jc w:val="start"/>
        <w:rPr/>
      </w:pPr>
      <w:r>
        <w:rPr/>
        <w:t xml:space="preserve">A top Singapore broker recommended </w:t>
      </w:r>
      <w:r>
        <w:rPr>
          <w:b/>
        </w:rPr>
        <w:t>buy Nobel Group at $1.56</w:t>
      </w:r>
      <w:r>
        <w:rPr/>
        <w:t>, target price $2.05. Nobel was a large commodity company, blue chip, part of the Straits Times Index.</w:t>
      </w:r>
    </w:p>
    <w:p>
      <w:pPr>
        <w:pStyle w:val="BodyText"/>
        <w:numPr>
          <w:ilvl w:val="0"/>
          <w:numId w:val="578"/>
        </w:numPr>
        <w:tabs>
          <w:tab w:val="clear" w:pos="709"/>
          <w:tab w:val="left" w:pos="709" w:leader="none"/>
        </w:tabs>
        <w:bidi w:val="0"/>
        <w:spacing w:before="0" w:after="0"/>
        <w:ind w:hanging="283" w:start="709"/>
        <w:jc w:val="start"/>
        <w:rPr/>
      </w:pPr>
      <w:r>
        <w:rPr/>
        <w:t xml:space="preserve">Adam's process: (1) he never buys commodity companies as a rule — automatic disqualifier; (2) still ran it through his seven-step check anyway, and it </w:t>
      </w:r>
      <w:r>
        <w:rPr>
          <w:b/>
        </w:rPr>
        <w:t>failed most steps</w:t>
      </w:r>
      <w:r>
        <w:rPr/>
        <w:t>:</w:t>
      </w:r>
    </w:p>
    <w:p>
      <w:pPr>
        <w:pStyle w:val="BodyText"/>
        <w:numPr>
          <w:ilvl w:val="1"/>
          <w:numId w:val="578"/>
        </w:numPr>
        <w:tabs>
          <w:tab w:val="clear" w:pos="709"/>
          <w:tab w:val="left" w:pos="1418" w:leader="none"/>
        </w:tabs>
        <w:bidi w:val="0"/>
        <w:ind w:hanging="283" w:start="1418"/>
        <w:jc w:val="start"/>
        <w:rPr/>
      </w:pPr>
      <w:r>
        <w:rPr>
          <w:b/>
        </w:rPr>
        <w:t>Negative operating cash flow</w:t>
      </w:r>
      <w:r>
        <w:rPr/>
        <w:t xml:space="preserve"> despite reported increasing profits — a red flag ("why are they generating profits on paper but the cash is not coming in?").</w:t>
      </w:r>
    </w:p>
    <w:p>
      <w:pPr>
        <w:pStyle w:val="BodyText"/>
        <w:numPr>
          <w:ilvl w:val="1"/>
          <w:numId w:val="578"/>
        </w:numPr>
        <w:tabs>
          <w:tab w:val="clear" w:pos="709"/>
          <w:tab w:val="left" w:pos="1418" w:leader="none"/>
        </w:tabs>
        <w:bidi w:val="0"/>
        <w:ind w:hanging="283" w:start="1418"/>
        <w:jc w:val="start"/>
        <w:rPr/>
      </w:pPr>
      <w:r>
        <w:rPr>
          <w:b/>
        </w:rPr>
        <w:t>Profit margin &lt; 0.5%</w:t>
      </w:r>
      <w:r>
        <w:rPr/>
        <w:t xml:space="preserve"> — razor thin, vulnerable to any cost increase.</w:t>
      </w:r>
    </w:p>
    <w:p>
      <w:pPr>
        <w:pStyle w:val="BodyText"/>
        <w:numPr>
          <w:ilvl w:val="1"/>
          <w:numId w:val="578"/>
        </w:numPr>
        <w:tabs>
          <w:tab w:val="clear" w:pos="709"/>
          <w:tab w:val="left" w:pos="1418" w:leader="none"/>
        </w:tabs>
        <w:bidi w:val="0"/>
        <w:ind w:hanging="283" w:start="1418"/>
        <w:jc w:val="start"/>
        <w:rPr/>
      </w:pPr>
      <w:r>
        <w:rPr>
          <w:b/>
        </w:rPr>
        <w:t>Debt-to-EBITDA ratio &gt; 12</w:t>
      </w:r>
      <w:r>
        <w:rPr/>
        <w:t xml:space="preserve"> (rule of thumb: should never exceed 3).</w:t>
      </w:r>
    </w:p>
    <w:p>
      <w:pPr>
        <w:pStyle w:val="BodyText"/>
        <w:numPr>
          <w:ilvl w:val="1"/>
          <w:numId w:val="578"/>
        </w:numPr>
        <w:tabs>
          <w:tab w:val="clear" w:pos="709"/>
          <w:tab w:val="left" w:pos="1418" w:leader="none"/>
        </w:tabs>
        <w:bidi w:val="0"/>
        <w:ind w:hanging="283" w:start="1418"/>
        <w:jc w:val="start"/>
        <w:rPr/>
      </w:pPr>
      <w:r>
        <w:rPr>
          <w:b/>
        </w:rPr>
        <w:t>Debt-servicing ratio over 50%.</w:t>
      </w:r>
    </w:p>
    <w:p>
      <w:pPr>
        <w:pStyle w:val="BodyText"/>
        <w:numPr>
          <w:ilvl w:val="0"/>
          <w:numId w:val="578"/>
        </w:numPr>
        <w:tabs>
          <w:tab w:val="clear" w:pos="709"/>
          <w:tab w:val="left" w:pos="709" w:leader="none"/>
        </w:tabs>
        <w:bidi w:val="0"/>
        <w:ind w:hanging="283" w:start="709"/>
        <w:jc w:val="start"/>
        <w:rPr/>
      </w:pPr>
      <w:r>
        <w:rPr/>
        <w:t xml:space="preserve">He did not buy. </w:t>
      </w:r>
      <w:r>
        <w:rPr>
          <w:b/>
        </w:rPr>
        <w:t>One week after the recommendation</w:t>
      </w:r>
      <w:r>
        <w:rPr/>
        <w:t>, price dropped from $1.56 to $1.08 (−31%).</w:t>
      </w:r>
    </w:p>
    <w:p>
      <w:pPr>
        <w:pStyle w:val="BodyText"/>
        <w:numPr>
          <w:ilvl w:val="0"/>
          <w:numId w:val="578"/>
        </w:numPr>
        <w:tabs>
          <w:tab w:val="clear" w:pos="709"/>
          <w:tab w:val="left" w:pos="709" w:leader="none"/>
        </w:tabs>
        <w:bidi w:val="0"/>
        <w:ind w:hanging="283" w:start="709"/>
        <w:jc w:val="start"/>
        <w:rPr/>
      </w:pPr>
      <w:r>
        <w:rPr>
          <w:b/>
        </w:rPr>
        <w:t>Lesson on cutting losses:</w:t>
      </w:r>
      <w:r>
        <w:rPr/>
        <w:t xml:space="preserve"> if you realize you made a mistake, </w:t>
      </w:r>
      <w:r>
        <w:rPr>
          <w:b/>
        </w:rPr>
        <w:t>cut loss immediately</w:t>
      </w:r>
      <w:r>
        <w:rPr/>
        <w:t xml:space="preserve"> — "take your loss like a man or like a woman." Most people don't, because "if I sell, I'm gonna lose money... maybe it comes back, I hope." </w:t>
      </w:r>
      <w:r>
        <w:rPr>
          <w:b/>
        </w:rPr>
        <w:t>Quote: "In the markets, hope is for the hopeless. Never have hope."</w:t>
      </w:r>
    </w:p>
    <w:p>
      <w:pPr>
        <w:pStyle w:val="BodyText"/>
        <w:numPr>
          <w:ilvl w:val="0"/>
          <w:numId w:val="578"/>
        </w:numPr>
        <w:tabs>
          <w:tab w:val="clear" w:pos="709"/>
          <w:tab w:val="left" w:pos="709" w:leader="none"/>
        </w:tabs>
        <w:bidi w:val="0"/>
        <w:ind w:hanging="283" w:start="709"/>
        <w:jc w:val="start"/>
        <w:rPr/>
      </w:pPr>
      <w:r>
        <w:rPr/>
        <w:t xml:space="preserve">Nobel Group continued: $1.08 → $0.45 → ~$0.05 → </w:t>
      </w:r>
      <w:r>
        <w:rPr>
          <w:b/>
        </w:rPr>
        <w:t>delisted</w:t>
      </w:r>
      <w:r>
        <w:rPr/>
        <w:t xml:space="preserve">, company collapsed. Investors "complained they were cheated" (referenced newspaper headline: </w:t>
      </w:r>
      <w:r>
        <w:rPr>
          <w:i/>
        </w:rPr>
        <w:t>"Tales from the collapse of commodity giant Nobel Group"</w:t>
      </w:r>
      <w:r>
        <w:rPr/>
        <w:t>).</w:t>
      </w:r>
    </w:p>
    <w:p>
      <w:pPr>
        <w:pStyle w:val="BodyText"/>
        <w:numPr>
          <w:ilvl w:val="0"/>
          <w:numId w:val="578"/>
        </w:numPr>
        <w:tabs>
          <w:tab w:val="clear" w:pos="709"/>
          <w:tab w:val="left" w:pos="709" w:leader="none"/>
        </w:tabs>
        <w:bidi w:val="0"/>
        <w:ind w:hanging="283" w:start="709"/>
        <w:jc w:val="start"/>
        <w:rPr/>
      </w:pPr>
      <w:r>
        <w:rPr>
          <w:b/>
        </w:rPr>
        <w:t>Lesson:</w:t>
      </w:r>
      <w:r>
        <w:rPr/>
        <w:t xml:space="preserve"> (1) if you realize a holding is a mistake, get out; (2) never blindly trust experts/analysts — always do your own research. Many burned investors blamed the broker, the company, or luck instead of taking responsibility — "as long as you keep blaming other people... you will always lose money."</w:t>
      </w:r>
    </w:p>
    <w:p>
      <w:pPr>
        <w:pStyle w:val="Heading4"/>
        <w:numPr>
          <w:ilvl w:val="0"/>
          <w:numId w:val="0"/>
        </w:numPr>
        <w:bidi w:val="0"/>
        <w:ind w:hanging="0" w:start="0"/>
        <w:jc w:val="start"/>
        <w:rPr/>
      </w:pPr>
      <w:r>
        <w:rPr/>
        <w:t>Case Study: Meituan Dianping (September 2019) — ignoring a bearish "avoid" call</w:t>
      </w:r>
    </w:p>
    <w:p>
      <w:pPr>
        <w:pStyle w:val="BodyText"/>
        <w:numPr>
          <w:ilvl w:val="0"/>
          <w:numId w:val="579"/>
        </w:numPr>
        <w:tabs>
          <w:tab w:val="clear" w:pos="709"/>
          <w:tab w:val="left" w:pos="709" w:leader="none"/>
        </w:tabs>
        <w:bidi w:val="0"/>
        <w:ind w:hanging="283" w:start="709"/>
        <w:jc w:val="start"/>
        <w:rPr/>
      </w:pPr>
      <w:r>
        <w:rPr/>
        <w:t>Adam found Meituan Dianping (China stock) as a great company with multi-bagger potential; shared research via YouTube and predicted the stock could double/triple within a year.</w:t>
      </w:r>
    </w:p>
    <w:p>
      <w:pPr>
        <w:pStyle w:val="BodyText"/>
        <w:numPr>
          <w:ilvl w:val="0"/>
          <w:numId w:val="579"/>
        </w:numPr>
        <w:tabs>
          <w:tab w:val="clear" w:pos="709"/>
          <w:tab w:val="left" w:pos="709" w:leader="none"/>
        </w:tabs>
        <w:bidi w:val="0"/>
        <w:ind w:hanging="283" w:start="709"/>
        <w:jc w:val="start"/>
        <w:rPr/>
      </w:pPr>
      <w:r>
        <w:rPr/>
        <w:t>Told his community he was "getting my dry powder ready" as it approached his ideal buy price of $70.</w:t>
      </w:r>
    </w:p>
    <w:p>
      <w:pPr>
        <w:pStyle w:val="BodyText"/>
        <w:numPr>
          <w:ilvl w:val="0"/>
          <w:numId w:val="579"/>
        </w:numPr>
        <w:tabs>
          <w:tab w:val="clear" w:pos="709"/>
          <w:tab w:val="left" w:pos="709" w:leader="none"/>
        </w:tabs>
        <w:bidi w:val="0"/>
        <w:ind w:hanging="283" w:start="709"/>
        <w:jc w:val="start"/>
        <w:rPr/>
      </w:pPr>
      <w:r>
        <w:rPr>
          <w:b/>
        </w:rPr>
        <w:t>10 September:</w:t>
      </w:r>
      <w:r>
        <w:rPr/>
        <w:t xml:space="preserve"> price hit $70; Adam and students bought in together (students posted their entry prices: $70, $73, etc.).</w:t>
      </w:r>
    </w:p>
    <w:p>
      <w:pPr>
        <w:pStyle w:val="BodyText"/>
        <w:numPr>
          <w:ilvl w:val="0"/>
          <w:numId w:val="579"/>
        </w:numPr>
        <w:tabs>
          <w:tab w:val="clear" w:pos="709"/>
          <w:tab w:val="left" w:pos="709" w:leader="none"/>
        </w:tabs>
        <w:bidi w:val="0"/>
        <w:ind w:hanging="283" w:start="709"/>
        <w:jc w:val="start"/>
        <w:rPr/>
      </w:pPr>
      <w:r>
        <w:rPr/>
        <w:t xml:space="preserve">Students flagged a </w:t>
      </w:r>
      <w:r>
        <w:rPr>
          <w:b/>
        </w:rPr>
        <w:t>March 2019 CNBC article</w:t>
      </w:r>
      <w:r>
        <w:rPr/>
        <w:t xml:space="preserve"> where analysts said investors should </w:t>
      </w:r>
      <w:r>
        <w:rPr>
          <w:b/>
        </w:rPr>
        <w:t>avoid</w:t>
      </w:r>
      <w:r>
        <w:rPr/>
        <w:t xml:space="preserve"> Meituan shares — asked Adam why he was buying against that advice.</w:t>
      </w:r>
    </w:p>
    <w:p>
      <w:pPr>
        <w:pStyle w:val="BodyText"/>
        <w:numPr>
          <w:ilvl w:val="0"/>
          <w:numId w:val="579"/>
        </w:numPr>
        <w:tabs>
          <w:tab w:val="clear" w:pos="709"/>
          <w:tab w:val="left" w:pos="709" w:leader="none"/>
        </w:tabs>
        <w:bidi w:val="0"/>
        <w:ind w:hanging="283" w:start="709"/>
        <w:jc w:val="start"/>
        <w:rPr/>
      </w:pPr>
      <w:r>
        <w:rPr/>
        <w:t xml:space="preserve">Adam's reply: </w:t>
      </w:r>
      <w:r>
        <w:rPr>
          <w:b/>
        </w:rPr>
        <w:t>"You gotta ignore these analysts, because they may not know what the hell they're doing. You have to trust your own research."</w:t>
      </w:r>
    </w:p>
    <w:p>
      <w:pPr>
        <w:pStyle w:val="BodyText"/>
        <w:numPr>
          <w:ilvl w:val="0"/>
          <w:numId w:val="579"/>
        </w:numPr>
        <w:tabs>
          <w:tab w:val="clear" w:pos="709"/>
          <w:tab w:val="left" w:pos="709" w:leader="none"/>
        </w:tabs>
        <w:bidi w:val="0"/>
        <w:ind w:hanging="283" w:start="709"/>
        <w:jc w:val="start"/>
        <w:rPr/>
      </w:pPr>
      <w:r>
        <w:rPr>
          <w:b/>
        </w:rPr>
        <w:t>Result: within 17 months, price went from $70 to $440 — up 528%.</w:t>
      </w:r>
    </w:p>
    <w:p>
      <w:pPr>
        <w:pStyle w:val="BodyText"/>
        <w:numPr>
          <w:ilvl w:val="0"/>
          <w:numId w:val="579"/>
        </w:numPr>
        <w:tabs>
          <w:tab w:val="clear" w:pos="709"/>
          <w:tab w:val="left" w:pos="709" w:leader="none"/>
        </w:tabs>
        <w:bidi w:val="0"/>
        <w:ind w:hanging="283" w:start="709"/>
        <w:jc w:val="start"/>
        <w:rPr/>
      </w:pPr>
      <w:r>
        <w:rPr/>
        <w:t>Sell discipline: started selling at $320 (overvalued vs. his intrinsic value estimate of $240), sold more progressively, sold the majority of the position at $440. (Referenced screenshot from his "Ultimate Investors Playbook" live-alerts channel, showing him near +400% and stating intent to sell half his balance as "quite overvalued.")</w:t>
      </w:r>
    </w:p>
    <w:p>
      <w:pPr>
        <w:pStyle w:val="Heading4"/>
        <w:numPr>
          <w:ilvl w:val="0"/>
          <w:numId w:val="0"/>
        </w:numPr>
        <w:bidi w:val="0"/>
        <w:ind w:hanging="0" w:start="0"/>
        <w:jc w:val="start"/>
        <w:rPr/>
      </w:pPr>
      <w:r>
        <w:rPr/>
        <w:t>Case Study: Goldman Sachs Short Call (21 June 2012)</w:t>
      </w:r>
    </w:p>
    <w:p>
      <w:pPr>
        <w:pStyle w:val="BodyText"/>
        <w:numPr>
          <w:ilvl w:val="0"/>
          <w:numId w:val="580"/>
        </w:numPr>
        <w:tabs>
          <w:tab w:val="clear" w:pos="709"/>
          <w:tab w:val="left" w:pos="709" w:leader="none"/>
        </w:tabs>
        <w:bidi w:val="0"/>
        <w:ind w:hanging="283" w:start="709"/>
        <w:jc w:val="start"/>
        <w:rPr/>
      </w:pPr>
      <w:r>
        <w:rPr/>
        <w:t xml:space="preserve">Goldman Sachs recommended clients </w:t>
      </w:r>
      <w:r>
        <w:rPr>
          <w:b/>
        </w:rPr>
        <w:t>build short positions on the S&amp;P 500</w:t>
      </w:r>
      <w:r>
        <w:rPr/>
        <w:t xml:space="preserve"> citing a "weakening domestic economy."</w:t>
      </w:r>
    </w:p>
    <w:p>
      <w:pPr>
        <w:pStyle w:val="BodyText"/>
        <w:numPr>
          <w:ilvl w:val="0"/>
          <w:numId w:val="580"/>
        </w:numPr>
        <w:tabs>
          <w:tab w:val="clear" w:pos="709"/>
          <w:tab w:val="left" w:pos="709" w:leader="none"/>
        </w:tabs>
        <w:bidi w:val="0"/>
        <w:ind w:hanging="283" w:start="709"/>
        <w:jc w:val="start"/>
        <w:rPr/>
      </w:pPr>
      <w:r>
        <w:rPr/>
        <w:t xml:space="preserve">Adam's rule: </w:t>
      </w:r>
      <w:r>
        <w:rPr>
          <w:b/>
        </w:rPr>
        <w:t>never listen to these recommendations — follow your own investment rules (chart trend).</w:t>
      </w:r>
    </w:p>
    <w:p>
      <w:pPr>
        <w:pStyle w:val="BodyText"/>
        <w:numPr>
          <w:ilvl w:val="0"/>
          <w:numId w:val="580"/>
        </w:numPr>
        <w:tabs>
          <w:tab w:val="clear" w:pos="709"/>
          <w:tab w:val="left" w:pos="709" w:leader="none"/>
        </w:tabs>
        <w:bidi w:val="0"/>
        <w:ind w:hanging="283" w:start="709"/>
        <w:jc w:val="start"/>
        <w:rPr/>
      </w:pPr>
      <w:r>
        <w:rPr/>
        <w:t xml:space="preserve">At the time, the chart showed a clear </w:t>
      </w:r>
      <w:r>
        <w:rPr>
          <w:b/>
        </w:rPr>
        <w:t>uptrend</w:t>
      </w:r>
      <w:r>
        <w:rPr/>
        <w:t xml:space="preserve"> (50-day moving average above the 150-day moving average, and the 150 still sloping upward, even though the 50 had briefly dipped below it).</w:t>
      </w:r>
    </w:p>
    <w:p>
      <w:pPr>
        <w:pStyle w:val="BodyText"/>
        <w:numPr>
          <w:ilvl w:val="0"/>
          <w:numId w:val="580"/>
        </w:numPr>
        <w:tabs>
          <w:tab w:val="clear" w:pos="709"/>
          <w:tab w:val="left" w:pos="709" w:leader="none"/>
        </w:tabs>
        <w:bidi w:val="0"/>
        <w:ind w:hanging="283" w:start="709"/>
        <w:jc w:val="start"/>
        <w:rPr/>
      </w:pPr>
      <w:r>
        <w:rPr>
          <w:b/>
        </w:rPr>
        <w:t>Result:</w:t>
      </w:r>
      <w:r>
        <w:rPr/>
        <w:t xml:space="preserve"> market didn't fall — it rose </w:t>
      </w:r>
      <w:r>
        <w:rPr>
          <w:b/>
        </w:rPr>
        <w:t>7% over the following months</w:t>
      </w:r>
      <w:r>
        <w:rPr/>
        <w:t>. People who listened to the "short" call lost money or lost the opportunity for that 7% gain.</w:t>
      </w:r>
    </w:p>
    <w:p>
      <w:pPr>
        <w:pStyle w:val="BodyText"/>
        <w:numPr>
          <w:ilvl w:val="0"/>
          <w:numId w:val="580"/>
        </w:numPr>
        <w:tabs>
          <w:tab w:val="clear" w:pos="709"/>
          <w:tab w:val="left" w:pos="709" w:leader="none"/>
        </w:tabs>
        <w:bidi w:val="0"/>
        <w:ind w:hanging="283" w:start="709"/>
        <w:jc w:val="start"/>
        <w:rPr/>
      </w:pPr>
      <w:r>
        <w:rPr>
          <w:b/>
        </w:rPr>
        <w:t>Takeaway repeated across all three case studies:</w:t>
      </w:r>
      <w:r>
        <w:rPr/>
        <w:t xml:space="preserve"> never listen to opinions/advice of analysts, bankers, or experts. Follow your investment plan's rules based on fundamentals and chart patterns instead.</w:t>
      </w:r>
    </w:p>
    <w:p>
      <w:pPr>
        <w:pStyle w:val="HorizontalLine"/>
        <w:bidi w:val="0"/>
        <w:jc w:val="start"/>
        <w:rPr/>
      </w:pPr>
      <w:r>
        <w:rPr/>
      </w:r>
    </w:p>
    <w:p>
      <w:pPr>
        <w:pStyle w:val="Heading3"/>
        <w:bidi w:val="0"/>
        <w:ind w:hanging="0" w:start="0"/>
        <w:jc w:val="start"/>
        <w:rPr/>
      </w:pPr>
      <w:r>
        <w:rPr/>
        <w:t>Psychology Rule #3: Be Patient and Think Long-Term</w:t>
      </w:r>
    </w:p>
    <w:p>
      <w:pPr>
        <w:pStyle w:val="BodyText"/>
        <w:numPr>
          <w:ilvl w:val="0"/>
          <w:numId w:val="581"/>
        </w:numPr>
        <w:tabs>
          <w:tab w:val="clear" w:pos="709"/>
          <w:tab w:val="left" w:pos="709" w:leader="none"/>
        </w:tabs>
        <w:bidi w:val="0"/>
        <w:ind w:hanging="283" w:start="709"/>
        <w:jc w:val="start"/>
        <w:rPr/>
      </w:pPr>
      <w:r>
        <w:rPr/>
        <w:t xml:space="preserve">Most people want to get rich quick — "it just doesn't happen. It just doesn't exist." This drives people toward get-rich-quick schemes or speculative hype stocks. You </w:t>
      </w:r>
      <w:r>
        <w:rPr>
          <w:i/>
        </w:rPr>
        <w:t>can</w:t>
      </w:r>
      <w:r>
        <w:rPr/>
        <w:t xml:space="preserve"> occasionally get lucky (like winning the lottery), "but in the long run, whatever money you make, you will always lose it back."</w:t>
      </w:r>
    </w:p>
    <w:p>
      <w:pPr>
        <w:pStyle w:val="BodyText"/>
        <w:numPr>
          <w:ilvl w:val="0"/>
          <w:numId w:val="581"/>
        </w:numPr>
        <w:tabs>
          <w:tab w:val="clear" w:pos="709"/>
          <w:tab w:val="left" w:pos="709" w:leader="none"/>
        </w:tabs>
        <w:bidi w:val="0"/>
        <w:ind w:hanging="283" w:start="709"/>
        <w:jc w:val="start"/>
        <w:rPr/>
      </w:pPr>
      <w:r>
        <w:rPr/>
        <w:t xml:space="preserve">Sustainable wealth requires a </w:t>
      </w:r>
      <w:r>
        <w:rPr>
          <w:b/>
        </w:rPr>
        <w:t>long-term timeframe</w:t>
      </w:r>
      <w:r>
        <w:rPr/>
        <w:t xml:space="preserve">, patience, and letting investments </w:t>
      </w:r>
      <w:r>
        <w:rPr>
          <w:b/>
        </w:rPr>
        <w:t>compound</w:t>
      </w:r>
      <w:r>
        <w:rPr/>
        <w:t>.</w:t>
      </w:r>
    </w:p>
    <w:p>
      <w:pPr>
        <w:pStyle w:val="BodyText"/>
        <w:numPr>
          <w:ilvl w:val="0"/>
          <w:numId w:val="581"/>
        </w:numPr>
        <w:tabs>
          <w:tab w:val="clear" w:pos="709"/>
          <w:tab w:val="left" w:pos="709" w:leader="none"/>
        </w:tabs>
        <w:bidi w:val="0"/>
        <w:spacing w:before="0" w:after="0"/>
        <w:ind w:hanging="283" w:start="709"/>
        <w:jc w:val="start"/>
        <w:rPr/>
      </w:pPr>
      <w:r>
        <w:rPr>
          <w:b/>
        </w:rPr>
        <w:t>Quotes:</w:t>
      </w:r>
    </w:p>
    <w:p>
      <w:pPr>
        <w:pStyle w:val="BodyText"/>
        <w:numPr>
          <w:ilvl w:val="1"/>
          <w:numId w:val="581"/>
        </w:numPr>
        <w:tabs>
          <w:tab w:val="clear" w:pos="709"/>
          <w:tab w:val="left" w:pos="1418" w:leader="none"/>
        </w:tabs>
        <w:bidi w:val="0"/>
        <w:ind w:hanging="283" w:start="1418"/>
        <w:jc w:val="start"/>
        <w:rPr/>
      </w:pPr>
      <w:r>
        <w:rPr/>
        <w:t>"The stock market is a wonderful mechanism that transfers wealth from the impatient to the patient."</w:t>
      </w:r>
    </w:p>
    <w:p>
      <w:pPr>
        <w:pStyle w:val="BodyText"/>
        <w:numPr>
          <w:ilvl w:val="1"/>
          <w:numId w:val="581"/>
        </w:numPr>
        <w:tabs>
          <w:tab w:val="clear" w:pos="709"/>
          <w:tab w:val="left" w:pos="1418" w:leader="none"/>
        </w:tabs>
        <w:bidi w:val="0"/>
        <w:ind w:hanging="283" w:start="1418"/>
        <w:jc w:val="start"/>
        <w:rPr/>
      </w:pPr>
      <w:r>
        <w:rPr>
          <w:b/>
        </w:rPr>
        <w:t>Charlie Munger:</w:t>
      </w:r>
      <w:r>
        <w:rPr/>
        <w:t xml:space="preserve"> "The big money is not in buying and selling stocks, the big money is in waiting." (repeated later: "It's in inactivity.")</w:t>
      </w:r>
    </w:p>
    <w:p>
      <w:pPr>
        <w:pStyle w:val="BodyText"/>
        <w:numPr>
          <w:ilvl w:val="0"/>
          <w:numId w:val="581"/>
        </w:numPr>
        <w:tabs>
          <w:tab w:val="clear" w:pos="709"/>
          <w:tab w:val="left" w:pos="709" w:leader="none"/>
        </w:tabs>
        <w:bidi w:val="0"/>
        <w:ind w:hanging="283" w:start="709"/>
        <w:jc w:val="start"/>
        <w:rPr/>
      </w:pPr>
      <w:r>
        <w:rPr/>
        <w:t>Most investors abandon their strategy out of impatience when they don't get rich overnight, or when they see other stocks/crypto rising faster and get "seduced by those quick profits" — jumping into what's hot (which usually crashes) and abandoning good companies (which usually then rise).</w:t>
      </w:r>
    </w:p>
    <w:p>
      <w:pPr>
        <w:pStyle w:val="BodyText"/>
        <w:numPr>
          <w:ilvl w:val="0"/>
          <w:numId w:val="581"/>
        </w:numPr>
        <w:tabs>
          <w:tab w:val="clear" w:pos="709"/>
          <w:tab w:val="left" w:pos="709" w:leader="none"/>
        </w:tabs>
        <w:bidi w:val="0"/>
        <w:ind w:hanging="283" w:start="709"/>
        <w:jc w:val="start"/>
        <w:rPr/>
      </w:pPr>
      <w:r>
        <w:rPr>
          <w:b/>
        </w:rPr>
        <w:t>"Get rich slow, but get rich sure"</w:t>
      </w:r>
      <w:r>
        <w:rPr/>
        <w:t xml:space="preserve"> — not get rich quick.</w:t>
      </w:r>
    </w:p>
    <w:p>
      <w:pPr>
        <w:pStyle w:val="BodyText"/>
        <w:numPr>
          <w:ilvl w:val="0"/>
          <w:numId w:val="581"/>
        </w:numPr>
        <w:tabs>
          <w:tab w:val="clear" w:pos="709"/>
          <w:tab w:val="left" w:pos="709" w:leader="none"/>
        </w:tabs>
        <w:bidi w:val="0"/>
        <w:ind w:hanging="283" w:start="709"/>
        <w:jc w:val="start"/>
        <w:rPr/>
      </w:pPr>
      <w:r>
        <w:rPr/>
        <w:t xml:space="preserve">Stock prices/portfolios </w:t>
      </w:r>
      <w:r>
        <w:rPr>
          <w:b/>
        </w:rPr>
        <w:t>do not go up in a straight line</w:t>
      </w:r>
      <w:r>
        <w:rPr/>
        <w:t xml:space="preserve"> — they cycle through ups and downs even for great companies with strong long-run annualized returns (e.g., a company can compound at 26%/year on average while going flat or down for a full year at a time).</w:t>
      </w:r>
    </w:p>
    <w:p>
      <w:pPr>
        <w:pStyle w:val="BodyText"/>
        <w:numPr>
          <w:ilvl w:val="0"/>
          <w:numId w:val="581"/>
        </w:numPr>
        <w:tabs>
          <w:tab w:val="clear" w:pos="709"/>
          <w:tab w:val="left" w:pos="709" w:leader="none"/>
        </w:tabs>
        <w:bidi w:val="0"/>
        <w:ind w:hanging="283" w:start="709"/>
        <w:jc w:val="start"/>
        <w:rPr/>
      </w:pPr>
      <w:r>
        <w:rPr>
          <w:b/>
        </w:rPr>
        <w:t>Illustrative example:</w:t>
      </w:r>
      <w:r>
        <w:rPr/>
        <w:t xml:space="preserve"> buy at $100, stock doubles to $200 in 3 years = ~26% annualized return — a great outcome — but this often happens with two flat/sideways years followed by a big move in year three. Most people give up ("lose faith... lose patience... sell the stock") right before the move happens, then watch it double after they sell.</w:t>
      </w:r>
    </w:p>
    <w:p>
      <w:pPr>
        <w:pStyle w:val="Heading4"/>
        <w:numPr>
          <w:ilvl w:val="0"/>
          <w:numId w:val="0"/>
        </w:numPr>
        <w:bidi w:val="0"/>
        <w:ind w:hanging="0" w:start="0"/>
        <w:jc w:val="start"/>
        <w:rPr/>
      </w:pPr>
      <w:r>
        <w:rPr/>
        <w:t>The Golf Compounding Exercise</w:t>
      </w:r>
    </w:p>
    <w:p>
      <w:pPr>
        <w:pStyle w:val="BodyText"/>
        <w:numPr>
          <w:ilvl w:val="0"/>
          <w:numId w:val="582"/>
        </w:numPr>
        <w:tabs>
          <w:tab w:val="clear" w:pos="709"/>
          <w:tab w:val="left" w:pos="709" w:leader="none"/>
        </w:tabs>
        <w:bidi w:val="0"/>
        <w:ind w:hanging="283" w:start="709"/>
        <w:jc w:val="start"/>
        <w:rPr/>
      </w:pPr>
      <w:r>
        <w:rPr/>
        <w:t xml:space="preserve">Thought exercise: bet 10 cents on hole 1 of golf, </w:t>
      </w:r>
      <w:r>
        <w:rPr>
          <w:b/>
        </w:rPr>
        <w:t>double the bet every hole</w:t>
      </w:r>
      <w:r>
        <w:rPr/>
        <w:t xml:space="preserve"> for 18 holes. Guess the hole-18 bet before being told.</w:t>
      </w:r>
    </w:p>
    <w:p>
      <w:pPr>
        <w:pStyle w:val="BodyText"/>
        <w:numPr>
          <w:ilvl w:val="0"/>
          <w:numId w:val="582"/>
        </w:numPr>
        <w:tabs>
          <w:tab w:val="clear" w:pos="709"/>
          <w:tab w:val="left" w:pos="709" w:leader="none"/>
        </w:tabs>
        <w:bidi w:val="0"/>
        <w:ind w:hanging="283" w:start="709"/>
        <w:jc w:val="start"/>
        <w:rPr/>
      </w:pPr>
      <w:r>
        <w:rPr/>
        <w:t xml:space="preserve">Progression shown: Hole 1: $0.10 → Hole 5: $1.60 → Hole 6: $3.20 → Hole 9 (halfway): $25.60 → Hole 10: $51 → Hole 12: $204 → Hole 13: $409 → Hole 15: $1,600 → </w:t>
      </w:r>
      <w:r>
        <w:rPr>
          <w:b/>
        </w:rPr>
        <w:t>Hole 18: $13,000</w:t>
      </w:r>
      <w:r>
        <w:rPr/>
        <w:t xml:space="preserve"> (starting from just 10 cents).</w:t>
      </w:r>
    </w:p>
    <w:p>
      <w:pPr>
        <w:pStyle w:val="BodyText"/>
        <w:numPr>
          <w:ilvl w:val="0"/>
          <w:numId w:val="582"/>
        </w:numPr>
        <w:tabs>
          <w:tab w:val="clear" w:pos="709"/>
          <w:tab w:val="left" w:pos="709" w:leader="none"/>
        </w:tabs>
        <w:bidi w:val="0"/>
        <w:ind w:hanging="283" w:start="709"/>
        <w:jc w:val="start"/>
        <w:rPr/>
      </w:pPr>
      <w:r>
        <w:rPr>
          <w:b/>
        </w:rPr>
        <w:t>Point:</w:t>
      </w:r>
      <w:r>
        <w:rPr/>
        <w:t xml:space="preserve"> compounding grows </w:t>
      </w:r>
      <w:r>
        <w:rPr>
          <w:i/>
        </w:rPr>
        <w:t>very slowly</w:t>
      </w:r>
      <w:r>
        <w:rPr/>
        <w:t xml:space="preserve"> at first ("like watching the grass grow... you get impatient... you're barely say, forget it, I'm gonna do something more exciting") before exploding exponentially later. Between hole 15 and hole 18 (only 4 holes), the value goes from $1,600 to $13,000.</w:t>
      </w:r>
    </w:p>
    <w:p>
      <w:pPr>
        <w:pStyle w:val="BodyText"/>
        <w:numPr>
          <w:ilvl w:val="0"/>
          <w:numId w:val="582"/>
        </w:numPr>
        <w:tabs>
          <w:tab w:val="clear" w:pos="709"/>
          <w:tab w:val="left" w:pos="709" w:leader="none"/>
        </w:tabs>
        <w:bidi w:val="0"/>
        <w:ind w:hanging="283" w:start="709"/>
        <w:jc w:val="start"/>
        <w:rPr/>
      </w:pPr>
      <w:r>
        <w:rPr>
          <w:b/>
        </w:rPr>
        <w:t>Lesson:</w:t>
      </w:r>
      <w:r>
        <w:rPr/>
        <w:t xml:space="preserve"> starting investing even 1–4 years later than someone else results in a hugely different end outcome over the long run — </w:t>
      </w:r>
      <w:r>
        <w:rPr>
          <w:b/>
        </w:rPr>
        <w:t>start as early as possible</w:t>
      </w:r>
      <w:r>
        <w:rPr/>
        <w:t xml:space="preserve"> to give money runway to compound.</w:t>
      </w:r>
    </w:p>
    <w:p>
      <w:pPr>
        <w:pStyle w:val="HorizontalLine"/>
        <w:bidi w:val="0"/>
        <w:jc w:val="start"/>
        <w:rPr/>
      </w:pPr>
      <w:r>
        <w:rPr/>
      </w:r>
    </w:p>
    <w:p>
      <w:pPr>
        <w:pStyle w:val="Heading3"/>
        <w:bidi w:val="0"/>
        <w:ind w:hanging="0" w:start="0"/>
        <w:jc w:val="start"/>
        <w:rPr/>
      </w:pPr>
      <w:r>
        <w:rPr/>
        <w:t>Psychology Rule #4: Buy Slowly, Sell Even Slower</w:t>
      </w:r>
    </w:p>
    <w:p>
      <w:pPr>
        <w:pStyle w:val="BodyText"/>
        <w:numPr>
          <w:ilvl w:val="0"/>
          <w:numId w:val="583"/>
        </w:numPr>
        <w:tabs>
          <w:tab w:val="clear" w:pos="709"/>
          <w:tab w:val="left" w:pos="709" w:leader="none"/>
        </w:tabs>
        <w:bidi w:val="0"/>
        <w:ind w:hanging="283" w:start="709"/>
        <w:jc w:val="start"/>
        <w:rPr/>
      </w:pPr>
      <w:r>
        <w:rPr/>
        <w:t xml:space="preserve">Unlike most areas of life where "activity equates to performance," </w:t>
      </w:r>
      <w:r>
        <w:rPr>
          <w:b/>
        </w:rPr>
        <w:t>in investing, less activity often produces more money.</w:t>
      </w:r>
    </w:p>
    <w:p>
      <w:pPr>
        <w:pStyle w:val="BodyText"/>
        <w:numPr>
          <w:ilvl w:val="0"/>
          <w:numId w:val="583"/>
        </w:numPr>
        <w:tabs>
          <w:tab w:val="clear" w:pos="709"/>
          <w:tab w:val="left" w:pos="709" w:leader="none"/>
        </w:tabs>
        <w:bidi w:val="0"/>
        <w:ind w:hanging="283" w:start="709"/>
        <w:jc w:val="start"/>
        <w:rPr/>
      </w:pPr>
      <w:r>
        <w:rPr>
          <w:b/>
        </w:rPr>
        <w:t>Be very patient before buying.</w:t>
      </w:r>
      <w:r>
        <w:rPr/>
        <w:t xml:space="preserve"> Common student mistake: after finishing the course, getting "trigger happy" and buying prematurely out of fear of missing the move, before a stock is properly undervalued or at the right buy point.</w:t>
      </w:r>
    </w:p>
    <w:p>
      <w:pPr>
        <w:pStyle w:val="BodyText"/>
        <w:numPr>
          <w:ilvl w:val="0"/>
          <w:numId w:val="583"/>
        </w:numPr>
        <w:tabs>
          <w:tab w:val="clear" w:pos="709"/>
          <w:tab w:val="left" w:pos="709" w:leader="none"/>
        </w:tabs>
        <w:bidi w:val="0"/>
        <w:ind w:hanging="283" w:start="709"/>
        <w:jc w:val="start"/>
        <w:rPr/>
      </w:pPr>
      <w:r>
        <w:rPr>
          <w:b/>
        </w:rPr>
        <w:t>Rule: "If there's no great business at this point of time at a great price, do nothing."</w:t>
      </w:r>
      <w:r>
        <w:rPr/>
        <w:t xml:space="preserve"> Hold cash rather than invest for the sake of investing.</w:t>
      </w:r>
    </w:p>
    <w:p>
      <w:pPr>
        <w:pStyle w:val="BodyText"/>
        <w:numPr>
          <w:ilvl w:val="0"/>
          <w:numId w:val="583"/>
        </w:numPr>
        <w:tabs>
          <w:tab w:val="clear" w:pos="709"/>
          <w:tab w:val="left" w:pos="709" w:leader="none"/>
        </w:tabs>
        <w:bidi w:val="0"/>
        <w:ind w:hanging="283" w:start="709"/>
        <w:jc w:val="start"/>
        <w:rPr/>
      </w:pPr>
      <w:r>
        <w:rPr>
          <w:b/>
        </w:rPr>
        <w:t>Baseball analogy:</w:t>
      </w:r>
      <w:r>
        <w:rPr/>
        <w:t xml:space="preserve"> "You only swing when you have the perfect pitch. If there's no perfect pitch, you don't have to swing." Investing is a marathon, not a race.</w:t>
      </w:r>
    </w:p>
    <w:p>
      <w:pPr>
        <w:pStyle w:val="BodyText"/>
        <w:numPr>
          <w:ilvl w:val="0"/>
          <w:numId w:val="583"/>
        </w:numPr>
        <w:tabs>
          <w:tab w:val="clear" w:pos="709"/>
          <w:tab w:val="left" w:pos="709" w:leader="none"/>
        </w:tabs>
        <w:bidi w:val="0"/>
        <w:ind w:hanging="283" w:start="709"/>
        <w:jc w:val="start"/>
        <w:rPr/>
      </w:pPr>
      <w:r>
        <w:rPr/>
        <w:t>Buy aggressively when the market is in fear/correction and great companies are on sale; do NOT buy when markets are high, expensive, and people are euphoric.</w:t>
      </w:r>
    </w:p>
    <w:p>
      <w:pPr>
        <w:pStyle w:val="BodyText"/>
        <w:numPr>
          <w:ilvl w:val="0"/>
          <w:numId w:val="583"/>
        </w:numPr>
        <w:tabs>
          <w:tab w:val="clear" w:pos="709"/>
          <w:tab w:val="left" w:pos="709" w:leader="none"/>
        </w:tabs>
        <w:bidi w:val="0"/>
        <w:ind w:hanging="283" w:start="709"/>
        <w:jc w:val="start"/>
        <w:rPr/>
      </w:pPr>
      <w:r>
        <w:rPr>
          <w:b/>
        </w:rPr>
        <w:t>Be even more patient in selling.</w:t>
      </w:r>
      <w:r>
        <w:rPr/>
        <w:t xml:space="preserve"> Common mistake: taking profits too fast (e.g., stock up 20%, "let me grab those profits before I lose those profits") — this caps you at small gains and prevents big wins. </w:t>
      </w:r>
      <w:r>
        <w:rPr>
          <w:b/>
        </w:rPr>
        <w:t>"The best stocks are the ones that you hold forever."</w:t>
      </w:r>
    </w:p>
    <w:p>
      <w:pPr>
        <w:pStyle w:val="BodyText"/>
        <w:numPr>
          <w:ilvl w:val="0"/>
          <w:numId w:val="583"/>
        </w:numPr>
        <w:tabs>
          <w:tab w:val="clear" w:pos="709"/>
          <w:tab w:val="left" w:pos="709" w:leader="none"/>
        </w:tabs>
        <w:bidi w:val="0"/>
        <w:ind w:hanging="283" w:start="709"/>
        <w:jc w:val="start"/>
        <w:rPr/>
      </w:pPr>
      <w:r>
        <w:rPr/>
        <w:t>Clarification on "forever": only sell if you need the cash for something specific (a house, a car). Otherwise let it compound.</w:t>
      </w:r>
    </w:p>
    <w:p>
      <w:pPr>
        <w:pStyle w:val="Heading4"/>
        <w:numPr>
          <w:ilvl w:val="0"/>
          <w:numId w:val="0"/>
        </w:numPr>
        <w:bidi w:val="0"/>
        <w:ind w:hanging="0" w:start="0"/>
        <w:jc w:val="start"/>
        <w:rPr/>
      </w:pPr>
      <w:r>
        <w:rPr/>
        <w:t>Fidelity Dormant Accounts Study</w:t>
      </w:r>
    </w:p>
    <w:p>
      <w:pPr>
        <w:pStyle w:val="BodyText"/>
        <w:numPr>
          <w:ilvl w:val="0"/>
          <w:numId w:val="584"/>
        </w:numPr>
        <w:tabs>
          <w:tab w:val="clear" w:pos="709"/>
          <w:tab w:val="left" w:pos="709" w:leader="none"/>
        </w:tabs>
        <w:bidi w:val="0"/>
        <w:ind w:hanging="283" w:start="709"/>
        <w:jc w:val="start"/>
        <w:rPr/>
      </w:pPr>
      <w:r>
        <w:rPr/>
        <w:t xml:space="preserve">A study of Fidelity clients' accounts over 30 years found the </w:t>
      </w:r>
      <w:r>
        <w:rPr>
          <w:b/>
        </w:rPr>
        <w:t>best-performing accounts were inactive ones</w:t>
      </w:r>
      <w:r>
        <w:rPr/>
        <w:t xml:space="preserve"> — accounts the owner forgot about, or where the owner had </w:t>
      </w:r>
      <w:r>
        <w:rPr>
          <w:b/>
        </w:rPr>
        <w:t>died</w:t>
      </w:r>
      <w:r>
        <w:rPr/>
        <w:t xml:space="preserve"> and no one claimed the stock. Actively-traded accounts performed the worst.</w:t>
      </w:r>
    </w:p>
    <w:p>
      <w:pPr>
        <w:pStyle w:val="BodyText"/>
        <w:numPr>
          <w:ilvl w:val="0"/>
          <w:numId w:val="584"/>
        </w:numPr>
        <w:tabs>
          <w:tab w:val="clear" w:pos="709"/>
          <w:tab w:val="left" w:pos="709" w:leader="none"/>
        </w:tabs>
        <w:bidi w:val="0"/>
        <w:ind w:hanging="283" w:start="709"/>
        <w:jc w:val="start"/>
        <w:rPr/>
      </w:pPr>
      <w:r>
        <w:rPr>
          <w:b/>
        </w:rPr>
        <w:t>Lesson:</w:t>
      </w:r>
      <w:r>
        <w:rPr/>
        <w:t xml:space="preserve"> "In investing, lower activity actually results in greater returns."</w:t>
      </w:r>
    </w:p>
    <w:p>
      <w:pPr>
        <w:pStyle w:val="Heading4"/>
        <w:numPr>
          <w:ilvl w:val="0"/>
          <w:numId w:val="0"/>
        </w:numPr>
        <w:bidi w:val="0"/>
        <w:ind w:hanging="0" w:start="0"/>
        <w:jc w:val="start"/>
        <w:rPr/>
      </w:pPr>
      <w:r>
        <w:rPr/>
        <w:t>Personal Anecdote: Adam's Facebook Mistake</w:t>
      </w:r>
    </w:p>
    <w:p>
      <w:pPr>
        <w:pStyle w:val="BodyText"/>
        <w:numPr>
          <w:ilvl w:val="0"/>
          <w:numId w:val="585"/>
        </w:numPr>
        <w:tabs>
          <w:tab w:val="clear" w:pos="709"/>
          <w:tab w:val="left" w:pos="709" w:leader="none"/>
        </w:tabs>
        <w:bidi w:val="0"/>
        <w:ind w:hanging="283" w:start="709"/>
        <w:jc w:val="start"/>
        <w:rPr/>
      </w:pPr>
      <w:r>
        <w:rPr/>
        <w:t xml:space="preserve">Adam bought Facebook years ago at </w:t>
      </w:r>
      <w:r>
        <w:rPr>
          <w:b/>
        </w:rPr>
        <w:t>$19/share</w:t>
      </w:r>
      <w:r>
        <w:rPr/>
        <w:t xml:space="preserve"> (later ~$350/share at time of filming). A great investment — but he did </w:t>
      </w:r>
      <w:r>
        <w:rPr>
          <w:b/>
        </w:rPr>
        <w:t>not</w:t>
      </w:r>
      <w:r>
        <w:rPr/>
        <w:t xml:space="preserve"> hold it the whole way, because early in his career he used to jump in and out of stocks (buy, small gain, sell, buy something else).</w:t>
      </w:r>
    </w:p>
    <w:p>
      <w:pPr>
        <w:pStyle w:val="BodyText"/>
        <w:numPr>
          <w:ilvl w:val="0"/>
          <w:numId w:val="585"/>
        </w:numPr>
        <w:tabs>
          <w:tab w:val="clear" w:pos="709"/>
          <w:tab w:val="left" w:pos="709" w:leader="none"/>
        </w:tabs>
        <w:bidi w:val="0"/>
        <w:ind w:hanging="283" w:start="709"/>
        <w:jc w:val="start"/>
        <w:rPr/>
      </w:pPr>
      <w:r>
        <w:rPr/>
        <w:t xml:space="preserve">Self-admission: "I was an idiot." He estimates that if he had simply held great companies without trading in and out, he'd be </w:t>
      </w:r>
      <w:r>
        <w:rPr>
          <w:b/>
        </w:rPr>
        <w:t>10 times richer</w:t>
      </w:r>
      <w:r>
        <w:rPr/>
        <w:t xml:space="preserve"> today. He keeps the original Facebook purchase screenshot on his phone as a permanent reminder never to sell a great company prematurely.</w:t>
      </w:r>
    </w:p>
    <w:p>
      <w:pPr>
        <w:pStyle w:val="Heading4"/>
        <w:numPr>
          <w:ilvl w:val="0"/>
          <w:numId w:val="0"/>
        </w:numPr>
        <w:bidi w:val="0"/>
        <w:ind w:hanging="0" w:start="0"/>
        <w:jc w:val="start"/>
        <w:rPr/>
      </w:pPr>
      <w:r>
        <w:rPr/>
        <w:t>The Marriage/Relationship Analogy</w:t>
      </w:r>
    </w:p>
    <w:p>
      <w:pPr>
        <w:pStyle w:val="BodyText"/>
        <w:numPr>
          <w:ilvl w:val="0"/>
          <w:numId w:val="586"/>
        </w:numPr>
        <w:tabs>
          <w:tab w:val="clear" w:pos="709"/>
          <w:tab w:val="left" w:pos="709" w:leader="none"/>
        </w:tabs>
        <w:bidi w:val="0"/>
        <w:ind w:hanging="283" w:start="709"/>
        <w:jc w:val="start"/>
        <w:rPr/>
      </w:pPr>
      <w:r>
        <w:rPr/>
        <w:t>Finding a great company is like finding a great spouse — rare (top companies, like the "top 1%" of people). Once found, you hold on for life.</w:t>
      </w:r>
    </w:p>
    <w:p>
      <w:pPr>
        <w:pStyle w:val="BodyText"/>
        <w:numPr>
          <w:ilvl w:val="0"/>
          <w:numId w:val="586"/>
        </w:numPr>
        <w:tabs>
          <w:tab w:val="clear" w:pos="709"/>
          <w:tab w:val="left" w:pos="709" w:leader="none"/>
        </w:tabs>
        <w:bidi w:val="0"/>
        <w:ind w:hanging="283" w:start="709"/>
        <w:jc w:val="start"/>
        <w:rPr/>
      </w:pPr>
      <w:r>
        <w:rPr/>
        <w:t>When a great spouse (or stock) is in "a bad mood" (temporarily down), you stay and support them — you even "buy more shares at a discount so it compounds even faster." Adding shares during a temporary dip in a great company is the equivalent of being there for a spouse during a rough patch — it strengthens the position/relationship.</w:t>
      </w:r>
    </w:p>
    <w:p>
      <w:pPr>
        <w:pStyle w:val="BodyText"/>
        <w:numPr>
          <w:ilvl w:val="0"/>
          <w:numId w:val="586"/>
        </w:numPr>
        <w:tabs>
          <w:tab w:val="clear" w:pos="709"/>
          <w:tab w:val="left" w:pos="709" w:leader="none"/>
        </w:tabs>
        <w:bidi w:val="0"/>
        <w:ind w:hanging="283" w:start="709"/>
        <w:jc w:val="start"/>
        <w:rPr/>
      </w:pPr>
      <w:r>
        <w:rPr>
          <w:b/>
        </w:rPr>
        <w:t>Why not sell high and rebuy low?</w:t>
      </w:r>
      <w:r>
        <w:rPr/>
        <w:t xml:space="preserve"> In reality, it's </w:t>
      </w:r>
      <w:r>
        <w:rPr>
          <w:b/>
        </w:rPr>
        <w:t>impossible to time selling at the top and rebuying at the bottom.</w:t>
      </w:r>
      <w:r>
        <w:rPr/>
        <w:t xml:space="preserve"> More often you sell a good stock and it runs away from you before you can buy it back. Analogy: "your spouse is in a bad mood, so you run away to the pub... by the time you get back, she's run off with your best friend." </w:t>
      </w:r>
      <w:r>
        <w:rPr>
          <w:b/>
        </w:rPr>
        <w:t>Never leave a great company. Never leave a great spouse.</w:t>
      </w:r>
    </w:p>
    <w:p>
      <w:pPr>
        <w:pStyle w:val="HorizontalLine"/>
        <w:bidi w:val="0"/>
        <w:jc w:val="start"/>
        <w:rPr/>
      </w:pPr>
      <w:r>
        <w:rPr/>
      </w:r>
    </w:p>
    <w:p>
      <w:pPr>
        <w:pStyle w:val="Heading3"/>
        <w:bidi w:val="0"/>
        <w:ind w:hanging="0" w:start="0"/>
        <w:jc w:val="start"/>
        <w:rPr/>
      </w:pPr>
      <w:r>
        <w:rPr/>
        <w:t>Psychology Rule #5: Judge Investments by Business Performance, Not Short-Term Stock Price</w:t>
      </w:r>
    </w:p>
    <w:p>
      <w:pPr>
        <w:pStyle w:val="BodyText"/>
        <w:numPr>
          <w:ilvl w:val="0"/>
          <w:numId w:val="587"/>
        </w:numPr>
        <w:tabs>
          <w:tab w:val="clear" w:pos="709"/>
          <w:tab w:val="left" w:pos="709" w:leader="none"/>
        </w:tabs>
        <w:bidi w:val="0"/>
        <w:ind w:hanging="283" w:start="709"/>
        <w:jc w:val="start"/>
        <w:rPr/>
      </w:pPr>
      <w:r>
        <w:rPr/>
        <w:t>Most people wrongly judge investment success by short-term price movement: "stock went up this month = good investment; stock went down = bad investment." This is false.</w:t>
      </w:r>
    </w:p>
    <w:p>
      <w:pPr>
        <w:pStyle w:val="BodyText"/>
        <w:numPr>
          <w:ilvl w:val="0"/>
          <w:numId w:val="587"/>
        </w:numPr>
        <w:tabs>
          <w:tab w:val="clear" w:pos="709"/>
          <w:tab w:val="left" w:pos="709" w:leader="none"/>
        </w:tabs>
        <w:bidi w:val="0"/>
        <w:ind w:hanging="283" w:start="709"/>
        <w:jc w:val="start"/>
        <w:rPr/>
      </w:pPr>
      <w:r>
        <w:rPr>
          <w:b/>
        </w:rPr>
        <w:t>Example:</w:t>
      </w:r>
      <w:r>
        <w:rPr/>
        <w:t xml:space="preserve"> Alibaba, Tencent, and other fundamentally strong Chinese companies fell due to emotional reactions to bad news (the Chinese regulatory crackdown), leading people to wrongly conclude buying them was "a mistake." It wasn't — if the underlying business is still growing and profitable, short-term price weakness does not equal an investment mistake.</w:t>
      </w:r>
    </w:p>
    <w:p>
      <w:pPr>
        <w:pStyle w:val="BodyText"/>
        <w:numPr>
          <w:ilvl w:val="0"/>
          <w:numId w:val="587"/>
        </w:numPr>
        <w:tabs>
          <w:tab w:val="clear" w:pos="709"/>
          <w:tab w:val="left" w:pos="709" w:leader="none"/>
        </w:tabs>
        <w:bidi w:val="0"/>
        <w:ind w:hanging="283" w:start="709"/>
        <w:jc w:val="start"/>
        <w:rPr/>
      </w:pPr>
      <w:r>
        <w:rPr>
          <w:b/>
        </w:rPr>
        <w:t>Judge success by the business itself</w:t>
      </w:r>
      <w:r>
        <w:rPr/>
        <w:t xml:space="preserve">, not short-term price, because short-term price is driven by </w:t>
      </w:r>
      <w:r>
        <w:rPr>
          <w:b/>
        </w:rPr>
        <w:t>emotions and manipulation, not logic or fundamentals</w:t>
      </w:r>
      <w:r>
        <w:rPr/>
        <w:t xml:space="preserve"> — and is therefore unpredictable.</w:t>
      </w:r>
    </w:p>
    <w:p>
      <w:pPr>
        <w:pStyle w:val="BodyText"/>
        <w:numPr>
          <w:ilvl w:val="0"/>
          <w:numId w:val="587"/>
        </w:numPr>
        <w:tabs>
          <w:tab w:val="clear" w:pos="709"/>
          <w:tab w:val="left" w:pos="709" w:leader="none"/>
        </w:tabs>
        <w:bidi w:val="0"/>
        <w:ind w:hanging="283" w:start="709"/>
        <w:jc w:val="start"/>
        <w:rPr/>
      </w:pPr>
      <w:r>
        <w:rPr/>
        <w:t xml:space="preserve">If you buy a good company and price falls, </w:t>
      </w:r>
      <w:r>
        <w:rPr>
          <w:b/>
        </w:rPr>
        <w:t>don't feel regret or beat yourself up</w:t>
      </w:r>
      <w:r>
        <w:rPr/>
        <w:t xml:space="preserve"> — you cannot control short-term price. Short-term weakness in price for a fundamentally sound company is </w:t>
      </w:r>
      <w:r>
        <w:rPr>
          <w:b/>
        </w:rPr>
        <w:t>an opportunity to add shares</w:t>
      </w:r>
      <w:r>
        <w:rPr/>
        <w:t>, not a reason to doubt yourself.</w:t>
      </w:r>
    </w:p>
    <w:p>
      <w:pPr>
        <w:pStyle w:val="BodyText"/>
        <w:numPr>
          <w:ilvl w:val="0"/>
          <w:numId w:val="587"/>
        </w:numPr>
        <w:tabs>
          <w:tab w:val="clear" w:pos="709"/>
          <w:tab w:val="left" w:pos="709" w:leader="none"/>
        </w:tabs>
        <w:bidi w:val="0"/>
        <w:ind w:hanging="283" w:start="709"/>
        <w:jc w:val="start"/>
        <w:rPr/>
      </w:pPr>
      <w:r>
        <w:rPr>
          <w:b/>
        </w:rPr>
        <w:t>"Let the market serve you and take advantage of the market and not let the market instruct you of what is a good investment."</w:t>
      </w:r>
    </w:p>
    <w:p>
      <w:pPr>
        <w:pStyle w:val="Heading4"/>
        <w:numPr>
          <w:ilvl w:val="0"/>
          <w:numId w:val="0"/>
        </w:numPr>
        <w:bidi w:val="0"/>
        <w:ind w:hanging="0" w:start="0"/>
        <w:jc w:val="start"/>
        <w:rPr/>
      </w:pPr>
      <w:r>
        <w:rPr/>
        <w:t>Case Study: Warren Buffett and the Washington Post ($10 million → $1.5 billion)</w:t>
      </w:r>
    </w:p>
    <w:p>
      <w:pPr>
        <w:pStyle w:val="BodyText"/>
        <w:numPr>
          <w:ilvl w:val="0"/>
          <w:numId w:val="588"/>
        </w:numPr>
        <w:tabs>
          <w:tab w:val="clear" w:pos="709"/>
          <w:tab w:val="left" w:pos="709" w:leader="none"/>
        </w:tabs>
        <w:bidi w:val="0"/>
        <w:ind w:hanging="283" w:start="709"/>
        <w:jc w:val="start"/>
        <w:rPr/>
      </w:pPr>
      <w:r>
        <w:rPr/>
        <w:t xml:space="preserve">Buffett bought Washington Post shares in 1973 at </w:t>
      </w:r>
      <w:r>
        <w:rPr>
          <w:strike/>
        </w:rPr>
        <w:t xml:space="preserve">$20/share when the company was worth </w:t>
      </w:r>
      <w:r>
        <w:rPr/>
        <w:t xml:space="preserve">$100/share — an </w:t>
      </w:r>
      <w:r>
        <w:rPr>
          <w:b/>
        </w:rPr>
        <w:t>80% discount</w:t>
      </w:r>
      <w:r>
        <w:rPr/>
        <w:t>.</w:t>
      </w:r>
    </w:p>
    <w:p>
      <w:pPr>
        <w:pStyle w:val="BodyText"/>
        <w:numPr>
          <w:ilvl w:val="0"/>
          <w:numId w:val="588"/>
        </w:numPr>
        <w:tabs>
          <w:tab w:val="clear" w:pos="709"/>
          <w:tab w:val="left" w:pos="709" w:leader="none"/>
        </w:tabs>
        <w:bidi w:val="0"/>
        <w:ind w:hanging="283" w:start="709"/>
        <w:jc w:val="start"/>
        <w:rPr/>
      </w:pPr>
      <w:r>
        <w:rPr/>
        <w:t xml:space="preserve">From the interview footage: Buffett explains he had studied the prospectus in 1971 (meeting Katie Graham around the time of the Pentagon Papers); by 1973 the stock became cheap because its TV licenses were being challenged (tied to Nixon associate "BeBe Rebozo"). Price fell from </w:t>
      </w:r>
      <w:r>
        <w:rPr>
          <w:strike/>
        </w:rPr>
        <w:t xml:space="preserve">$38 to </w:t>
      </w:r>
      <w:r>
        <w:rPr/>
        <w:t xml:space="preserve">$16–20; Buffett and Munger bought almost 10% (now ~18% after buybacks) when the whole company (4.8 million shares) was priced at only $100 million on the market — while the sum of its parts (Washington Post, Newsweek, four network TV stations including a CBS affiliate in DC and one in Jacksonville, FL) could have fetched roughly </w:t>
      </w:r>
      <w:r>
        <w:rPr>
          <w:b/>
        </w:rPr>
        <w:t>$500 million</w:t>
      </w:r>
      <w:r>
        <w:rPr/>
        <w:t xml:space="preserve"> if sold piece by piece ("people would have been swimming out in shark-infested waters" to buy the pieces). Buffett: "So what?" the stock kept dropping after he bought it — he was focused on business value, not price.</w:t>
      </w:r>
    </w:p>
    <w:p>
      <w:pPr>
        <w:pStyle w:val="BodyText"/>
        <w:numPr>
          <w:ilvl w:val="0"/>
          <w:numId w:val="588"/>
        </w:numPr>
        <w:tabs>
          <w:tab w:val="clear" w:pos="709"/>
          <w:tab w:val="left" w:pos="709" w:leader="none"/>
        </w:tabs>
        <w:bidi w:val="0"/>
        <w:ind w:hanging="283" w:start="709"/>
        <w:jc w:val="start"/>
        <w:rPr/>
      </w:pPr>
      <w:r>
        <w:rPr/>
        <w:t xml:space="preserve">Result: the ~$10 million investment became </w:t>
      </w:r>
      <w:r>
        <w:rPr>
          <w:b/>
        </w:rPr>
        <w:t>worth roughly $1.5 billion.</w:t>
      </w:r>
    </w:p>
    <w:p>
      <w:pPr>
        <w:pStyle w:val="BodyText"/>
        <w:numPr>
          <w:ilvl w:val="0"/>
          <w:numId w:val="588"/>
        </w:numPr>
        <w:tabs>
          <w:tab w:val="clear" w:pos="709"/>
          <w:tab w:val="left" w:pos="709" w:leader="none"/>
        </w:tabs>
        <w:bidi w:val="0"/>
        <w:ind w:hanging="283" w:start="709"/>
        <w:jc w:val="start"/>
        <w:rPr/>
      </w:pPr>
      <w:r>
        <w:rPr>
          <w:b/>
        </w:rPr>
        <w:t>The real lesson Adam draws:</w:t>
      </w:r>
      <w:r>
        <w:rPr/>
        <w:t xml:space="preserve"> it wasn't just that Buffett found an 80%-undervalued stock — it's that </w:t>
      </w:r>
      <w:r>
        <w:rPr>
          <w:b/>
        </w:rPr>
        <w:t xml:space="preserve">other analysts and big institutional investors agreed the business was worth </w:t>
      </w:r>
      <w:r>
        <w:rPr>
          <w:b/>
          <w:strike/>
        </w:rPr>
        <w:t>$100/share (</w:t>
      </w:r>
      <w:r>
        <w:rPr>
          <w:b/>
        </w:rPr>
        <w:t>$500M)</w:t>
      </w:r>
      <w:r>
        <w:rPr/>
        <w:t xml:space="preserve"> and were still </w:t>
      </w:r>
      <w:r>
        <w:rPr>
          <w:b/>
        </w:rPr>
        <w:t>selling</w:t>
      </w:r>
      <w:r>
        <w:rPr/>
        <w:t xml:space="preserve"> at $20 because they feared the price would keep falling short-term. Buffett bought because he focused on long-term business value, not short-term price fear.</w:t>
      </w:r>
    </w:p>
    <w:p>
      <w:pPr>
        <w:pStyle w:val="BodyText"/>
        <w:numPr>
          <w:ilvl w:val="0"/>
          <w:numId w:val="588"/>
        </w:numPr>
        <w:tabs>
          <w:tab w:val="clear" w:pos="709"/>
          <w:tab w:val="left" w:pos="709" w:leader="none"/>
        </w:tabs>
        <w:bidi w:val="0"/>
        <w:ind w:hanging="283" w:start="709"/>
        <w:jc w:val="start"/>
        <w:rPr/>
      </w:pPr>
      <w:r>
        <w:rPr>
          <w:b/>
        </w:rPr>
        <w:t>Modern parallel:</w:t>
      </w:r>
      <w:r>
        <w:rPr/>
        <w:t xml:space="preserve"> Alibaba — most analysts/investors agree it's worth roughly $300/share, but it trades around $100 and few people dare buy it "except a few people like me," out of fear it will keep falling. No one can predict exactly when the price will rebound to reflect true value — could take a month, three months, six months, a year, or three years — but patience with an undervalued, fundamentally strong business pays off. (Buffett's WaPo position also fell further after his purchase, from $20 to $16, before eventually multiplying — reinforcing "you can never catch the bottom, but you don't need to.")</w:t>
      </w:r>
    </w:p>
    <w:p>
      <w:pPr>
        <w:pStyle w:val="HorizontalLine"/>
        <w:bidi w:val="0"/>
        <w:jc w:val="start"/>
        <w:rPr/>
      </w:pPr>
      <w:r>
        <w:rPr/>
      </w:r>
    </w:p>
    <w:p>
      <w:pPr>
        <w:pStyle w:val="Heading3"/>
        <w:bidi w:val="0"/>
        <w:ind w:hanging="0" w:start="0"/>
        <w:jc w:val="start"/>
        <w:rPr/>
      </w:pPr>
      <w:r>
        <w:rPr/>
        <w:t>Psychology Rule #6: Think Independently (Contrarian Psychology)</w:t>
      </w:r>
    </w:p>
    <w:p>
      <w:pPr>
        <w:pStyle w:val="BodyText"/>
        <w:numPr>
          <w:ilvl w:val="0"/>
          <w:numId w:val="589"/>
        </w:numPr>
        <w:tabs>
          <w:tab w:val="clear" w:pos="709"/>
          <w:tab w:val="left" w:pos="709" w:leader="none"/>
        </w:tabs>
        <w:bidi w:val="0"/>
        <w:ind w:hanging="283" w:start="709"/>
        <w:jc w:val="start"/>
        <w:rPr/>
      </w:pPr>
      <w:r>
        <w:rPr/>
        <w:t xml:space="preserve">Many people fail because they are </w:t>
      </w:r>
      <w:r>
        <w:rPr>
          <w:b/>
        </w:rPr>
        <w:t>"creatures of conformity"</w:t>
      </w:r>
      <w:r>
        <w:rPr/>
        <w:t xml:space="preserve"> — they get excited when others are excited and afraid when others are afraid, following the crowd. This causes buying high (when everyone's excited) and selling low (when everyone's scared) — a losing pattern even if you pick the right companies or buy the index.</w:t>
      </w:r>
    </w:p>
    <w:p>
      <w:pPr>
        <w:pStyle w:val="BodyText"/>
        <w:numPr>
          <w:ilvl w:val="0"/>
          <w:numId w:val="589"/>
        </w:numPr>
        <w:tabs>
          <w:tab w:val="clear" w:pos="709"/>
          <w:tab w:val="left" w:pos="709" w:leader="none"/>
        </w:tabs>
        <w:bidi w:val="0"/>
        <w:ind w:hanging="283" w:start="709"/>
        <w:jc w:val="start"/>
        <w:rPr/>
      </w:pPr>
      <w:r>
        <w:rPr>
          <w:b/>
        </w:rPr>
        <w:t>Rule: train yourself to think and feel opposite of everyone else / opposite of the masses</w:t>
      </w:r>
      <w:r>
        <w:rPr/>
        <w:t xml:space="preserve"> — "be fearful when others are greedy, and be greedy when others are fearful."</w:t>
      </w:r>
    </w:p>
    <w:p>
      <w:pPr>
        <w:pStyle w:val="BodyText"/>
        <w:numPr>
          <w:ilvl w:val="0"/>
          <w:numId w:val="589"/>
        </w:numPr>
        <w:tabs>
          <w:tab w:val="clear" w:pos="709"/>
          <w:tab w:val="left" w:pos="709" w:leader="none"/>
        </w:tabs>
        <w:bidi w:val="0"/>
        <w:ind w:hanging="283" w:start="709"/>
        <w:jc w:val="start"/>
        <w:rPr/>
      </w:pPr>
      <w:r>
        <w:rPr>
          <w:b/>
        </w:rPr>
        <w:t>"Only you control your emotions. No one can make you feel scared except yourself... You create your emotions based on what you choose to focus on and the meaning you give to the experience."</w:t>
      </w:r>
    </w:p>
    <w:p>
      <w:pPr>
        <w:pStyle w:val="BodyText"/>
        <w:numPr>
          <w:ilvl w:val="0"/>
          <w:numId w:val="589"/>
        </w:numPr>
        <w:tabs>
          <w:tab w:val="clear" w:pos="709"/>
          <w:tab w:val="left" w:pos="709" w:leader="none"/>
        </w:tabs>
        <w:bidi w:val="0"/>
        <w:ind w:hanging="283" w:start="709"/>
        <w:jc w:val="start"/>
        <w:rPr/>
      </w:pPr>
      <w:r>
        <w:rPr/>
        <w:t>Best way to train this ability: participate in a community/chat group to strengthen the habit of thinking against the crowd.</w:t>
      </w:r>
    </w:p>
    <w:p>
      <w:pPr>
        <w:pStyle w:val="Heading4"/>
        <w:numPr>
          <w:ilvl w:val="0"/>
          <w:numId w:val="0"/>
        </w:numPr>
        <w:bidi w:val="0"/>
        <w:ind w:hanging="0" w:start="0"/>
        <w:jc w:val="start"/>
        <w:rPr/>
      </w:pPr>
      <w:r>
        <w:rPr/>
        <w:t>The "Worst Day" Media Pattern</w:t>
      </w:r>
    </w:p>
    <w:p>
      <w:pPr>
        <w:pStyle w:val="BodyText"/>
        <w:numPr>
          <w:ilvl w:val="0"/>
          <w:numId w:val="590"/>
        </w:numPr>
        <w:tabs>
          <w:tab w:val="clear" w:pos="709"/>
          <w:tab w:val="left" w:pos="709" w:leader="none"/>
        </w:tabs>
        <w:bidi w:val="0"/>
        <w:ind w:hanging="283" w:start="709"/>
        <w:jc w:val="start"/>
        <w:rPr/>
      </w:pPr>
      <w:r>
        <w:rPr/>
        <w:t xml:space="preserve">Adam's observed pattern: whenever the market has a big drop, the next day financial media runs articles featuring a sad-faced person and headlines using the word </w:t>
      </w:r>
      <w:r>
        <w:rPr>
          <w:b/>
        </w:rPr>
        <w:t>"worst"</w:t>
      </w:r>
      <w:r>
        <w:rPr/>
        <w:t xml:space="preserve"> (e.g., "Dow craters in worst day..."). Whenever you see the word "worst day" paired with a fearful face, </w:t>
      </w:r>
      <w:r>
        <w:rPr>
          <w:b/>
        </w:rPr>
        <w:t>that's usually the best time to start adding shares</w:t>
      </w:r>
      <w:r>
        <w:rPr/>
        <w:t xml:space="preserve"> — right before the market bounces back. (Illustrated with a specific example dated 28 October, and repeated pattern examples.)</w:t>
      </w:r>
    </w:p>
    <w:p>
      <w:pPr>
        <w:pStyle w:val="Heading4"/>
        <w:numPr>
          <w:ilvl w:val="0"/>
          <w:numId w:val="0"/>
        </w:numPr>
        <w:bidi w:val="0"/>
        <w:ind w:hanging="0" w:start="0"/>
        <w:jc w:val="start"/>
        <w:rPr/>
      </w:pPr>
      <w:r>
        <w:rPr/>
        <w:t>Fear &amp; Greed Index</w:t>
      </w:r>
    </w:p>
    <w:p>
      <w:pPr>
        <w:pStyle w:val="BodyText"/>
        <w:numPr>
          <w:ilvl w:val="0"/>
          <w:numId w:val="591"/>
        </w:numPr>
        <w:tabs>
          <w:tab w:val="clear" w:pos="709"/>
          <w:tab w:val="left" w:pos="709" w:leader="none"/>
        </w:tabs>
        <w:bidi w:val="0"/>
        <w:ind w:hanging="283" w:start="709"/>
        <w:jc w:val="start"/>
        <w:rPr/>
      </w:pPr>
      <w:r>
        <w:rPr/>
        <w:t xml:space="preserve">Referenced tool: </w:t>
      </w:r>
      <w:r>
        <w:rPr>
          <w:b/>
        </w:rPr>
        <w:t>moneycnn.com</w:t>
      </w:r>
      <w:r>
        <w:rPr/>
        <w:t xml:space="preserve"> (CNN Fear &amp; Greed Index) — measures market sentiment, swinging between extreme fear and extreme greed like a pendulum.</w:t>
      </w:r>
    </w:p>
    <w:p>
      <w:pPr>
        <w:pStyle w:val="BodyText"/>
        <w:numPr>
          <w:ilvl w:val="0"/>
          <w:numId w:val="591"/>
        </w:numPr>
        <w:tabs>
          <w:tab w:val="clear" w:pos="709"/>
          <w:tab w:val="left" w:pos="709" w:leader="none"/>
        </w:tabs>
        <w:bidi w:val="0"/>
        <w:ind w:hanging="283" w:start="709"/>
        <w:jc w:val="start"/>
        <w:rPr/>
      </w:pPr>
      <w:r>
        <w:rPr/>
        <w:t xml:space="preserve">At time of filming (21 December 2021), the index was at </w:t>
      </w:r>
      <w:r>
        <w:rPr>
          <w:b/>
        </w:rPr>
        <w:t>extreme fear</w:t>
      </w:r>
      <w:r>
        <w:rPr/>
        <w:t xml:space="preserve"> (~level 25); during the COVID crash it fell to as low as </w:t>
      </w:r>
      <w:r>
        <w:rPr>
          <w:b/>
        </w:rPr>
        <w:t>10</w:t>
      </w:r>
      <w:r>
        <w:rPr/>
        <w:t>. Adam states he had been actively adding shares during that period of fear.</w:t>
      </w:r>
    </w:p>
    <w:p>
      <w:pPr>
        <w:pStyle w:val="BodyText"/>
        <w:numPr>
          <w:ilvl w:val="0"/>
          <w:numId w:val="591"/>
        </w:numPr>
        <w:tabs>
          <w:tab w:val="clear" w:pos="709"/>
          <w:tab w:val="left" w:pos="709" w:leader="none"/>
        </w:tabs>
        <w:bidi w:val="0"/>
        <w:ind w:hanging="283" w:start="709"/>
        <w:jc w:val="start"/>
        <w:rPr/>
      </w:pPr>
      <w:r>
        <w:rPr/>
        <w:t xml:space="preserve">The market can't be predicted with certainty even from this index, but </w:t>
      </w:r>
      <w:r>
        <w:rPr>
          <w:b/>
        </w:rPr>
        <w:t>extreme fear signals good companies are on discount</w:t>
      </w:r>
      <w:r>
        <w:rPr/>
        <w:t xml:space="preserve"> — you can only buy a good company at a discount when people are scared.</w:t>
      </w:r>
    </w:p>
    <w:p>
      <w:pPr>
        <w:pStyle w:val="BodyText"/>
        <w:numPr>
          <w:ilvl w:val="0"/>
          <w:numId w:val="591"/>
        </w:numPr>
        <w:tabs>
          <w:tab w:val="clear" w:pos="709"/>
          <w:tab w:val="left" w:pos="709" w:leader="none"/>
        </w:tabs>
        <w:bidi w:val="0"/>
        <w:ind w:hanging="283" w:start="709"/>
        <w:jc w:val="start"/>
        <w:rPr/>
      </w:pPr>
      <w:r>
        <w:rPr/>
        <w:t>Historically: every time people get scared, the market has rebounded.</w:t>
      </w:r>
    </w:p>
    <w:p>
      <w:pPr>
        <w:pStyle w:val="Heading4"/>
        <w:numPr>
          <w:ilvl w:val="0"/>
          <w:numId w:val="0"/>
        </w:numPr>
        <w:bidi w:val="0"/>
        <w:ind w:hanging="0" w:start="0"/>
        <w:jc w:val="start"/>
        <w:rPr/>
      </w:pPr>
      <w:r>
        <w:rPr/>
        <w:t>Market Cycle Emotions</w:t>
      </w:r>
    </w:p>
    <w:p>
      <w:pPr>
        <w:pStyle w:val="BodyText"/>
        <w:numPr>
          <w:ilvl w:val="0"/>
          <w:numId w:val="592"/>
        </w:numPr>
        <w:tabs>
          <w:tab w:val="clear" w:pos="709"/>
          <w:tab w:val="left" w:pos="709" w:leader="none"/>
        </w:tabs>
        <w:bidi w:val="0"/>
        <w:spacing w:before="0" w:after="0"/>
        <w:ind w:hanging="283" w:start="709"/>
        <w:jc w:val="start"/>
        <w:rPr/>
      </w:pPr>
      <w:r>
        <w:rPr/>
        <w:t>The market is never a straight line — it moves in cycles ("boom cycle and bust cycle"), each phase carrying a characteristic set of investor emotions:</w:t>
      </w:r>
    </w:p>
    <w:p>
      <w:pPr>
        <w:pStyle w:val="BodyText"/>
        <w:numPr>
          <w:ilvl w:val="1"/>
          <w:numId w:val="592"/>
        </w:numPr>
        <w:tabs>
          <w:tab w:val="clear" w:pos="709"/>
          <w:tab w:val="left" w:pos="1418" w:leader="none"/>
        </w:tabs>
        <w:bidi w:val="0"/>
        <w:ind w:hanging="283" w:start="1418"/>
        <w:jc w:val="start"/>
        <w:rPr/>
      </w:pPr>
      <w:r>
        <w:rPr>
          <w:b/>
        </w:rPr>
        <w:t>Near the top:</w:t>
      </w:r>
      <w:r>
        <w:rPr/>
        <w:t xml:space="preserve"> thrill, euphoria ("I'm a genius, we're gonna be rich, I gotta tell everyone to buy") — everyone around you is talking about and buying stocks. This is when you should NOT buy — start taking profits instead.</w:t>
      </w:r>
    </w:p>
    <w:p>
      <w:pPr>
        <w:pStyle w:val="BodyText"/>
        <w:numPr>
          <w:ilvl w:val="1"/>
          <w:numId w:val="592"/>
        </w:numPr>
        <w:tabs>
          <w:tab w:val="clear" w:pos="709"/>
          <w:tab w:val="left" w:pos="1418" w:leader="none"/>
        </w:tabs>
        <w:bidi w:val="0"/>
        <w:ind w:hanging="283" w:start="1418"/>
        <w:jc w:val="start"/>
        <w:rPr/>
      </w:pPr>
      <w:r>
        <w:rPr>
          <w:b/>
        </w:rPr>
        <w:t>Near the bottom:</w:t>
      </w:r>
      <w:r>
        <w:rPr/>
        <w:t xml:space="preserve"> anger, panic, depression, disbelief — people telling you "don't touch stocks... we're gonna die." This is when you should buy (good companies).</w:t>
      </w:r>
    </w:p>
    <w:p>
      <w:pPr>
        <w:pStyle w:val="BodyText"/>
        <w:numPr>
          <w:ilvl w:val="0"/>
          <w:numId w:val="592"/>
        </w:numPr>
        <w:tabs>
          <w:tab w:val="clear" w:pos="709"/>
          <w:tab w:val="left" w:pos="709" w:leader="none"/>
        </w:tabs>
        <w:bidi w:val="0"/>
        <w:spacing w:before="0" w:after="0"/>
        <w:ind w:hanging="283" w:start="709"/>
        <w:jc w:val="start"/>
        <w:rPr/>
      </w:pPr>
      <w:r>
        <w:rPr>
          <w:b/>
        </w:rPr>
        <w:t>John Templeton quote:</w:t>
      </w:r>
      <w:r>
        <w:rPr/>
        <w:t xml:space="preserve"> </w:t>
      </w:r>
      <w:r>
        <w:rPr>
          <w:i/>
        </w:rPr>
        <w:t>"Bull markets are born on pessimism, they grow on skepticism, they mature on optimism, and they die on euphoria."</w:t>
      </w:r>
    </w:p>
    <w:p>
      <w:pPr>
        <w:pStyle w:val="BodyText"/>
        <w:numPr>
          <w:ilvl w:val="1"/>
          <w:numId w:val="592"/>
        </w:numPr>
        <w:tabs>
          <w:tab w:val="clear" w:pos="709"/>
          <w:tab w:val="left" w:pos="1418" w:leader="none"/>
        </w:tabs>
        <w:bidi w:val="0"/>
        <w:ind w:hanging="283" w:start="1418"/>
        <w:jc w:val="start"/>
        <w:rPr/>
      </w:pPr>
      <w:r>
        <w:rPr/>
        <w:t>Born on pessimism: general public expects the market to crash — that's usually when a bull market begins.</w:t>
      </w:r>
    </w:p>
    <w:p>
      <w:pPr>
        <w:pStyle w:val="BodyText"/>
        <w:numPr>
          <w:ilvl w:val="1"/>
          <w:numId w:val="592"/>
        </w:numPr>
        <w:tabs>
          <w:tab w:val="clear" w:pos="709"/>
          <w:tab w:val="left" w:pos="1418" w:leader="none"/>
        </w:tabs>
        <w:bidi w:val="0"/>
        <w:ind w:hanging="283" w:start="1418"/>
        <w:jc w:val="start"/>
        <w:rPr/>
      </w:pPr>
      <w:r>
        <w:rPr/>
        <w:t>Grow on skepticism: as the market rises, people doubt it will continue — and it keeps rising anyway.</w:t>
      </w:r>
    </w:p>
    <w:p>
      <w:pPr>
        <w:pStyle w:val="BodyText"/>
        <w:numPr>
          <w:ilvl w:val="1"/>
          <w:numId w:val="592"/>
        </w:numPr>
        <w:tabs>
          <w:tab w:val="clear" w:pos="709"/>
          <w:tab w:val="left" w:pos="1418" w:leader="none"/>
        </w:tabs>
        <w:bidi w:val="0"/>
        <w:ind w:hanging="283" w:start="1418"/>
        <w:jc w:val="start"/>
        <w:rPr/>
      </w:pPr>
      <w:r>
        <w:rPr/>
        <w:t>Mature on optimism: when people around you start saying "we're gonna do well," the bull market is nearing its end.</w:t>
      </w:r>
    </w:p>
    <w:p>
      <w:pPr>
        <w:pStyle w:val="BodyText"/>
        <w:numPr>
          <w:ilvl w:val="1"/>
          <w:numId w:val="592"/>
        </w:numPr>
        <w:tabs>
          <w:tab w:val="clear" w:pos="709"/>
          <w:tab w:val="left" w:pos="1418" w:leader="none"/>
        </w:tabs>
        <w:bidi w:val="0"/>
        <w:ind w:hanging="283" w:start="1418"/>
        <w:jc w:val="start"/>
        <w:rPr/>
      </w:pPr>
      <w:r>
        <w:rPr/>
        <w:t>Die on euphoria: when people feel unstoppable/certain of riches, the bull market dies.</w:t>
      </w:r>
    </w:p>
    <w:p>
      <w:pPr>
        <w:pStyle w:val="BodyText"/>
        <w:numPr>
          <w:ilvl w:val="0"/>
          <w:numId w:val="592"/>
        </w:numPr>
        <w:tabs>
          <w:tab w:val="clear" w:pos="709"/>
          <w:tab w:val="left" w:pos="709" w:leader="none"/>
        </w:tabs>
        <w:bidi w:val="0"/>
        <w:ind w:hanging="283" w:start="709"/>
        <w:jc w:val="start"/>
        <w:rPr/>
      </w:pPr>
      <w:r>
        <w:rPr>
          <w:b/>
        </w:rPr>
        <w:t>Corollary: maximum pessimism = best time to buy; maximum optimism = best time to sell.</w:t>
      </w:r>
    </w:p>
    <w:p>
      <w:pPr>
        <w:pStyle w:val="HorizontalLine"/>
        <w:bidi w:val="0"/>
        <w:jc w:val="start"/>
        <w:rPr/>
      </w:pPr>
      <w:r>
        <w:rPr/>
      </w:r>
    </w:p>
    <w:p>
      <w:pPr>
        <w:pStyle w:val="Heading3"/>
        <w:bidi w:val="0"/>
        <w:ind w:hanging="0" w:start="0"/>
        <w:jc w:val="start"/>
        <w:rPr/>
      </w:pPr>
      <w:r>
        <w:rPr/>
        <w:t>Psychology Rule #7: Never Attempt to Predict the Market</w:t>
      </w:r>
    </w:p>
    <w:p>
      <w:pPr>
        <w:pStyle w:val="BodyText"/>
        <w:numPr>
          <w:ilvl w:val="0"/>
          <w:numId w:val="593"/>
        </w:numPr>
        <w:tabs>
          <w:tab w:val="clear" w:pos="709"/>
          <w:tab w:val="left" w:pos="709" w:leader="none"/>
        </w:tabs>
        <w:bidi w:val="0"/>
        <w:ind w:hanging="283" w:start="709"/>
        <w:jc w:val="start"/>
        <w:rPr/>
      </w:pPr>
      <w:r>
        <w:rPr/>
        <w:t xml:space="preserve">You can assess </w:t>
      </w:r>
      <w:r>
        <w:rPr>
          <w:b/>
        </w:rPr>
        <w:t>probability</w:t>
      </w:r>
      <w:r>
        <w:rPr/>
        <w:t xml:space="preserve"> via trend (uptrend = higher probability prices rise; downtrend = higher probability prices fall) via chart patterns/moving averages, but you can </w:t>
      </w:r>
      <w:r>
        <w:rPr>
          <w:b/>
        </w:rPr>
        <w:t>never predict short-term price movement with absolute certainty</w:t>
      </w:r>
      <w:r>
        <w:rPr/>
        <w:t>, because prices are driven by demand/supply, which is driven by emotions, manipulation, and news — and no one can predict tomorrow's news or how millions of people will react to it.</w:t>
      </w:r>
    </w:p>
    <w:p>
      <w:pPr>
        <w:pStyle w:val="BodyText"/>
        <w:numPr>
          <w:ilvl w:val="0"/>
          <w:numId w:val="593"/>
        </w:numPr>
        <w:tabs>
          <w:tab w:val="clear" w:pos="709"/>
          <w:tab w:val="left" w:pos="709" w:leader="none"/>
        </w:tabs>
        <w:bidi w:val="0"/>
        <w:ind w:hanging="283" w:start="709"/>
        <w:jc w:val="start"/>
        <w:rPr/>
      </w:pPr>
      <w:r>
        <w:rPr>
          <w:b/>
        </w:rPr>
        <w:t>Buy/sell decisions should never be based on predictions — always base them on business fundamentals</w:t>
      </w:r>
      <w:r>
        <w:rPr/>
        <w:t xml:space="preserve"> (good business + undervalued + retraced to a support level → add shares). </w:t>
      </w:r>
      <w:r>
        <w:rPr>
          <w:b/>
        </w:rPr>
        <w:t>Never buy all at once — buy in tranches to average your cost.</w:t>
      </w:r>
    </w:p>
    <w:p>
      <w:pPr>
        <w:pStyle w:val="BodyText"/>
        <w:numPr>
          <w:ilvl w:val="0"/>
          <w:numId w:val="593"/>
        </w:numPr>
        <w:tabs>
          <w:tab w:val="clear" w:pos="709"/>
          <w:tab w:val="left" w:pos="709" w:leader="none"/>
        </w:tabs>
        <w:bidi w:val="0"/>
        <w:ind w:hanging="283" w:start="709"/>
        <w:jc w:val="start"/>
        <w:rPr/>
      </w:pPr>
      <w:r>
        <w:rPr>
          <w:b/>
        </w:rPr>
        <w:t>Warren Buffett quote:</w:t>
      </w:r>
      <w:r>
        <w:rPr/>
        <w:t xml:space="preserve"> "We have long felt that the only value of stock forecasters is to make fortune tellers look good."</w:t>
      </w:r>
    </w:p>
    <w:p>
      <w:pPr>
        <w:pStyle w:val="BodyText"/>
        <w:numPr>
          <w:ilvl w:val="0"/>
          <w:numId w:val="593"/>
        </w:numPr>
        <w:tabs>
          <w:tab w:val="clear" w:pos="709"/>
          <w:tab w:val="left" w:pos="709" w:leader="none"/>
        </w:tabs>
        <w:bidi w:val="0"/>
        <w:ind w:hanging="283" w:start="709"/>
        <w:jc w:val="start"/>
        <w:rPr/>
      </w:pPr>
      <w:r>
        <w:rPr>
          <w:b/>
        </w:rPr>
        <w:t>Why predictive mindset is dangerous:</w:t>
      </w:r>
      <w:r>
        <w:rPr/>
        <w:t xml:space="preserve"> it causes you to abandon your predetermined rules. Example: if you predict a crash, you won't buy an undervalued great company out of fear — and then miss the gains when it rises anyway.</w:t>
      </w:r>
    </w:p>
    <w:p>
      <w:pPr>
        <w:pStyle w:val="BodyText"/>
        <w:numPr>
          <w:ilvl w:val="0"/>
          <w:numId w:val="593"/>
        </w:numPr>
        <w:tabs>
          <w:tab w:val="clear" w:pos="709"/>
          <w:tab w:val="left" w:pos="709" w:leader="none"/>
        </w:tabs>
        <w:bidi w:val="0"/>
        <w:ind w:hanging="283" w:start="709"/>
        <w:jc w:val="start"/>
        <w:rPr/>
      </w:pPr>
      <w:r>
        <w:rPr>
          <w:b/>
        </w:rPr>
        <w:t>Your job as an investor is NOT to predict short-term price direction — it's to buy great companies that thrive under all economic conditions</w:t>
      </w:r>
      <w:r>
        <w:rPr/>
        <w:t>, building a "bulletproof portfolio" that grows collectively regardless of inflation, interest rates, or recession.</w:t>
      </w:r>
    </w:p>
    <w:p>
      <w:pPr>
        <w:pStyle w:val="BodyText"/>
        <w:numPr>
          <w:ilvl w:val="0"/>
          <w:numId w:val="593"/>
        </w:numPr>
        <w:tabs>
          <w:tab w:val="clear" w:pos="709"/>
          <w:tab w:val="left" w:pos="709" w:leader="none"/>
        </w:tabs>
        <w:bidi w:val="0"/>
        <w:ind w:hanging="283" w:start="709"/>
        <w:jc w:val="start"/>
        <w:rPr/>
      </w:pPr>
      <w:r>
        <w:rPr/>
        <w:t xml:space="preserve">Your chance of any single prediction being right is essentially </w:t>
      </w:r>
      <w:r>
        <w:rPr>
          <w:b/>
        </w:rPr>
        <w:t>50-50</w:t>
      </w:r>
      <w:r>
        <w:rPr/>
        <w:t xml:space="preserve"> — "you might as well toss the coin." For every expert predicting up, another predicts down.</w:t>
      </w:r>
    </w:p>
    <w:p>
      <w:pPr>
        <w:pStyle w:val="Heading4"/>
        <w:numPr>
          <w:ilvl w:val="0"/>
          <w:numId w:val="0"/>
        </w:numPr>
        <w:bidi w:val="0"/>
        <w:ind w:hanging="0" w:start="0"/>
        <w:jc w:val="start"/>
        <w:rPr/>
      </w:pPr>
      <w:r>
        <w:rPr/>
        <w:t>Case Study: Dow Jones, October 2009 (contradictory predictions in one week)</w:t>
      </w:r>
    </w:p>
    <w:p>
      <w:pPr>
        <w:pStyle w:val="BodyText"/>
        <w:numPr>
          <w:ilvl w:val="0"/>
          <w:numId w:val="594"/>
        </w:numPr>
        <w:tabs>
          <w:tab w:val="clear" w:pos="709"/>
          <w:tab w:val="left" w:pos="709" w:leader="none"/>
        </w:tabs>
        <w:bidi w:val="0"/>
        <w:ind w:hanging="283" w:start="709"/>
        <w:jc w:val="start"/>
        <w:rPr/>
      </w:pPr>
      <w:r>
        <w:rPr/>
        <w:t xml:space="preserve">Dow was at 9,800 points. On </w:t>
      </w:r>
      <w:r>
        <w:rPr>
          <w:b/>
        </w:rPr>
        <w:t>6 October</w:t>
      </w:r>
      <w:r>
        <w:rPr/>
        <w:t xml:space="preserve">, CNBC headline: "Experts position themselves for Dow 10,000" (bullish). The day before, </w:t>
      </w:r>
      <w:r>
        <w:rPr>
          <w:b/>
        </w:rPr>
        <w:t>5 October</w:t>
      </w:r>
      <w:r>
        <w:rPr/>
        <w:t>, the same outlet ran: "Dow will fall to 6,300 by year end" (survey of portfolio managers, bearish).</w:t>
      </w:r>
    </w:p>
    <w:p>
      <w:pPr>
        <w:pStyle w:val="BodyText"/>
        <w:numPr>
          <w:ilvl w:val="0"/>
          <w:numId w:val="594"/>
        </w:numPr>
        <w:tabs>
          <w:tab w:val="clear" w:pos="709"/>
          <w:tab w:val="left" w:pos="709" w:leader="none"/>
        </w:tabs>
        <w:bidi w:val="0"/>
        <w:ind w:hanging="283" w:start="709"/>
        <w:jc w:val="start"/>
        <w:rPr/>
      </w:pPr>
      <w:r>
        <w:rPr>
          <w:b/>
        </w:rPr>
        <w:t>"So who the hell do you listen to? You listen to CNBC or CNBC?"</w:t>
      </w:r>
      <w:r>
        <w:rPr/>
        <w:t xml:space="preserve"> — Answer: don't listen to anyone; follow the trend instead. On 6 October the chart showed an uptrend (50-day MA above 150-day MA).</w:t>
      </w:r>
    </w:p>
    <w:p>
      <w:pPr>
        <w:pStyle w:val="BodyText"/>
        <w:numPr>
          <w:ilvl w:val="0"/>
          <w:numId w:val="594"/>
        </w:numPr>
        <w:tabs>
          <w:tab w:val="clear" w:pos="709"/>
          <w:tab w:val="left" w:pos="709" w:leader="none"/>
        </w:tabs>
        <w:bidi w:val="0"/>
        <w:ind w:hanging="283" w:start="709"/>
        <w:jc w:val="start"/>
        <w:rPr/>
      </w:pPr>
      <w:r>
        <w:rPr>
          <w:b/>
        </w:rPr>
        <w:t>Actual result:</w:t>
      </w:r>
      <w:r>
        <w:rPr/>
        <w:t xml:space="preserve"> Dow rose to 10,000, then 11,000, then 20,000, eventually 23,000–24,000. Anyone following the bearish "clowns" prediction would have shorted and lost money, or missed the gains.</w:t>
      </w:r>
    </w:p>
    <w:p>
      <w:pPr>
        <w:pStyle w:val="Heading4"/>
        <w:numPr>
          <w:ilvl w:val="0"/>
          <w:numId w:val="0"/>
        </w:numPr>
        <w:bidi w:val="0"/>
        <w:ind w:hanging="0" w:start="0"/>
        <w:jc w:val="start"/>
        <w:rPr/>
      </w:pPr>
      <w:r>
        <w:rPr/>
        <w:t>A Decade of Failed Doomsday Predictions (2008/2010–2019, S&amp;P 500 rose ~262–400%+)</w:t>
      </w:r>
    </w:p>
    <w:p>
      <w:pPr>
        <w:pStyle w:val="BodyText"/>
        <w:bidi w:val="0"/>
        <w:jc w:val="start"/>
        <w:rPr/>
      </w:pPr>
      <w:r>
        <w:rPr/>
        <w:t>Adam walks through a chronological sequence of major media doomsday headlines that all preceded a ~10-year, ~400%+ bull run in the S&amp;P 500 (SPY roughly 80 → 290+ points, later ~450):</w:t>
      </w:r>
    </w:p>
    <w:p>
      <w:pPr>
        <w:pStyle w:val="BodyText"/>
        <w:numPr>
          <w:ilvl w:val="0"/>
          <w:numId w:val="595"/>
        </w:numPr>
        <w:tabs>
          <w:tab w:val="clear" w:pos="709"/>
          <w:tab w:val="left" w:pos="709" w:leader="none"/>
        </w:tabs>
        <w:bidi w:val="0"/>
        <w:ind w:hanging="283" w:start="709"/>
        <w:jc w:val="start"/>
        <w:rPr/>
      </w:pPr>
      <w:r>
        <w:rPr>
          <w:b/>
        </w:rPr>
        <w:t>2010 (New York Times):</w:t>
      </w:r>
      <w:r>
        <w:rPr/>
        <w:t xml:space="preserve"> "A market forecast that says, take cover" — quoting forecaster </w:t>
      </w:r>
      <w:r>
        <w:rPr>
          <w:b/>
        </w:rPr>
        <w:t>Robert Prechter</w:t>
      </w:r>
      <w:r>
        <w:rPr/>
        <w:t>, predicting "a market decline of staggering proportions, perhaps the biggest of the last 300 years."</w:t>
      </w:r>
    </w:p>
    <w:p>
      <w:pPr>
        <w:pStyle w:val="BodyText"/>
        <w:numPr>
          <w:ilvl w:val="0"/>
          <w:numId w:val="595"/>
        </w:numPr>
        <w:tabs>
          <w:tab w:val="clear" w:pos="709"/>
          <w:tab w:val="left" w:pos="709" w:leader="none"/>
        </w:tabs>
        <w:bidi w:val="0"/>
        <w:ind w:hanging="283" w:start="709"/>
        <w:jc w:val="start"/>
        <w:rPr/>
      </w:pPr>
      <w:r>
        <w:rPr>
          <w:b/>
        </w:rPr>
        <w:t>2011 (USA Today):</w:t>
      </w:r>
      <w:r>
        <w:rPr/>
        <w:t xml:space="preserve"> "S&amp;P lowers its outlook. Could US default on its debt?"</w:t>
      </w:r>
    </w:p>
    <w:p>
      <w:pPr>
        <w:pStyle w:val="BodyText"/>
        <w:numPr>
          <w:ilvl w:val="0"/>
          <w:numId w:val="595"/>
        </w:numPr>
        <w:tabs>
          <w:tab w:val="clear" w:pos="709"/>
          <w:tab w:val="left" w:pos="709" w:leader="none"/>
        </w:tabs>
        <w:bidi w:val="0"/>
        <w:ind w:hanging="283" w:start="709"/>
        <w:jc w:val="start"/>
        <w:rPr/>
      </w:pPr>
      <w:r>
        <w:rPr>
          <w:b/>
        </w:rPr>
        <w:t>2012 (CNBC):</w:t>
      </w:r>
      <w:r>
        <w:rPr/>
        <w:t xml:space="preserve"> "Europe debt defaults are poised to rattle stocks" (Eurozone sovereign debt crisis fears).</w:t>
      </w:r>
    </w:p>
    <w:p>
      <w:pPr>
        <w:pStyle w:val="BodyText"/>
        <w:numPr>
          <w:ilvl w:val="0"/>
          <w:numId w:val="595"/>
        </w:numPr>
        <w:tabs>
          <w:tab w:val="clear" w:pos="709"/>
          <w:tab w:val="left" w:pos="709" w:leader="none"/>
        </w:tabs>
        <w:bidi w:val="0"/>
        <w:ind w:hanging="283" w:start="709"/>
        <w:jc w:val="start"/>
        <w:rPr/>
      </w:pPr>
      <w:r>
        <w:rPr>
          <w:b/>
        </w:rPr>
        <w:t>2013 (Bloomberg):</w:t>
      </w:r>
      <w:r>
        <w:rPr/>
        <w:t xml:space="preserve"> "A US default seen as catastrophe, dwarfing Lehman's fall."</w:t>
      </w:r>
    </w:p>
    <w:p>
      <w:pPr>
        <w:pStyle w:val="BodyText"/>
        <w:numPr>
          <w:ilvl w:val="0"/>
          <w:numId w:val="595"/>
        </w:numPr>
        <w:tabs>
          <w:tab w:val="clear" w:pos="709"/>
          <w:tab w:val="left" w:pos="709" w:leader="none"/>
        </w:tabs>
        <w:bidi w:val="0"/>
        <w:ind w:hanging="283" w:start="709"/>
        <w:jc w:val="start"/>
        <w:rPr/>
      </w:pPr>
      <w:r>
        <w:rPr>
          <w:b/>
        </w:rPr>
        <w:t>2013 (unnamed forecaster):</w:t>
      </w:r>
      <w:r>
        <w:rPr/>
        <w:t xml:space="preserve"> "87% risk of stock crash by year end." (Market rose 20% that year instead.)</w:t>
      </w:r>
    </w:p>
    <w:p>
      <w:pPr>
        <w:pStyle w:val="BodyText"/>
        <w:numPr>
          <w:ilvl w:val="0"/>
          <w:numId w:val="595"/>
        </w:numPr>
        <w:tabs>
          <w:tab w:val="clear" w:pos="709"/>
          <w:tab w:val="left" w:pos="709" w:leader="none"/>
        </w:tabs>
        <w:bidi w:val="0"/>
        <w:ind w:hanging="283" w:start="709"/>
        <w:jc w:val="start"/>
        <w:rPr/>
      </w:pPr>
      <w:r>
        <w:rPr>
          <w:b/>
        </w:rPr>
        <w:t>2015:</w:t>
      </w:r>
      <w:r>
        <w:rPr/>
        <w:t xml:space="preserve"> </w:t>
      </w:r>
      <w:r>
        <w:rPr>
          <w:b/>
        </w:rPr>
        <w:t>David Stockman</w:t>
      </w:r>
      <w:r>
        <w:rPr/>
        <w:t xml:space="preserve"> — "Stocks and bonds will crash soon." (Adam's joke: "Kuh, Stockman, Kuh, Stockman... if you listen to Stockman, you would not have made money, 'cause stockmen say we're gonna die.")</w:t>
      </w:r>
    </w:p>
    <w:p>
      <w:pPr>
        <w:pStyle w:val="BodyText"/>
        <w:numPr>
          <w:ilvl w:val="0"/>
          <w:numId w:val="595"/>
        </w:numPr>
        <w:tabs>
          <w:tab w:val="clear" w:pos="709"/>
          <w:tab w:val="left" w:pos="709" w:leader="none"/>
        </w:tabs>
        <w:bidi w:val="0"/>
        <w:ind w:hanging="283" w:start="709"/>
        <w:jc w:val="start"/>
        <w:rPr/>
      </w:pPr>
      <w:r>
        <w:rPr>
          <w:b/>
        </w:rPr>
        <w:t>2016:</w:t>
      </w:r>
      <w:r>
        <w:rPr/>
        <w:t xml:space="preserve"> "Here comes the biggest crash in a generation."</w:t>
      </w:r>
    </w:p>
    <w:p>
      <w:pPr>
        <w:pStyle w:val="BodyText"/>
        <w:numPr>
          <w:ilvl w:val="0"/>
          <w:numId w:val="595"/>
        </w:numPr>
        <w:tabs>
          <w:tab w:val="clear" w:pos="709"/>
          <w:tab w:val="left" w:pos="709" w:leader="none"/>
        </w:tabs>
        <w:bidi w:val="0"/>
        <w:ind w:hanging="283" w:start="709"/>
        <w:jc w:val="start"/>
        <w:rPr/>
      </w:pPr>
      <w:r>
        <w:rPr>
          <w:b/>
        </w:rPr>
        <w:t>2018:</w:t>
      </w:r>
      <w:r>
        <w:rPr/>
        <w:t xml:space="preserve"> "Why markets are still heading for a crash."</w:t>
      </w:r>
    </w:p>
    <w:p>
      <w:pPr>
        <w:pStyle w:val="BodyText"/>
        <w:numPr>
          <w:ilvl w:val="0"/>
          <w:numId w:val="595"/>
        </w:numPr>
        <w:tabs>
          <w:tab w:val="clear" w:pos="709"/>
          <w:tab w:val="left" w:pos="709" w:leader="none"/>
        </w:tabs>
        <w:bidi w:val="0"/>
        <w:ind w:hanging="283" w:start="709"/>
        <w:jc w:val="start"/>
        <w:rPr/>
      </w:pPr>
      <w:r>
        <w:rPr>
          <w:b/>
        </w:rPr>
        <w:t>Pattern/lesson:</w:t>
      </w:r>
      <w:r>
        <w:rPr/>
        <w:t xml:space="preserve"> financial media predicts a crash </w:t>
      </w:r>
      <w:r>
        <w:rPr>
          <w:b/>
        </w:rPr>
        <w:t>every single year</w:t>
      </w:r>
      <w:r>
        <w:rPr/>
        <w:t xml:space="preserve">, because "bad news sells newspapers... sells articles... gets clicks... sells advertisements." Markets DO periodically correct (statistically: down 3–5% about once a year, down 10% about once every 2 years, down 20% about once every 6 years) — but </w:t>
      </w:r>
      <w:r>
        <w:rPr>
          <w:b/>
        </w:rPr>
        <w:t>when it happens is unpredictable</w:t>
      </w:r>
      <w:r>
        <w:rPr/>
        <w:t xml:space="preserve">, and when it does happen, "you don't fear them, you take advantage of them." </w:t>
      </w:r>
      <w:r>
        <w:rPr>
          <w:b/>
        </w:rPr>
        <w:t>Rule: stop reading predictions/forecasts; focus on building a watchlist of great companies and add shares during corrections.</w:t>
      </w:r>
    </w:p>
    <w:p>
      <w:pPr>
        <w:pStyle w:val="BodyText"/>
        <w:numPr>
          <w:ilvl w:val="0"/>
          <w:numId w:val="595"/>
        </w:numPr>
        <w:tabs>
          <w:tab w:val="clear" w:pos="709"/>
          <w:tab w:val="left" w:pos="709" w:leader="none"/>
        </w:tabs>
        <w:bidi w:val="0"/>
        <w:ind w:hanging="283" w:start="709"/>
        <w:jc w:val="start"/>
        <w:rPr/>
      </w:pPr>
      <w:r>
        <w:rPr/>
        <w:t xml:space="preserve">Reiterated </w:t>
      </w:r>
      <w:r>
        <w:rPr>
          <w:b/>
        </w:rPr>
        <w:t>Peter Lynch quote:</w:t>
      </w:r>
      <w:r>
        <w:rPr/>
        <w:t xml:space="preserve"> "If you spend more than 13 minutes analyzing economic and market forecasts, you've wasted 10 minutes of your time."</w:t>
      </w:r>
    </w:p>
    <w:p>
      <w:pPr>
        <w:pStyle w:val="HorizontalLine"/>
        <w:bidi w:val="0"/>
        <w:jc w:val="start"/>
        <w:rPr/>
      </w:pPr>
      <w:r>
        <w:rPr/>
      </w:r>
    </w:p>
    <w:p>
      <w:pPr>
        <w:pStyle w:val="Heading3"/>
        <w:bidi w:val="0"/>
        <w:ind w:hanging="0" w:start="0"/>
        <w:jc w:val="start"/>
        <w:rPr/>
      </w:pPr>
      <w:r>
        <w:rPr/>
        <w:t>Psychology Rule #8: Pay No Attention to Macroeconomic or Geopolitical Events</w:t>
      </w:r>
    </w:p>
    <w:p>
      <w:pPr>
        <w:pStyle w:val="BodyText"/>
        <w:numPr>
          <w:ilvl w:val="0"/>
          <w:numId w:val="596"/>
        </w:numPr>
        <w:tabs>
          <w:tab w:val="clear" w:pos="709"/>
          <w:tab w:val="left" w:pos="709" w:leader="none"/>
        </w:tabs>
        <w:bidi w:val="0"/>
        <w:ind w:hanging="283" w:start="709"/>
        <w:jc w:val="start"/>
        <w:rPr/>
      </w:pPr>
      <w:r>
        <w:rPr/>
        <w:t>Counterintuitive to most people, who believe successful investing requires tracking GDP, interest rates, yield curves, inflation, etc. Adam calls this "absolute crap and rubbish."</w:t>
      </w:r>
    </w:p>
    <w:p>
      <w:pPr>
        <w:pStyle w:val="BodyText"/>
        <w:numPr>
          <w:ilvl w:val="0"/>
          <w:numId w:val="596"/>
        </w:numPr>
        <w:tabs>
          <w:tab w:val="clear" w:pos="709"/>
          <w:tab w:val="left" w:pos="709" w:leader="none"/>
        </w:tabs>
        <w:bidi w:val="0"/>
        <w:spacing w:before="0" w:after="0"/>
        <w:ind w:hanging="283" w:start="709"/>
        <w:jc w:val="start"/>
        <w:rPr/>
      </w:pPr>
      <w:r>
        <w:rPr>
          <w:b/>
        </w:rPr>
        <w:t>Two reasons:</w:t>
      </w:r>
    </w:p>
    <w:p>
      <w:pPr>
        <w:pStyle w:val="BodyText"/>
        <w:numPr>
          <w:ilvl w:val="1"/>
          <w:numId w:val="596"/>
        </w:numPr>
        <w:tabs>
          <w:tab w:val="clear" w:pos="709"/>
          <w:tab w:val="left" w:pos="1418" w:leader="none"/>
        </w:tabs>
        <w:bidi w:val="0"/>
        <w:ind w:hanging="283" w:start="1418"/>
        <w:jc w:val="start"/>
        <w:rPr/>
      </w:pPr>
      <w:r>
        <w:rPr/>
        <w:t>No one can predict macroeconomic events (interest rate moves, inflation) — at best a 50-50 guess.</w:t>
      </w:r>
    </w:p>
    <w:p>
      <w:pPr>
        <w:pStyle w:val="BodyText"/>
        <w:numPr>
          <w:ilvl w:val="1"/>
          <w:numId w:val="596"/>
        </w:numPr>
        <w:tabs>
          <w:tab w:val="clear" w:pos="709"/>
          <w:tab w:val="left" w:pos="1418" w:leader="none"/>
        </w:tabs>
        <w:bidi w:val="0"/>
        <w:ind w:hanging="283" w:start="1418"/>
        <w:jc w:val="start"/>
        <w:rPr/>
      </w:pPr>
      <w:r>
        <w:rPr/>
        <w:t xml:space="preserve">Even if you could predict the event, </w:t>
      </w:r>
      <w:r>
        <w:rPr>
          <w:b/>
        </w:rPr>
        <w:t>you can't predict how the market will react to it.</w:t>
      </w:r>
    </w:p>
    <w:p>
      <w:pPr>
        <w:pStyle w:val="BodyText"/>
        <w:numPr>
          <w:ilvl w:val="0"/>
          <w:numId w:val="596"/>
        </w:numPr>
        <w:tabs>
          <w:tab w:val="clear" w:pos="709"/>
          <w:tab w:val="left" w:pos="709" w:leader="none"/>
        </w:tabs>
        <w:bidi w:val="0"/>
        <w:ind w:hanging="283" w:start="709"/>
        <w:jc w:val="start"/>
        <w:rPr/>
      </w:pPr>
      <w:r>
        <w:rPr/>
        <w:t>Same logic applies to geopolitical events (e.g., Omicron, government shutdowns) — the market reacts instantaneously and unpredictably; there's no way to profit from reading this news in advance.</w:t>
      </w:r>
    </w:p>
    <w:p>
      <w:pPr>
        <w:pStyle w:val="BodyText"/>
        <w:numPr>
          <w:ilvl w:val="0"/>
          <w:numId w:val="596"/>
        </w:numPr>
        <w:tabs>
          <w:tab w:val="clear" w:pos="709"/>
          <w:tab w:val="left" w:pos="709" w:leader="none"/>
        </w:tabs>
        <w:bidi w:val="0"/>
        <w:ind w:hanging="283" w:start="709"/>
        <w:jc w:val="start"/>
        <w:rPr/>
      </w:pPr>
      <w:r>
        <w:rPr/>
        <w:t xml:space="preserve">Adam admits he </w:t>
      </w:r>
      <w:r>
        <w:rPr>
          <w:i/>
        </w:rPr>
        <w:t>does</w:t>
      </w:r>
      <w:r>
        <w:rPr/>
        <w:t xml:space="preserve"> discuss interest rates, GDP, and inflation in his newsletter/YouTube videos — but purely for </w:t>
      </w:r>
      <w:r>
        <w:rPr>
          <w:b/>
        </w:rPr>
        <w:t>intellectual and entertainment purposes</w:t>
      </w:r>
      <w:r>
        <w:rPr/>
        <w:t xml:space="preserve">; he assigns </w:t>
      </w:r>
      <w:r>
        <w:rPr>
          <w:b/>
        </w:rPr>
        <w:t>zero weight</w:t>
      </w:r>
      <w:r>
        <w:rPr/>
        <w:t xml:space="preserve"> to any of it in actual buy/sell decisions. All of it is "market noise."</w:t>
      </w:r>
    </w:p>
    <w:p>
      <w:pPr>
        <w:pStyle w:val="BodyText"/>
        <w:numPr>
          <w:ilvl w:val="0"/>
          <w:numId w:val="596"/>
        </w:numPr>
        <w:tabs>
          <w:tab w:val="clear" w:pos="709"/>
          <w:tab w:val="left" w:pos="709" w:leader="none"/>
        </w:tabs>
        <w:bidi w:val="0"/>
        <w:ind w:hanging="283" w:start="709"/>
        <w:jc w:val="start"/>
        <w:rPr/>
      </w:pPr>
      <w:r>
        <w:rPr>
          <w:b/>
        </w:rPr>
        <w:t>Peter Lynch quote:</w:t>
      </w:r>
      <w:r>
        <w:rPr/>
        <w:t xml:space="preserve"> "Your ultimate success or failure will depend on your ability to ignore the worries of the world long enough to allow your investments to succeed."</w:t>
      </w:r>
    </w:p>
    <w:p>
      <w:pPr>
        <w:pStyle w:val="BodyText"/>
        <w:numPr>
          <w:ilvl w:val="0"/>
          <w:numId w:val="596"/>
        </w:numPr>
        <w:tabs>
          <w:tab w:val="clear" w:pos="709"/>
          <w:tab w:val="left" w:pos="709" w:leader="none"/>
        </w:tabs>
        <w:bidi w:val="0"/>
        <w:ind w:hanging="283" w:start="709"/>
        <w:jc w:val="start"/>
        <w:rPr/>
      </w:pPr>
      <w:r>
        <w:rPr>
          <w:b/>
        </w:rPr>
        <w:t>The only valid reason to sell a stock is that the underlying business itself is no longer a great business</w:t>
      </w:r>
      <w:r>
        <w:rPr/>
        <w:t xml:space="preserve"> — never sell because of macro or geopolitical reasons.</w:t>
      </w:r>
    </w:p>
    <w:p>
      <w:pPr>
        <w:pStyle w:val="BodyText"/>
        <w:numPr>
          <w:ilvl w:val="0"/>
          <w:numId w:val="596"/>
        </w:numPr>
        <w:tabs>
          <w:tab w:val="clear" w:pos="709"/>
          <w:tab w:val="left" w:pos="709" w:leader="none"/>
        </w:tabs>
        <w:bidi w:val="0"/>
        <w:ind w:hanging="283" w:start="709"/>
        <w:jc w:val="start"/>
        <w:rPr/>
      </w:pPr>
      <w:r>
        <w:rPr/>
        <w:t xml:space="preserve">Illustrative list of "reasons to sell" that scared people out of the 2009–2019 bull run and caused them to miss ~500% growth: 600,000 jobs lost in March; Chrysler/GM bankruptcy filings; BP oil spill; the Flash Crash; European sovereign debt crisis; a powerful earthquake; S&amp;P downgrading US debt; fiscal cliff talks; US government shutdown; the "taper tantrum"; Ebola contagion fears; Brexit; Charlottesville; "Dow falls to biggest point decline ever"; another government shutdown; S&amp;P entering a bear market; the trade war; the yield curve inverting; an Iranian bombing; an emergency Fed injection. </w:t>
      </w:r>
      <w:r>
        <w:rPr>
          <w:b/>
        </w:rPr>
        <w:t>Every one of these was a reason people sold or avoided buying — and the market kept rising through all of them.</w:t>
      </w:r>
    </w:p>
    <w:p>
      <w:pPr>
        <w:pStyle w:val="HorizontalLine"/>
        <w:bidi w:val="0"/>
        <w:jc w:val="start"/>
        <w:rPr/>
      </w:pPr>
      <w:r>
        <w:rPr/>
      </w:r>
    </w:p>
    <w:p>
      <w:pPr>
        <w:pStyle w:val="Heading3"/>
        <w:bidi w:val="0"/>
        <w:ind w:hanging="0" w:start="0"/>
        <w:jc w:val="start"/>
        <w:rPr/>
      </w:pPr>
      <w:r>
        <w:rPr/>
        <w:t>Psychology Rule #9: Risk Management and Capital Protection</w:t>
      </w:r>
    </w:p>
    <w:p>
      <w:pPr>
        <w:pStyle w:val="BodyText"/>
        <w:numPr>
          <w:ilvl w:val="0"/>
          <w:numId w:val="597"/>
        </w:numPr>
        <w:tabs>
          <w:tab w:val="clear" w:pos="709"/>
          <w:tab w:val="left" w:pos="709" w:leader="none"/>
        </w:tabs>
        <w:bidi w:val="0"/>
        <w:ind w:hanging="283" w:start="709"/>
        <w:jc w:val="start"/>
        <w:rPr/>
      </w:pPr>
      <w:r>
        <w:rPr/>
        <w:t xml:space="preserve">Most people, before buying, only think about </w:t>
      </w:r>
      <w:r>
        <w:rPr>
          <w:b/>
        </w:rPr>
        <w:t>how much they can make</w:t>
      </w:r>
      <w:r>
        <w:rPr/>
        <w:t xml:space="preserve"> — they never ask how much they'd lose if wrong. </w:t>
      </w:r>
      <w:r>
        <w:rPr>
          <w:b/>
        </w:rPr>
        <w:t>Professional investors do the opposite: ask "how much can I lose if I'm wrong?" FIRST, then "how much can I make?"</w:t>
      </w:r>
    </w:p>
    <w:p>
      <w:pPr>
        <w:pStyle w:val="BodyText"/>
        <w:numPr>
          <w:ilvl w:val="0"/>
          <w:numId w:val="597"/>
        </w:numPr>
        <w:tabs>
          <w:tab w:val="clear" w:pos="709"/>
          <w:tab w:val="left" w:pos="709" w:leader="none"/>
        </w:tabs>
        <w:bidi w:val="0"/>
        <w:ind w:hanging="283" w:start="709"/>
        <w:jc w:val="start"/>
        <w:rPr/>
      </w:pPr>
      <w:r>
        <w:rPr>
          <w:b/>
        </w:rPr>
        <w:t>"Always protect your downside and the upside will take care of itself."</w:t>
      </w:r>
    </w:p>
    <w:p>
      <w:pPr>
        <w:pStyle w:val="BodyText"/>
        <w:numPr>
          <w:ilvl w:val="0"/>
          <w:numId w:val="597"/>
        </w:numPr>
        <w:tabs>
          <w:tab w:val="clear" w:pos="709"/>
          <w:tab w:val="left" w:pos="709" w:leader="none"/>
        </w:tabs>
        <w:bidi w:val="0"/>
        <w:ind w:hanging="283" w:start="709"/>
        <w:jc w:val="start"/>
        <w:rPr/>
      </w:pPr>
      <w:r>
        <w:rPr>
          <w:b/>
        </w:rPr>
        <w:t>Rule #1 of successful investing: do not lose money. Rule #2: how much money can I make.</w:t>
      </w:r>
      <w:r>
        <w:rPr/>
        <w:t xml:space="preserve"> (Attributed framing, echoing Buffett's famous rules.)</w:t>
      </w:r>
    </w:p>
    <w:p>
      <w:pPr>
        <w:pStyle w:val="BodyText"/>
        <w:numPr>
          <w:ilvl w:val="0"/>
          <w:numId w:val="597"/>
        </w:numPr>
        <w:tabs>
          <w:tab w:val="clear" w:pos="709"/>
          <w:tab w:val="left" w:pos="709" w:leader="none"/>
        </w:tabs>
        <w:bidi w:val="0"/>
        <w:ind w:hanging="283" w:start="709"/>
        <w:jc w:val="start"/>
        <w:rPr/>
      </w:pPr>
      <w:r>
        <w:rPr>
          <w:b/>
        </w:rPr>
        <w:t>Never put all your eggs in one basket</w:t>
      </w:r>
      <w:r>
        <w:rPr/>
        <w:t xml:space="preserve"> — "there's no such thing as a sure thing." Even a genuinely great business can be hit by unforeseeable news.</w:t>
      </w:r>
    </w:p>
    <w:p>
      <w:pPr>
        <w:pStyle w:val="BodyText"/>
        <w:numPr>
          <w:ilvl w:val="0"/>
          <w:numId w:val="597"/>
        </w:numPr>
        <w:tabs>
          <w:tab w:val="clear" w:pos="709"/>
          <w:tab w:val="left" w:pos="709" w:leader="none"/>
        </w:tabs>
        <w:bidi w:val="0"/>
        <w:ind w:hanging="283" w:start="709"/>
        <w:jc w:val="start"/>
        <w:rPr/>
      </w:pPr>
      <w:r>
        <w:rPr>
          <w:b/>
        </w:rPr>
        <w:t>Example: Boeing.</w:t>
      </w:r>
      <w:r>
        <w:rPr/>
        <w:t xml:space="preserve"> Adam owned Boeing shares for many years; a great, historically strong business — but the 737 MAX crashes/grounding plus the pandemic caused a </w:t>
      </w:r>
      <w:r>
        <w:rPr>
          <w:b/>
        </w:rPr>
        <w:t>50% share price drop</w:t>
      </w:r>
      <w:r>
        <w:rPr/>
        <w:t>. If your entire portfolio had been in Boeing, you'd have been down 50%. (It has since recovered.)</w:t>
      </w:r>
    </w:p>
    <w:p>
      <w:pPr>
        <w:pStyle w:val="BodyText"/>
        <w:numPr>
          <w:ilvl w:val="0"/>
          <w:numId w:val="597"/>
        </w:numPr>
        <w:tabs>
          <w:tab w:val="clear" w:pos="709"/>
          <w:tab w:val="left" w:pos="709" w:leader="none"/>
        </w:tabs>
        <w:bidi w:val="0"/>
        <w:ind w:hanging="283" w:start="709"/>
        <w:jc w:val="start"/>
        <w:rPr/>
      </w:pPr>
      <w:r>
        <w:rPr>
          <w:b/>
        </w:rPr>
        <w:t>Solution: diversify across many great companies</w:t>
      </w:r>
      <w:r>
        <w:rPr/>
        <w:t xml:space="preserve"> so temporary drawdowns in one or two names are buffered by gains in the rest, keeping the overall portfolio growing.</w:t>
      </w:r>
    </w:p>
    <w:p>
      <w:pPr>
        <w:pStyle w:val="BodyText"/>
        <w:numPr>
          <w:ilvl w:val="0"/>
          <w:numId w:val="597"/>
        </w:numPr>
        <w:tabs>
          <w:tab w:val="clear" w:pos="709"/>
          <w:tab w:val="left" w:pos="709" w:leader="none"/>
        </w:tabs>
        <w:bidi w:val="0"/>
        <w:ind w:hanging="283" w:start="709"/>
        <w:jc w:val="start"/>
        <w:rPr/>
      </w:pPr>
      <w:r>
        <w:rPr>
          <w:b/>
        </w:rPr>
        <w:t>Key principle:</w:t>
      </w:r>
      <w:r>
        <w:rPr/>
        <w:t xml:space="preserve"> "If you buy a portfolio of great companies and you buy them for less than what they are worth, collectively, you cannot lose money."</w:t>
      </w:r>
    </w:p>
    <w:p>
      <w:pPr>
        <w:pStyle w:val="BodyText"/>
        <w:numPr>
          <w:ilvl w:val="0"/>
          <w:numId w:val="597"/>
        </w:numPr>
        <w:tabs>
          <w:tab w:val="clear" w:pos="709"/>
          <w:tab w:val="left" w:pos="709" w:leader="none"/>
        </w:tabs>
        <w:bidi w:val="0"/>
        <w:ind w:hanging="283" w:start="709"/>
        <w:jc w:val="start"/>
        <w:rPr/>
      </w:pPr>
      <w:r>
        <w:rPr>
          <w:b/>
        </w:rPr>
        <w:t>Concrete allocation guidance:</w:t>
      </w:r>
      <w:r>
        <w:rPr/>
        <w:t xml:space="preserve"> hold a </w:t>
      </w:r>
      <w:r>
        <w:rPr>
          <w:b/>
        </w:rPr>
        <w:t>minimum of 8 companies, ideally 20–30</w:t>
      </w:r>
      <w:r>
        <w:rPr/>
        <w:t>. Risk only a small % of capital per position — e.g., 10 companies → 10% allocation each; 20 companies → 5% allocation each.</w:t>
      </w:r>
    </w:p>
    <w:p>
      <w:pPr>
        <w:pStyle w:val="HorizontalLine"/>
        <w:bidi w:val="0"/>
        <w:jc w:val="start"/>
        <w:rPr/>
      </w:pPr>
      <w:r>
        <w:rPr/>
      </w:r>
    </w:p>
    <w:p>
      <w:pPr>
        <w:pStyle w:val="Heading3"/>
        <w:bidi w:val="0"/>
        <w:ind w:hanging="0" w:start="0"/>
        <w:jc w:val="start"/>
        <w:rPr/>
      </w:pPr>
      <w:r>
        <w:rPr/>
        <w:t>Psychology Rule #10: Take Responsibility and Learn From Mistakes</w:t>
      </w:r>
    </w:p>
    <w:p>
      <w:pPr>
        <w:pStyle w:val="BodyText"/>
        <w:numPr>
          <w:ilvl w:val="0"/>
          <w:numId w:val="598"/>
        </w:numPr>
        <w:tabs>
          <w:tab w:val="clear" w:pos="709"/>
          <w:tab w:val="left" w:pos="709" w:leader="none"/>
        </w:tabs>
        <w:bidi w:val="0"/>
        <w:ind w:hanging="283" w:start="709"/>
        <w:jc w:val="start"/>
        <w:rPr/>
      </w:pPr>
      <w:r>
        <w:rPr/>
        <w:t xml:space="preserve">You will make mistakes investing — everyone does. </w:t>
      </w:r>
      <w:r>
        <w:rPr>
          <w:b/>
        </w:rPr>
        <w:t>"It's not what happens to us that determines our success or failure. But it is how we choose to respond to what happens that determines the outcome."</w:t>
      </w:r>
      <w:r>
        <w:rPr/>
        <w:t xml:space="preserve"> You can choose to learn, or make excuses, ignore mistakes, or blame someone else.</w:t>
      </w:r>
    </w:p>
    <w:p>
      <w:pPr>
        <w:pStyle w:val="BodyText"/>
        <w:numPr>
          <w:ilvl w:val="0"/>
          <w:numId w:val="598"/>
        </w:numPr>
        <w:tabs>
          <w:tab w:val="clear" w:pos="709"/>
          <w:tab w:val="left" w:pos="709" w:leader="none"/>
        </w:tabs>
        <w:bidi w:val="0"/>
        <w:spacing w:before="0" w:after="0"/>
        <w:ind w:hanging="283" w:start="709"/>
        <w:jc w:val="start"/>
        <w:rPr/>
      </w:pPr>
      <w:r>
        <w:rPr>
          <w:b/>
        </w:rPr>
        <w:t>How do you know if an investment is actually a mistake?</w:t>
      </w:r>
    </w:p>
    <w:p>
      <w:pPr>
        <w:pStyle w:val="BodyText"/>
        <w:numPr>
          <w:ilvl w:val="1"/>
          <w:numId w:val="598"/>
        </w:numPr>
        <w:tabs>
          <w:tab w:val="clear" w:pos="709"/>
          <w:tab w:val="left" w:pos="1418" w:leader="none"/>
        </w:tabs>
        <w:bidi w:val="0"/>
        <w:ind w:hanging="283" w:start="1418"/>
        <w:jc w:val="start"/>
        <w:rPr/>
      </w:pPr>
      <w:r>
        <w:rPr>
          <w:b/>
        </w:rPr>
        <w:t>NOT a mistake:</w:t>
      </w:r>
      <w:r>
        <w:rPr/>
        <w:t xml:space="preserve"> price drops 10/20/30/even 40% after purchase, while the underlying business is still growing and still passes all the fundamental steps. Short-term price is uncontrollable, manipulated, and emotion-driven. If you still have available cash, this can even be an opportunity to </w:t>
      </w:r>
      <w:r>
        <w:rPr>
          <w:b/>
        </w:rPr>
        <w:t>average down</w:t>
      </w:r>
      <w:r>
        <w:rPr/>
        <w:t xml:space="preserve"> (add shares).</w:t>
      </w:r>
    </w:p>
    <w:p>
      <w:pPr>
        <w:pStyle w:val="BodyText"/>
        <w:numPr>
          <w:ilvl w:val="1"/>
          <w:numId w:val="598"/>
        </w:numPr>
        <w:tabs>
          <w:tab w:val="clear" w:pos="709"/>
          <w:tab w:val="left" w:pos="1418" w:leader="none"/>
        </w:tabs>
        <w:bidi w:val="0"/>
        <w:ind w:hanging="283" w:start="1418"/>
        <w:jc w:val="start"/>
        <w:rPr/>
      </w:pPr>
      <w:r>
        <w:rPr>
          <w:b/>
        </w:rPr>
        <w:t>IS a mistake:</w:t>
      </w:r>
      <w:r>
        <w:rPr/>
        <w:t xml:space="preserve"> the underlying business fundamentals have deteriorated (lost competitive advantage / no longer a good business), OR you discover post-purchase that it actually failed one of your investment criteria.</w:t>
      </w:r>
    </w:p>
    <w:p>
      <w:pPr>
        <w:pStyle w:val="BodyText"/>
        <w:numPr>
          <w:ilvl w:val="0"/>
          <w:numId w:val="598"/>
        </w:numPr>
        <w:tabs>
          <w:tab w:val="clear" w:pos="709"/>
          <w:tab w:val="left" w:pos="709" w:leader="none"/>
        </w:tabs>
        <w:bidi w:val="0"/>
        <w:ind w:hanging="283" w:start="709"/>
        <w:jc w:val="start"/>
        <w:rPr/>
      </w:pPr>
      <w:r>
        <w:rPr>
          <w:b/>
        </w:rPr>
        <w:t>When you realize it's a genuine mistake: sell immediately</w:t>
      </w:r>
      <w:r>
        <w:rPr/>
        <w:t xml:space="preserve"> — regardless of whether the price is above or below your purchase price. "Win, lose, or draw, get out, cut it, take the cash and reinvest it into a great company that can grow your money from there forth." Don't hold out hoping "it's going to come back."</w:t>
      </w:r>
    </w:p>
    <w:p>
      <w:pPr>
        <w:pStyle w:val="BodyText"/>
        <w:numPr>
          <w:ilvl w:val="0"/>
          <w:numId w:val="598"/>
        </w:numPr>
        <w:tabs>
          <w:tab w:val="clear" w:pos="709"/>
          <w:tab w:val="left" w:pos="709" w:leader="none"/>
        </w:tabs>
        <w:bidi w:val="0"/>
        <w:ind w:hanging="283" w:start="709"/>
        <w:jc w:val="start"/>
        <w:rPr/>
      </w:pPr>
      <w:r>
        <w:rPr>
          <w:b/>
        </w:rPr>
        <w:t>The "fire the employee" analogy:</w:t>
      </w:r>
      <w:r>
        <w:rPr/>
        <w:t xml:space="preserve"> think of yourself as the boss of a company. If you hire a salesperson who brings in no sales and is rude to customers, you fire them immediately rather than paying them more and hoping they change. Treat a lousy stock holding the same way — cut it regardless of sunk cost (salary already paid = losses already taken).</w:t>
      </w:r>
    </w:p>
    <w:p>
      <w:pPr>
        <w:pStyle w:val="BodyText"/>
        <w:numPr>
          <w:ilvl w:val="0"/>
          <w:numId w:val="598"/>
        </w:numPr>
        <w:tabs>
          <w:tab w:val="clear" w:pos="709"/>
          <w:tab w:val="left" w:pos="709" w:leader="none"/>
        </w:tabs>
        <w:bidi w:val="0"/>
        <w:ind w:hanging="283" w:start="709"/>
        <w:jc w:val="start"/>
        <w:rPr/>
      </w:pPr>
      <w:r>
        <w:rPr>
          <w:b/>
        </w:rPr>
        <w:t>"Think logically and not emotionally. Never get emotional about a stock and be emotionally attached to it because the stock doesn't know who you are. The stock doesn't care who you are."</w:t>
      </w:r>
      <w:r>
        <w:rPr/>
        <w:t xml:space="preserve"> You don't have to "make the money back" from the same stock — you can make it back from other great companies.</w:t>
      </w:r>
    </w:p>
    <w:p>
      <w:pPr>
        <w:pStyle w:val="BodyText"/>
        <w:numPr>
          <w:ilvl w:val="0"/>
          <w:numId w:val="598"/>
        </w:numPr>
        <w:tabs>
          <w:tab w:val="clear" w:pos="709"/>
          <w:tab w:val="left" w:pos="709" w:leader="none"/>
        </w:tabs>
        <w:bidi w:val="0"/>
        <w:ind w:hanging="283" w:start="709"/>
        <w:jc w:val="start"/>
        <w:rPr/>
      </w:pPr>
      <w:r>
        <w:rPr>
          <w:b/>
        </w:rPr>
        <w:t>Never blame anyone for losing money</w:t>
      </w:r>
      <w:r>
        <w:rPr/>
        <w:t xml:space="preserve"> — not the market, not God, not your broker, not your mother-in-law, your wife, or your kids. </w:t>
      </w:r>
      <w:r>
        <w:rPr>
          <w:b/>
        </w:rPr>
        <w:t>Blaming = giving away control.</w:t>
      </w:r>
      <w:r>
        <w:rPr/>
        <w:t xml:space="preserve"> "When you blame someone, it means they are controlling your results... As long as people are controlling your results, they are controlling your life, you can't change your life."</w:t>
      </w:r>
    </w:p>
    <w:p>
      <w:pPr>
        <w:pStyle w:val="BodyText"/>
        <w:numPr>
          <w:ilvl w:val="0"/>
          <w:numId w:val="598"/>
        </w:numPr>
        <w:tabs>
          <w:tab w:val="clear" w:pos="709"/>
          <w:tab w:val="left" w:pos="709" w:leader="none"/>
        </w:tabs>
        <w:bidi w:val="0"/>
        <w:ind w:hanging="283" w:start="709"/>
        <w:jc w:val="start"/>
        <w:rPr/>
      </w:pPr>
      <w:r>
        <w:rPr>
          <w:b/>
        </w:rPr>
        <w:t>Take ownership/responsibility</w:t>
      </w:r>
      <w:r>
        <w:rPr/>
        <w:t xml:space="preserve"> — believing "I am creating my results, I'm creating my life" gives you the power to change your life and your results.</w:t>
      </w:r>
    </w:p>
    <w:p>
      <w:pPr>
        <w:pStyle w:val="BodyText"/>
        <w:numPr>
          <w:ilvl w:val="0"/>
          <w:numId w:val="598"/>
        </w:numPr>
        <w:tabs>
          <w:tab w:val="clear" w:pos="709"/>
          <w:tab w:val="left" w:pos="709" w:leader="none"/>
        </w:tabs>
        <w:bidi w:val="0"/>
        <w:ind w:hanging="283" w:start="709"/>
        <w:jc w:val="start"/>
        <w:rPr/>
      </w:pPr>
      <w:r>
        <w:rPr/>
        <w:t xml:space="preserve">Closing quote: </w:t>
      </w:r>
      <w:r>
        <w:rPr>
          <w:b/>
        </w:rPr>
        <w:t>"For things to change, I must change first."</w:t>
      </w:r>
      <w:r>
        <w:rPr/>
        <w:t xml:space="preserve"> Don't wait for the world to get better — focus on making yourself better through constant learning, skill growth, and strengthening your psychology.</w:t>
      </w:r>
    </w:p>
    <w:p>
      <w:pPr>
        <w:pStyle w:val="HorizontalLine"/>
        <w:bidi w:val="0"/>
        <w:jc w:val="start"/>
        <w:rPr/>
      </w:pPr>
      <w:r>
        <w:rPr/>
      </w:r>
    </w:p>
    <w:p>
      <w:pPr>
        <w:pStyle w:val="Heading3"/>
        <w:bidi w:val="0"/>
        <w:ind w:hanging="0" w:start="0"/>
        <w:jc w:val="start"/>
        <w:rPr/>
      </w:pPr>
      <w:r>
        <w:rPr/>
        <w:t>Full 10-Rule Summary (as recapped by Adam at the end)</w:t>
      </w:r>
    </w:p>
    <w:p>
      <w:pPr>
        <w:pStyle w:val="BodyText"/>
        <w:numPr>
          <w:ilvl w:val="0"/>
          <w:numId w:val="599"/>
        </w:numPr>
        <w:tabs>
          <w:tab w:val="clear" w:pos="709"/>
          <w:tab w:val="left" w:pos="709" w:leader="none"/>
        </w:tabs>
        <w:bidi w:val="0"/>
        <w:ind w:hanging="283" w:start="709"/>
        <w:jc w:val="start"/>
        <w:rPr/>
      </w:pPr>
      <w:r>
        <w:rPr>
          <w:b/>
        </w:rPr>
        <w:t>Be disciplined</w:t>
      </w:r>
      <w:r>
        <w:rPr/>
        <w:t xml:space="preserve"> — follow the rules of your predetermined investment plan.</w:t>
      </w:r>
    </w:p>
    <w:p>
      <w:pPr>
        <w:pStyle w:val="BodyText"/>
        <w:numPr>
          <w:ilvl w:val="0"/>
          <w:numId w:val="599"/>
        </w:numPr>
        <w:tabs>
          <w:tab w:val="clear" w:pos="709"/>
          <w:tab w:val="left" w:pos="709" w:leader="none"/>
        </w:tabs>
        <w:bidi w:val="0"/>
        <w:ind w:hanging="283" w:start="709"/>
        <w:jc w:val="start"/>
        <w:rPr/>
      </w:pPr>
      <w:r>
        <w:rPr>
          <w:b/>
        </w:rPr>
        <w:t>Invest only in what you understand</w:t>
      </w:r>
      <w:r>
        <w:rPr/>
        <w:t xml:space="preserve"> — stick to your circle of competence; don't blindly follow experts.</w:t>
      </w:r>
    </w:p>
    <w:p>
      <w:pPr>
        <w:pStyle w:val="BodyText"/>
        <w:numPr>
          <w:ilvl w:val="0"/>
          <w:numId w:val="599"/>
        </w:numPr>
        <w:tabs>
          <w:tab w:val="clear" w:pos="709"/>
          <w:tab w:val="left" w:pos="709" w:leader="none"/>
        </w:tabs>
        <w:bidi w:val="0"/>
        <w:ind w:hanging="283" w:start="709"/>
        <w:jc w:val="start"/>
        <w:rPr/>
      </w:pPr>
      <w:r>
        <w:rPr>
          <w:b/>
        </w:rPr>
        <w:t>Be patient and think long-term</w:t>
      </w:r>
      <w:r>
        <w:rPr/>
        <w:t xml:space="preserve"> — wealth compounds slowly, then explosively.</w:t>
      </w:r>
    </w:p>
    <w:p>
      <w:pPr>
        <w:pStyle w:val="BodyText"/>
        <w:numPr>
          <w:ilvl w:val="0"/>
          <w:numId w:val="599"/>
        </w:numPr>
        <w:tabs>
          <w:tab w:val="clear" w:pos="709"/>
          <w:tab w:val="left" w:pos="709" w:leader="none"/>
        </w:tabs>
        <w:bidi w:val="0"/>
        <w:ind w:hanging="283" w:start="709"/>
        <w:jc w:val="start"/>
        <w:rPr/>
      </w:pPr>
      <w:r>
        <w:rPr>
          <w:b/>
        </w:rPr>
        <w:t>Buy slowly and sell even slower</w:t>
      </w:r>
      <w:r>
        <w:rPr/>
        <w:t xml:space="preserve"> — patience on entry, extreme patience on exit; hold great companies "forever."</w:t>
      </w:r>
    </w:p>
    <w:p>
      <w:pPr>
        <w:pStyle w:val="BodyText"/>
        <w:numPr>
          <w:ilvl w:val="0"/>
          <w:numId w:val="599"/>
        </w:numPr>
        <w:tabs>
          <w:tab w:val="clear" w:pos="709"/>
          <w:tab w:val="left" w:pos="709" w:leader="none"/>
        </w:tabs>
        <w:bidi w:val="0"/>
        <w:ind w:hanging="283" w:start="709"/>
        <w:jc w:val="start"/>
        <w:rPr/>
      </w:pPr>
      <w:r>
        <w:rPr>
          <w:b/>
        </w:rPr>
        <w:t>Focus on business performance, not stock price</w:t>
      </w:r>
      <w:r>
        <w:rPr/>
        <w:t>, to judge investment success.</w:t>
      </w:r>
    </w:p>
    <w:p>
      <w:pPr>
        <w:pStyle w:val="BodyText"/>
        <w:numPr>
          <w:ilvl w:val="0"/>
          <w:numId w:val="599"/>
        </w:numPr>
        <w:tabs>
          <w:tab w:val="clear" w:pos="709"/>
          <w:tab w:val="left" w:pos="709" w:leader="none"/>
        </w:tabs>
        <w:bidi w:val="0"/>
        <w:ind w:hanging="283" w:start="709"/>
        <w:jc w:val="start"/>
        <w:rPr/>
      </w:pPr>
      <w:r>
        <w:rPr>
          <w:b/>
        </w:rPr>
        <w:t>Think independently</w:t>
      </w:r>
      <w:r>
        <w:rPr/>
        <w:t xml:space="preserve"> — go against the crowd; be greedy when others are fearful, fearful when others are greedy.</w:t>
      </w:r>
    </w:p>
    <w:p>
      <w:pPr>
        <w:pStyle w:val="BodyText"/>
        <w:numPr>
          <w:ilvl w:val="0"/>
          <w:numId w:val="599"/>
        </w:numPr>
        <w:tabs>
          <w:tab w:val="clear" w:pos="709"/>
          <w:tab w:val="left" w:pos="709" w:leader="none"/>
        </w:tabs>
        <w:bidi w:val="0"/>
        <w:ind w:hanging="283" w:start="709"/>
        <w:jc w:val="start"/>
        <w:rPr/>
      </w:pPr>
      <w:r>
        <w:rPr>
          <w:b/>
        </w:rPr>
        <w:t>Never attempt to predict the market</w:t>
      </w:r>
      <w:r>
        <w:rPr/>
        <w:t xml:space="preserve"> — follow the trend and fundamentals instead of forecasts.</w:t>
      </w:r>
    </w:p>
    <w:p>
      <w:pPr>
        <w:pStyle w:val="BodyText"/>
        <w:numPr>
          <w:ilvl w:val="0"/>
          <w:numId w:val="599"/>
        </w:numPr>
        <w:tabs>
          <w:tab w:val="clear" w:pos="709"/>
          <w:tab w:val="left" w:pos="709" w:leader="none"/>
        </w:tabs>
        <w:bidi w:val="0"/>
        <w:ind w:hanging="283" w:start="709"/>
        <w:jc w:val="start"/>
        <w:rPr/>
      </w:pPr>
      <w:r>
        <w:rPr>
          <w:b/>
        </w:rPr>
        <w:t>Pay no attention to macroeconomic or geopolitical events</w:t>
      </w:r>
      <w:r>
        <w:rPr/>
        <w:t xml:space="preserve"> — focus purely on the business itself.</w:t>
      </w:r>
    </w:p>
    <w:p>
      <w:pPr>
        <w:pStyle w:val="BodyText"/>
        <w:numPr>
          <w:ilvl w:val="0"/>
          <w:numId w:val="599"/>
        </w:numPr>
        <w:tabs>
          <w:tab w:val="clear" w:pos="709"/>
          <w:tab w:val="left" w:pos="709" w:leader="none"/>
        </w:tabs>
        <w:bidi w:val="0"/>
        <w:ind w:hanging="283" w:start="709"/>
        <w:jc w:val="start"/>
        <w:rPr/>
      </w:pPr>
      <w:r>
        <w:rPr>
          <w:b/>
        </w:rPr>
        <w:t>Risk management and capital protection</w:t>
      </w:r>
      <w:r>
        <w:rPr/>
        <w:t xml:space="preserve"> — diversify (8–30 companies), protect downside first.</w:t>
      </w:r>
    </w:p>
    <w:p>
      <w:pPr>
        <w:pStyle w:val="BodyText"/>
        <w:numPr>
          <w:ilvl w:val="0"/>
          <w:numId w:val="599"/>
        </w:numPr>
        <w:tabs>
          <w:tab w:val="clear" w:pos="709"/>
          <w:tab w:val="left" w:pos="709" w:leader="none"/>
        </w:tabs>
        <w:bidi w:val="0"/>
        <w:ind w:hanging="283" w:start="709"/>
        <w:jc w:val="start"/>
        <w:rPr/>
      </w:pPr>
      <w:r>
        <w:rPr>
          <w:b/>
        </w:rPr>
        <w:t>Take responsibility and learn from your mistakes</w:t>
      </w:r>
      <w:r>
        <w:rPr/>
        <w:t xml:space="preserve"> — cut real mistakes fast, never blame others.</w:t>
      </w:r>
    </w:p>
    <w:p>
      <w:pPr>
        <w:pStyle w:val="HorizontalLine"/>
        <w:bidi w:val="0"/>
        <w:jc w:val="start"/>
        <w:rPr/>
      </w:pPr>
      <w:r>
        <w:rPr/>
      </w:r>
    </w:p>
    <w:p>
      <w:pPr>
        <w:pStyle w:val="Heading3"/>
        <w:bidi w:val="0"/>
        <w:ind w:hanging="0" w:start="0"/>
        <w:jc w:val="start"/>
        <w:rPr/>
      </w:pPr>
      <w:r>
        <w:rPr/>
        <w:t>Key Takeaways</w:t>
      </w:r>
    </w:p>
    <w:p>
      <w:pPr>
        <w:pStyle w:val="BodyText"/>
        <w:numPr>
          <w:ilvl w:val="0"/>
          <w:numId w:val="600"/>
        </w:numPr>
        <w:tabs>
          <w:tab w:val="clear" w:pos="709"/>
          <w:tab w:val="left" w:pos="709" w:leader="none"/>
        </w:tabs>
        <w:bidi w:val="0"/>
        <w:ind w:hanging="283" w:start="709"/>
        <w:jc w:val="start"/>
        <w:rPr/>
      </w:pPr>
      <w:r>
        <w:rPr/>
        <w:t xml:space="preserve">Investing success is </w:t>
      </w:r>
      <w:r>
        <w:rPr>
          <w:b/>
        </w:rPr>
        <w:t>70% psychology, 30% strategy</w:t>
      </w:r>
      <w:r>
        <w:rPr/>
        <w:t xml:space="preserve"> — most people over-invest in learning strategy and neglect the psychological/behavioral side entirely.</w:t>
      </w:r>
    </w:p>
    <w:p>
      <w:pPr>
        <w:pStyle w:val="BodyText"/>
        <w:numPr>
          <w:ilvl w:val="0"/>
          <w:numId w:val="600"/>
        </w:numPr>
        <w:tabs>
          <w:tab w:val="clear" w:pos="709"/>
          <w:tab w:val="left" w:pos="709" w:leader="none"/>
        </w:tabs>
        <w:bidi w:val="0"/>
        <w:ind w:hanging="283" w:start="709"/>
        <w:jc w:val="start"/>
        <w:rPr/>
      </w:pPr>
      <w:r>
        <w:rPr/>
        <w:t xml:space="preserve">The core emotional trap is </w:t>
      </w:r>
      <w:r>
        <w:rPr>
          <w:b/>
        </w:rPr>
        <w:t>fear and greed</w:t>
      </w:r>
      <w:r>
        <w:rPr/>
        <w:t>: buying out of greed (FOMO, chasing hype) and selling out of fear (panic on bad news) is the default human behavior pattern and the primary destroyer of investment returns.</w:t>
      </w:r>
    </w:p>
    <w:p>
      <w:pPr>
        <w:pStyle w:val="BodyText"/>
        <w:numPr>
          <w:ilvl w:val="0"/>
          <w:numId w:val="600"/>
        </w:numPr>
        <w:tabs>
          <w:tab w:val="clear" w:pos="709"/>
          <w:tab w:val="left" w:pos="709" w:leader="none"/>
        </w:tabs>
        <w:bidi w:val="0"/>
        <w:ind w:hanging="283" w:start="709"/>
        <w:jc w:val="start"/>
        <w:rPr/>
      </w:pPr>
      <w:r>
        <w:rPr/>
        <w:t xml:space="preserve">Short-term stock prices are driven by </w:t>
      </w:r>
      <w:r>
        <w:rPr>
          <w:b/>
        </w:rPr>
        <w:t>emotion, manipulation, and unpredictable news</w:t>
      </w:r>
      <w:r>
        <w:rPr/>
        <w:t xml:space="preserve"> — not by business fundamentals. Long-term prices always converge back to reflect business value. This single distinction underlies almost every rule in the lesson (rule #1, #5, #7, #8).</w:t>
      </w:r>
    </w:p>
    <w:p>
      <w:pPr>
        <w:pStyle w:val="BodyText"/>
        <w:numPr>
          <w:ilvl w:val="0"/>
          <w:numId w:val="600"/>
        </w:numPr>
        <w:tabs>
          <w:tab w:val="clear" w:pos="709"/>
          <w:tab w:val="left" w:pos="709" w:leader="none"/>
        </w:tabs>
        <w:bidi w:val="0"/>
        <w:ind w:hanging="283" w:start="709"/>
        <w:jc w:val="start"/>
        <w:rPr/>
      </w:pPr>
      <w:r>
        <w:rPr>
          <w:b/>
        </w:rPr>
        <w:t>Discipline = pre-committing to objective rules before emotion arrives</w:t>
      </w:r>
      <w:r>
        <w:rPr/>
        <w:t>, then refusing to deviate even under social pressure (public ridicule, underperformance vs. the crowd) or market pressure (drawdowns).</w:t>
      </w:r>
    </w:p>
    <w:p>
      <w:pPr>
        <w:pStyle w:val="BodyText"/>
        <w:numPr>
          <w:ilvl w:val="0"/>
          <w:numId w:val="600"/>
        </w:numPr>
        <w:tabs>
          <w:tab w:val="clear" w:pos="709"/>
          <w:tab w:val="left" w:pos="709" w:leader="none"/>
        </w:tabs>
        <w:bidi w:val="0"/>
        <w:ind w:hanging="283" w:start="709"/>
        <w:jc w:val="start"/>
        <w:rPr/>
      </w:pPr>
      <w:r>
        <w:rPr>
          <w:b/>
        </w:rPr>
        <w:t>Contrarian positioning against crowd emotion</w:t>
      </w:r>
      <w:r>
        <w:rPr/>
        <w:t xml:space="preserve"> (buy fear, sell greed) is one of the only repeatable edges available to individual investors, because emotional extremes are visible in media tone, sentiment indices, and social conversation.</w:t>
      </w:r>
    </w:p>
    <w:p>
      <w:pPr>
        <w:pStyle w:val="BodyText"/>
        <w:numPr>
          <w:ilvl w:val="0"/>
          <w:numId w:val="600"/>
        </w:numPr>
        <w:tabs>
          <w:tab w:val="clear" w:pos="709"/>
          <w:tab w:val="left" w:pos="709" w:leader="none"/>
        </w:tabs>
        <w:bidi w:val="0"/>
        <w:ind w:hanging="283" w:start="709"/>
        <w:jc w:val="start"/>
        <w:rPr/>
      </w:pPr>
      <w:r>
        <w:rPr>
          <w:b/>
        </w:rPr>
        <w:t>Predictions — economic, geopolitical, or market-direction — are close to worthless</w:t>
      </w:r>
      <w:r>
        <w:rPr/>
        <w:t xml:space="preserve"> (~50/50 odds) and are actively harmful because they cause you to override your rules. Financial media predicts crashes constantly because fear sells; nearly all such predictions over the past decade were wrong.</w:t>
      </w:r>
    </w:p>
    <w:p>
      <w:pPr>
        <w:pStyle w:val="BodyText"/>
        <w:numPr>
          <w:ilvl w:val="0"/>
          <w:numId w:val="600"/>
        </w:numPr>
        <w:tabs>
          <w:tab w:val="clear" w:pos="709"/>
          <w:tab w:val="left" w:pos="709" w:leader="none"/>
        </w:tabs>
        <w:bidi w:val="0"/>
        <w:ind w:hanging="283" w:start="709"/>
        <w:jc w:val="start"/>
        <w:rPr/>
      </w:pPr>
      <w:r>
        <w:rPr>
          <w:b/>
        </w:rPr>
        <w:t>Inactivity is an edge.</w:t>
      </w:r>
      <w:r>
        <w:rPr/>
        <w:t xml:space="preserve"> Trading frequency is negatively correlated with returns (Fidelity dormant-account study); the biggest gains come from long, patient holding, not frequent buying/selling.</w:t>
      </w:r>
    </w:p>
    <w:p>
      <w:pPr>
        <w:pStyle w:val="BodyText"/>
        <w:numPr>
          <w:ilvl w:val="0"/>
          <w:numId w:val="600"/>
        </w:numPr>
        <w:tabs>
          <w:tab w:val="clear" w:pos="709"/>
          <w:tab w:val="left" w:pos="709" w:leader="none"/>
        </w:tabs>
        <w:bidi w:val="0"/>
        <w:ind w:hanging="283" w:start="709"/>
        <w:jc w:val="start"/>
        <w:rPr/>
      </w:pPr>
      <w:r>
        <w:rPr>
          <w:b/>
        </w:rPr>
        <w:t>Diversification (8–30 positions, 5–10% max allocation) plus buying only undervalued great businesses is presented as a near risk-free combination</w:t>
      </w:r>
      <w:r>
        <w:rPr/>
        <w:t xml:space="preserve"> for capital protection: "You cannot lose money if you buy a group of great companies and you buy them for less than what they are worth."</w:t>
      </w:r>
    </w:p>
    <w:p>
      <w:pPr>
        <w:pStyle w:val="BodyText"/>
        <w:numPr>
          <w:ilvl w:val="0"/>
          <w:numId w:val="600"/>
        </w:numPr>
        <w:tabs>
          <w:tab w:val="clear" w:pos="709"/>
          <w:tab w:val="left" w:pos="709" w:leader="none"/>
        </w:tabs>
        <w:bidi w:val="0"/>
        <w:ind w:hanging="283" w:start="709"/>
        <w:jc w:val="start"/>
        <w:rPr/>
      </w:pPr>
      <w:r>
        <w:rPr>
          <w:b/>
        </w:rPr>
        <w:t>A real investment mistake is a change in business fundamentals or a failed criterion — not a price decline.</w:t>
      </w:r>
      <w:r>
        <w:rPr/>
        <w:t xml:space="preserve"> Confusing these two is one of the most damaging psychological errors an investor can make.</w:t>
      </w:r>
    </w:p>
    <w:p>
      <w:pPr>
        <w:pStyle w:val="BodyText"/>
        <w:numPr>
          <w:ilvl w:val="0"/>
          <w:numId w:val="600"/>
        </w:numPr>
        <w:tabs>
          <w:tab w:val="clear" w:pos="709"/>
          <w:tab w:val="left" w:pos="709" w:leader="none"/>
        </w:tabs>
        <w:bidi w:val="0"/>
        <w:ind w:hanging="283" w:start="709"/>
        <w:jc w:val="start"/>
        <w:rPr/>
      </w:pPr>
      <w:r>
        <w:rPr>
          <w:b/>
        </w:rPr>
        <w:t>Personal responsibility is the foundation that makes every other rule usable.</w:t>
      </w:r>
      <w:r>
        <w:rPr/>
        <w:t xml:space="preserve"> Blaming external causes (brokers, luck, "the market") removes your ability to learn and improve; only ownership of outcomes creates the power to change results.</w:t>
      </w:r>
    </w:p>
    <w:p>
      <w:pPr>
        <w:pStyle w:val="HorizontalLine"/>
        <w:bidi w:val="0"/>
        <w:jc w:val="start"/>
        <w:rPr/>
      </w:pPr>
      <w:r>
        <w:rPr/>
      </w:r>
    </w:p>
    <w:p>
      <w:pPr>
        <w:pStyle w:val="Heading3"/>
        <w:bidi w:val="0"/>
        <w:ind w:hanging="0" w:start="0"/>
        <w:jc w:val="start"/>
        <w:rPr/>
      </w:pPr>
      <w:r>
        <w:rPr/>
        <w:t>Psychology Rules Checklist (Practical)</w:t>
      </w:r>
    </w:p>
    <w:p>
      <w:pPr>
        <w:pStyle w:val="BodyText"/>
        <w:bidi w:val="0"/>
        <w:jc w:val="start"/>
        <w:rPr/>
      </w:pPr>
      <w:r>
        <w:rPr/>
        <w:t>Before buying:</w:t>
      </w:r>
    </w:p>
    <w:p>
      <w:pPr>
        <w:pStyle w:val="BodyText"/>
        <w:numPr>
          <w:ilvl w:val="0"/>
          <w:numId w:val="601"/>
        </w:numPr>
        <w:tabs>
          <w:tab w:val="clear" w:pos="709"/>
          <w:tab w:val="left" w:pos="709" w:leader="none"/>
        </w:tabs>
        <w:bidi w:val="0"/>
        <w:ind w:hanging="283" w:start="709"/>
        <w:jc w:val="start"/>
        <w:rPr/>
      </w:pPr>
      <w:sdt>
        <w:sdtPr>
          <w:id w:val="1748240332"/>
          <w14:checkbox>
            <w14:checked w14:val="0"/>
            <w14:checkedState w14:val="2612"/>
            <w14:uncheckedState w14:val="2610"/>
          </w14:checkbox>
        </w:sdtPr>
        <w:sdtContent>
          <w:r>
            <w:rPr/>
          </w:r>
          <w:r>
            <w:rPr/>
            <w:t>☐</w:t>
          </w:r>
        </w:sdtContent>
      </w:sdt>
      <w:r>
        <w:rPr/>
        <w:t xml:space="preserve"> </w:t>
      </w:r>
      <w:r>
        <w:rPr/>
        <w:t>Have I run this through my full seven-step investment analysis myself, regardless of who recommended it?</w:t>
      </w:r>
    </w:p>
    <w:p>
      <w:pPr>
        <w:pStyle w:val="BodyText"/>
        <w:numPr>
          <w:ilvl w:val="0"/>
          <w:numId w:val="601"/>
        </w:numPr>
        <w:tabs>
          <w:tab w:val="clear" w:pos="709"/>
          <w:tab w:val="left" w:pos="709" w:leader="none"/>
        </w:tabs>
        <w:bidi w:val="0"/>
        <w:ind w:hanging="283" w:start="709"/>
        <w:jc w:val="start"/>
        <w:rPr/>
      </w:pPr>
      <w:sdt>
        <w:sdtPr>
          <w:id w:val="528110899"/>
          <w14:checkbox>
            <w14:checked w14:val="0"/>
            <w14:checkedState w14:val="2612"/>
            <w14:uncheckedState w14:val="2610"/>
          </w14:checkbox>
        </w:sdtPr>
        <w:sdtContent>
          <w:r>
            <w:rPr/>
          </w:r>
          <w:r>
            <w:rPr/>
            <w:t>☐</w:t>
          </w:r>
        </w:sdtContent>
      </w:sdt>
      <w:r>
        <w:rPr/>
        <w:t xml:space="preserve"> </w:t>
      </w:r>
      <w:r>
        <w:rPr/>
        <w:t>Is this inside my circle of competence — do I genuinely understand the business?</w:t>
      </w:r>
    </w:p>
    <w:p>
      <w:pPr>
        <w:pStyle w:val="BodyText"/>
        <w:numPr>
          <w:ilvl w:val="0"/>
          <w:numId w:val="601"/>
        </w:numPr>
        <w:tabs>
          <w:tab w:val="clear" w:pos="709"/>
          <w:tab w:val="left" w:pos="709" w:leader="none"/>
        </w:tabs>
        <w:bidi w:val="0"/>
        <w:ind w:hanging="283" w:start="709"/>
        <w:jc w:val="start"/>
        <w:rPr/>
      </w:pPr>
      <w:sdt>
        <w:sdtPr>
          <w:id w:val="1368020005"/>
          <w14:checkbox>
            <w14:checked w14:val="0"/>
            <w14:checkedState w14:val="2612"/>
            <w14:uncheckedState w14:val="2610"/>
          </w14:checkbox>
        </w:sdtPr>
        <w:sdtContent>
          <w:r>
            <w:rPr/>
          </w:r>
          <w:r>
            <w:rPr/>
            <w:t>☐</w:t>
          </w:r>
        </w:sdtContent>
      </w:sdt>
      <w:r>
        <w:rPr/>
        <w:t xml:space="preserve"> </w:t>
      </w:r>
      <w:r>
        <w:rPr/>
        <w:t>Does it meet ALL my predetermined fundamental + technical criteria (profitable, low debt, undervalued, uptrend)?</w:t>
      </w:r>
    </w:p>
    <w:p>
      <w:pPr>
        <w:pStyle w:val="BodyText"/>
        <w:numPr>
          <w:ilvl w:val="0"/>
          <w:numId w:val="601"/>
        </w:numPr>
        <w:tabs>
          <w:tab w:val="clear" w:pos="709"/>
          <w:tab w:val="left" w:pos="709" w:leader="none"/>
        </w:tabs>
        <w:bidi w:val="0"/>
        <w:ind w:hanging="283" w:start="709"/>
        <w:jc w:val="start"/>
        <w:rPr/>
      </w:pPr>
      <w:sdt>
        <w:sdtPr>
          <w:id w:val="104042690"/>
          <w14:checkbox>
            <w14:checked w14:val="0"/>
            <w14:checkedState w14:val="2612"/>
            <w14:uncheckedState w14:val="2610"/>
          </w14:checkbox>
        </w:sdtPr>
        <w:sdtContent>
          <w:r>
            <w:rPr/>
          </w:r>
          <w:r>
            <w:rPr/>
            <w:t>☐</w:t>
          </w:r>
        </w:sdtContent>
      </w:sdt>
      <w:r>
        <w:rPr/>
        <w:t xml:space="preserve"> </w:t>
      </w:r>
      <w:r>
        <w:rPr/>
        <w:t>Am I buying because of FOMO, a rumor, or someone else's opinion? (If yes — stop.)</w:t>
      </w:r>
    </w:p>
    <w:p>
      <w:pPr>
        <w:pStyle w:val="BodyText"/>
        <w:numPr>
          <w:ilvl w:val="0"/>
          <w:numId w:val="601"/>
        </w:numPr>
        <w:tabs>
          <w:tab w:val="clear" w:pos="709"/>
          <w:tab w:val="left" w:pos="709" w:leader="none"/>
        </w:tabs>
        <w:bidi w:val="0"/>
        <w:ind w:hanging="283" w:start="709"/>
        <w:jc w:val="start"/>
        <w:rPr/>
      </w:pPr>
      <w:sdt>
        <w:sdtPr>
          <w:id w:val="903538720"/>
          <w14:checkbox>
            <w14:checked w14:val="0"/>
            <w14:checkedState w14:val="2612"/>
            <w14:uncheckedState w14:val="2610"/>
          </w14:checkbox>
        </w:sdtPr>
        <w:sdtContent>
          <w:r>
            <w:rPr/>
          </w:r>
          <w:r>
            <w:rPr/>
            <w:t>☐</w:t>
          </w:r>
        </w:sdtContent>
      </w:sdt>
      <w:r>
        <w:rPr/>
        <w:t xml:space="preserve"> </w:t>
      </w:r>
      <w:r>
        <w:rPr/>
        <w:t>Is the crowd euphoric right now? (If yes, be cautious; don't chase.)</w:t>
      </w:r>
    </w:p>
    <w:p>
      <w:pPr>
        <w:pStyle w:val="BodyText"/>
        <w:numPr>
          <w:ilvl w:val="0"/>
          <w:numId w:val="601"/>
        </w:numPr>
        <w:tabs>
          <w:tab w:val="clear" w:pos="709"/>
          <w:tab w:val="left" w:pos="709" w:leader="none"/>
        </w:tabs>
        <w:bidi w:val="0"/>
        <w:ind w:hanging="283" w:start="709"/>
        <w:jc w:val="start"/>
        <w:rPr/>
      </w:pPr>
      <w:sdt>
        <w:sdtPr>
          <w:id w:val="268979097"/>
          <w14:checkbox>
            <w14:checked w14:val="0"/>
            <w14:checkedState w14:val="2612"/>
            <w14:uncheckedState w14:val="2610"/>
          </w14:checkbox>
        </w:sdtPr>
        <w:sdtContent>
          <w:r>
            <w:rPr/>
          </w:r>
          <w:r>
            <w:rPr/>
            <w:t>☐</w:t>
          </w:r>
        </w:sdtContent>
      </w:sdt>
      <w:r>
        <w:rPr/>
        <w:t xml:space="preserve"> </w:t>
      </w:r>
      <w:r>
        <w:rPr/>
        <w:t>Is the crowd fearful/panicked right now with "worst day" headlines? (If yes, that's often a buying window.)</w:t>
      </w:r>
    </w:p>
    <w:p>
      <w:pPr>
        <w:pStyle w:val="BodyText"/>
        <w:numPr>
          <w:ilvl w:val="0"/>
          <w:numId w:val="601"/>
        </w:numPr>
        <w:tabs>
          <w:tab w:val="clear" w:pos="709"/>
          <w:tab w:val="left" w:pos="709" w:leader="none"/>
        </w:tabs>
        <w:bidi w:val="0"/>
        <w:ind w:hanging="283" w:start="709"/>
        <w:jc w:val="start"/>
        <w:rPr/>
      </w:pPr>
      <w:sdt>
        <w:sdtPr>
          <w:id w:val="641572162"/>
          <w14:checkbox>
            <w14:checked w14:val="0"/>
            <w14:checkedState w14:val="2612"/>
            <w14:uncheckedState w14:val="2610"/>
          </w14:checkbox>
        </w:sdtPr>
        <w:sdtContent>
          <w:r>
            <w:rPr/>
          </w:r>
          <w:r>
            <w:rPr/>
            <w:t>☐</w:t>
          </w:r>
        </w:sdtContent>
      </w:sdt>
      <w:r>
        <w:rPr/>
        <w:t xml:space="preserve"> </w:t>
      </w:r>
      <w:r>
        <w:rPr/>
        <w:t>Am I buying in tranches, not all at once?</w:t>
      </w:r>
    </w:p>
    <w:p>
      <w:pPr>
        <w:pStyle w:val="BodyText"/>
        <w:numPr>
          <w:ilvl w:val="0"/>
          <w:numId w:val="601"/>
        </w:numPr>
        <w:tabs>
          <w:tab w:val="clear" w:pos="709"/>
          <w:tab w:val="left" w:pos="709" w:leader="none"/>
        </w:tabs>
        <w:bidi w:val="0"/>
        <w:ind w:hanging="283" w:start="709"/>
        <w:jc w:val="start"/>
        <w:rPr/>
      </w:pPr>
      <w:sdt>
        <w:sdtPr>
          <w:id w:val="1194000925"/>
          <w14:checkbox>
            <w14:checked w14:val="0"/>
            <w14:checkedState w14:val="2612"/>
            <w14:uncheckedState w14:val="2610"/>
          </w14:checkbox>
        </w:sdtPr>
        <w:sdtContent>
          <w:r>
            <w:rPr/>
          </w:r>
          <w:r>
            <w:rPr/>
            <w:t>☐</w:t>
          </w:r>
        </w:sdtContent>
      </w:sdt>
      <w:r>
        <w:rPr/>
        <w:t xml:space="preserve"> </w:t>
      </w:r>
      <w:r>
        <w:rPr/>
        <w:t>Have I sized this position so no single stock is more than ~5–10% of my portfolio, with at least 8 (ideally 20–30) holdings?</w:t>
      </w:r>
    </w:p>
    <w:p>
      <w:pPr>
        <w:pStyle w:val="BodyText"/>
        <w:numPr>
          <w:ilvl w:val="0"/>
          <w:numId w:val="601"/>
        </w:numPr>
        <w:tabs>
          <w:tab w:val="clear" w:pos="709"/>
          <w:tab w:val="left" w:pos="709" w:leader="none"/>
        </w:tabs>
        <w:bidi w:val="0"/>
        <w:ind w:hanging="283" w:start="709"/>
        <w:jc w:val="start"/>
        <w:rPr/>
      </w:pPr>
      <w:sdt>
        <w:sdtPr>
          <w:id w:val="414636218"/>
          <w14:checkbox>
            <w14:checked w14:val="0"/>
            <w14:checkedState w14:val="2612"/>
            <w14:uncheckedState w14:val="2610"/>
          </w14:checkbox>
        </w:sdtPr>
        <w:sdtContent>
          <w:r>
            <w:rPr/>
          </w:r>
          <w:r>
            <w:rPr/>
            <w:t>☐</w:t>
          </w:r>
        </w:sdtContent>
      </w:sdt>
      <w:r>
        <w:rPr/>
        <w:t xml:space="preserve"> </w:t>
      </w:r>
      <w:r>
        <w:rPr/>
        <w:t>Have I asked "how much can I lose?" before asking "how much can I make?"</w:t>
      </w:r>
    </w:p>
    <w:p>
      <w:pPr>
        <w:pStyle w:val="BodyText"/>
        <w:bidi w:val="0"/>
        <w:jc w:val="start"/>
        <w:rPr/>
      </w:pPr>
      <w:r>
        <w:rPr/>
        <w:t>While holding:</w:t>
      </w:r>
    </w:p>
    <w:p>
      <w:pPr>
        <w:pStyle w:val="BodyText"/>
        <w:numPr>
          <w:ilvl w:val="0"/>
          <w:numId w:val="602"/>
        </w:numPr>
        <w:tabs>
          <w:tab w:val="clear" w:pos="709"/>
          <w:tab w:val="left" w:pos="709" w:leader="none"/>
        </w:tabs>
        <w:bidi w:val="0"/>
        <w:ind w:hanging="283" w:start="709"/>
        <w:jc w:val="start"/>
        <w:rPr/>
      </w:pPr>
      <w:sdt>
        <w:sdtPr>
          <w:id w:val="526973547"/>
          <w14:checkbox>
            <w14:checked w14:val="0"/>
            <w14:checkedState w14:val="2612"/>
            <w14:uncheckedState w14:val="2610"/>
          </w14:checkbox>
        </w:sdtPr>
        <w:sdtContent>
          <w:r>
            <w:rPr/>
          </w:r>
          <w:r>
            <w:rPr/>
            <w:t>☐</w:t>
          </w:r>
        </w:sdtContent>
      </w:sdt>
      <w:r>
        <w:rPr/>
        <w:t xml:space="preserve"> </w:t>
      </w:r>
      <w:r>
        <w:rPr/>
        <w:t>If the price has dropped, has the underlying BUSINESS changed — or is this just short-term price noise? (Only the former is a "mistake.")</w:t>
      </w:r>
    </w:p>
    <w:p>
      <w:pPr>
        <w:pStyle w:val="BodyText"/>
        <w:numPr>
          <w:ilvl w:val="0"/>
          <w:numId w:val="602"/>
        </w:numPr>
        <w:tabs>
          <w:tab w:val="clear" w:pos="709"/>
          <w:tab w:val="left" w:pos="709" w:leader="none"/>
        </w:tabs>
        <w:bidi w:val="0"/>
        <w:ind w:hanging="283" w:start="709"/>
        <w:jc w:val="start"/>
        <w:rPr/>
      </w:pPr>
      <w:sdt>
        <w:sdtPr>
          <w:id w:val="1457496051"/>
          <w14:checkbox>
            <w14:checked w14:val="0"/>
            <w14:checkedState w14:val="2612"/>
            <w14:uncheckedState w14:val="2610"/>
          </w14:checkbox>
        </w:sdtPr>
        <w:sdtContent>
          <w:r>
            <w:rPr/>
          </w:r>
          <w:r>
            <w:rPr/>
            <w:t>☐</w:t>
          </w:r>
        </w:sdtContent>
      </w:sdt>
      <w:r>
        <w:rPr/>
        <w:t xml:space="preserve"> </w:t>
      </w:r>
      <w:r>
        <w:rPr/>
        <w:t>Am I ignoring today's macroeconomic/geopolitical headlines when making buy/sell decisions?</w:t>
      </w:r>
    </w:p>
    <w:p>
      <w:pPr>
        <w:pStyle w:val="BodyText"/>
        <w:numPr>
          <w:ilvl w:val="0"/>
          <w:numId w:val="602"/>
        </w:numPr>
        <w:tabs>
          <w:tab w:val="clear" w:pos="709"/>
          <w:tab w:val="left" w:pos="709" w:leader="none"/>
        </w:tabs>
        <w:bidi w:val="0"/>
        <w:ind w:hanging="283" w:start="709"/>
        <w:jc w:val="start"/>
        <w:rPr/>
      </w:pPr>
      <w:sdt>
        <w:sdtPr>
          <w:id w:val="1389291801"/>
          <w14:checkbox>
            <w14:checked w14:val="0"/>
            <w14:checkedState w14:val="2612"/>
            <w14:uncheckedState w14:val="2610"/>
          </w14:checkbox>
        </w:sdtPr>
        <w:sdtContent>
          <w:r>
            <w:rPr/>
          </w:r>
          <w:r>
            <w:rPr/>
            <w:t>☐</w:t>
          </w:r>
        </w:sdtContent>
      </w:sdt>
      <w:r>
        <w:rPr/>
        <w:t xml:space="preserve"> </w:t>
      </w:r>
      <w:r>
        <w:rPr/>
        <w:t>Am I ignoring market forecasts and predictions from analysts, banks, and media?</w:t>
      </w:r>
    </w:p>
    <w:p>
      <w:pPr>
        <w:pStyle w:val="BodyText"/>
        <w:numPr>
          <w:ilvl w:val="0"/>
          <w:numId w:val="602"/>
        </w:numPr>
        <w:tabs>
          <w:tab w:val="clear" w:pos="709"/>
          <w:tab w:val="left" w:pos="709" w:leader="none"/>
        </w:tabs>
        <w:bidi w:val="0"/>
        <w:ind w:hanging="283" w:start="709"/>
        <w:jc w:val="start"/>
        <w:rPr/>
      </w:pPr>
      <w:sdt>
        <w:sdtPr>
          <w:id w:val="53375636"/>
          <w14:checkbox>
            <w14:checked w14:val="0"/>
            <w14:checkedState w14:val="2612"/>
            <w14:uncheckedState w14:val="2610"/>
          </w14:checkbox>
        </w:sdtPr>
        <w:sdtContent>
          <w:r>
            <w:rPr/>
          </w:r>
          <w:r>
            <w:rPr/>
            <w:t>☐</w:t>
          </w:r>
        </w:sdtContent>
      </w:sdt>
      <w:r>
        <w:rPr/>
        <w:t xml:space="preserve"> </w:t>
      </w:r>
      <w:r>
        <w:rPr/>
        <w:t>Am I resisting the urge to sell a great company just because it's "up 20%" and I want to lock in quick profits?</w:t>
      </w:r>
    </w:p>
    <w:p>
      <w:pPr>
        <w:pStyle w:val="BodyText"/>
        <w:numPr>
          <w:ilvl w:val="0"/>
          <w:numId w:val="602"/>
        </w:numPr>
        <w:tabs>
          <w:tab w:val="clear" w:pos="709"/>
          <w:tab w:val="left" w:pos="709" w:leader="none"/>
        </w:tabs>
        <w:bidi w:val="0"/>
        <w:ind w:hanging="283" w:start="709"/>
        <w:jc w:val="start"/>
        <w:rPr/>
      </w:pPr>
      <w:sdt>
        <w:sdtPr>
          <w:id w:val="275260809"/>
          <w14:checkbox>
            <w14:checked w14:val="0"/>
            <w14:checkedState w14:val="2612"/>
            <w14:uncheckedState w14:val="2610"/>
          </w14:checkbox>
        </w:sdtPr>
        <w:sdtContent>
          <w:r>
            <w:rPr/>
          </w:r>
          <w:r>
            <w:rPr/>
            <w:t>☐</w:t>
          </w:r>
        </w:sdtContent>
      </w:sdt>
      <w:r>
        <w:rPr/>
        <w:t xml:space="preserve"> </w:t>
      </w:r>
      <w:r>
        <w:rPr/>
        <w:t>If a great holding drops temporarily, am I treating it as a chance to add shares rather than a reason to panic?</w:t>
      </w:r>
    </w:p>
    <w:p>
      <w:pPr>
        <w:pStyle w:val="BodyText"/>
        <w:bidi w:val="0"/>
        <w:jc w:val="start"/>
        <w:rPr/>
      </w:pPr>
      <w:r>
        <w:rPr/>
        <w:t>Before selling:</w:t>
      </w:r>
    </w:p>
    <w:p>
      <w:pPr>
        <w:pStyle w:val="BodyText"/>
        <w:numPr>
          <w:ilvl w:val="0"/>
          <w:numId w:val="603"/>
        </w:numPr>
        <w:tabs>
          <w:tab w:val="clear" w:pos="709"/>
          <w:tab w:val="left" w:pos="709" w:leader="none"/>
        </w:tabs>
        <w:bidi w:val="0"/>
        <w:ind w:hanging="283" w:start="709"/>
        <w:jc w:val="start"/>
        <w:rPr/>
      </w:pPr>
      <w:sdt>
        <w:sdtPr>
          <w:id w:val="1873708012"/>
          <w14:checkbox>
            <w14:checked w14:val="0"/>
            <w14:checkedState w14:val="2612"/>
            <w14:uncheckedState w14:val="2610"/>
          </w14:checkbox>
        </w:sdtPr>
        <w:sdtContent>
          <w:r>
            <w:rPr/>
          </w:r>
          <w:r>
            <w:rPr/>
            <w:t>☐</w:t>
          </w:r>
        </w:sdtContent>
      </w:sdt>
      <w:r>
        <w:rPr/>
        <w:t xml:space="preserve"> </w:t>
      </w:r>
      <w:r>
        <w:rPr/>
        <w:t>Am I selling because the business fundamentals genuinely deteriorated / it failed a criterion — or because of price movement, macro news, or emotion?</w:t>
      </w:r>
    </w:p>
    <w:p>
      <w:pPr>
        <w:pStyle w:val="BodyText"/>
        <w:numPr>
          <w:ilvl w:val="0"/>
          <w:numId w:val="603"/>
        </w:numPr>
        <w:tabs>
          <w:tab w:val="clear" w:pos="709"/>
          <w:tab w:val="left" w:pos="709" w:leader="none"/>
        </w:tabs>
        <w:bidi w:val="0"/>
        <w:ind w:hanging="283" w:start="709"/>
        <w:jc w:val="start"/>
        <w:rPr/>
      </w:pPr>
      <w:sdt>
        <w:sdtPr>
          <w:id w:val="1614944861"/>
          <w14:checkbox>
            <w14:checked w14:val="0"/>
            <w14:checkedState w14:val="2612"/>
            <w14:uncheckedState w14:val="2610"/>
          </w14:checkbox>
        </w:sdtPr>
        <w:sdtContent>
          <w:r>
            <w:rPr/>
          </w:r>
          <w:r>
            <w:rPr/>
            <w:t>☐</w:t>
          </w:r>
        </w:sdtContent>
      </w:sdt>
      <w:r>
        <w:rPr/>
        <w:t xml:space="preserve"> </w:t>
      </w:r>
      <w:r>
        <w:rPr/>
        <w:t>If it IS a genuine mistake, am I selling immediately (win, lose, or draw) rather than "hoping it comes back"?</w:t>
      </w:r>
    </w:p>
    <w:p>
      <w:pPr>
        <w:pStyle w:val="BodyText"/>
        <w:numPr>
          <w:ilvl w:val="0"/>
          <w:numId w:val="603"/>
        </w:numPr>
        <w:tabs>
          <w:tab w:val="clear" w:pos="709"/>
          <w:tab w:val="left" w:pos="709" w:leader="none"/>
        </w:tabs>
        <w:bidi w:val="0"/>
        <w:ind w:hanging="283" w:start="709"/>
        <w:jc w:val="start"/>
        <w:rPr/>
      </w:pPr>
      <w:sdt>
        <w:sdtPr>
          <w:id w:val="57543063"/>
          <w14:checkbox>
            <w14:checked w14:val="0"/>
            <w14:checkedState w14:val="2612"/>
            <w14:uncheckedState w14:val="2610"/>
          </w14:checkbox>
        </w:sdtPr>
        <w:sdtContent>
          <w:r>
            <w:rPr/>
          </w:r>
          <w:r>
            <w:rPr/>
            <w:t>☐</w:t>
          </w:r>
        </w:sdtContent>
      </w:sdt>
      <w:r>
        <w:rPr/>
        <w:t xml:space="preserve"> </w:t>
      </w:r>
      <w:r>
        <w:rPr/>
        <w:t>Am I emotionally attached to this stock in a way that's clouding judgment? ("The stock doesn't know who you are.")</w:t>
      </w:r>
    </w:p>
    <w:p>
      <w:pPr>
        <w:pStyle w:val="BodyText"/>
        <w:bidi w:val="0"/>
        <w:jc w:val="start"/>
        <w:rPr/>
      </w:pPr>
      <w:r>
        <w:rPr/>
        <w:t>After a loss or mistake:</w:t>
      </w:r>
    </w:p>
    <w:p>
      <w:pPr>
        <w:pStyle w:val="BodyText"/>
        <w:numPr>
          <w:ilvl w:val="0"/>
          <w:numId w:val="604"/>
        </w:numPr>
        <w:tabs>
          <w:tab w:val="clear" w:pos="709"/>
          <w:tab w:val="left" w:pos="709" w:leader="none"/>
        </w:tabs>
        <w:bidi w:val="0"/>
        <w:ind w:hanging="283" w:start="709"/>
        <w:jc w:val="start"/>
        <w:rPr/>
      </w:pPr>
      <w:sdt>
        <w:sdtPr>
          <w:id w:val="1187788124"/>
          <w14:checkbox>
            <w14:checked w14:val="0"/>
            <w14:checkedState w14:val="2612"/>
            <w14:uncheckedState w14:val="2610"/>
          </w14:checkbox>
        </w:sdtPr>
        <w:sdtContent>
          <w:r>
            <w:rPr/>
          </w:r>
          <w:r>
            <w:rPr/>
            <w:t>☐</w:t>
          </w:r>
        </w:sdtContent>
      </w:sdt>
      <w:r>
        <w:rPr/>
        <w:t xml:space="preserve"> </w:t>
      </w:r>
      <w:r>
        <w:rPr/>
        <w:t>Am I taking full responsibility instead of blaming the market, broker, or anyone else?</w:t>
      </w:r>
    </w:p>
    <w:p>
      <w:pPr>
        <w:pStyle w:val="BodyText"/>
        <w:numPr>
          <w:ilvl w:val="0"/>
          <w:numId w:val="604"/>
        </w:numPr>
        <w:tabs>
          <w:tab w:val="clear" w:pos="709"/>
          <w:tab w:val="left" w:pos="709" w:leader="none"/>
        </w:tabs>
        <w:bidi w:val="0"/>
        <w:ind w:hanging="283" w:start="709"/>
        <w:jc w:val="start"/>
        <w:rPr/>
      </w:pPr>
      <w:sdt>
        <w:sdtPr>
          <w:id w:val="2021274041"/>
          <w14:checkbox>
            <w14:checked w14:val="0"/>
            <w14:checkedState w14:val="2612"/>
            <w14:uncheckedState w14:val="2610"/>
          </w14:checkbox>
        </w:sdtPr>
        <w:sdtContent>
          <w:r>
            <w:rPr/>
          </w:r>
          <w:r>
            <w:rPr/>
            <w:t>☐</w:t>
          </w:r>
        </w:sdtContent>
      </w:sdt>
      <w:r>
        <w:rPr/>
        <w:t xml:space="preserve"> </w:t>
      </w:r>
      <w:r>
        <w:rPr/>
        <w:t>Am I extracting the specific lesson (which rule/criterion did I skip or violate)?</w:t>
      </w:r>
    </w:p>
    <w:p>
      <w:pPr>
        <w:pStyle w:val="BodyText"/>
        <w:numPr>
          <w:ilvl w:val="0"/>
          <w:numId w:val="604"/>
        </w:numPr>
        <w:tabs>
          <w:tab w:val="clear" w:pos="709"/>
          <w:tab w:val="left" w:pos="709" w:leader="none"/>
        </w:tabs>
        <w:bidi w:val="0"/>
        <w:ind w:hanging="283" w:start="709"/>
        <w:jc w:val="start"/>
        <w:rPr/>
      </w:pPr>
      <w:sdt>
        <w:sdtPr>
          <w:id w:val="877078966"/>
          <w14:checkbox>
            <w14:checked w14:val="0"/>
            <w14:checkedState w14:val="2612"/>
            <w14:uncheckedState w14:val="2610"/>
          </w14:checkbox>
        </w:sdtPr>
        <w:sdtContent>
          <w:r>
            <w:rPr/>
          </w:r>
          <w:r>
            <w:rPr/>
            <w:t>☐</w:t>
          </w:r>
        </w:sdtContent>
      </w:sdt>
      <w:r>
        <w:rPr/>
        <w:t xml:space="preserve"> </w:t>
      </w:r>
      <w:r>
        <w:rPr/>
        <w:t>Am I reinvesting the recovered capital into a great business rather than staying in a lousy one?</w:t>
      </w:r>
    </w:p>
    <w:p>
      <w:pPr>
        <w:pStyle w:val="BodyText"/>
        <w:bidi w:val="0"/>
        <w:jc w:val="start"/>
        <w:rPr/>
      </w:pPr>
      <w:r>
        <w:rPr/>
        <w:t>General discipline maintenance:</w:t>
      </w:r>
    </w:p>
    <w:p>
      <w:pPr>
        <w:pStyle w:val="BodyText"/>
        <w:numPr>
          <w:ilvl w:val="0"/>
          <w:numId w:val="605"/>
        </w:numPr>
        <w:tabs>
          <w:tab w:val="clear" w:pos="709"/>
          <w:tab w:val="left" w:pos="709" w:leader="none"/>
        </w:tabs>
        <w:bidi w:val="0"/>
        <w:ind w:hanging="283" w:start="709"/>
        <w:jc w:val="start"/>
        <w:rPr/>
      </w:pPr>
      <w:sdt>
        <w:sdtPr>
          <w:id w:val="147748135"/>
          <w14:checkbox>
            <w14:checked w14:val="0"/>
            <w14:checkedState w14:val="2612"/>
            <w14:uncheckedState w14:val="2610"/>
          </w14:checkbox>
        </w:sdtPr>
        <w:sdtContent>
          <w:r>
            <w:rPr/>
          </w:r>
          <w:r>
            <w:rPr/>
            <w:t>☐</w:t>
          </w:r>
        </w:sdtContent>
      </w:sdt>
      <w:r>
        <w:rPr/>
        <w:t xml:space="preserve"> </w:t>
      </w:r>
      <w:r>
        <w:rPr/>
        <w:t>Am I thinking and feeling opposite of the crowd (fearful when greedy, greedy when fearful)?</w:t>
      </w:r>
    </w:p>
    <w:p>
      <w:pPr>
        <w:pStyle w:val="BodyText"/>
        <w:numPr>
          <w:ilvl w:val="0"/>
          <w:numId w:val="605"/>
        </w:numPr>
        <w:tabs>
          <w:tab w:val="clear" w:pos="709"/>
          <w:tab w:val="left" w:pos="709" w:leader="none"/>
        </w:tabs>
        <w:bidi w:val="0"/>
        <w:ind w:hanging="283" w:start="709"/>
        <w:jc w:val="start"/>
        <w:rPr/>
      </w:pPr>
      <w:sdt>
        <w:sdtPr>
          <w:id w:val="2016718218"/>
          <w14:checkbox>
            <w14:checked w14:val="0"/>
            <w14:checkedState w14:val="2612"/>
            <w14:uncheckedState w14:val="2610"/>
          </w14:checkbox>
        </w:sdtPr>
        <w:sdtContent>
          <w:r>
            <w:rPr/>
          </w:r>
          <w:r>
            <w:rPr/>
            <w:t>☐</w:t>
          </w:r>
        </w:sdtContent>
      </w:sdt>
      <w:r>
        <w:rPr/>
        <w:t xml:space="preserve"> </w:t>
      </w:r>
      <w:r>
        <w:rPr/>
        <w:t>Am I thinking in years/decades, not days/months?</w:t>
      </w:r>
    </w:p>
    <w:p>
      <w:pPr>
        <w:pStyle w:val="BodyText"/>
        <w:numPr>
          <w:ilvl w:val="0"/>
          <w:numId w:val="605"/>
        </w:numPr>
        <w:tabs>
          <w:tab w:val="clear" w:pos="709"/>
          <w:tab w:val="left" w:pos="709" w:leader="none"/>
        </w:tabs>
        <w:bidi w:val="0"/>
        <w:ind w:hanging="283" w:start="709"/>
        <w:jc w:val="start"/>
        <w:rPr/>
      </w:pPr>
      <w:sdt>
        <w:sdtPr>
          <w:id w:val="1889838156"/>
          <w14:checkbox>
            <w14:checked w14:val="0"/>
            <w14:checkedState w14:val="2612"/>
            <w14:uncheckedState w14:val="2610"/>
          </w14:checkbox>
        </w:sdtPr>
        <w:sdtContent>
          <w:r>
            <w:rPr/>
          </w:r>
          <w:r>
            <w:rPr/>
            <w:t>☐</w:t>
          </w:r>
        </w:sdtContent>
      </w:sdt>
      <w:r>
        <w:rPr/>
        <w:t xml:space="preserve"> </w:t>
      </w:r>
      <w:r>
        <w:rPr/>
        <w:t>Am I keeping an investment journal and portfolio tracker?</w:t>
      </w:r>
    </w:p>
    <w:p>
      <w:pPr>
        <w:pStyle w:val="BodyText"/>
        <w:numPr>
          <w:ilvl w:val="0"/>
          <w:numId w:val="605"/>
        </w:numPr>
        <w:tabs>
          <w:tab w:val="clear" w:pos="709"/>
          <w:tab w:val="left" w:pos="709" w:leader="none"/>
        </w:tabs>
        <w:bidi w:val="0"/>
        <w:ind w:hanging="283" w:start="709"/>
        <w:jc w:val="start"/>
        <w:rPr/>
      </w:pPr>
      <w:sdt>
        <w:sdtPr>
          <w:id w:val="1839664179"/>
          <w14:checkbox>
            <w14:checked w14:val="0"/>
            <w14:checkedState w14:val="2612"/>
            <w14:uncheckedState w14:val="2610"/>
          </w14:checkbox>
        </w:sdtPr>
        <w:sdtContent>
          <w:r>
            <w:rPr/>
          </w:r>
          <w:r>
            <w:rPr/>
            <w:t>☐</w:t>
          </w:r>
        </w:sdtContent>
      </w:sdt>
      <w:r>
        <w:rPr/>
        <w:t xml:space="preserve"> </w:t>
      </w:r>
      <w:r>
        <w:rPr/>
        <w:t>Am I limiting my "activity" — resisting the urge to trade frequently?</w:t>
      </w:r>
    </w:p>
    <w:p>
      <w:pPr>
        <w:pStyle w:val="BodyText"/>
        <w:numPr>
          <w:ilvl w:val="0"/>
          <w:numId w:val="605"/>
        </w:numPr>
        <w:tabs>
          <w:tab w:val="clear" w:pos="709"/>
          <w:tab w:val="left" w:pos="709" w:leader="none"/>
        </w:tabs>
        <w:bidi w:val="0"/>
        <w:ind w:hanging="283" w:start="709"/>
        <w:jc w:val="start"/>
        <w:rPr/>
      </w:pPr>
      <w:sdt>
        <w:sdtPr>
          <w:id w:val="579173784"/>
          <w14:checkbox>
            <w14:checked w14:val="0"/>
            <w14:checkedState w14:val="2612"/>
            <w14:uncheckedState w14:val="2610"/>
          </w14:checkbox>
        </w:sdtPr>
        <w:sdtContent>
          <w:r>
            <w:rPr/>
          </w:r>
          <w:r>
            <w:rPr/>
            <w:t>☐</w:t>
          </w:r>
        </w:sdtContent>
      </w:sdt>
      <w:r>
        <w:rPr/>
        <w:t xml:space="preserve"> </w:t>
      </w:r>
      <w:r>
        <w:rPr/>
        <w:t>Am I re-reading these 10 rules regularly to keep them front of mind?</w:t>
      </w:r>
    </w:p>
    <w:p>
      <w:pPr>
        <w:pStyle w:val="HorizontalLine"/>
        <w:bidi w:val="0"/>
        <w:jc w:val="start"/>
        <w:rPr/>
      </w:pPr>
      <w:r>
        <w:rPr/>
      </w:r>
    </w:p>
    <w:p>
      <w:pPr>
        <w:pStyle w:val="Heading1"/>
        <w:bidi w:val="0"/>
        <w:ind w:hanging="0" w:start="0"/>
        <w:jc w:val="start"/>
        <w:rPr/>
      </w:pPr>
      <w:r>
        <w:rPr/>
        <w:t>Appendix — Source Video Index</w:t>
      </w:r>
    </w:p>
    <w:p>
      <w:pPr>
        <w:pStyle w:val="BodyText"/>
        <w:bidi w:val="0"/>
        <w:jc w:val="start"/>
        <w:rPr/>
      </w:pPr>
      <w:r>
        <w:rPr/>
        <w:t>All 55 videos in this folder, in course order (23h 7m total runtime). Every one was transcribed and incorporated into the notes above.</w:t>
      </w:r>
    </w:p>
    <w:tbl>
      <w:tblPr>
        <w:tblW w:w="5000" w:type="pct"/>
        <w:jc w:val="start"/>
        <w:tblInd w:w="-5" w:type="dxa"/>
        <w:tblLayout w:type="fixed"/>
        <w:tblCellMar>
          <w:top w:w="55" w:type="dxa"/>
          <w:start w:w="55" w:type="dxa"/>
          <w:bottom w:w="55" w:type="dxa"/>
          <w:end w:w="55" w:type="dxa"/>
        </w:tblCellMar>
      </w:tblPr>
      <w:tblGrid>
        <w:gridCol w:w="3212"/>
        <w:gridCol w:w="3213"/>
        <w:gridCol w:w="3213"/>
      </w:tblGrid>
      <w:tr>
        <w:trPr>
          <w:tblHeader w:val="true"/>
        </w:trPr>
        <w:tc>
          <w:tcPr>
            <w:tcW w:w="3212" w:type="dxa"/>
            <w:tcBorders>
              <w:top w:val="single" w:sz="4" w:space="0" w:color="000000"/>
              <w:start w:val="single" w:sz="4" w:space="0" w:color="000000"/>
              <w:bottom w:val="single" w:sz="4" w:space="0" w:color="000000"/>
            </w:tcBorders>
          </w:tcPr>
          <w:p>
            <w:pPr>
              <w:pStyle w:val="TableHeading"/>
              <w:bidi w:val="0"/>
              <w:jc w:val="start"/>
              <w:rPr/>
            </w:pPr>
            <w:r>
              <w:rPr/>
              <w:t>#</w:t>
            </w:r>
          </w:p>
        </w:tc>
        <w:tc>
          <w:tcPr>
            <w:tcW w:w="3213" w:type="dxa"/>
            <w:tcBorders>
              <w:top w:val="single" w:sz="4" w:space="0" w:color="000000"/>
              <w:start w:val="single" w:sz="4" w:space="0" w:color="000000"/>
              <w:bottom w:val="single" w:sz="4" w:space="0" w:color="000000"/>
            </w:tcBorders>
          </w:tcPr>
          <w:p>
            <w:pPr>
              <w:pStyle w:val="TableHeading"/>
              <w:bidi w:val="0"/>
              <w:jc w:val="start"/>
              <w:rPr/>
            </w:pPr>
            <w:r>
              <w:rPr/>
              <w:t>Lesson Video</w:t>
            </w:r>
          </w:p>
        </w:tc>
        <w:tc>
          <w:tcPr>
            <w:tcW w:w="3213"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Duration</w:t>
            </w:r>
          </w:p>
        </w:tc>
      </w:tr>
      <w:tr>
        <w:trPr/>
        <w:tc>
          <w:tcPr>
            <w:tcW w:w="3212" w:type="dxa"/>
            <w:tcBorders>
              <w:start w:val="single" w:sz="4" w:space="0" w:color="000000"/>
              <w:bottom w:val="single" w:sz="4" w:space="0" w:color="000000"/>
            </w:tcBorders>
          </w:tcPr>
          <w:p>
            <w:pPr>
              <w:pStyle w:val="TableContents"/>
              <w:bidi w:val="0"/>
              <w:jc w:val="start"/>
              <w:rPr/>
            </w:pPr>
            <w:r>
              <w:rPr/>
              <w:t>1</w:t>
            </w:r>
          </w:p>
        </w:tc>
        <w:tc>
          <w:tcPr>
            <w:tcW w:w="3213" w:type="dxa"/>
            <w:tcBorders>
              <w:start w:val="single" w:sz="4" w:space="0" w:color="000000"/>
              <w:bottom w:val="single" w:sz="4" w:space="0" w:color="000000"/>
            </w:tcBorders>
          </w:tcPr>
          <w:p>
            <w:pPr>
              <w:pStyle w:val="TableContents"/>
              <w:bidi w:val="0"/>
              <w:jc w:val="start"/>
              <w:rPr/>
            </w:pPr>
            <w:r>
              <w:rPr/>
              <w:t>06 - VMI Course Introduction (Must Watch) 2025</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11:24</w:t>
            </w:r>
          </w:p>
        </w:tc>
      </w:tr>
      <w:tr>
        <w:trPr/>
        <w:tc>
          <w:tcPr>
            <w:tcW w:w="3212" w:type="dxa"/>
            <w:tcBorders>
              <w:start w:val="single" w:sz="4" w:space="0" w:color="000000"/>
              <w:bottom w:val="single" w:sz="4" w:space="0" w:color="000000"/>
            </w:tcBorders>
          </w:tcPr>
          <w:p>
            <w:pPr>
              <w:pStyle w:val="TableContents"/>
              <w:bidi w:val="0"/>
              <w:jc w:val="start"/>
              <w:rPr/>
            </w:pPr>
            <w:r>
              <w:rPr/>
              <w:t>2</w:t>
            </w:r>
          </w:p>
        </w:tc>
        <w:tc>
          <w:tcPr>
            <w:tcW w:w="3213" w:type="dxa"/>
            <w:tcBorders>
              <w:start w:val="single" w:sz="4" w:space="0" w:color="000000"/>
              <w:bottom w:val="single" w:sz="4" w:space="0" w:color="000000"/>
            </w:tcBorders>
          </w:tcPr>
          <w:p>
            <w:pPr>
              <w:pStyle w:val="TableContents"/>
              <w:bidi w:val="0"/>
              <w:jc w:val="start"/>
              <w:rPr/>
            </w:pPr>
            <w:r>
              <w:rPr/>
              <w:t>07 - Stock Basics 2025 Part 1 (Parts of a Business)</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28:25</w:t>
            </w:r>
          </w:p>
        </w:tc>
      </w:tr>
      <w:tr>
        <w:trPr/>
        <w:tc>
          <w:tcPr>
            <w:tcW w:w="3212" w:type="dxa"/>
            <w:tcBorders>
              <w:start w:val="single" w:sz="4" w:space="0" w:color="000000"/>
              <w:bottom w:val="single" w:sz="4" w:space="0" w:color="000000"/>
            </w:tcBorders>
          </w:tcPr>
          <w:p>
            <w:pPr>
              <w:pStyle w:val="TableContents"/>
              <w:bidi w:val="0"/>
              <w:jc w:val="start"/>
              <w:rPr/>
            </w:pPr>
            <w:r>
              <w:rPr/>
              <w:t>3</w:t>
            </w:r>
          </w:p>
        </w:tc>
        <w:tc>
          <w:tcPr>
            <w:tcW w:w="3213" w:type="dxa"/>
            <w:tcBorders>
              <w:start w:val="single" w:sz="4" w:space="0" w:color="000000"/>
              <w:bottom w:val="single" w:sz="4" w:space="0" w:color="000000"/>
            </w:tcBorders>
          </w:tcPr>
          <w:p>
            <w:pPr>
              <w:pStyle w:val="TableContents"/>
              <w:bidi w:val="0"/>
              <w:jc w:val="start"/>
              <w:rPr/>
            </w:pPr>
            <w:r>
              <w:rPr/>
              <w:t>08 - Stock Basics 2025 Part 2 (P E &amp; PEG)</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26:41</w:t>
            </w:r>
          </w:p>
        </w:tc>
      </w:tr>
      <w:tr>
        <w:trPr/>
        <w:tc>
          <w:tcPr>
            <w:tcW w:w="3212" w:type="dxa"/>
            <w:tcBorders>
              <w:start w:val="single" w:sz="4" w:space="0" w:color="000000"/>
              <w:bottom w:val="single" w:sz="4" w:space="0" w:color="000000"/>
            </w:tcBorders>
          </w:tcPr>
          <w:p>
            <w:pPr>
              <w:pStyle w:val="TableContents"/>
              <w:bidi w:val="0"/>
              <w:jc w:val="start"/>
              <w:rPr/>
            </w:pPr>
            <w:r>
              <w:rPr/>
              <w:t>4</w:t>
            </w:r>
          </w:p>
        </w:tc>
        <w:tc>
          <w:tcPr>
            <w:tcW w:w="3213" w:type="dxa"/>
            <w:tcBorders>
              <w:start w:val="single" w:sz="4" w:space="0" w:color="000000"/>
              <w:bottom w:val="single" w:sz="4" w:space="0" w:color="000000"/>
            </w:tcBorders>
          </w:tcPr>
          <w:p>
            <w:pPr>
              <w:pStyle w:val="TableContents"/>
              <w:bidi w:val="0"/>
              <w:jc w:val="start"/>
              <w:rPr/>
            </w:pPr>
            <w:r>
              <w:rPr/>
              <w:t>10 - Stock Basics 2025 Part 4 (What Drives Stock Prices)</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26:48</w:t>
            </w:r>
          </w:p>
        </w:tc>
      </w:tr>
      <w:tr>
        <w:trPr/>
        <w:tc>
          <w:tcPr>
            <w:tcW w:w="3212" w:type="dxa"/>
            <w:tcBorders>
              <w:start w:val="single" w:sz="4" w:space="0" w:color="000000"/>
              <w:bottom w:val="single" w:sz="4" w:space="0" w:color="000000"/>
            </w:tcBorders>
          </w:tcPr>
          <w:p>
            <w:pPr>
              <w:pStyle w:val="TableContents"/>
              <w:bidi w:val="0"/>
              <w:jc w:val="start"/>
              <w:rPr/>
            </w:pPr>
            <w:r>
              <w:rPr/>
              <w:t>5</w:t>
            </w:r>
          </w:p>
        </w:tc>
        <w:tc>
          <w:tcPr>
            <w:tcW w:w="3213" w:type="dxa"/>
            <w:tcBorders>
              <w:start w:val="single" w:sz="4" w:space="0" w:color="000000"/>
              <w:bottom w:val="single" w:sz="4" w:space="0" w:color="000000"/>
            </w:tcBorders>
          </w:tcPr>
          <w:p>
            <w:pPr>
              <w:pStyle w:val="TableContents"/>
              <w:bidi w:val="0"/>
              <w:jc w:val="start"/>
              <w:rPr/>
            </w:pPr>
            <w:r>
              <w:rPr/>
              <w:t>11 - Stock Basics 2025 Part 5 (How to Make Money in Stocks)</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23:55</w:t>
            </w:r>
          </w:p>
        </w:tc>
      </w:tr>
      <w:tr>
        <w:trPr/>
        <w:tc>
          <w:tcPr>
            <w:tcW w:w="3212" w:type="dxa"/>
            <w:tcBorders>
              <w:start w:val="single" w:sz="4" w:space="0" w:color="000000"/>
              <w:bottom w:val="single" w:sz="4" w:space="0" w:color="000000"/>
            </w:tcBorders>
          </w:tcPr>
          <w:p>
            <w:pPr>
              <w:pStyle w:val="TableContents"/>
              <w:bidi w:val="0"/>
              <w:jc w:val="start"/>
              <w:rPr/>
            </w:pPr>
            <w:r>
              <w:rPr/>
              <w:t>6</w:t>
            </w:r>
          </w:p>
        </w:tc>
        <w:tc>
          <w:tcPr>
            <w:tcW w:w="3213" w:type="dxa"/>
            <w:tcBorders>
              <w:start w:val="single" w:sz="4" w:space="0" w:color="000000"/>
              <w:bottom w:val="single" w:sz="4" w:space="0" w:color="000000"/>
            </w:tcBorders>
          </w:tcPr>
          <w:p>
            <w:pPr>
              <w:pStyle w:val="TableContents"/>
              <w:bidi w:val="0"/>
              <w:jc w:val="start"/>
              <w:rPr/>
            </w:pPr>
            <w:r>
              <w:rPr/>
              <w:t>12 - Stock Basics 2025 Part 6 (Stock Index Performance)</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32:22</w:t>
            </w:r>
          </w:p>
        </w:tc>
      </w:tr>
      <w:tr>
        <w:trPr/>
        <w:tc>
          <w:tcPr>
            <w:tcW w:w="3212" w:type="dxa"/>
            <w:tcBorders>
              <w:start w:val="single" w:sz="4" w:space="0" w:color="000000"/>
              <w:bottom w:val="single" w:sz="4" w:space="0" w:color="000000"/>
            </w:tcBorders>
          </w:tcPr>
          <w:p>
            <w:pPr>
              <w:pStyle w:val="TableContents"/>
              <w:bidi w:val="0"/>
              <w:jc w:val="start"/>
              <w:rPr/>
            </w:pPr>
            <w:r>
              <w:rPr/>
              <w:t>7</w:t>
            </w:r>
          </w:p>
        </w:tc>
        <w:tc>
          <w:tcPr>
            <w:tcW w:w="3213" w:type="dxa"/>
            <w:tcBorders>
              <w:start w:val="single" w:sz="4" w:space="0" w:color="000000"/>
              <w:bottom w:val="single" w:sz="4" w:space="0" w:color="000000"/>
            </w:tcBorders>
          </w:tcPr>
          <w:p>
            <w:pPr>
              <w:pStyle w:val="TableContents"/>
              <w:bidi w:val="0"/>
              <w:jc w:val="start"/>
              <w:rPr/>
            </w:pPr>
            <w:r>
              <w:rPr/>
              <w:t>14 - Shocking Market Facts</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23:43</w:t>
            </w:r>
          </w:p>
        </w:tc>
      </w:tr>
      <w:tr>
        <w:trPr/>
        <w:tc>
          <w:tcPr>
            <w:tcW w:w="3212" w:type="dxa"/>
            <w:tcBorders>
              <w:start w:val="single" w:sz="4" w:space="0" w:color="000000"/>
              <w:bottom w:val="single" w:sz="4" w:space="0" w:color="000000"/>
            </w:tcBorders>
          </w:tcPr>
          <w:p>
            <w:pPr>
              <w:pStyle w:val="TableContents"/>
              <w:bidi w:val="0"/>
              <w:jc w:val="start"/>
              <w:rPr/>
            </w:pPr>
            <w:r>
              <w:rPr/>
              <w:t>8</w:t>
            </w:r>
          </w:p>
        </w:tc>
        <w:tc>
          <w:tcPr>
            <w:tcW w:w="3213" w:type="dxa"/>
            <w:tcBorders>
              <w:start w:val="single" w:sz="4" w:space="0" w:color="000000"/>
              <w:bottom w:val="single" w:sz="4" w:space="0" w:color="000000"/>
            </w:tcBorders>
          </w:tcPr>
          <w:p>
            <w:pPr>
              <w:pStyle w:val="TableContents"/>
              <w:bidi w:val="0"/>
              <w:jc w:val="start"/>
              <w:rPr/>
            </w:pPr>
            <w:r>
              <w:rPr/>
              <w:t>20 - Trend Following Part 1</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20:09</w:t>
            </w:r>
          </w:p>
        </w:tc>
      </w:tr>
      <w:tr>
        <w:trPr/>
        <w:tc>
          <w:tcPr>
            <w:tcW w:w="3212" w:type="dxa"/>
            <w:tcBorders>
              <w:start w:val="single" w:sz="4" w:space="0" w:color="000000"/>
              <w:bottom w:val="single" w:sz="4" w:space="0" w:color="000000"/>
            </w:tcBorders>
          </w:tcPr>
          <w:p>
            <w:pPr>
              <w:pStyle w:val="TableContents"/>
              <w:bidi w:val="0"/>
              <w:jc w:val="start"/>
              <w:rPr/>
            </w:pPr>
            <w:r>
              <w:rPr/>
              <w:t>9</w:t>
            </w:r>
          </w:p>
        </w:tc>
        <w:tc>
          <w:tcPr>
            <w:tcW w:w="3213" w:type="dxa"/>
            <w:tcBorders>
              <w:start w:val="single" w:sz="4" w:space="0" w:color="000000"/>
              <w:bottom w:val="single" w:sz="4" w:space="0" w:color="000000"/>
            </w:tcBorders>
          </w:tcPr>
          <w:p>
            <w:pPr>
              <w:pStyle w:val="TableContents"/>
              <w:bidi w:val="0"/>
              <w:jc w:val="start"/>
              <w:rPr/>
            </w:pPr>
            <w:r>
              <w:rPr/>
              <w:t>21 - Trend Following Part 2</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36:36</w:t>
            </w:r>
          </w:p>
        </w:tc>
      </w:tr>
      <w:tr>
        <w:trPr/>
        <w:tc>
          <w:tcPr>
            <w:tcW w:w="3212" w:type="dxa"/>
            <w:tcBorders>
              <w:start w:val="single" w:sz="4" w:space="0" w:color="000000"/>
              <w:bottom w:val="single" w:sz="4" w:space="0" w:color="000000"/>
            </w:tcBorders>
          </w:tcPr>
          <w:p>
            <w:pPr>
              <w:pStyle w:val="TableContents"/>
              <w:bidi w:val="0"/>
              <w:jc w:val="start"/>
              <w:rPr/>
            </w:pPr>
            <w:r>
              <w:rPr/>
              <w:t>10</w:t>
            </w:r>
          </w:p>
        </w:tc>
        <w:tc>
          <w:tcPr>
            <w:tcW w:w="3213" w:type="dxa"/>
            <w:tcBorders>
              <w:start w:val="single" w:sz="4" w:space="0" w:color="000000"/>
              <w:bottom w:val="single" w:sz="4" w:space="0" w:color="000000"/>
            </w:tcBorders>
          </w:tcPr>
          <w:p>
            <w:pPr>
              <w:pStyle w:val="TableContents"/>
              <w:bidi w:val="0"/>
              <w:jc w:val="start"/>
              <w:rPr/>
            </w:pPr>
            <w:r>
              <w:rPr/>
              <w:t>22 - Strategy Execution</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30:31</w:t>
            </w:r>
          </w:p>
        </w:tc>
      </w:tr>
      <w:tr>
        <w:trPr/>
        <w:tc>
          <w:tcPr>
            <w:tcW w:w="3212" w:type="dxa"/>
            <w:tcBorders>
              <w:start w:val="single" w:sz="4" w:space="0" w:color="000000"/>
              <w:bottom w:val="single" w:sz="4" w:space="0" w:color="000000"/>
            </w:tcBorders>
          </w:tcPr>
          <w:p>
            <w:pPr>
              <w:pStyle w:val="TableContents"/>
              <w:bidi w:val="0"/>
              <w:jc w:val="start"/>
              <w:rPr/>
            </w:pPr>
            <w:r>
              <w:rPr/>
              <w:t>11</w:t>
            </w:r>
          </w:p>
        </w:tc>
        <w:tc>
          <w:tcPr>
            <w:tcW w:w="3213" w:type="dxa"/>
            <w:tcBorders>
              <w:start w:val="single" w:sz="4" w:space="0" w:color="000000"/>
              <w:bottom w:val="single" w:sz="4" w:space="0" w:color="000000"/>
            </w:tcBorders>
          </w:tcPr>
          <w:p>
            <w:pPr>
              <w:pStyle w:val="TableContents"/>
              <w:bidi w:val="0"/>
              <w:jc w:val="start"/>
              <w:rPr/>
            </w:pPr>
            <w:r>
              <w:rPr/>
              <w:t>25 - Part 1 (Keys to Profitable Investing)</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27:34</w:t>
            </w:r>
          </w:p>
        </w:tc>
      </w:tr>
      <w:tr>
        <w:trPr/>
        <w:tc>
          <w:tcPr>
            <w:tcW w:w="3212" w:type="dxa"/>
            <w:tcBorders>
              <w:start w:val="single" w:sz="4" w:space="0" w:color="000000"/>
              <w:bottom w:val="single" w:sz="4" w:space="0" w:color="000000"/>
            </w:tcBorders>
          </w:tcPr>
          <w:p>
            <w:pPr>
              <w:pStyle w:val="TableContents"/>
              <w:bidi w:val="0"/>
              <w:jc w:val="start"/>
              <w:rPr/>
            </w:pPr>
            <w:r>
              <w:rPr/>
              <w:t>12</w:t>
            </w:r>
          </w:p>
        </w:tc>
        <w:tc>
          <w:tcPr>
            <w:tcW w:w="3213" w:type="dxa"/>
            <w:tcBorders>
              <w:start w:val="single" w:sz="4" w:space="0" w:color="000000"/>
              <w:bottom w:val="single" w:sz="4" w:space="0" w:color="000000"/>
            </w:tcBorders>
          </w:tcPr>
          <w:p>
            <w:pPr>
              <w:pStyle w:val="TableContents"/>
              <w:bidi w:val="0"/>
              <w:jc w:val="start"/>
              <w:rPr/>
            </w:pPr>
            <w:r>
              <w:rPr/>
              <w:t>26 - Part 2 (Keys to Profitable Investing)</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23:03</w:t>
            </w:r>
          </w:p>
        </w:tc>
      </w:tr>
      <w:tr>
        <w:trPr/>
        <w:tc>
          <w:tcPr>
            <w:tcW w:w="3212" w:type="dxa"/>
            <w:tcBorders>
              <w:start w:val="single" w:sz="4" w:space="0" w:color="000000"/>
              <w:bottom w:val="single" w:sz="4" w:space="0" w:color="000000"/>
            </w:tcBorders>
          </w:tcPr>
          <w:p>
            <w:pPr>
              <w:pStyle w:val="TableContents"/>
              <w:bidi w:val="0"/>
              <w:jc w:val="start"/>
              <w:rPr/>
            </w:pPr>
            <w:r>
              <w:rPr/>
              <w:t>13</w:t>
            </w:r>
          </w:p>
        </w:tc>
        <w:tc>
          <w:tcPr>
            <w:tcW w:w="3213" w:type="dxa"/>
            <w:tcBorders>
              <w:start w:val="single" w:sz="4" w:space="0" w:color="000000"/>
              <w:bottom w:val="single" w:sz="4" w:space="0" w:color="000000"/>
            </w:tcBorders>
          </w:tcPr>
          <w:p>
            <w:pPr>
              <w:pStyle w:val="TableContents"/>
              <w:bidi w:val="0"/>
              <w:jc w:val="start"/>
              <w:rPr/>
            </w:pPr>
            <w:r>
              <w:rPr/>
              <w:t>28 - Introduction</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18:01</w:t>
            </w:r>
          </w:p>
        </w:tc>
      </w:tr>
      <w:tr>
        <w:trPr/>
        <w:tc>
          <w:tcPr>
            <w:tcW w:w="3212" w:type="dxa"/>
            <w:tcBorders>
              <w:start w:val="single" w:sz="4" w:space="0" w:color="000000"/>
              <w:bottom w:val="single" w:sz="4" w:space="0" w:color="000000"/>
            </w:tcBorders>
          </w:tcPr>
          <w:p>
            <w:pPr>
              <w:pStyle w:val="TableContents"/>
              <w:bidi w:val="0"/>
              <w:jc w:val="start"/>
              <w:rPr/>
            </w:pPr>
            <w:r>
              <w:rPr/>
              <w:t>14</w:t>
            </w:r>
          </w:p>
        </w:tc>
        <w:tc>
          <w:tcPr>
            <w:tcW w:w="3213" w:type="dxa"/>
            <w:tcBorders>
              <w:start w:val="single" w:sz="4" w:space="0" w:color="000000"/>
              <w:bottom w:val="single" w:sz="4" w:space="0" w:color="000000"/>
            </w:tcBorders>
          </w:tcPr>
          <w:p>
            <w:pPr>
              <w:pStyle w:val="TableContents"/>
              <w:bidi w:val="0"/>
              <w:jc w:val="start"/>
              <w:rPr/>
            </w:pPr>
            <w:r>
              <w:rPr/>
              <w:t>29 - Income Statement</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32:01</w:t>
            </w:r>
          </w:p>
        </w:tc>
      </w:tr>
      <w:tr>
        <w:trPr/>
        <w:tc>
          <w:tcPr>
            <w:tcW w:w="3212" w:type="dxa"/>
            <w:tcBorders>
              <w:start w:val="single" w:sz="4" w:space="0" w:color="000000"/>
              <w:bottom w:val="single" w:sz="4" w:space="0" w:color="000000"/>
            </w:tcBorders>
          </w:tcPr>
          <w:p>
            <w:pPr>
              <w:pStyle w:val="TableContents"/>
              <w:bidi w:val="0"/>
              <w:jc w:val="start"/>
              <w:rPr/>
            </w:pPr>
            <w:r>
              <w:rPr/>
              <w:t>15</w:t>
            </w:r>
          </w:p>
        </w:tc>
        <w:tc>
          <w:tcPr>
            <w:tcW w:w="3213" w:type="dxa"/>
            <w:tcBorders>
              <w:start w:val="single" w:sz="4" w:space="0" w:color="000000"/>
              <w:bottom w:val="single" w:sz="4" w:space="0" w:color="000000"/>
            </w:tcBorders>
          </w:tcPr>
          <w:p>
            <w:pPr>
              <w:pStyle w:val="TableContents"/>
              <w:bidi w:val="0"/>
              <w:jc w:val="start"/>
              <w:rPr/>
            </w:pPr>
            <w:r>
              <w:rPr/>
              <w:t>30 - Balance Sheet</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47:54</w:t>
            </w:r>
          </w:p>
        </w:tc>
      </w:tr>
      <w:tr>
        <w:trPr/>
        <w:tc>
          <w:tcPr>
            <w:tcW w:w="3212" w:type="dxa"/>
            <w:tcBorders>
              <w:start w:val="single" w:sz="4" w:space="0" w:color="000000"/>
              <w:bottom w:val="single" w:sz="4" w:space="0" w:color="000000"/>
            </w:tcBorders>
          </w:tcPr>
          <w:p>
            <w:pPr>
              <w:pStyle w:val="TableContents"/>
              <w:bidi w:val="0"/>
              <w:jc w:val="start"/>
              <w:rPr/>
            </w:pPr>
            <w:r>
              <w:rPr/>
              <w:t>16</w:t>
            </w:r>
          </w:p>
        </w:tc>
        <w:tc>
          <w:tcPr>
            <w:tcW w:w="3213" w:type="dxa"/>
            <w:tcBorders>
              <w:start w:val="single" w:sz="4" w:space="0" w:color="000000"/>
              <w:bottom w:val="single" w:sz="4" w:space="0" w:color="000000"/>
            </w:tcBorders>
          </w:tcPr>
          <w:p>
            <w:pPr>
              <w:pStyle w:val="TableContents"/>
              <w:bidi w:val="0"/>
              <w:jc w:val="start"/>
              <w:rPr/>
            </w:pPr>
            <w:r>
              <w:rPr/>
              <w:t>31 - Statement of Cash Flows</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27:45</w:t>
            </w:r>
          </w:p>
        </w:tc>
      </w:tr>
      <w:tr>
        <w:trPr/>
        <w:tc>
          <w:tcPr>
            <w:tcW w:w="3212" w:type="dxa"/>
            <w:tcBorders>
              <w:start w:val="single" w:sz="4" w:space="0" w:color="000000"/>
              <w:bottom w:val="single" w:sz="4" w:space="0" w:color="000000"/>
            </w:tcBorders>
          </w:tcPr>
          <w:p>
            <w:pPr>
              <w:pStyle w:val="TableContents"/>
              <w:bidi w:val="0"/>
              <w:jc w:val="start"/>
              <w:rPr/>
            </w:pPr>
            <w:r>
              <w:rPr/>
              <w:t>17</w:t>
            </w:r>
          </w:p>
        </w:tc>
        <w:tc>
          <w:tcPr>
            <w:tcW w:w="3213" w:type="dxa"/>
            <w:tcBorders>
              <w:start w:val="single" w:sz="4" w:space="0" w:color="000000"/>
              <w:bottom w:val="single" w:sz="4" w:space="0" w:color="000000"/>
            </w:tcBorders>
          </w:tcPr>
          <w:p>
            <w:pPr>
              <w:pStyle w:val="TableContents"/>
              <w:bidi w:val="0"/>
              <w:jc w:val="start"/>
              <w:rPr/>
            </w:pPr>
            <w:r>
              <w:rPr/>
              <w:t>32 - Financial Metrics</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22:17</w:t>
            </w:r>
          </w:p>
        </w:tc>
      </w:tr>
      <w:tr>
        <w:trPr/>
        <w:tc>
          <w:tcPr>
            <w:tcW w:w="3212" w:type="dxa"/>
            <w:tcBorders>
              <w:start w:val="single" w:sz="4" w:space="0" w:color="000000"/>
              <w:bottom w:val="single" w:sz="4" w:space="0" w:color="000000"/>
            </w:tcBorders>
          </w:tcPr>
          <w:p>
            <w:pPr>
              <w:pStyle w:val="TableContents"/>
              <w:bidi w:val="0"/>
              <w:jc w:val="start"/>
              <w:rPr/>
            </w:pPr>
            <w:r>
              <w:rPr/>
              <w:t>18</w:t>
            </w:r>
          </w:p>
        </w:tc>
        <w:tc>
          <w:tcPr>
            <w:tcW w:w="3213" w:type="dxa"/>
            <w:tcBorders>
              <w:start w:val="single" w:sz="4" w:space="0" w:color="000000"/>
              <w:bottom w:val="single" w:sz="4" w:space="0" w:color="000000"/>
            </w:tcBorders>
          </w:tcPr>
          <w:p>
            <w:pPr>
              <w:pStyle w:val="TableContents"/>
              <w:bidi w:val="0"/>
              <w:jc w:val="start"/>
              <w:rPr/>
            </w:pPr>
            <w:r>
              <w:rPr/>
              <w:t>33 - Hyflux Case Study</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9:46</w:t>
            </w:r>
          </w:p>
        </w:tc>
      </w:tr>
      <w:tr>
        <w:trPr/>
        <w:tc>
          <w:tcPr>
            <w:tcW w:w="3212" w:type="dxa"/>
            <w:tcBorders>
              <w:start w:val="single" w:sz="4" w:space="0" w:color="000000"/>
              <w:bottom w:val="single" w:sz="4" w:space="0" w:color="000000"/>
            </w:tcBorders>
          </w:tcPr>
          <w:p>
            <w:pPr>
              <w:pStyle w:val="TableContents"/>
              <w:bidi w:val="0"/>
              <w:jc w:val="start"/>
              <w:rPr/>
            </w:pPr>
            <w:r>
              <w:rPr/>
              <w:t>19</w:t>
            </w:r>
          </w:p>
        </w:tc>
        <w:tc>
          <w:tcPr>
            <w:tcW w:w="3213" w:type="dxa"/>
            <w:tcBorders>
              <w:start w:val="single" w:sz="4" w:space="0" w:color="000000"/>
              <w:bottom w:val="single" w:sz="4" w:space="0" w:color="000000"/>
            </w:tcBorders>
          </w:tcPr>
          <w:p>
            <w:pPr>
              <w:pStyle w:val="TableContents"/>
              <w:bidi w:val="0"/>
              <w:jc w:val="start"/>
              <w:rPr/>
            </w:pPr>
            <w:r>
              <w:rPr/>
              <w:t>34 - Great Business Models</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21:33</w:t>
            </w:r>
          </w:p>
        </w:tc>
      </w:tr>
      <w:tr>
        <w:trPr/>
        <w:tc>
          <w:tcPr>
            <w:tcW w:w="3212" w:type="dxa"/>
            <w:tcBorders>
              <w:start w:val="single" w:sz="4" w:space="0" w:color="000000"/>
              <w:bottom w:val="single" w:sz="4" w:space="0" w:color="000000"/>
            </w:tcBorders>
          </w:tcPr>
          <w:p>
            <w:pPr>
              <w:pStyle w:val="TableContents"/>
              <w:bidi w:val="0"/>
              <w:jc w:val="start"/>
              <w:rPr/>
            </w:pPr>
            <w:r>
              <w:rPr/>
              <w:t>20</w:t>
            </w:r>
          </w:p>
        </w:tc>
        <w:tc>
          <w:tcPr>
            <w:tcW w:w="3213" w:type="dxa"/>
            <w:tcBorders>
              <w:start w:val="single" w:sz="4" w:space="0" w:color="000000"/>
              <w:bottom w:val="single" w:sz="4" w:space="0" w:color="000000"/>
            </w:tcBorders>
          </w:tcPr>
          <w:p>
            <w:pPr>
              <w:pStyle w:val="TableContents"/>
              <w:bidi w:val="0"/>
              <w:jc w:val="start"/>
              <w:rPr/>
            </w:pPr>
            <w:r>
              <w:rPr/>
              <w:t>36 - Introduction &amp; PEG Ratio</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16:15</w:t>
            </w:r>
          </w:p>
        </w:tc>
      </w:tr>
      <w:tr>
        <w:trPr/>
        <w:tc>
          <w:tcPr>
            <w:tcW w:w="3212" w:type="dxa"/>
            <w:tcBorders>
              <w:start w:val="single" w:sz="4" w:space="0" w:color="000000"/>
              <w:bottom w:val="single" w:sz="4" w:space="0" w:color="000000"/>
            </w:tcBorders>
          </w:tcPr>
          <w:p>
            <w:pPr>
              <w:pStyle w:val="TableContents"/>
              <w:bidi w:val="0"/>
              <w:jc w:val="start"/>
              <w:rPr/>
            </w:pPr>
            <w:r>
              <w:rPr/>
              <w:t>21</w:t>
            </w:r>
          </w:p>
        </w:tc>
        <w:tc>
          <w:tcPr>
            <w:tcW w:w="3213" w:type="dxa"/>
            <w:tcBorders>
              <w:start w:val="single" w:sz="4" w:space="0" w:color="000000"/>
              <w:bottom w:val="single" w:sz="4" w:space="0" w:color="000000"/>
            </w:tcBorders>
          </w:tcPr>
          <w:p>
            <w:pPr>
              <w:pStyle w:val="TableContents"/>
              <w:bidi w:val="0"/>
              <w:jc w:val="start"/>
              <w:rPr/>
            </w:pPr>
            <w:r>
              <w:rPr/>
              <w:t>37 - Discounted Cash Flow Method Part 1</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33:53</w:t>
            </w:r>
          </w:p>
        </w:tc>
      </w:tr>
      <w:tr>
        <w:trPr/>
        <w:tc>
          <w:tcPr>
            <w:tcW w:w="3212" w:type="dxa"/>
            <w:tcBorders>
              <w:start w:val="single" w:sz="4" w:space="0" w:color="000000"/>
              <w:bottom w:val="single" w:sz="4" w:space="0" w:color="000000"/>
            </w:tcBorders>
          </w:tcPr>
          <w:p>
            <w:pPr>
              <w:pStyle w:val="TableContents"/>
              <w:bidi w:val="0"/>
              <w:jc w:val="start"/>
              <w:rPr/>
            </w:pPr>
            <w:r>
              <w:rPr/>
              <w:t>22</w:t>
            </w:r>
          </w:p>
        </w:tc>
        <w:tc>
          <w:tcPr>
            <w:tcW w:w="3213" w:type="dxa"/>
            <w:tcBorders>
              <w:start w:val="single" w:sz="4" w:space="0" w:color="000000"/>
              <w:bottom w:val="single" w:sz="4" w:space="0" w:color="000000"/>
            </w:tcBorders>
          </w:tcPr>
          <w:p>
            <w:pPr>
              <w:pStyle w:val="TableContents"/>
              <w:bidi w:val="0"/>
              <w:jc w:val="start"/>
              <w:rPr/>
            </w:pPr>
            <w:r>
              <w:rPr/>
              <w:t>38 - Discounted Cash Flow Method Part 2</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24:38</w:t>
            </w:r>
          </w:p>
        </w:tc>
      </w:tr>
      <w:tr>
        <w:trPr/>
        <w:tc>
          <w:tcPr>
            <w:tcW w:w="3212" w:type="dxa"/>
            <w:tcBorders>
              <w:start w:val="single" w:sz="4" w:space="0" w:color="000000"/>
              <w:bottom w:val="single" w:sz="4" w:space="0" w:color="000000"/>
            </w:tcBorders>
          </w:tcPr>
          <w:p>
            <w:pPr>
              <w:pStyle w:val="TableContents"/>
              <w:bidi w:val="0"/>
              <w:jc w:val="start"/>
              <w:rPr/>
            </w:pPr>
            <w:r>
              <w:rPr/>
              <w:t>23</w:t>
            </w:r>
          </w:p>
        </w:tc>
        <w:tc>
          <w:tcPr>
            <w:tcW w:w="3213" w:type="dxa"/>
            <w:tcBorders>
              <w:start w:val="single" w:sz="4" w:space="0" w:color="000000"/>
              <w:bottom w:val="single" w:sz="4" w:space="0" w:color="000000"/>
            </w:tcBorders>
          </w:tcPr>
          <w:p>
            <w:pPr>
              <w:pStyle w:val="TableContents"/>
              <w:bidi w:val="0"/>
              <w:jc w:val="start"/>
              <w:rPr/>
            </w:pPr>
            <w:r>
              <w:rPr/>
              <w:t>39 - Discounted Net Income Method</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20:43</w:t>
            </w:r>
          </w:p>
        </w:tc>
      </w:tr>
      <w:tr>
        <w:trPr/>
        <w:tc>
          <w:tcPr>
            <w:tcW w:w="3212" w:type="dxa"/>
            <w:tcBorders>
              <w:start w:val="single" w:sz="4" w:space="0" w:color="000000"/>
              <w:bottom w:val="single" w:sz="4" w:space="0" w:color="000000"/>
            </w:tcBorders>
          </w:tcPr>
          <w:p>
            <w:pPr>
              <w:pStyle w:val="TableContents"/>
              <w:bidi w:val="0"/>
              <w:jc w:val="start"/>
              <w:rPr/>
            </w:pPr>
            <w:r>
              <w:rPr/>
              <w:t>24</w:t>
            </w:r>
          </w:p>
        </w:tc>
        <w:tc>
          <w:tcPr>
            <w:tcW w:w="3213" w:type="dxa"/>
            <w:tcBorders>
              <w:start w:val="single" w:sz="4" w:space="0" w:color="000000"/>
              <w:bottom w:val="single" w:sz="4" w:space="0" w:color="000000"/>
            </w:tcBorders>
          </w:tcPr>
          <w:p>
            <w:pPr>
              <w:pStyle w:val="TableContents"/>
              <w:bidi w:val="0"/>
              <w:jc w:val="start"/>
              <w:rPr/>
            </w:pPr>
            <w:r>
              <w:rPr/>
              <w:t>40 - Price Book Ratio &amp; Banks</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25:02</w:t>
            </w:r>
          </w:p>
        </w:tc>
      </w:tr>
      <w:tr>
        <w:trPr/>
        <w:tc>
          <w:tcPr>
            <w:tcW w:w="3212" w:type="dxa"/>
            <w:tcBorders>
              <w:start w:val="single" w:sz="4" w:space="0" w:color="000000"/>
              <w:bottom w:val="single" w:sz="4" w:space="0" w:color="000000"/>
            </w:tcBorders>
          </w:tcPr>
          <w:p>
            <w:pPr>
              <w:pStyle w:val="TableContents"/>
              <w:bidi w:val="0"/>
              <w:jc w:val="start"/>
              <w:rPr/>
            </w:pPr>
            <w:r>
              <w:rPr/>
              <w:t>25</w:t>
            </w:r>
          </w:p>
        </w:tc>
        <w:tc>
          <w:tcPr>
            <w:tcW w:w="3213" w:type="dxa"/>
            <w:tcBorders>
              <w:start w:val="single" w:sz="4" w:space="0" w:color="000000"/>
              <w:bottom w:val="single" w:sz="4" w:space="0" w:color="000000"/>
            </w:tcBorders>
          </w:tcPr>
          <w:p>
            <w:pPr>
              <w:pStyle w:val="TableContents"/>
              <w:bidi w:val="0"/>
              <w:jc w:val="start"/>
              <w:rPr/>
            </w:pPr>
            <w:r>
              <w:rPr/>
              <w:t>41 - REITs &amp; Price Sales Ratio</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20:31</w:t>
            </w:r>
          </w:p>
        </w:tc>
      </w:tr>
      <w:tr>
        <w:trPr/>
        <w:tc>
          <w:tcPr>
            <w:tcW w:w="3212" w:type="dxa"/>
            <w:tcBorders>
              <w:start w:val="single" w:sz="4" w:space="0" w:color="000000"/>
              <w:bottom w:val="single" w:sz="4" w:space="0" w:color="000000"/>
            </w:tcBorders>
          </w:tcPr>
          <w:p>
            <w:pPr>
              <w:pStyle w:val="TableContents"/>
              <w:bidi w:val="0"/>
              <w:jc w:val="start"/>
              <w:rPr/>
            </w:pPr>
            <w:r>
              <w:rPr/>
              <w:t>26</w:t>
            </w:r>
          </w:p>
        </w:tc>
        <w:tc>
          <w:tcPr>
            <w:tcW w:w="3213" w:type="dxa"/>
            <w:tcBorders>
              <w:start w:val="single" w:sz="4" w:space="0" w:color="000000"/>
              <w:bottom w:val="single" w:sz="4" w:space="0" w:color="000000"/>
            </w:tcBorders>
          </w:tcPr>
          <w:p>
            <w:pPr>
              <w:pStyle w:val="TableContents"/>
              <w:bidi w:val="0"/>
              <w:jc w:val="start"/>
              <w:rPr/>
            </w:pPr>
            <w:r>
              <w:rPr/>
              <w:t>43 - Reading Charts</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31:27</w:t>
            </w:r>
          </w:p>
        </w:tc>
      </w:tr>
      <w:tr>
        <w:trPr/>
        <w:tc>
          <w:tcPr>
            <w:tcW w:w="3212" w:type="dxa"/>
            <w:tcBorders>
              <w:start w:val="single" w:sz="4" w:space="0" w:color="000000"/>
              <w:bottom w:val="single" w:sz="4" w:space="0" w:color="000000"/>
            </w:tcBorders>
          </w:tcPr>
          <w:p>
            <w:pPr>
              <w:pStyle w:val="TableContents"/>
              <w:bidi w:val="0"/>
              <w:jc w:val="start"/>
              <w:rPr/>
            </w:pPr>
            <w:r>
              <w:rPr/>
              <w:t>27</w:t>
            </w:r>
          </w:p>
        </w:tc>
        <w:tc>
          <w:tcPr>
            <w:tcW w:w="3213" w:type="dxa"/>
            <w:tcBorders>
              <w:start w:val="single" w:sz="4" w:space="0" w:color="000000"/>
              <w:bottom w:val="single" w:sz="4" w:space="0" w:color="000000"/>
            </w:tcBorders>
          </w:tcPr>
          <w:p>
            <w:pPr>
              <w:pStyle w:val="TableContents"/>
              <w:bidi w:val="0"/>
              <w:jc w:val="start"/>
              <w:rPr/>
            </w:pPr>
            <w:r>
              <w:rPr/>
              <w:t>44 - Support &amp; Resistance</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32:52</w:t>
            </w:r>
          </w:p>
        </w:tc>
      </w:tr>
      <w:tr>
        <w:trPr/>
        <w:tc>
          <w:tcPr>
            <w:tcW w:w="3212" w:type="dxa"/>
            <w:tcBorders>
              <w:start w:val="single" w:sz="4" w:space="0" w:color="000000"/>
              <w:bottom w:val="single" w:sz="4" w:space="0" w:color="000000"/>
            </w:tcBorders>
          </w:tcPr>
          <w:p>
            <w:pPr>
              <w:pStyle w:val="TableContents"/>
              <w:bidi w:val="0"/>
              <w:jc w:val="start"/>
              <w:rPr/>
            </w:pPr>
            <w:r>
              <w:rPr/>
              <w:t>28</w:t>
            </w:r>
          </w:p>
        </w:tc>
        <w:tc>
          <w:tcPr>
            <w:tcW w:w="3213" w:type="dxa"/>
            <w:tcBorders>
              <w:start w:val="single" w:sz="4" w:space="0" w:color="000000"/>
              <w:bottom w:val="single" w:sz="4" w:space="0" w:color="000000"/>
            </w:tcBorders>
          </w:tcPr>
          <w:p>
            <w:pPr>
              <w:pStyle w:val="TableContents"/>
              <w:bidi w:val="0"/>
              <w:jc w:val="start"/>
              <w:rPr/>
            </w:pPr>
            <w:r>
              <w:rPr/>
              <w:t>45 - Moving Averages</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15:44</w:t>
            </w:r>
          </w:p>
        </w:tc>
      </w:tr>
      <w:tr>
        <w:trPr/>
        <w:tc>
          <w:tcPr>
            <w:tcW w:w="3212" w:type="dxa"/>
            <w:tcBorders>
              <w:start w:val="single" w:sz="4" w:space="0" w:color="000000"/>
              <w:bottom w:val="single" w:sz="4" w:space="0" w:color="000000"/>
            </w:tcBorders>
          </w:tcPr>
          <w:p>
            <w:pPr>
              <w:pStyle w:val="TableContents"/>
              <w:bidi w:val="0"/>
              <w:jc w:val="start"/>
              <w:rPr/>
            </w:pPr>
            <w:r>
              <w:rPr/>
              <w:t>29</w:t>
            </w:r>
          </w:p>
        </w:tc>
        <w:tc>
          <w:tcPr>
            <w:tcW w:w="3213" w:type="dxa"/>
            <w:tcBorders>
              <w:start w:val="single" w:sz="4" w:space="0" w:color="000000"/>
              <w:bottom w:val="single" w:sz="4" w:space="0" w:color="000000"/>
            </w:tcBorders>
          </w:tcPr>
          <w:p>
            <w:pPr>
              <w:pStyle w:val="TableContents"/>
              <w:bidi w:val="0"/>
              <w:jc w:val="start"/>
              <w:rPr/>
            </w:pPr>
            <w:r>
              <w:rPr/>
              <w:t>46 - Buying on Uptrends</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27:00</w:t>
            </w:r>
          </w:p>
        </w:tc>
      </w:tr>
      <w:tr>
        <w:trPr/>
        <w:tc>
          <w:tcPr>
            <w:tcW w:w="3212" w:type="dxa"/>
            <w:tcBorders>
              <w:start w:val="single" w:sz="4" w:space="0" w:color="000000"/>
              <w:bottom w:val="single" w:sz="4" w:space="0" w:color="000000"/>
            </w:tcBorders>
          </w:tcPr>
          <w:p>
            <w:pPr>
              <w:pStyle w:val="TableContents"/>
              <w:bidi w:val="0"/>
              <w:jc w:val="start"/>
              <w:rPr/>
            </w:pPr>
            <w:r>
              <w:rPr/>
              <w:t>30</w:t>
            </w:r>
          </w:p>
        </w:tc>
        <w:tc>
          <w:tcPr>
            <w:tcW w:w="3213" w:type="dxa"/>
            <w:tcBorders>
              <w:start w:val="single" w:sz="4" w:space="0" w:color="000000"/>
              <w:bottom w:val="single" w:sz="4" w:space="0" w:color="000000"/>
            </w:tcBorders>
          </w:tcPr>
          <w:p>
            <w:pPr>
              <w:pStyle w:val="TableContents"/>
              <w:bidi w:val="0"/>
              <w:jc w:val="start"/>
              <w:rPr/>
            </w:pPr>
            <w:r>
              <w:rPr/>
              <w:t>47 - Buy Sell on Downtrends</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22:23</w:t>
            </w:r>
          </w:p>
        </w:tc>
      </w:tr>
      <w:tr>
        <w:trPr/>
        <w:tc>
          <w:tcPr>
            <w:tcW w:w="3212" w:type="dxa"/>
            <w:tcBorders>
              <w:start w:val="single" w:sz="4" w:space="0" w:color="000000"/>
              <w:bottom w:val="single" w:sz="4" w:space="0" w:color="000000"/>
            </w:tcBorders>
          </w:tcPr>
          <w:p>
            <w:pPr>
              <w:pStyle w:val="TableContents"/>
              <w:bidi w:val="0"/>
              <w:jc w:val="start"/>
              <w:rPr/>
            </w:pPr>
            <w:r>
              <w:rPr/>
              <w:t>31</w:t>
            </w:r>
          </w:p>
        </w:tc>
        <w:tc>
          <w:tcPr>
            <w:tcW w:w="3213" w:type="dxa"/>
            <w:tcBorders>
              <w:start w:val="single" w:sz="4" w:space="0" w:color="000000"/>
              <w:bottom w:val="single" w:sz="4" w:space="0" w:color="000000"/>
            </w:tcBorders>
          </w:tcPr>
          <w:p>
            <w:pPr>
              <w:pStyle w:val="TableContents"/>
              <w:bidi w:val="0"/>
              <w:jc w:val="start"/>
              <w:rPr/>
            </w:pPr>
            <w:r>
              <w:rPr/>
              <w:t>48 - Catching Bottoms</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22:21</w:t>
            </w:r>
          </w:p>
        </w:tc>
      </w:tr>
      <w:tr>
        <w:trPr/>
        <w:tc>
          <w:tcPr>
            <w:tcW w:w="3212" w:type="dxa"/>
            <w:tcBorders>
              <w:start w:val="single" w:sz="4" w:space="0" w:color="000000"/>
              <w:bottom w:val="single" w:sz="4" w:space="0" w:color="000000"/>
            </w:tcBorders>
          </w:tcPr>
          <w:p>
            <w:pPr>
              <w:pStyle w:val="TableContents"/>
              <w:bidi w:val="0"/>
              <w:jc w:val="start"/>
              <w:rPr/>
            </w:pPr>
            <w:r>
              <w:rPr/>
              <w:t>32</w:t>
            </w:r>
          </w:p>
        </w:tc>
        <w:tc>
          <w:tcPr>
            <w:tcW w:w="3213" w:type="dxa"/>
            <w:tcBorders>
              <w:start w:val="single" w:sz="4" w:space="0" w:color="000000"/>
              <w:bottom w:val="single" w:sz="4" w:space="0" w:color="000000"/>
            </w:tcBorders>
          </w:tcPr>
          <w:p>
            <w:pPr>
              <w:pStyle w:val="TableContents"/>
              <w:bidi w:val="0"/>
              <w:jc w:val="start"/>
              <w:rPr/>
            </w:pPr>
            <w:r>
              <w:rPr/>
              <w:t>50 - VMI Formula Part 1</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30:01</w:t>
            </w:r>
          </w:p>
        </w:tc>
      </w:tr>
      <w:tr>
        <w:trPr/>
        <w:tc>
          <w:tcPr>
            <w:tcW w:w="3212" w:type="dxa"/>
            <w:tcBorders>
              <w:start w:val="single" w:sz="4" w:space="0" w:color="000000"/>
              <w:bottom w:val="single" w:sz="4" w:space="0" w:color="000000"/>
            </w:tcBorders>
          </w:tcPr>
          <w:p>
            <w:pPr>
              <w:pStyle w:val="TableContents"/>
              <w:bidi w:val="0"/>
              <w:jc w:val="start"/>
              <w:rPr/>
            </w:pPr>
            <w:r>
              <w:rPr/>
              <w:t>33</w:t>
            </w:r>
          </w:p>
        </w:tc>
        <w:tc>
          <w:tcPr>
            <w:tcW w:w="3213" w:type="dxa"/>
            <w:tcBorders>
              <w:start w:val="single" w:sz="4" w:space="0" w:color="000000"/>
              <w:bottom w:val="single" w:sz="4" w:space="0" w:color="000000"/>
            </w:tcBorders>
          </w:tcPr>
          <w:p>
            <w:pPr>
              <w:pStyle w:val="TableContents"/>
              <w:bidi w:val="0"/>
              <w:jc w:val="start"/>
              <w:rPr/>
            </w:pPr>
            <w:r>
              <w:rPr/>
              <w:t>51 - VMI Formula Part 2</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30:34</w:t>
            </w:r>
          </w:p>
        </w:tc>
      </w:tr>
      <w:tr>
        <w:trPr/>
        <w:tc>
          <w:tcPr>
            <w:tcW w:w="3212" w:type="dxa"/>
            <w:tcBorders>
              <w:start w:val="single" w:sz="4" w:space="0" w:color="000000"/>
              <w:bottom w:val="single" w:sz="4" w:space="0" w:color="000000"/>
            </w:tcBorders>
          </w:tcPr>
          <w:p>
            <w:pPr>
              <w:pStyle w:val="TableContents"/>
              <w:bidi w:val="0"/>
              <w:jc w:val="start"/>
              <w:rPr/>
            </w:pPr>
            <w:r>
              <w:rPr/>
              <w:t>34</w:t>
            </w:r>
          </w:p>
        </w:tc>
        <w:tc>
          <w:tcPr>
            <w:tcW w:w="3213" w:type="dxa"/>
            <w:tcBorders>
              <w:start w:val="single" w:sz="4" w:space="0" w:color="000000"/>
              <w:bottom w:val="single" w:sz="4" w:space="0" w:color="000000"/>
            </w:tcBorders>
          </w:tcPr>
          <w:p>
            <w:pPr>
              <w:pStyle w:val="TableContents"/>
              <w:bidi w:val="0"/>
              <w:jc w:val="start"/>
              <w:rPr/>
            </w:pPr>
            <w:r>
              <w:rPr/>
              <w:t>52 - VMI Formula Part 3</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21:00</w:t>
            </w:r>
          </w:p>
        </w:tc>
      </w:tr>
      <w:tr>
        <w:trPr/>
        <w:tc>
          <w:tcPr>
            <w:tcW w:w="3212" w:type="dxa"/>
            <w:tcBorders>
              <w:start w:val="single" w:sz="4" w:space="0" w:color="000000"/>
              <w:bottom w:val="single" w:sz="4" w:space="0" w:color="000000"/>
            </w:tcBorders>
          </w:tcPr>
          <w:p>
            <w:pPr>
              <w:pStyle w:val="TableContents"/>
              <w:bidi w:val="0"/>
              <w:jc w:val="start"/>
              <w:rPr/>
            </w:pPr>
            <w:r>
              <w:rPr/>
              <w:t>35</w:t>
            </w:r>
          </w:p>
        </w:tc>
        <w:tc>
          <w:tcPr>
            <w:tcW w:w="3213" w:type="dxa"/>
            <w:tcBorders>
              <w:start w:val="single" w:sz="4" w:space="0" w:color="000000"/>
              <w:bottom w:val="single" w:sz="4" w:space="0" w:color="000000"/>
            </w:tcBorders>
          </w:tcPr>
          <w:p>
            <w:pPr>
              <w:pStyle w:val="TableContents"/>
              <w:bidi w:val="0"/>
              <w:jc w:val="start"/>
              <w:rPr/>
            </w:pPr>
            <w:r>
              <w:rPr/>
              <w:t>53 - VMI Formula Part 4</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28:16</w:t>
            </w:r>
          </w:p>
        </w:tc>
      </w:tr>
      <w:tr>
        <w:trPr/>
        <w:tc>
          <w:tcPr>
            <w:tcW w:w="3212" w:type="dxa"/>
            <w:tcBorders>
              <w:start w:val="single" w:sz="4" w:space="0" w:color="000000"/>
              <w:bottom w:val="single" w:sz="4" w:space="0" w:color="000000"/>
            </w:tcBorders>
          </w:tcPr>
          <w:p>
            <w:pPr>
              <w:pStyle w:val="TableContents"/>
              <w:bidi w:val="0"/>
              <w:jc w:val="start"/>
              <w:rPr/>
            </w:pPr>
            <w:r>
              <w:rPr/>
              <w:t>36</w:t>
            </w:r>
          </w:p>
        </w:tc>
        <w:tc>
          <w:tcPr>
            <w:tcW w:w="3213" w:type="dxa"/>
            <w:tcBorders>
              <w:start w:val="single" w:sz="4" w:space="0" w:color="000000"/>
              <w:bottom w:val="single" w:sz="4" w:space="0" w:color="000000"/>
            </w:tcBorders>
          </w:tcPr>
          <w:p>
            <w:pPr>
              <w:pStyle w:val="TableContents"/>
              <w:bidi w:val="0"/>
              <w:jc w:val="start"/>
              <w:rPr/>
            </w:pPr>
            <w:r>
              <w:rPr/>
              <w:t>54 - VMI Case Study (GOOGL)</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37:54</w:t>
            </w:r>
          </w:p>
        </w:tc>
      </w:tr>
      <w:tr>
        <w:trPr/>
        <w:tc>
          <w:tcPr>
            <w:tcW w:w="3212" w:type="dxa"/>
            <w:tcBorders>
              <w:start w:val="single" w:sz="4" w:space="0" w:color="000000"/>
              <w:bottom w:val="single" w:sz="4" w:space="0" w:color="000000"/>
            </w:tcBorders>
          </w:tcPr>
          <w:p>
            <w:pPr>
              <w:pStyle w:val="TableContents"/>
              <w:bidi w:val="0"/>
              <w:jc w:val="start"/>
              <w:rPr/>
            </w:pPr>
            <w:r>
              <w:rPr/>
              <w:t>37</w:t>
            </w:r>
          </w:p>
        </w:tc>
        <w:tc>
          <w:tcPr>
            <w:tcW w:w="3213" w:type="dxa"/>
            <w:tcBorders>
              <w:start w:val="single" w:sz="4" w:space="0" w:color="000000"/>
              <w:bottom w:val="single" w:sz="4" w:space="0" w:color="000000"/>
            </w:tcBorders>
          </w:tcPr>
          <w:p>
            <w:pPr>
              <w:pStyle w:val="TableContents"/>
              <w:bidi w:val="0"/>
              <w:jc w:val="start"/>
              <w:rPr/>
            </w:pPr>
            <w:r>
              <w:rPr/>
              <w:t>55 - VMI Case Study Part 1 (MSFT)</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23:24</w:t>
            </w:r>
          </w:p>
        </w:tc>
      </w:tr>
      <w:tr>
        <w:trPr/>
        <w:tc>
          <w:tcPr>
            <w:tcW w:w="3212" w:type="dxa"/>
            <w:tcBorders>
              <w:start w:val="single" w:sz="4" w:space="0" w:color="000000"/>
              <w:bottom w:val="single" w:sz="4" w:space="0" w:color="000000"/>
            </w:tcBorders>
          </w:tcPr>
          <w:p>
            <w:pPr>
              <w:pStyle w:val="TableContents"/>
              <w:bidi w:val="0"/>
              <w:jc w:val="start"/>
              <w:rPr/>
            </w:pPr>
            <w:r>
              <w:rPr/>
              <w:t>38</w:t>
            </w:r>
          </w:p>
        </w:tc>
        <w:tc>
          <w:tcPr>
            <w:tcW w:w="3213" w:type="dxa"/>
            <w:tcBorders>
              <w:start w:val="single" w:sz="4" w:space="0" w:color="000000"/>
              <w:bottom w:val="single" w:sz="4" w:space="0" w:color="000000"/>
            </w:tcBorders>
          </w:tcPr>
          <w:p>
            <w:pPr>
              <w:pStyle w:val="TableContents"/>
              <w:bidi w:val="0"/>
              <w:jc w:val="start"/>
              <w:rPr/>
            </w:pPr>
            <w:r>
              <w:rPr/>
              <w:t>56 - VMI Case Study Part 2 (MSFT)</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33:16</w:t>
            </w:r>
          </w:p>
        </w:tc>
      </w:tr>
      <w:tr>
        <w:trPr/>
        <w:tc>
          <w:tcPr>
            <w:tcW w:w="3212" w:type="dxa"/>
            <w:tcBorders>
              <w:start w:val="single" w:sz="4" w:space="0" w:color="000000"/>
              <w:bottom w:val="single" w:sz="4" w:space="0" w:color="000000"/>
            </w:tcBorders>
          </w:tcPr>
          <w:p>
            <w:pPr>
              <w:pStyle w:val="TableContents"/>
              <w:bidi w:val="0"/>
              <w:jc w:val="start"/>
              <w:rPr/>
            </w:pPr>
            <w:r>
              <w:rPr/>
              <w:t>39</w:t>
            </w:r>
          </w:p>
        </w:tc>
        <w:tc>
          <w:tcPr>
            <w:tcW w:w="3213" w:type="dxa"/>
            <w:tcBorders>
              <w:start w:val="single" w:sz="4" w:space="0" w:color="000000"/>
              <w:bottom w:val="single" w:sz="4" w:space="0" w:color="000000"/>
            </w:tcBorders>
          </w:tcPr>
          <w:p>
            <w:pPr>
              <w:pStyle w:val="TableContents"/>
              <w:bidi w:val="0"/>
              <w:jc w:val="start"/>
              <w:rPr/>
            </w:pPr>
            <w:r>
              <w:rPr/>
              <w:t>57 - VMI Case Study Part 1 (AMZN)</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21:34</w:t>
            </w:r>
          </w:p>
        </w:tc>
      </w:tr>
      <w:tr>
        <w:trPr/>
        <w:tc>
          <w:tcPr>
            <w:tcW w:w="3212" w:type="dxa"/>
            <w:tcBorders>
              <w:start w:val="single" w:sz="4" w:space="0" w:color="000000"/>
              <w:bottom w:val="single" w:sz="4" w:space="0" w:color="000000"/>
            </w:tcBorders>
          </w:tcPr>
          <w:p>
            <w:pPr>
              <w:pStyle w:val="TableContents"/>
              <w:bidi w:val="0"/>
              <w:jc w:val="start"/>
              <w:rPr/>
            </w:pPr>
            <w:r>
              <w:rPr/>
              <w:t>40</w:t>
            </w:r>
          </w:p>
        </w:tc>
        <w:tc>
          <w:tcPr>
            <w:tcW w:w="3213" w:type="dxa"/>
            <w:tcBorders>
              <w:start w:val="single" w:sz="4" w:space="0" w:color="000000"/>
              <w:bottom w:val="single" w:sz="4" w:space="0" w:color="000000"/>
            </w:tcBorders>
          </w:tcPr>
          <w:p>
            <w:pPr>
              <w:pStyle w:val="TableContents"/>
              <w:bidi w:val="0"/>
              <w:jc w:val="start"/>
              <w:rPr/>
            </w:pPr>
            <w:r>
              <w:rPr/>
              <w:t>58 - VMI Case Study Part 2 (AMZN)</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24:46</w:t>
            </w:r>
          </w:p>
        </w:tc>
      </w:tr>
      <w:tr>
        <w:trPr/>
        <w:tc>
          <w:tcPr>
            <w:tcW w:w="3212" w:type="dxa"/>
            <w:tcBorders>
              <w:start w:val="single" w:sz="4" w:space="0" w:color="000000"/>
              <w:bottom w:val="single" w:sz="4" w:space="0" w:color="000000"/>
            </w:tcBorders>
          </w:tcPr>
          <w:p>
            <w:pPr>
              <w:pStyle w:val="TableContents"/>
              <w:bidi w:val="0"/>
              <w:jc w:val="start"/>
              <w:rPr/>
            </w:pPr>
            <w:r>
              <w:rPr/>
              <w:t>41</w:t>
            </w:r>
          </w:p>
        </w:tc>
        <w:tc>
          <w:tcPr>
            <w:tcW w:w="3213" w:type="dxa"/>
            <w:tcBorders>
              <w:start w:val="single" w:sz="4" w:space="0" w:color="000000"/>
              <w:bottom w:val="single" w:sz="4" w:space="0" w:color="000000"/>
            </w:tcBorders>
          </w:tcPr>
          <w:p>
            <w:pPr>
              <w:pStyle w:val="TableContents"/>
              <w:bidi w:val="0"/>
              <w:jc w:val="start"/>
              <w:rPr/>
            </w:pPr>
            <w:r>
              <w:rPr/>
              <w:t>60 - How to Diversify</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24:48</w:t>
            </w:r>
          </w:p>
        </w:tc>
      </w:tr>
      <w:tr>
        <w:trPr/>
        <w:tc>
          <w:tcPr>
            <w:tcW w:w="3212" w:type="dxa"/>
            <w:tcBorders>
              <w:start w:val="single" w:sz="4" w:space="0" w:color="000000"/>
              <w:bottom w:val="single" w:sz="4" w:space="0" w:color="000000"/>
            </w:tcBorders>
          </w:tcPr>
          <w:p>
            <w:pPr>
              <w:pStyle w:val="TableContents"/>
              <w:bidi w:val="0"/>
              <w:jc w:val="start"/>
              <w:rPr/>
            </w:pPr>
            <w:r>
              <w:rPr/>
              <w:t>42</w:t>
            </w:r>
          </w:p>
        </w:tc>
        <w:tc>
          <w:tcPr>
            <w:tcW w:w="3213" w:type="dxa"/>
            <w:tcBorders>
              <w:start w:val="single" w:sz="4" w:space="0" w:color="000000"/>
              <w:bottom w:val="single" w:sz="4" w:space="0" w:color="000000"/>
            </w:tcBorders>
          </w:tcPr>
          <w:p>
            <w:pPr>
              <w:pStyle w:val="TableContents"/>
              <w:bidi w:val="0"/>
              <w:jc w:val="start"/>
              <w:rPr/>
            </w:pPr>
            <w:r>
              <w:rPr/>
              <w:t>61 - Favourite Sectors</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27:35</w:t>
            </w:r>
          </w:p>
        </w:tc>
      </w:tr>
      <w:tr>
        <w:trPr/>
        <w:tc>
          <w:tcPr>
            <w:tcW w:w="3212" w:type="dxa"/>
            <w:tcBorders>
              <w:start w:val="single" w:sz="4" w:space="0" w:color="000000"/>
              <w:bottom w:val="single" w:sz="4" w:space="0" w:color="000000"/>
            </w:tcBorders>
          </w:tcPr>
          <w:p>
            <w:pPr>
              <w:pStyle w:val="TableContents"/>
              <w:bidi w:val="0"/>
              <w:jc w:val="start"/>
              <w:rPr/>
            </w:pPr>
            <w:r>
              <w:rPr/>
              <w:t>43</w:t>
            </w:r>
          </w:p>
        </w:tc>
        <w:tc>
          <w:tcPr>
            <w:tcW w:w="3213" w:type="dxa"/>
            <w:tcBorders>
              <w:start w:val="single" w:sz="4" w:space="0" w:color="000000"/>
              <w:bottom w:val="single" w:sz="4" w:space="0" w:color="000000"/>
            </w:tcBorders>
          </w:tcPr>
          <w:p>
            <w:pPr>
              <w:pStyle w:val="TableContents"/>
              <w:bidi w:val="0"/>
              <w:jc w:val="start"/>
              <w:rPr/>
            </w:pPr>
            <w:r>
              <w:rPr/>
              <w:t>62 - Dividend &amp; Predictable Stocks</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22:33</w:t>
            </w:r>
          </w:p>
        </w:tc>
      </w:tr>
      <w:tr>
        <w:trPr/>
        <w:tc>
          <w:tcPr>
            <w:tcW w:w="3212" w:type="dxa"/>
            <w:tcBorders>
              <w:start w:val="single" w:sz="4" w:space="0" w:color="000000"/>
              <w:bottom w:val="single" w:sz="4" w:space="0" w:color="000000"/>
            </w:tcBorders>
          </w:tcPr>
          <w:p>
            <w:pPr>
              <w:pStyle w:val="TableContents"/>
              <w:bidi w:val="0"/>
              <w:jc w:val="start"/>
              <w:rPr/>
            </w:pPr>
            <w:r>
              <w:rPr/>
              <w:t>44</w:t>
            </w:r>
          </w:p>
        </w:tc>
        <w:tc>
          <w:tcPr>
            <w:tcW w:w="3213" w:type="dxa"/>
            <w:tcBorders>
              <w:start w:val="single" w:sz="4" w:space="0" w:color="000000"/>
              <w:bottom w:val="single" w:sz="4" w:space="0" w:color="000000"/>
            </w:tcBorders>
          </w:tcPr>
          <w:p>
            <w:pPr>
              <w:pStyle w:val="TableContents"/>
              <w:bidi w:val="0"/>
              <w:jc w:val="start"/>
              <w:rPr/>
            </w:pPr>
            <w:r>
              <w:rPr/>
              <w:t>63 - Growth Stocks &amp; More</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20:49</w:t>
            </w:r>
          </w:p>
        </w:tc>
      </w:tr>
      <w:tr>
        <w:trPr/>
        <w:tc>
          <w:tcPr>
            <w:tcW w:w="3212" w:type="dxa"/>
            <w:tcBorders>
              <w:start w:val="single" w:sz="4" w:space="0" w:color="000000"/>
              <w:bottom w:val="single" w:sz="4" w:space="0" w:color="000000"/>
            </w:tcBorders>
          </w:tcPr>
          <w:p>
            <w:pPr>
              <w:pStyle w:val="TableContents"/>
              <w:bidi w:val="0"/>
              <w:jc w:val="start"/>
              <w:rPr/>
            </w:pPr>
            <w:r>
              <w:rPr/>
              <w:t>45</w:t>
            </w:r>
          </w:p>
        </w:tc>
        <w:tc>
          <w:tcPr>
            <w:tcW w:w="3213" w:type="dxa"/>
            <w:tcBorders>
              <w:start w:val="single" w:sz="4" w:space="0" w:color="000000"/>
              <w:bottom w:val="single" w:sz="4" w:space="0" w:color="000000"/>
            </w:tcBorders>
          </w:tcPr>
          <w:p>
            <w:pPr>
              <w:pStyle w:val="TableContents"/>
              <w:bidi w:val="0"/>
              <w:jc w:val="start"/>
              <w:rPr/>
            </w:pPr>
            <w:r>
              <w:rPr/>
              <w:t>64 - Maximizing Portfolio returns</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23:27</w:t>
            </w:r>
          </w:p>
        </w:tc>
      </w:tr>
      <w:tr>
        <w:trPr/>
        <w:tc>
          <w:tcPr>
            <w:tcW w:w="3212" w:type="dxa"/>
            <w:tcBorders>
              <w:start w:val="single" w:sz="4" w:space="0" w:color="000000"/>
              <w:bottom w:val="single" w:sz="4" w:space="0" w:color="000000"/>
            </w:tcBorders>
          </w:tcPr>
          <w:p>
            <w:pPr>
              <w:pStyle w:val="TableContents"/>
              <w:bidi w:val="0"/>
              <w:jc w:val="start"/>
              <w:rPr/>
            </w:pPr>
            <w:r>
              <w:rPr/>
              <w:t>46</w:t>
            </w:r>
          </w:p>
        </w:tc>
        <w:tc>
          <w:tcPr>
            <w:tcW w:w="3213" w:type="dxa"/>
            <w:tcBorders>
              <w:start w:val="single" w:sz="4" w:space="0" w:color="000000"/>
              <w:bottom w:val="single" w:sz="4" w:space="0" w:color="000000"/>
            </w:tcBorders>
          </w:tcPr>
          <w:p>
            <w:pPr>
              <w:pStyle w:val="TableContents"/>
              <w:bidi w:val="0"/>
              <w:jc w:val="start"/>
              <w:rPr/>
            </w:pPr>
            <w:r>
              <w:rPr/>
              <w:t>66 - Finding Great Stocks</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24:14</w:t>
            </w:r>
          </w:p>
        </w:tc>
      </w:tr>
      <w:tr>
        <w:trPr/>
        <w:tc>
          <w:tcPr>
            <w:tcW w:w="3212" w:type="dxa"/>
            <w:tcBorders>
              <w:start w:val="single" w:sz="4" w:space="0" w:color="000000"/>
              <w:bottom w:val="single" w:sz="4" w:space="0" w:color="000000"/>
            </w:tcBorders>
          </w:tcPr>
          <w:p>
            <w:pPr>
              <w:pStyle w:val="TableContents"/>
              <w:bidi w:val="0"/>
              <w:jc w:val="start"/>
              <w:rPr/>
            </w:pPr>
            <w:r>
              <w:rPr/>
              <w:t>47</w:t>
            </w:r>
          </w:p>
        </w:tc>
        <w:tc>
          <w:tcPr>
            <w:tcW w:w="3213" w:type="dxa"/>
            <w:tcBorders>
              <w:start w:val="single" w:sz="4" w:space="0" w:color="000000"/>
              <w:bottom w:val="single" w:sz="4" w:space="0" w:color="000000"/>
            </w:tcBorders>
          </w:tcPr>
          <w:p>
            <w:pPr>
              <w:pStyle w:val="TableContents"/>
              <w:bidi w:val="0"/>
              <w:jc w:val="start"/>
              <w:rPr/>
            </w:pPr>
            <w:r>
              <w:rPr/>
              <w:t>67 - Stock Screeners</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14:48</w:t>
            </w:r>
          </w:p>
        </w:tc>
      </w:tr>
      <w:tr>
        <w:trPr/>
        <w:tc>
          <w:tcPr>
            <w:tcW w:w="3212" w:type="dxa"/>
            <w:tcBorders>
              <w:start w:val="single" w:sz="4" w:space="0" w:color="000000"/>
              <w:bottom w:val="single" w:sz="4" w:space="0" w:color="000000"/>
            </w:tcBorders>
          </w:tcPr>
          <w:p>
            <w:pPr>
              <w:pStyle w:val="TableContents"/>
              <w:bidi w:val="0"/>
              <w:jc w:val="start"/>
              <w:rPr/>
            </w:pPr>
            <w:r>
              <w:rPr/>
              <w:t>48</w:t>
            </w:r>
          </w:p>
        </w:tc>
        <w:tc>
          <w:tcPr>
            <w:tcW w:w="3213" w:type="dxa"/>
            <w:tcBorders>
              <w:start w:val="single" w:sz="4" w:space="0" w:color="000000"/>
              <w:bottom w:val="single" w:sz="4" w:space="0" w:color="000000"/>
            </w:tcBorders>
          </w:tcPr>
          <w:p>
            <w:pPr>
              <w:pStyle w:val="TableContents"/>
              <w:bidi w:val="0"/>
              <w:jc w:val="start"/>
              <w:rPr/>
            </w:pPr>
            <w:r>
              <w:rPr/>
              <w:t>68 - Monitor Your Portfolio</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29:42</w:t>
            </w:r>
          </w:p>
        </w:tc>
      </w:tr>
      <w:tr>
        <w:trPr/>
        <w:tc>
          <w:tcPr>
            <w:tcW w:w="3212" w:type="dxa"/>
            <w:tcBorders>
              <w:start w:val="single" w:sz="4" w:space="0" w:color="000000"/>
              <w:bottom w:val="single" w:sz="4" w:space="0" w:color="000000"/>
            </w:tcBorders>
          </w:tcPr>
          <w:p>
            <w:pPr>
              <w:pStyle w:val="TableContents"/>
              <w:bidi w:val="0"/>
              <w:jc w:val="start"/>
              <w:rPr/>
            </w:pPr>
            <w:r>
              <w:rPr/>
              <w:t>49</w:t>
            </w:r>
          </w:p>
        </w:tc>
        <w:tc>
          <w:tcPr>
            <w:tcW w:w="3213" w:type="dxa"/>
            <w:tcBorders>
              <w:start w:val="single" w:sz="4" w:space="0" w:color="000000"/>
              <w:bottom w:val="single" w:sz="4" w:space="0" w:color="000000"/>
            </w:tcBorders>
          </w:tcPr>
          <w:p>
            <w:pPr>
              <w:pStyle w:val="TableContents"/>
              <w:bidi w:val="0"/>
              <w:jc w:val="start"/>
              <w:rPr/>
            </w:pPr>
            <w:r>
              <w:rPr/>
              <w:t>69 - Dealing with Drawdowns</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15:30</w:t>
            </w:r>
          </w:p>
        </w:tc>
      </w:tr>
      <w:tr>
        <w:trPr/>
        <w:tc>
          <w:tcPr>
            <w:tcW w:w="3212" w:type="dxa"/>
            <w:tcBorders>
              <w:start w:val="single" w:sz="4" w:space="0" w:color="000000"/>
              <w:bottom w:val="single" w:sz="4" w:space="0" w:color="000000"/>
            </w:tcBorders>
          </w:tcPr>
          <w:p>
            <w:pPr>
              <w:pStyle w:val="TableContents"/>
              <w:bidi w:val="0"/>
              <w:jc w:val="start"/>
              <w:rPr/>
            </w:pPr>
            <w:r>
              <w:rPr/>
              <w:t>50</w:t>
            </w:r>
          </w:p>
        </w:tc>
        <w:tc>
          <w:tcPr>
            <w:tcW w:w="3213" w:type="dxa"/>
            <w:tcBorders>
              <w:start w:val="single" w:sz="4" w:space="0" w:color="000000"/>
              <w:bottom w:val="single" w:sz="4" w:space="0" w:color="000000"/>
            </w:tcBorders>
          </w:tcPr>
          <w:p>
            <w:pPr>
              <w:pStyle w:val="TableContents"/>
              <w:bidi w:val="0"/>
              <w:jc w:val="start"/>
              <w:rPr/>
            </w:pPr>
            <w:r>
              <w:rPr/>
              <w:t>70 - When to Sell Part 1</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22:40</w:t>
            </w:r>
          </w:p>
        </w:tc>
      </w:tr>
      <w:tr>
        <w:trPr/>
        <w:tc>
          <w:tcPr>
            <w:tcW w:w="3212" w:type="dxa"/>
            <w:tcBorders>
              <w:start w:val="single" w:sz="4" w:space="0" w:color="000000"/>
              <w:bottom w:val="single" w:sz="4" w:space="0" w:color="000000"/>
            </w:tcBorders>
          </w:tcPr>
          <w:p>
            <w:pPr>
              <w:pStyle w:val="TableContents"/>
              <w:bidi w:val="0"/>
              <w:jc w:val="start"/>
              <w:rPr/>
            </w:pPr>
            <w:r>
              <w:rPr/>
              <w:t>51</w:t>
            </w:r>
          </w:p>
        </w:tc>
        <w:tc>
          <w:tcPr>
            <w:tcW w:w="3213" w:type="dxa"/>
            <w:tcBorders>
              <w:start w:val="single" w:sz="4" w:space="0" w:color="000000"/>
              <w:bottom w:val="single" w:sz="4" w:space="0" w:color="000000"/>
            </w:tcBorders>
          </w:tcPr>
          <w:p>
            <w:pPr>
              <w:pStyle w:val="TableContents"/>
              <w:bidi w:val="0"/>
              <w:jc w:val="start"/>
              <w:rPr/>
            </w:pPr>
            <w:r>
              <w:rPr/>
              <w:t>71 - When to Sell Part 2</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23:37</w:t>
            </w:r>
          </w:p>
        </w:tc>
      </w:tr>
      <w:tr>
        <w:trPr/>
        <w:tc>
          <w:tcPr>
            <w:tcW w:w="3212" w:type="dxa"/>
            <w:tcBorders>
              <w:start w:val="single" w:sz="4" w:space="0" w:color="000000"/>
              <w:bottom w:val="single" w:sz="4" w:space="0" w:color="000000"/>
            </w:tcBorders>
          </w:tcPr>
          <w:p>
            <w:pPr>
              <w:pStyle w:val="TableContents"/>
              <w:bidi w:val="0"/>
              <w:jc w:val="start"/>
              <w:rPr/>
            </w:pPr>
            <w:r>
              <w:rPr/>
              <w:t>52</w:t>
            </w:r>
          </w:p>
        </w:tc>
        <w:tc>
          <w:tcPr>
            <w:tcW w:w="3213" w:type="dxa"/>
            <w:tcBorders>
              <w:start w:val="single" w:sz="4" w:space="0" w:color="000000"/>
              <w:bottom w:val="single" w:sz="4" w:space="0" w:color="000000"/>
            </w:tcBorders>
          </w:tcPr>
          <w:p>
            <w:pPr>
              <w:pStyle w:val="TableContents"/>
              <w:bidi w:val="0"/>
              <w:jc w:val="start"/>
              <w:rPr/>
            </w:pPr>
            <w:r>
              <w:rPr/>
              <w:t>72 - Reasons Not to Sell</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19:10</w:t>
            </w:r>
          </w:p>
        </w:tc>
      </w:tr>
      <w:tr>
        <w:trPr/>
        <w:tc>
          <w:tcPr>
            <w:tcW w:w="3212" w:type="dxa"/>
            <w:tcBorders>
              <w:start w:val="single" w:sz="4" w:space="0" w:color="000000"/>
              <w:bottom w:val="single" w:sz="4" w:space="0" w:color="000000"/>
            </w:tcBorders>
          </w:tcPr>
          <w:p>
            <w:pPr>
              <w:pStyle w:val="TableContents"/>
              <w:bidi w:val="0"/>
              <w:jc w:val="start"/>
              <w:rPr/>
            </w:pPr>
            <w:r>
              <w:rPr/>
              <w:t>53</w:t>
            </w:r>
          </w:p>
        </w:tc>
        <w:tc>
          <w:tcPr>
            <w:tcW w:w="3213" w:type="dxa"/>
            <w:tcBorders>
              <w:start w:val="single" w:sz="4" w:space="0" w:color="000000"/>
              <w:bottom w:val="single" w:sz="4" w:space="0" w:color="000000"/>
            </w:tcBorders>
          </w:tcPr>
          <w:p>
            <w:pPr>
              <w:pStyle w:val="TableContents"/>
              <w:bidi w:val="0"/>
              <w:jc w:val="start"/>
              <w:rPr/>
            </w:pPr>
            <w:r>
              <w:rPr/>
              <w:t>74 - Part 1 (Investor Psychology)</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25:18</w:t>
            </w:r>
          </w:p>
        </w:tc>
      </w:tr>
      <w:tr>
        <w:trPr/>
        <w:tc>
          <w:tcPr>
            <w:tcW w:w="3212" w:type="dxa"/>
            <w:tcBorders>
              <w:start w:val="single" w:sz="4" w:space="0" w:color="000000"/>
              <w:bottom w:val="single" w:sz="4" w:space="0" w:color="000000"/>
            </w:tcBorders>
          </w:tcPr>
          <w:p>
            <w:pPr>
              <w:pStyle w:val="TableContents"/>
              <w:bidi w:val="0"/>
              <w:jc w:val="start"/>
              <w:rPr/>
            </w:pPr>
            <w:r>
              <w:rPr/>
              <w:t>54</w:t>
            </w:r>
          </w:p>
        </w:tc>
        <w:tc>
          <w:tcPr>
            <w:tcW w:w="3213" w:type="dxa"/>
            <w:tcBorders>
              <w:start w:val="single" w:sz="4" w:space="0" w:color="000000"/>
              <w:bottom w:val="single" w:sz="4" w:space="0" w:color="000000"/>
            </w:tcBorders>
          </w:tcPr>
          <w:p>
            <w:pPr>
              <w:pStyle w:val="TableContents"/>
              <w:bidi w:val="0"/>
              <w:jc w:val="start"/>
              <w:rPr/>
            </w:pPr>
            <w:r>
              <w:rPr/>
              <w:t>75 - Part 2 (Investor Psychology)</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23:18</w:t>
            </w:r>
          </w:p>
        </w:tc>
      </w:tr>
      <w:tr>
        <w:trPr/>
        <w:tc>
          <w:tcPr>
            <w:tcW w:w="3212" w:type="dxa"/>
            <w:tcBorders>
              <w:start w:val="single" w:sz="4" w:space="0" w:color="000000"/>
              <w:bottom w:val="single" w:sz="4" w:space="0" w:color="000000"/>
            </w:tcBorders>
          </w:tcPr>
          <w:p>
            <w:pPr>
              <w:pStyle w:val="TableContents"/>
              <w:bidi w:val="0"/>
              <w:jc w:val="start"/>
              <w:rPr/>
            </w:pPr>
            <w:r>
              <w:rPr/>
              <w:t>55</w:t>
            </w:r>
          </w:p>
        </w:tc>
        <w:tc>
          <w:tcPr>
            <w:tcW w:w="3213" w:type="dxa"/>
            <w:tcBorders>
              <w:start w:val="single" w:sz="4" w:space="0" w:color="000000"/>
              <w:bottom w:val="single" w:sz="4" w:space="0" w:color="000000"/>
            </w:tcBorders>
          </w:tcPr>
          <w:p>
            <w:pPr>
              <w:pStyle w:val="TableContents"/>
              <w:bidi w:val="0"/>
              <w:jc w:val="start"/>
              <w:rPr/>
            </w:pPr>
            <w:r>
              <w:rPr/>
              <w:t>76 - Part 3 (Investor Psychology)</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35:50</w:t>
            </w:r>
          </w:p>
        </w:tc>
      </w:tr>
    </w:tbl>
    <w:p>
      <w:pPr>
        <w:pStyle w:val="BodyText"/>
        <w:bidi w:val="0"/>
        <w:jc w:val="start"/>
        <w:rPr/>
      </w:pPr>
      <w:r>
        <w:rPr/>
      </w:r>
    </w:p>
    <w:p>
      <w:pPr>
        <w:pStyle w:val="HorizontalLine"/>
        <w:bidi w:val="0"/>
        <w:jc w:val="start"/>
        <w:rPr/>
      </w:pPr>
      <w:r>
        <w:rPr/>
      </w:r>
    </w:p>
    <w:p>
      <w:pPr>
        <w:pStyle w:val="BodyText"/>
        <w:bidi w:val="0"/>
        <w:jc w:val="start"/>
        <w:rPr/>
      </w:pPr>
      <w:r>
        <w:rPr>
          <w:i/>
        </w:rPr>
        <w:t>Compiled from full transcription of all source videos. All figures, thresholds, and examples are as stated by the instructor in the lessons.</w:t>
      </w:r>
    </w:p>
    <w:p>
      <w:pPr>
        <w:pStyle w:val="BodyText"/>
        <w:bidi w:val="0"/>
        <w:spacing w:before="0" w:after="140"/>
        <w:jc w:val="start"/>
        <w:rPr/>
      </w:pPr>
      <w:r>
        <w:rPr/>
      </w:r>
    </w:p>
    <w:sectPr>
      <w:type w:val="nextPage"/>
      <w:pgSz w:w="11906" w:h="16838"/>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OpenSymbol">
    <w:altName w:val="Arial Unicode MS"/>
    <w:charset w:val="02"/>
    <w:family w:val="auto"/>
    <w:pitch w:val="default"/>
  </w:font>
  <w:font w:name="Liberation Sans">
    <w:altName w:val="Arial"/>
    <w:charset w:val="01" w:characterSet="utf-8"/>
    <w:family w:val="swiss"/>
    <w:pitch w:val="variable"/>
  </w:font>
  <w:font w:name="Liberation Mono">
    <w:altName w:val="Courier New"/>
    <w:charset w:val="01" w:characterSet="utf-8"/>
    <w:family w:val="modern"/>
    <w:pitch w:val="fixed"/>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pStyle w:val="Heading4"/>
      <w:suff w:val="nothing"/>
      <w:lvlText w:val=""/>
      <w:lvlJc w:val="start"/>
      <w:pPr>
        <w:tabs>
          <w:tab w:val="num" w:pos="0"/>
        </w:tabs>
        <w:ind w:start="0" w:hanging="0"/>
      </w:pPr>
    </w:lvl>
    <w:lvl w:ilvl="4">
      <w:start w:val="1"/>
      <w:numFmt w:val="none"/>
      <w:pStyle w:val="Heading5"/>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
    <w:lvl w:ilvl="0">
      <w:start w:val="1"/>
      <w:numFmt w:val="bullet"/>
      <w:lvlText w:val=""/>
      <w:lvlJc w:val="start"/>
      <w:pPr>
        <w:tabs>
          <w:tab w:val="num" w:pos="709"/>
        </w:tabs>
        <w:ind w:start="709" w:hanging="283"/>
      </w:pPr>
      <w:rPr>
        <w:rFonts w:ascii="Symbol" w:hAnsi="Symbol" w:cs="Symbol" w:hint="default"/>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2">
    <w:lvl w:ilvl="0">
      <w:start w:val="1"/>
      <w:numFmt w:val="decimal"/>
      <w:lvlText w:val="%1."/>
      <w:lvlJc w:val="start"/>
      <w:pPr>
        <w:tabs>
          <w:tab w:val="num" w:pos="709"/>
        </w:tabs>
        <w:ind w:start="709" w:hanging="283"/>
      </w:pPr>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3">
    <w:lvl w:ilvl="0">
      <w:start w:val="1"/>
      <w:numFmt w:val="decimal"/>
      <w:lvlText w:val="%1."/>
      <w:lvlJc w:val="start"/>
      <w:pPr>
        <w:tabs>
          <w:tab w:val="num" w:pos="709"/>
        </w:tabs>
        <w:ind w:start="709" w:hanging="283"/>
      </w:pPr>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1">
    <w:lvl w:ilvl="0">
      <w:start w:val="1"/>
      <w:numFmt w:val="decimal"/>
      <w:lvlText w:val="%1."/>
      <w:lvlJc w:val="start"/>
      <w:pPr>
        <w:tabs>
          <w:tab w:val="num" w:pos="709"/>
        </w:tabs>
        <w:ind w:start="709" w:hanging="283"/>
      </w:pPr>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3">
    <w:lvl w:ilvl="0">
      <w:start w:val="1"/>
      <w:numFmt w:val="bullet"/>
      <w:lvlText w:val=""/>
      <w:lvlJc w:val="start"/>
      <w:pPr>
        <w:tabs>
          <w:tab w:val="num" w:pos="709"/>
        </w:tabs>
        <w:ind w:start="709" w:hanging="283"/>
      </w:pPr>
      <w:rPr>
        <w:rFonts w:ascii="Symbol" w:hAnsi="Symbol" w:cs="Symbol" w:hint="default"/>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44">
    <w:lvl w:ilvl="0">
      <w:start w:val="1"/>
      <w:numFmt w:val="decimal"/>
      <w:lvlText w:val="%1."/>
      <w:lvlJc w:val="start"/>
      <w:pPr>
        <w:tabs>
          <w:tab w:val="num" w:pos="709"/>
        </w:tabs>
        <w:ind w:start="709" w:hanging="283"/>
      </w:pPr>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5">
    <w:lvl w:ilvl="0">
      <w:start w:val="1"/>
      <w:numFmt w:val="bullet"/>
      <w:lvlText w:val=""/>
      <w:lvlJc w:val="start"/>
      <w:pPr>
        <w:tabs>
          <w:tab w:val="num" w:pos="709"/>
        </w:tabs>
        <w:ind w:start="709" w:hanging="283"/>
      </w:pPr>
      <w:rPr>
        <w:rFonts w:ascii="Symbol" w:hAnsi="Symbol" w:cs="Symbol" w:hint="default"/>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4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5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6">
    <w:lvl w:ilvl="0">
      <w:start w:val="1"/>
      <w:numFmt w:val="decimal"/>
      <w:lvlText w:val="%1."/>
      <w:lvlJc w:val="start"/>
      <w:pPr>
        <w:tabs>
          <w:tab w:val="num" w:pos="709"/>
        </w:tabs>
        <w:ind w:start="709" w:hanging="283"/>
      </w:pPr>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8">
    <w:lvl w:ilvl="0">
      <w:start w:val="1"/>
      <w:numFmt w:val="decimal"/>
      <w:lvlText w:val="%1."/>
      <w:lvlJc w:val="start"/>
      <w:pPr>
        <w:tabs>
          <w:tab w:val="num" w:pos="709"/>
        </w:tabs>
        <w:ind w:start="709" w:hanging="283"/>
      </w:pPr>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5">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6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5">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7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7">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7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9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9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9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9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9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9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9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9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9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9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0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01">
    <w:lvl w:ilvl="0">
      <w:start w:val="1"/>
      <w:numFmt w:val="decimal"/>
      <w:lvlText w:val="%1."/>
      <w:lvlJc w:val="start"/>
      <w:pPr>
        <w:tabs>
          <w:tab w:val="num" w:pos="709"/>
        </w:tabs>
        <w:ind w:start="709" w:hanging="283"/>
      </w:pPr>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0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03">
    <w:lvl w:ilvl="0">
      <w:start w:val="1"/>
      <w:numFmt w:val="decimal"/>
      <w:lvlText w:val="%1."/>
      <w:lvlJc w:val="start"/>
      <w:pPr>
        <w:tabs>
          <w:tab w:val="num" w:pos="709"/>
        </w:tabs>
        <w:ind w:start="709" w:hanging="283"/>
      </w:pPr>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0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0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0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0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0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0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1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1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1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1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1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1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1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1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1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1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2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2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2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2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2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2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2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2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2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2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3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3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3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3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3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3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3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37">
    <w:lvl w:ilvl="0">
      <w:start w:val="1"/>
      <w:numFmt w:val="bullet"/>
      <w:lvlText w:val=""/>
      <w:lvlJc w:val="start"/>
      <w:pPr>
        <w:tabs>
          <w:tab w:val="num" w:pos="709"/>
        </w:tabs>
        <w:ind w:start="709" w:hanging="283"/>
      </w:pPr>
      <w:rPr>
        <w:rFonts w:ascii="Symbol" w:hAnsi="Symbol" w:cs="Symbol" w:hint="default"/>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3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3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4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4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4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4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4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4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4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4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4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4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50">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5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5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5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5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5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5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57">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5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5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6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6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62">
    <w:lvl w:ilvl="0">
      <w:start w:val="1"/>
      <w:numFmt w:val="decimal"/>
      <w:lvlText w:val="%1."/>
      <w:lvlJc w:val="start"/>
      <w:pPr>
        <w:tabs>
          <w:tab w:val="num" w:pos="709"/>
        </w:tabs>
        <w:ind w:start="709" w:hanging="283"/>
      </w:pPr>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6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6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65">
    <w:lvl w:ilvl="0">
      <w:start w:val="1"/>
      <w:numFmt w:val="bullet"/>
      <w:lvlText w:val=""/>
      <w:lvlJc w:val="start"/>
      <w:pPr>
        <w:tabs>
          <w:tab w:val="num" w:pos="709"/>
        </w:tabs>
        <w:ind w:start="709" w:hanging="283"/>
      </w:pPr>
      <w:rPr>
        <w:rFonts w:ascii="Symbol" w:hAnsi="Symbol" w:cs="Symbol" w:hint="default"/>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6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67">
    <w:lvl w:ilvl="0">
      <w:start w:val="1"/>
      <w:numFmt w:val="decimal"/>
      <w:lvlText w:val="%1."/>
      <w:lvlJc w:val="start"/>
      <w:pPr>
        <w:tabs>
          <w:tab w:val="num" w:pos="709"/>
        </w:tabs>
        <w:ind w:start="709" w:hanging="283"/>
      </w:pPr>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6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6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7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7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7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7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7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7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7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7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7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7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8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8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8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83">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8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8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8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87">
    <w:lvl w:ilvl="0">
      <w:start w:val="1"/>
      <w:numFmt w:val="bullet"/>
      <w:lvlText w:val=""/>
      <w:lvlJc w:val="start"/>
      <w:pPr>
        <w:tabs>
          <w:tab w:val="num" w:pos="709"/>
        </w:tabs>
        <w:ind w:start="709" w:hanging="283"/>
      </w:pPr>
      <w:rPr>
        <w:rFonts w:ascii="Symbol" w:hAnsi="Symbol" w:cs="Symbol" w:hint="default"/>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88">
    <w:lvl w:ilvl="0">
      <w:start w:val="1"/>
      <w:numFmt w:val="bullet"/>
      <w:lvlText w:val=""/>
      <w:lvlJc w:val="start"/>
      <w:pPr>
        <w:tabs>
          <w:tab w:val="num" w:pos="709"/>
        </w:tabs>
        <w:ind w:start="709" w:hanging="283"/>
      </w:pPr>
      <w:rPr>
        <w:rFonts w:ascii="Symbol" w:hAnsi="Symbol" w:cs="Symbol" w:hint="default"/>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8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9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9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9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9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9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9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9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9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98">
    <w:lvl w:ilvl="0">
      <w:start w:val="1"/>
      <w:numFmt w:val="bullet"/>
      <w:lvlText w:val=""/>
      <w:lvlJc w:val="start"/>
      <w:pPr>
        <w:tabs>
          <w:tab w:val="num" w:pos="709"/>
        </w:tabs>
        <w:ind w:start="709" w:hanging="283"/>
      </w:pPr>
      <w:rPr>
        <w:rFonts w:ascii="Symbol" w:hAnsi="Symbol" w:cs="Symbol" w:hint="default"/>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99">
    <w:lvl w:ilvl="0">
      <w:start w:val="1"/>
      <w:numFmt w:val="bullet"/>
      <w:lvlText w:val=""/>
      <w:lvlJc w:val="start"/>
      <w:pPr>
        <w:tabs>
          <w:tab w:val="num" w:pos="709"/>
        </w:tabs>
        <w:ind w:start="709" w:hanging="283"/>
      </w:pPr>
      <w:rPr>
        <w:rFonts w:ascii="Symbol" w:hAnsi="Symbol" w:cs="Symbol" w:hint="default"/>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20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0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0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0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0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0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0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0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0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0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1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11">
    <w:lvl w:ilvl="0">
      <w:start w:val="1"/>
      <w:numFmt w:val="decimal"/>
      <w:lvlText w:val="%1."/>
      <w:lvlJc w:val="start"/>
      <w:pPr>
        <w:tabs>
          <w:tab w:val="num" w:pos="709"/>
        </w:tabs>
        <w:ind w:start="709" w:hanging="283"/>
      </w:pPr>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1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1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1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15">
    <w:lvl w:ilvl="0">
      <w:start w:val="1"/>
      <w:numFmt w:val="decimal"/>
      <w:lvlText w:val="%1."/>
      <w:lvlJc w:val="start"/>
      <w:pPr>
        <w:tabs>
          <w:tab w:val="num" w:pos="709"/>
        </w:tabs>
        <w:ind w:start="709" w:hanging="283"/>
      </w:pPr>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16">
    <w:lvl w:ilvl="0">
      <w:start w:val="1"/>
      <w:numFmt w:val="decimal"/>
      <w:lvlText w:val="%1."/>
      <w:lvlJc w:val="start"/>
      <w:pPr>
        <w:tabs>
          <w:tab w:val="num" w:pos="709"/>
        </w:tabs>
        <w:ind w:start="709" w:hanging="283"/>
      </w:pPr>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1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18">
    <w:lvl w:ilvl="0">
      <w:start w:val="1"/>
      <w:numFmt w:val="bullet"/>
      <w:lvlText w:val=""/>
      <w:lvlJc w:val="start"/>
      <w:pPr>
        <w:tabs>
          <w:tab w:val="num" w:pos="709"/>
        </w:tabs>
        <w:ind w:start="709" w:hanging="283"/>
      </w:pPr>
      <w:rPr>
        <w:rFonts w:ascii="Symbol" w:hAnsi="Symbol" w:cs="Symbol" w:hint="default"/>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219">
    <w:lvl w:ilvl="0">
      <w:start w:val="1"/>
      <w:numFmt w:val="bullet"/>
      <w:lvlText w:val=""/>
      <w:lvlJc w:val="start"/>
      <w:pPr>
        <w:tabs>
          <w:tab w:val="num" w:pos="709"/>
        </w:tabs>
        <w:ind w:start="709" w:hanging="283"/>
      </w:pPr>
      <w:rPr>
        <w:rFonts w:ascii="Symbol" w:hAnsi="Symbol" w:cs="Symbol" w:hint="default"/>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220">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22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2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23">
    <w:lvl w:ilvl="0">
      <w:start w:val="1"/>
      <w:numFmt w:val="decimal"/>
      <w:lvlText w:val="%1."/>
      <w:lvlJc w:val="start"/>
      <w:pPr>
        <w:tabs>
          <w:tab w:val="num" w:pos="709"/>
        </w:tabs>
        <w:ind w:start="709" w:hanging="283"/>
      </w:pPr>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2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2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2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2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2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2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30">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231">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23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3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3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3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3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3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38">
    <w:lvl w:ilvl="0">
      <w:start w:val="1"/>
      <w:numFmt w:val="bullet"/>
      <w:lvlText w:val=""/>
      <w:lvlJc w:val="start"/>
      <w:pPr>
        <w:tabs>
          <w:tab w:val="num" w:pos="709"/>
        </w:tabs>
        <w:ind w:start="709" w:hanging="283"/>
      </w:pPr>
      <w:rPr>
        <w:rFonts w:ascii="Symbol" w:hAnsi="Symbol" w:cs="Symbol" w:hint="default"/>
      </w:rPr>
    </w:lvl>
    <w:lvl w:ilvl="1">
      <w:start w:val="1"/>
      <w:numFmt w:val="decimal"/>
      <w:lvlText w:val="%2."/>
      <w:lvlJc w:val="start"/>
      <w:pPr>
        <w:tabs>
          <w:tab w:val="num" w:pos="1418"/>
        </w:tabs>
        <w:ind w:start="1418" w:hanging="283"/>
      </w:pPr>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3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4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4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4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4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4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4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4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4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4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4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5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5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5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5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5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5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5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57">
    <w:lvl w:ilvl="0">
      <w:start w:val="1"/>
      <w:numFmt w:val="decimal"/>
      <w:lvlText w:val="%1."/>
      <w:lvlJc w:val="start"/>
      <w:pPr>
        <w:tabs>
          <w:tab w:val="num" w:pos="709"/>
        </w:tabs>
        <w:ind w:start="709" w:hanging="283"/>
      </w:pPr>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5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5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6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61">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26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6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64">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26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66">
    <w:lvl w:ilvl="0">
      <w:start w:val="1"/>
      <w:numFmt w:val="bullet"/>
      <w:lvlText w:val=""/>
      <w:lvlJc w:val="start"/>
      <w:pPr>
        <w:tabs>
          <w:tab w:val="num" w:pos="709"/>
        </w:tabs>
        <w:ind w:start="709" w:hanging="283"/>
      </w:pPr>
      <w:rPr>
        <w:rFonts w:ascii="Symbol" w:hAnsi="Symbol" w:cs="Symbol" w:hint="default"/>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267">
    <w:lvl w:ilvl="0">
      <w:start w:val="1"/>
      <w:numFmt w:val="bullet"/>
      <w:lvlText w:val=""/>
      <w:lvlJc w:val="start"/>
      <w:pPr>
        <w:tabs>
          <w:tab w:val="num" w:pos="709"/>
        </w:tabs>
        <w:ind w:start="709" w:hanging="283"/>
      </w:pPr>
      <w:rPr>
        <w:rFonts w:ascii="Symbol" w:hAnsi="Symbol" w:cs="Symbol" w:hint="default"/>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26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6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7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7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7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73">
    <w:lvl w:ilvl="0">
      <w:start w:val="1"/>
      <w:numFmt w:val="decimal"/>
      <w:lvlText w:val="%1."/>
      <w:lvlJc w:val="start"/>
      <w:pPr>
        <w:tabs>
          <w:tab w:val="num" w:pos="709"/>
        </w:tabs>
        <w:ind w:start="709" w:hanging="283"/>
      </w:pPr>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74">
    <w:lvl w:ilvl="0">
      <w:start w:val="1"/>
      <w:numFmt w:val="decimal"/>
      <w:lvlText w:val="%1."/>
      <w:lvlJc w:val="start"/>
      <w:pPr>
        <w:tabs>
          <w:tab w:val="num" w:pos="709"/>
        </w:tabs>
        <w:ind w:start="709" w:hanging="283"/>
      </w:pPr>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7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7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77">
    <w:lvl w:ilvl="0">
      <w:start w:val="1"/>
      <w:numFmt w:val="decimal"/>
      <w:lvlText w:val="%1."/>
      <w:lvlJc w:val="start"/>
      <w:pPr>
        <w:tabs>
          <w:tab w:val="num" w:pos="709"/>
        </w:tabs>
        <w:ind w:start="709" w:hanging="283"/>
      </w:pPr>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7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79">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280">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28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82">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28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8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8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8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8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8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8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9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9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92">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293">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29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9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9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9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98">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29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0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0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0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0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0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0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0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0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0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0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10">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31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1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1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1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15">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316">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31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1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19">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32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2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2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2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2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2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2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2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2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2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3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3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32">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333">
    <w:lvl w:ilvl="0">
      <w:start w:val="1"/>
      <w:numFmt w:val="bullet"/>
      <w:lvlText w:val=""/>
      <w:lvlJc w:val="start"/>
      <w:pPr>
        <w:tabs>
          <w:tab w:val="num" w:pos="709"/>
        </w:tabs>
        <w:ind w:start="709" w:hanging="283"/>
      </w:pPr>
      <w:rPr>
        <w:rFonts w:ascii="Symbol" w:hAnsi="Symbol" w:cs="Symbol" w:hint="default"/>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33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35">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33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37">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33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3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40">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34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42">
    <w:lvl w:ilvl="0">
      <w:start w:val="1"/>
      <w:numFmt w:val="decimal"/>
      <w:lvlText w:val="%1."/>
      <w:lvlJc w:val="start"/>
      <w:pPr>
        <w:tabs>
          <w:tab w:val="num" w:pos="709"/>
        </w:tabs>
        <w:ind w:start="709" w:hanging="283"/>
      </w:pPr>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4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44">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34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46">
    <w:lvl w:ilvl="0">
      <w:start w:val="1"/>
      <w:numFmt w:val="bullet"/>
      <w:lvlText w:val=""/>
      <w:lvlJc w:val="start"/>
      <w:pPr>
        <w:tabs>
          <w:tab w:val="num" w:pos="709"/>
        </w:tabs>
        <w:ind w:start="709" w:hanging="283"/>
      </w:pPr>
      <w:rPr>
        <w:rFonts w:ascii="Symbol" w:hAnsi="Symbol" w:cs="Symbol" w:hint="default"/>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34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4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4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50">
    <w:lvl w:ilvl="0">
      <w:start w:val="1"/>
      <w:numFmt w:val="decimal"/>
      <w:lvlText w:val="%1."/>
      <w:lvlJc w:val="start"/>
      <w:pPr>
        <w:tabs>
          <w:tab w:val="num" w:pos="709"/>
        </w:tabs>
        <w:ind w:start="709" w:hanging="283"/>
      </w:pPr>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5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5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5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5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5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5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5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5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59">
    <w:lvl w:ilvl="0">
      <w:start w:val="1"/>
      <w:numFmt w:val="bullet"/>
      <w:lvlText w:val=""/>
      <w:lvlJc w:val="start"/>
      <w:pPr>
        <w:tabs>
          <w:tab w:val="num" w:pos="709"/>
        </w:tabs>
        <w:ind w:start="709" w:hanging="283"/>
      </w:pPr>
      <w:rPr>
        <w:rFonts w:ascii="Symbol" w:hAnsi="Symbol" w:cs="Symbol" w:hint="default"/>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36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61">
    <w:lvl w:ilvl="0">
      <w:start w:val="1"/>
      <w:numFmt w:val="bullet"/>
      <w:lvlText w:val=""/>
      <w:lvlJc w:val="start"/>
      <w:pPr>
        <w:tabs>
          <w:tab w:val="num" w:pos="709"/>
        </w:tabs>
        <w:ind w:start="709" w:hanging="283"/>
      </w:pPr>
      <w:rPr>
        <w:rFonts w:ascii="Symbol" w:hAnsi="Symbol" w:cs="Symbol" w:hint="default"/>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36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6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6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6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6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6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6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6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7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7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72">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373">
    <w:lvl w:ilvl="0">
      <w:start w:val="1"/>
      <w:numFmt w:val="decimal"/>
      <w:lvlText w:val="%1."/>
      <w:lvlJc w:val="start"/>
      <w:pPr>
        <w:tabs>
          <w:tab w:val="num" w:pos="709"/>
        </w:tabs>
        <w:ind w:start="709" w:hanging="283"/>
      </w:pPr>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7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7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76">
    <w:lvl w:ilvl="0">
      <w:start w:val="1"/>
      <w:numFmt w:val="bullet"/>
      <w:lvlText w:val=""/>
      <w:lvlJc w:val="start"/>
      <w:pPr>
        <w:tabs>
          <w:tab w:val="num" w:pos="709"/>
        </w:tabs>
        <w:ind w:start="709" w:hanging="283"/>
      </w:pPr>
      <w:rPr>
        <w:rFonts w:ascii="Symbol" w:hAnsi="Symbol" w:cs="Symbol" w:hint="default"/>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37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7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7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80">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38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82">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383">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384">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385">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386">
    <w:lvl w:ilvl="0">
      <w:start w:val="1"/>
      <w:numFmt w:val="decimal"/>
      <w:lvlText w:val="%1."/>
      <w:lvlJc w:val="start"/>
      <w:pPr>
        <w:tabs>
          <w:tab w:val="num" w:pos="709"/>
        </w:tabs>
        <w:ind w:start="709" w:hanging="283"/>
      </w:pPr>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87">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388">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389">
    <w:lvl w:ilvl="0">
      <w:start w:val="1"/>
      <w:numFmt w:val="decimal"/>
      <w:lvlText w:val="%1."/>
      <w:lvlJc w:val="start"/>
      <w:pPr>
        <w:tabs>
          <w:tab w:val="num" w:pos="709"/>
        </w:tabs>
        <w:ind w:start="709" w:hanging="283"/>
      </w:pPr>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9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9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92">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39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9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9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9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9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98">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39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0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01">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40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0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04">
    <w:lvl w:ilvl="0">
      <w:start w:val="1"/>
      <w:numFmt w:val="bullet"/>
      <w:lvlText w:val=""/>
      <w:lvlJc w:val="start"/>
      <w:pPr>
        <w:tabs>
          <w:tab w:val="num" w:pos="709"/>
        </w:tabs>
        <w:ind w:start="709" w:hanging="283"/>
      </w:pPr>
      <w:rPr>
        <w:rFonts w:ascii="Symbol" w:hAnsi="Symbol" w:cs="Symbol" w:hint="default"/>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40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0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07">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40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0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1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1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1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1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1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1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1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1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1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1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2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2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22">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42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2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25">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42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2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2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2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3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3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3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3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3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35">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43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3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3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3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4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4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4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43">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44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4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4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4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4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4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5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5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52">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45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5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55">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45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5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5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5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6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6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62">
    <w:lvl w:ilvl="0">
      <w:start w:val="1"/>
      <w:numFmt w:val="bullet"/>
      <w:lvlText w:val=""/>
      <w:lvlJc w:val="start"/>
      <w:pPr>
        <w:tabs>
          <w:tab w:val="num" w:pos="709"/>
        </w:tabs>
        <w:ind w:start="709" w:hanging="283"/>
      </w:pPr>
      <w:rPr>
        <w:rFonts w:ascii="Symbol" w:hAnsi="Symbol" w:cs="Symbol" w:hint="default"/>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46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6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6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6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6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6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69">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47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7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7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7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7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7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7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77">
    <w:lvl w:ilvl="0">
      <w:start w:val="1"/>
      <w:numFmt w:val="bullet"/>
      <w:lvlText w:val=""/>
      <w:lvlJc w:val="start"/>
      <w:pPr>
        <w:tabs>
          <w:tab w:val="num" w:pos="709"/>
        </w:tabs>
        <w:ind w:start="709" w:hanging="283"/>
      </w:pPr>
      <w:rPr>
        <w:rFonts w:ascii="Symbol" w:hAnsi="Symbol" w:cs="Symbol" w:hint="default"/>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47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7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8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8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8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8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8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8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86">
    <w:lvl w:ilvl="0">
      <w:start w:val="1"/>
      <w:numFmt w:val="decimal"/>
      <w:lvlText w:val="%1."/>
      <w:lvlJc w:val="start"/>
      <w:pPr>
        <w:tabs>
          <w:tab w:val="num" w:pos="709"/>
        </w:tabs>
        <w:ind w:start="709" w:hanging="283"/>
      </w:pPr>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8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8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8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9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9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9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9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9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9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9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9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9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9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0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0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0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0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0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0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0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07">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50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0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1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1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12">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51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14">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51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1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17">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51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1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2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21">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52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2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2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25">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52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2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28">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52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30">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53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3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3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3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3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36">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537">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53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39">
    <w:lvl w:ilvl="0">
      <w:start w:val="1"/>
      <w:numFmt w:val="decimal"/>
      <w:lvlText w:val="%1."/>
      <w:lvlJc w:val="start"/>
      <w:pPr>
        <w:tabs>
          <w:tab w:val="num" w:pos="709"/>
        </w:tabs>
        <w:ind w:start="709" w:hanging="283"/>
      </w:pPr>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4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4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42">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54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4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4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4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4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4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4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5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51">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55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5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54">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55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5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57">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55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5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6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6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6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63">
    <w:lvl w:ilvl="0">
      <w:start w:val="1"/>
      <w:numFmt w:val="decimal"/>
      <w:lvlText w:val="%1."/>
      <w:lvlJc w:val="start"/>
      <w:pPr>
        <w:tabs>
          <w:tab w:val="num" w:pos="709"/>
        </w:tabs>
        <w:ind w:start="709" w:hanging="283"/>
      </w:pPr>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6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6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6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6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6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6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7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71">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57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7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7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7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7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7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7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7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8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8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8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8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8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8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8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8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8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8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9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9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9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9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9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9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96">
    <w:lvl w:ilvl="0">
      <w:start w:val="1"/>
      <w:numFmt w:val="bullet"/>
      <w:lvlText w:val=""/>
      <w:lvlJc w:val="start"/>
      <w:pPr>
        <w:tabs>
          <w:tab w:val="num" w:pos="709"/>
        </w:tabs>
        <w:ind w:start="709" w:hanging="283"/>
      </w:pPr>
      <w:rPr>
        <w:rFonts w:ascii="Symbol" w:hAnsi="Symbol" w:cs="Symbol" w:hint="default"/>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59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9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99">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60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0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0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0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0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0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 w:numId="139">
    <w:abstractNumId w:val="139"/>
  </w:num>
  <w:num w:numId="140">
    <w:abstractNumId w:val="140"/>
  </w:num>
  <w:num w:numId="141">
    <w:abstractNumId w:val="141"/>
  </w:num>
  <w:num w:numId="142">
    <w:abstractNumId w:val="142"/>
  </w:num>
  <w:num w:numId="143">
    <w:abstractNumId w:val="143"/>
  </w:num>
  <w:num w:numId="144">
    <w:abstractNumId w:val="144"/>
  </w:num>
  <w:num w:numId="145">
    <w:abstractNumId w:val="145"/>
  </w:num>
  <w:num w:numId="146">
    <w:abstractNumId w:val="146"/>
  </w:num>
  <w:num w:numId="147">
    <w:abstractNumId w:val="147"/>
  </w:num>
  <w:num w:numId="148">
    <w:abstractNumId w:val="148"/>
  </w:num>
  <w:num w:numId="149">
    <w:abstractNumId w:val="149"/>
  </w:num>
  <w:num w:numId="150">
    <w:abstractNumId w:val="150"/>
  </w:num>
  <w:num w:numId="151">
    <w:abstractNumId w:val="151"/>
  </w:num>
  <w:num w:numId="152">
    <w:abstractNumId w:val="152"/>
  </w:num>
  <w:num w:numId="153">
    <w:abstractNumId w:val="153"/>
  </w:num>
  <w:num w:numId="154">
    <w:abstractNumId w:val="154"/>
  </w:num>
  <w:num w:numId="155">
    <w:abstractNumId w:val="155"/>
  </w:num>
  <w:num w:numId="156">
    <w:abstractNumId w:val="156"/>
  </w:num>
  <w:num w:numId="157">
    <w:abstractNumId w:val="157"/>
  </w:num>
  <w:num w:numId="158">
    <w:abstractNumId w:val="158"/>
  </w:num>
  <w:num w:numId="159">
    <w:abstractNumId w:val="159"/>
  </w:num>
  <w:num w:numId="160">
    <w:abstractNumId w:val="160"/>
  </w:num>
  <w:num w:numId="161">
    <w:abstractNumId w:val="161"/>
  </w:num>
  <w:num w:numId="162">
    <w:abstractNumId w:val="162"/>
  </w:num>
  <w:num w:numId="163">
    <w:abstractNumId w:val="163"/>
  </w:num>
  <w:num w:numId="164">
    <w:abstractNumId w:val="164"/>
  </w:num>
  <w:num w:numId="165">
    <w:abstractNumId w:val="165"/>
  </w:num>
  <w:num w:numId="166">
    <w:abstractNumId w:val="166"/>
  </w:num>
  <w:num w:numId="167">
    <w:abstractNumId w:val="167"/>
  </w:num>
  <w:num w:numId="168">
    <w:abstractNumId w:val="168"/>
  </w:num>
  <w:num w:numId="169">
    <w:abstractNumId w:val="169"/>
  </w:num>
  <w:num w:numId="170">
    <w:abstractNumId w:val="170"/>
  </w:num>
  <w:num w:numId="171">
    <w:abstractNumId w:val="171"/>
  </w:num>
  <w:num w:numId="172">
    <w:abstractNumId w:val="172"/>
  </w:num>
  <w:num w:numId="173">
    <w:abstractNumId w:val="173"/>
  </w:num>
  <w:num w:numId="174">
    <w:abstractNumId w:val="174"/>
  </w:num>
  <w:num w:numId="175">
    <w:abstractNumId w:val="175"/>
  </w:num>
  <w:num w:numId="176">
    <w:abstractNumId w:val="176"/>
  </w:num>
  <w:num w:numId="177">
    <w:abstractNumId w:val="177"/>
  </w:num>
  <w:num w:numId="178">
    <w:abstractNumId w:val="178"/>
  </w:num>
  <w:num w:numId="179">
    <w:abstractNumId w:val="179"/>
  </w:num>
  <w:num w:numId="180">
    <w:abstractNumId w:val="180"/>
  </w:num>
  <w:num w:numId="181">
    <w:abstractNumId w:val="181"/>
  </w:num>
  <w:num w:numId="182">
    <w:abstractNumId w:val="182"/>
  </w:num>
  <w:num w:numId="183">
    <w:abstractNumId w:val="183"/>
  </w:num>
  <w:num w:numId="184">
    <w:abstractNumId w:val="184"/>
  </w:num>
  <w:num w:numId="185">
    <w:abstractNumId w:val="185"/>
  </w:num>
  <w:num w:numId="186">
    <w:abstractNumId w:val="186"/>
  </w:num>
  <w:num w:numId="187">
    <w:abstractNumId w:val="187"/>
  </w:num>
  <w:num w:numId="188">
    <w:abstractNumId w:val="188"/>
  </w:num>
  <w:num w:numId="189">
    <w:abstractNumId w:val="189"/>
  </w:num>
  <w:num w:numId="190">
    <w:abstractNumId w:val="190"/>
  </w:num>
  <w:num w:numId="191">
    <w:abstractNumId w:val="191"/>
  </w:num>
  <w:num w:numId="192">
    <w:abstractNumId w:val="192"/>
  </w:num>
  <w:num w:numId="193">
    <w:abstractNumId w:val="193"/>
  </w:num>
  <w:num w:numId="194">
    <w:abstractNumId w:val="194"/>
  </w:num>
  <w:num w:numId="195">
    <w:abstractNumId w:val="195"/>
  </w:num>
  <w:num w:numId="196">
    <w:abstractNumId w:val="196"/>
  </w:num>
  <w:num w:numId="197">
    <w:abstractNumId w:val="197"/>
  </w:num>
  <w:num w:numId="198">
    <w:abstractNumId w:val="198"/>
  </w:num>
  <w:num w:numId="199">
    <w:abstractNumId w:val="199"/>
  </w:num>
  <w:num w:numId="200">
    <w:abstractNumId w:val="200"/>
  </w:num>
  <w:num w:numId="201">
    <w:abstractNumId w:val="201"/>
  </w:num>
  <w:num w:numId="202">
    <w:abstractNumId w:val="202"/>
  </w:num>
  <w:num w:numId="203">
    <w:abstractNumId w:val="203"/>
  </w:num>
  <w:num w:numId="204">
    <w:abstractNumId w:val="204"/>
  </w:num>
  <w:num w:numId="205">
    <w:abstractNumId w:val="205"/>
  </w:num>
  <w:num w:numId="206">
    <w:abstractNumId w:val="206"/>
  </w:num>
  <w:num w:numId="207">
    <w:abstractNumId w:val="207"/>
  </w:num>
  <w:num w:numId="208">
    <w:abstractNumId w:val="208"/>
  </w:num>
  <w:num w:numId="209">
    <w:abstractNumId w:val="209"/>
  </w:num>
  <w:num w:numId="210">
    <w:abstractNumId w:val="210"/>
  </w:num>
  <w:num w:numId="211">
    <w:abstractNumId w:val="211"/>
  </w:num>
  <w:num w:numId="212">
    <w:abstractNumId w:val="212"/>
  </w:num>
  <w:num w:numId="213">
    <w:abstractNumId w:val="213"/>
  </w:num>
  <w:num w:numId="214">
    <w:abstractNumId w:val="214"/>
  </w:num>
  <w:num w:numId="215">
    <w:abstractNumId w:val="215"/>
  </w:num>
  <w:num w:numId="216">
    <w:abstractNumId w:val="216"/>
  </w:num>
  <w:num w:numId="217">
    <w:abstractNumId w:val="217"/>
  </w:num>
  <w:num w:numId="218">
    <w:abstractNumId w:val="218"/>
  </w:num>
  <w:num w:numId="219">
    <w:abstractNumId w:val="219"/>
  </w:num>
  <w:num w:numId="220">
    <w:abstractNumId w:val="220"/>
  </w:num>
  <w:num w:numId="221">
    <w:abstractNumId w:val="221"/>
  </w:num>
  <w:num w:numId="222">
    <w:abstractNumId w:val="222"/>
  </w:num>
  <w:num w:numId="223">
    <w:abstractNumId w:val="223"/>
  </w:num>
  <w:num w:numId="224">
    <w:abstractNumId w:val="224"/>
  </w:num>
  <w:num w:numId="225">
    <w:abstractNumId w:val="225"/>
  </w:num>
  <w:num w:numId="226">
    <w:abstractNumId w:val="226"/>
  </w:num>
  <w:num w:numId="227">
    <w:abstractNumId w:val="227"/>
  </w:num>
  <w:num w:numId="228">
    <w:abstractNumId w:val="228"/>
  </w:num>
  <w:num w:numId="229">
    <w:abstractNumId w:val="229"/>
  </w:num>
  <w:num w:numId="230">
    <w:abstractNumId w:val="230"/>
  </w:num>
  <w:num w:numId="231">
    <w:abstractNumId w:val="231"/>
  </w:num>
  <w:num w:numId="232">
    <w:abstractNumId w:val="232"/>
  </w:num>
  <w:num w:numId="233">
    <w:abstractNumId w:val="233"/>
  </w:num>
  <w:num w:numId="234">
    <w:abstractNumId w:val="234"/>
  </w:num>
  <w:num w:numId="235">
    <w:abstractNumId w:val="235"/>
  </w:num>
  <w:num w:numId="236">
    <w:abstractNumId w:val="236"/>
  </w:num>
  <w:num w:numId="237">
    <w:abstractNumId w:val="237"/>
  </w:num>
  <w:num w:numId="238">
    <w:abstractNumId w:val="238"/>
  </w:num>
  <w:num w:numId="239">
    <w:abstractNumId w:val="239"/>
  </w:num>
  <w:num w:numId="240">
    <w:abstractNumId w:val="240"/>
  </w:num>
  <w:num w:numId="241">
    <w:abstractNumId w:val="241"/>
  </w:num>
  <w:num w:numId="242">
    <w:abstractNumId w:val="242"/>
  </w:num>
  <w:num w:numId="243">
    <w:abstractNumId w:val="243"/>
  </w:num>
  <w:num w:numId="244">
    <w:abstractNumId w:val="244"/>
  </w:num>
  <w:num w:numId="245">
    <w:abstractNumId w:val="245"/>
  </w:num>
  <w:num w:numId="246">
    <w:abstractNumId w:val="246"/>
  </w:num>
  <w:num w:numId="247">
    <w:abstractNumId w:val="247"/>
  </w:num>
  <w:num w:numId="248">
    <w:abstractNumId w:val="248"/>
  </w:num>
  <w:num w:numId="249">
    <w:abstractNumId w:val="249"/>
  </w:num>
  <w:num w:numId="250">
    <w:abstractNumId w:val="250"/>
  </w:num>
  <w:num w:numId="251">
    <w:abstractNumId w:val="251"/>
  </w:num>
  <w:num w:numId="252">
    <w:abstractNumId w:val="252"/>
  </w:num>
  <w:num w:numId="253">
    <w:abstractNumId w:val="253"/>
  </w:num>
  <w:num w:numId="254">
    <w:abstractNumId w:val="254"/>
  </w:num>
  <w:num w:numId="255">
    <w:abstractNumId w:val="255"/>
  </w:num>
  <w:num w:numId="256">
    <w:abstractNumId w:val="256"/>
  </w:num>
  <w:num w:numId="257">
    <w:abstractNumId w:val="257"/>
  </w:num>
  <w:num w:numId="258">
    <w:abstractNumId w:val="258"/>
  </w:num>
  <w:num w:numId="259">
    <w:abstractNumId w:val="259"/>
  </w:num>
  <w:num w:numId="260">
    <w:abstractNumId w:val="260"/>
  </w:num>
  <w:num w:numId="261">
    <w:abstractNumId w:val="261"/>
  </w:num>
  <w:num w:numId="262">
    <w:abstractNumId w:val="262"/>
  </w:num>
  <w:num w:numId="263">
    <w:abstractNumId w:val="263"/>
  </w:num>
  <w:num w:numId="264">
    <w:abstractNumId w:val="264"/>
  </w:num>
  <w:num w:numId="265">
    <w:abstractNumId w:val="265"/>
  </w:num>
  <w:num w:numId="266">
    <w:abstractNumId w:val="266"/>
  </w:num>
  <w:num w:numId="267">
    <w:abstractNumId w:val="267"/>
  </w:num>
  <w:num w:numId="268">
    <w:abstractNumId w:val="268"/>
  </w:num>
  <w:num w:numId="269">
    <w:abstractNumId w:val="269"/>
  </w:num>
  <w:num w:numId="270">
    <w:abstractNumId w:val="270"/>
  </w:num>
  <w:num w:numId="271">
    <w:abstractNumId w:val="271"/>
  </w:num>
  <w:num w:numId="272">
    <w:abstractNumId w:val="272"/>
  </w:num>
  <w:num w:numId="273">
    <w:abstractNumId w:val="273"/>
  </w:num>
  <w:num w:numId="274">
    <w:abstractNumId w:val="274"/>
  </w:num>
  <w:num w:numId="275">
    <w:abstractNumId w:val="275"/>
  </w:num>
  <w:num w:numId="276">
    <w:abstractNumId w:val="276"/>
  </w:num>
  <w:num w:numId="277">
    <w:abstractNumId w:val="277"/>
  </w:num>
  <w:num w:numId="278">
    <w:abstractNumId w:val="278"/>
  </w:num>
  <w:num w:numId="279">
    <w:abstractNumId w:val="279"/>
  </w:num>
  <w:num w:numId="280">
    <w:abstractNumId w:val="280"/>
  </w:num>
  <w:num w:numId="281">
    <w:abstractNumId w:val="281"/>
  </w:num>
  <w:num w:numId="282">
    <w:abstractNumId w:val="282"/>
  </w:num>
  <w:num w:numId="283">
    <w:abstractNumId w:val="283"/>
  </w:num>
  <w:num w:numId="284">
    <w:abstractNumId w:val="284"/>
  </w:num>
  <w:num w:numId="285">
    <w:abstractNumId w:val="285"/>
  </w:num>
  <w:num w:numId="286">
    <w:abstractNumId w:val="286"/>
  </w:num>
  <w:num w:numId="287">
    <w:abstractNumId w:val="287"/>
  </w:num>
  <w:num w:numId="288">
    <w:abstractNumId w:val="288"/>
  </w:num>
  <w:num w:numId="289">
    <w:abstractNumId w:val="289"/>
  </w:num>
  <w:num w:numId="290">
    <w:abstractNumId w:val="290"/>
  </w:num>
  <w:num w:numId="291">
    <w:abstractNumId w:val="291"/>
  </w:num>
  <w:num w:numId="292">
    <w:abstractNumId w:val="292"/>
  </w:num>
  <w:num w:numId="293">
    <w:abstractNumId w:val="293"/>
  </w:num>
  <w:num w:numId="294">
    <w:abstractNumId w:val="294"/>
  </w:num>
  <w:num w:numId="295">
    <w:abstractNumId w:val="295"/>
  </w:num>
  <w:num w:numId="296">
    <w:abstractNumId w:val="296"/>
  </w:num>
  <w:num w:numId="297">
    <w:abstractNumId w:val="297"/>
  </w:num>
  <w:num w:numId="298">
    <w:abstractNumId w:val="298"/>
  </w:num>
  <w:num w:numId="299">
    <w:abstractNumId w:val="299"/>
  </w:num>
  <w:num w:numId="300">
    <w:abstractNumId w:val="300"/>
  </w:num>
  <w:num w:numId="301">
    <w:abstractNumId w:val="301"/>
  </w:num>
  <w:num w:numId="302">
    <w:abstractNumId w:val="302"/>
  </w:num>
  <w:num w:numId="303">
    <w:abstractNumId w:val="303"/>
  </w:num>
  <w:num w:numId="304">
    <w:abstractNumId w:val="304"/>
  </w:num>
  <w:num w:numId="305">
    <w:abstractNumId w:val="305"/>
  </w:num>
  <w:num w:numId="306">
    <w:abstractNumId w:val="306"/>
  </w:num>
  <w:num w:numId="307">
    <w:abstractNumId w:val="307"/>
  </w:num>
  <w:num w:numId="308">
    <w:abstractNumId w:val="308"/>
  </w:num>
  <w:num w:numId="309">
    <w:abstractNumId w:val="309"/>
  </w:num>
  <w:num w:numId="310">
    <w:abstractNumId w:val="310"/>
  </w:num>
  <w:num w:numId="311">
    <w:abstractNumId w:val="311"/>
  </w:num>
  <w:num w:numId="312">
    <w:abstractNumId w:val="312"/>
  </w:num>
  <w:num w:numId="313">
    <w:abstractNumId w:val="313"/>
  </w:num>
  <w:num w:numId="314">
    <w:abstractNumId w:val="314"/>
  </w:num>
  <w:num w:numId="315">
    <w:abstractNumId w:val="315"/>
  </w:num>
  <w:num w:numId="316">
    <w:abstractNumId w:val="316"/>
  </w:num>
  <w:num w:numId="317">
    <w:abstractNumId w:val="317"/>
  </w:num>
  <w:num w:numId="318">
    <w:abstractNumId w:val="318"/>
  </w:num>
  <w:num w:numId="319">
    <w:abstractNumId w:val="319"/>
  </w:num>
  <w:num w:numId="320">
    <w:abstractNumId w:val="320"/>
  </w:num>
  <w:num w:numId="321">
    <w:abstractNumId w:val="321"/>
  </w:num>
  <w:num w:numId="322">
    <w:abstractNumId w:val="322"/>
  </w:num>
  <w:num w:numId="323">
    <w:abstractNumId w:val="323"/>
  </w:num>
  <w:num w:numId="324">
    <w:abstractNumId w:val="324"/>
  </w:num>
  <w:num w:numId="325">
    <w:abstractNumId w:val="325"/>
  </w:num>
  <w:num w:numId="326">
    <w:abstractNumId w:val="326"/>
  </w:num>
  <w:num w:numId="327">
    <w:abstractNumId w:val="327"/>
  </w:num>
  <w:num w:numId="328">
    <w:abstractNumId w:val="328"/>
  </w:num>
  <w:num w:numId="329">
    <w:abstractNumId w:val="329"/>
  </w:num>
  <w:num w:numId="330">
    <w:abstractNumId w:val="330"/>
  </w:num>
  <w:num w:numId="331">
    <w:abstractNumId w:val="331"/>
  </w:num>
  <w:num w:numId="332">
    <w:abstractNumId w:val="332"/>
  </w:num>
  <w:num w:numId="333">
    <w:abstractNumId w:val="333"/>
  </w:num>
  <w:num w:numId="334">
    <w:abstractNumId w:val="334"/>
  </w:num>
  <w:num w:numId="335">
    <w:abstractNumId w:val="335"/>
  </w:num>
  <w:num w:numId="336">
    <w:abstractNumId w:val="336"/>
  </w:num>
  <w:num w:numId="337">
    <w:abstractNumId w:val="337"/>
  </w:num>
  <w:num w:numId="338">
    <w:abstractNumId w:val="338"/>
  </w:num>
  <w:num w:numId="339">
    <w:abstractNumId w:val="339"/>
  </w:num>
  <w:num w:numId="340">
    <w:abstractNumId w:val="340"/>
  </w:num>
  <w:num w:numId="341">
    <w:abstractNumId w:val="341"/>
  </w:num>
  <w:num w:numId="342">
    <w:abstractNumId w:val="342"/>
  </w:num>
  <w:num w:numId="343">
    <w:abstractNumId w:val="343"/>
  </w:num>
  <w:num w:numId="344">
    <w:abstractNumId w:val="344"/>
  </w:num>
  <w:num w:numId="345">
    <w:abstractNumId w:val="345"/>
  </w:num>
  <w:num w:numId="346">
    <w:abstractNumId w:val="346"/>
  </w:num>
  <w:num w:numId="347">
    <w:abstractNumId w:val="347"/>
  </w:num>
  <w:num w:numId="348">
    <w:abstractNumId w:val="348"/>
  </w:num>
  <w:num w:numId="349">
    <w:abstractNumId w:val="349"/>
  </w:num>
  <w:num w:numId="350">
    <w:abstractNumId w:val="350"/>
  </w:num>
  <w:num w:numId="351">
    <w:abstractNumId w:val="351"/>
  </w:num>
  <w:num w:numId="352">
    <w:abstractNumId w:val="352"/>
  </w:num>
  <w:num w:numId="353">
    <w:abstractNumId w:val="353"/>
  </w:num>
  <w:num w:numId="354">
    <w:abstractNumId w:val="354"/>
  </w:num>
  <w:num w:numId="355">
    <w:abstractNumId w:val="355"/>
  </w:num>
  <w:num w:numId="356">
    <w:abstractNumId w:val="356"/>
  </w:num>
  <w:num w:numId="357">
    <w:abstractNumId w:val="357"/>
  </w:num>
  <w:num w:numId="358">
    <w:abstractNumId w:val="358"/>
  </w:num>
  <w:num w:numId="359">
    <w:abstractNumId w:val="359"/>
  </w:num>
  <w:num w:numId="360">
    <w:abstractNumId w:val="360"/>
  </w:num>
  <w:num w:numId="361">
    <w:abstractNumId w:val="361"/>
  </w:num>
  <w:num w:numId="362">
    <w:abstractNumId w:val="362"/>
  </w:num>
  <w:num w:numId="363">
    <w:abstractNumId w:val="363"/>
  </w:num>
  <w:num w:numId="364">
    <w:abstractNumId w:val="364"/>
  </w:num>
  <w:num w:numId="365">
    <w:abstractNumId w:val="365"/>
  </w:num>
  <w:num w:numId="366">
    <w:abstractNumId w:val="366"/>
  </w:num>
  <w:num w:numId="367">
    <w:abstractNumId w:val="367"/>
  </w:num>
  <w:num w:numId="368">
    <w:abstractNumId w:val="368"/>
  </w:num>
  <w:num w:numId="369">
    <w:abstractNumId w:val="369"/>
  </w:num>
  <w:num w:numId="370">
    <w:abstractNumId w:val="370"/>
  </w:num>
  <w:num w:numId="371">
    <w:abstractNumId w:val="371"/>
  </w:num>
  <w:num w:numId="372">
    <w:abstractNumId w:val="372"/>
  </w:num>
  <w:num w:numId="373">
    <w:abstractNumId w:val="373"/>
  </w:num>
  <w:num w:numId="374">
    <w:abstractNumId w:val="374"/>
  </w:num>
  <w:num w:numId="375">
    <w:abstractNumId w:val="375"/>
  </w:num>
  <w:num w:numId="376">
    <w:abstractNumId w:val="376"/>
  </w:num>
  <w:num w:numId="377">
    <w:abstractNumId w:val="377"/>
  </w:num>
  <w:num w:numId="378">
    <w:abstractNumId w:val="378"/>
  </w:num>
  <w:num w:numId="379">
    <w:abstractNumId w:val="379"/>
  </w:num>
  <w:num w:numId="380">
    <w:abstractNumId w:val="380"/>
  </w:num>
  <w:num w:numId="381">
    <w:abstractNumId w:val="381"/>
  </w:num>
  <w:num w:numId="382">
    <w:abstractNumId w:val="382"/>
  </w:num>
  <w:num w:numId="383">
    <w:abstractNumId w:val="383"/>
  </w:num>
  <w:num w:numId="384">
    <w:abstractNumId w:val="384"/>
  </w:num>
  <w:num w:numId="385">
    <w:abstractNumId w:val="385"/>
  </w:num>
  <w:num w:numId="386">
    <w:abstractNumId w:val="386"/>
  </w:num>
  <w:num w:numId="387">
    <w:abstractNumId w:val="387"/>
  </w:num>
  <w:num w:numId="388">
    <w:abstractNumId w:val="388"/>
  </w:num>
  <w:num w:numId="389">
    <w:abstractNumId w:val="389"/>
  </w:num>
  <w:num w:numId="390">
    <w:abstractNumId w:val="390"/>
  </w:num>
  <w:num w:numId="391">
    <w:abstractNumId w:val="391"/>
  </w:num>
  <w:num w:numId="392">
    <w:abstractNumId w:val="392"/>
  </w:num>
  <w:num w:numId="393">
    <w:abstractNumId w:val="393"/>
  </w:num>
  <w:num w:numId="394">
    <w:abstractNumId w:val="394"/>
  </w:num>
  <w:num w:numId="395">
    <w:abstractNumId w:val="395"/>
  </w:num>
  <w:num w:numId="396">
    <w:abstractNumId w:val="396"/>
  </w:num>
  <w:num w:numId="397">
    <w:abstractNumId w:val="397"/>
  </w:num>
  <w:num w:numId="398">
    <w:abstractNumId w:val="398"/>
  </w:num>
  <w:num w:numId="399">
    <w:abstractNumId w:val="399"/>
  </w:num>
  <w:num w:numId="400">
    <w:abstractNumId w:val="400"/>
  </w:num>
  <w:num w:numId="401">
    <w:abstractNumId w:val="401"/>
  </w:num>
  <w:num w:numId="402">
    <w:abstractNumId w:val="402"/>
  </w:num>
  <w:num w:numId="403">
    <w:abstractNumId w:val="403"/>
  </w:num>
  <w:num w:numId="404">
    <w:abstractNumId w:val="404"/>
  </w:num>
  <w:num w:numId="405">
    <w:abstractNumId w:val="405"/>
  </w:num>
  <w:num w:numId="406">
    <w:abstractNumId w:val="406"/>
  </w:num>
  <w:num w:numId="407">
    <w:abstractNumId w:val="407"/>
  </w:num>
  <w:num w:numId="408">
    <w:abstractNumId w:val="408"/>
  </w:num>
  <w:num w:numId="409">
    <w:abstractNumId w:val="409"/>
  </w:num>
  <w:num w:numId="410">
    <w:abstractNumId w:val="410"/>
  </w:num>
  <w:num w:numId="411">
    <w:abstractNumId w:val="411"/>
  </w:num>
  <w:num w:numId="412">
    <w:abstractNumId w:val="412"/>
  </w:num>
  <w:num w:numId="413">
    <w:abstractNumId w:val="413"/>
  </w:num>
  <w:num w:numId="414">
    <w:abstractNumId w:val="414"/>
  </w:num>
  <w:num w:numId="415">
    <w:abstractNumId w:val="415"/>
  </w:num>
  <w:num w:numId="416">
    <w:abstractNumId w:val="416"/>
  </w:num>
  <w:num w:numId="417">
    <w:abstractNumId w:val="417"/>
  </w:num>
  <w:num w:numId="418">
    <w:abstractNumId w:val="418"/>
  </w:num>
  <w:num w:numId="419">
    <w:abstractNumId w:val="419"/>
  </w:num>
  <w:num w:numId="420">
    <w:abstractNumId w:val="420"/>
  </w:num>
  <w:num w:numId="421">
    <w:abstractNumId w:val="421"/>
  </w:num>
  <w:num w:numId="422">
    <w:abstractNumId w:val="422"/>
  </w:num>
  <w:num w:numId="423">
    <w:abstractNumId w:val="423"/>
  </w:num>
  <w:num w:numId="424">
    <w:abstractNumId w:val="424"/>
  </w:num>
  <w:num w:numId="425">
    <w:abstractNumId w:val="425"/>
  </w:num>
  <w:num w:numId="426">
    <w:abstractNumId w:val="426"/>
  </w:num>
  <w:num w:numId="427">
    <w:abstractNumId w:val="427"/>
  </w:num>
  <w:num w:numId="428">
    <w:abstractNumId w:val="428"/>
  </w:num>
  <w:num w:numId="429">
    <w:abstractNumId w:val="429"/>
  </w:num>
  <w:num w:numId="430">
    <w:abstractNumId w:val="430"/>
  </w:num>
  <w:num w:numId="431">
    <w:abstractNumId w:val="431"/>
  </w:num>
  <w:num w:numId="432">
    <w:abstractNumId w:val="432"/>
  </w:num>
  <w:num w:numId="433">
    <w:abstractNumId w:val="433"/>
  </w:num>
  <w:num w:numId="434">
    <w:abstractNumId w:val="434"/>
  </w:num>
  <w:num w:numId="435">
    <w:abstractNumId w:val="435"/>
  </w:num>
  <w:num w:numId="436">
    <w:abstractNumId w:val="436"/>
  </w:num>
  <w:num w:numId="437">
    <w:abstractNumId w:val="437"/>
  </w:num>
  <w:num w:numId="438">
    <w:abstractNumId w:val="438"/>
  </w:num>
  <w:num w:numId="439">
    <w:abstractNumId w:val="439"/>
  </w:num>
  <w:num w:numId="440">
    <w:abstractNumId w:val="440"/>
  </w:num>
  <w:num w:numId="441">
    <w:abstractNumId w:val="441"/>
  </w:num>
  <w:num w:numId="442">
    <w:abstractNumId w:val="442"/>
  </w:num>
  <w:num w:numId="443">
    <w:abstractNumId w:val="443"/>
  </w:num>
  <w:num w:numId="444">
    <w:abstractNumId w:val="444"/>
  </w:num>
  <w:num w:numId="445">
    <w:abstractNumId w:val="445"/>
  </w:num>
  <w:num w:numId="446">
    <w:abstractNumId w:val="446"/>
  </w:num>
  <w:num w:numId="447">
    <w:abstractNumId w:val="447"/>
  </w:num>
  <w:num w:numId="448">
    <w:abstractNumId w:val="448"/>
  </w:num>
  <w:num w:numId="449">
    <w:abstractNumId w:val="449"/>
  </w:num>
  <w:num w:numId="450">
    <w:abstractNumId w:val="450"/>
  </w:num>
  <w:num w:numId="451">
    <w:abstractNumId w:val="451"/>
  </w:num>
  <w:num w:numId="452">
    <w:abstractNumId w:val="452"/>
  </w:num>
  <w:num w:numId="453">
    <w:abstractNumId w:val="453"/>
  </w:num>
  <w:num w:numId="454">
    <w:abstractNumId w:val="454"/>
  </w:num>
  <w:num w:numId="455">
    <w:abstractNumId w:val="455"/>
  </w:num>
  <w:num w:numId="456">
    <w:abstractNumId w:val="456"/>
  </w:num>
  <w:num w:numId="457">
    <w:abstractNumId w:val="457"/>
  </w:num>
  <w:num w:numId="458">
    <w:abstractNumId w:val="458"/>
  </w:num>
  <w:num w:numId="459">
    <w:abstractNumId w:val="459"/>
  </w:num>
  <w:num w:numId="460">
    <w:abstractNumId w:val="460"/>
  </w:num>
  <w:num w:numId="461">
    <w:abstractNumId w:val="461"/>
  </w:num>
  <w:num w:numId="462">
    <w:abstractNumId w:val="462"/>
  </w:num>
  <w:num w:numId="463">
    <w:abstractNumId w:val="463"/>
  </w:num>
  <w:num w:numId="464">
    <w:abstractNumId w:val="464"/>
  </w:num>
  <w:num w:numId="465">
    <w:abstractNumId w:val="465"/>
  </w:num>
  <w:num w:numId="466">
    <w:abstractNumId w:val="466"/>
  </w:num>
  <w:num w:numId="467">
    <w:abstractNumId w:val="467"/>
  </w:num>
  <w:num w:numId="468">
    <w:abstractNumId w:val="468"/>
  </w:num>
  <w:num w:numId="469">
    <w:abstractNumId w:val="469"/>
  </w:num>
  <w:num w:numId="470">
    <w:abstractNumId w:val="470"/>
  </w:num>
  <w:num w:numId="471">
    <w:abstractNumId w:val="471"/>
  </w:num>
  <w:num w:numId="472">
    <w:abstractNumId w:val="472"/>
  </w:num>
  <w:num w:numId="473">
    <w:abstractNumId w:val="473"/>
  </w:num>
  <w:num w:numId="474">
    <w:abstractNumId w:val="474"/>
  </w:num>
  <w:num w:numId="475">
    <w:abstractNumId w:val="475"/>
  </w:num>
  <w:num w:numId="476">
    <w:abstractNumId w:val="476"/>
  </w:num>
  <w:num w:numId="477">
    <w:abstractNumId w:val="477"/>
  </w:num>
  <w:num w:numId="478">
    <w:abstractNumId w:val="478"/>
  </w:num>
  <w:num w:numId="479">
    <w:abstractNumId w:val="479"/>
  </w:num>
  <w:num w:numId="480">
    <w:abstractNumId w:val="480"/>
  </w:num>
  <w:num w:numId="481">
    <w:abstractNumId w:val="481"/>
  </w:num>
  <w:num w:numId="482">
    <w:abstractNumId w:val="482"/>
  </w:num>
  <w:num w:numId="483">
    <w:abstractNumId w:val="483"/>
  </w:num>
  <w:num w:numId="484">
    <w:abstractNumId w:val="484"/>
  </w:num>
  <w:num w:numId="485">
    <w:abstractNumId w:val="485"/>
  </w:num>
  <w:num w:numId="486">
    <w:abstractNumId w:val="486"/>
  </w:num>
  <w:num w:numId="487">
    <w:abstractNumId w:val="487"/>
  </w:num>
  <w:num w:numId="488">
    <w:abstractNumId w:val="488"/>
  </w:num>
  <w:num w:numId="489">
    <w:abstractNumId w:val="489"/>
  </w:num>
  <w:num w:numId="490">
    <w:abstractNumId w:val="490"/>
  </w:num>
  <w:num w:numId="491">
    <w:abstractNumId w:val="491"/>
  </w:num>
  <w:num w:numId="492">
    <w:abstractNumId w:val="492"/>
  </w:num>
  <w:num w:numId="493">
    <w:abstractNumId w:val="493"/>
  </w:num>
  <w:num w:numId="494">
    <w:abstractNumId w:val="494"/>
  </w:num>
  <w:num w:numId="495">
    <w:abstractNumId w:val="495"/>
  </w:num>
  <w:num w:numId="496">
    <w:abstractNumId w:val="496"/>
  </w:num>
  <w:num w:numId="497">
    <w:abstractNumId w:val="497"/>
  </w:num>
  <w:num w:numId="498">
    <w:abstractNumId w:val="498"/>
  </w:num>
  <w:num w:numId="499">
    <w:abstractNumId w:val="499"/>
  </w:num>
  <w:num w:numId="500">
    <w:abstractNumId w:val="500"/>
  </w:num>
  <w:num w:numId="501">
    <w:abstractNumId w:val="501"/>
  </w:num>
  <w:num w:numId="502">
    <w:abstractNumId w:val="502"/>
  </w:num>
  <w:num w:numId="503">
    <w:abstractNumId w:val="503"/>
  </w:num>
  <w:num w:numId="504">
    <w:abstractNumId w:val="504"/>
  </w:num>
  <w:num w:numId="505">
    <w:abstractNumId w:val="505"/>
  </w:num>
  <w:num w:numId="506">
    <w:abstractNumId w:val="506"/>
  </w:num>
  <w:num w:numId="507">
    <w:abstractNumId w:val="507"/>
  </w:num>
  <w:num w:numId="508">
    <w:abstractNumId w:val="508"/>
  </w:num>
  <w:num w:numId="509">
    <w:abstractNumId w:val="509"/>
  </w:num>
  <w:num w:numId="510">
    <w:abstractNumId w:val="510"/>
  </w:num>
  <w:num w:numId="511">
    <w:abstractNumId w:val="511"/>
  </w:num>
  <w:num w:numId="512">
    <w:abstractNumId w:val="512"/>
  </w:num>
  <w:num w:numId="513">
    <w:abstractNumId w:val="513"/>
  </w:num>
  <w:num w:numId="514">
    <w:abstractNumId w:val="514"/>
  </w:num>
  <w:num w:numId="515">
    <w:abstractNumId w:val="515"/>
  </w:num>
  <w:num w:numId="516">
    <w:abstractNumId w:val="516"/>
  </w:num>
  <w:num w:numId="517">
    <w:abstractNumId w:val="517"/>
  </w:num>
  <w:num w:numId="518">
    <w:abstractNumId w:val="518"/>
  </w:num>
  <w:num w:numId="519">
    <w:abstractNumId w:val="519"/>
  </w:num>
  <w:num w:numId="520">
    <w:abstractNumId w:val="520"/>
  </w:num>
  <w:num w:numId="521">
    <w:abstractNumId w:val="521"/>
  </w:num>
  <w:num w:numId="522">
    <w:abstractNumId w:val="522"/>
  </w:num>
  <w:num w:numId="523">
    <w:abstractNumId w:val="523"/>
  </w:num>
  <w:num w:numId="524">
    <w:abstractNumId w:val="524"/>
  </w:num>
  <w:num w:numId="525">
    <w:abstractNumId w:val="525"/>
  </w:num>
  <w:num w:numId="526">
    <w:abstractNumId w:val="526"/>
  </w:num>
  <w:num w:numId="527">
    <w:abstractNumId w:val="527"/>
  </w:num>
  <w:num w:numId="528">
    <w:abstractNumId w:val="528"/>
  </w:num>
  <w:num w:numId="529">
    <w:abstractNumId w:val="529"/>
  </w:num>
  <w:num w:numId="530">
    <w:abstractNumId w:val="530"/>
  </w:num>
  <w:num w:numId="531">
    <w:abstractNumId w:val="531"/>
  </w:num>
  <w:num w:numId="532">
    <w:abstractNumId w:val="532"/>
  </w:num>
  <w:num w:numId="533">
    <w:abstractNumId w:val="533"/>
  </w:num>
  <w:num w:numId="534">
    <w:abstractNumId w:val="534"/>
  </w:num>
  <w:num w:numId="535">
    <w:abstractNumId w:val="535"/>
  </w:num>
  <w:num w:numId="536">
    <w:abstractNumId w:val="536"/>
  </w:num>
  <w:num w:numId="537">
    <w:abstractNumId w:val="537"/>
  </w:num>
  <w:num w:numId="538">
    <w:abstractNumId w:val="538"/>
  </w:num>
  <w:num w:numId="539">
    <w:abstractNumId w:val="539"/>
  </w:num>
  <w:num w:numId="540">
    <w:abstractNumId w:val="540"/>
  </w:num>
  <w:num w:numId="541">
    <w:abstractNumId w:val="541"/>
  </w:num>
  <w:num w:numId="542">
    <w:abstractNumId w:val="542"/>
  </w:num>
  <w:num w:numId="543">
    <w:abstractNumId w:val="543"/>
  </w:num>
  <w:num w:numId="544">
    <w:abstractNumId w:val="544"/>
  </w:num>
  <w:num w:numId="545">
    <w:abstractNumId w:val="545"/>
  </w:num>
  <w:num w:numId="546">
    <w:abstractNumId w:val="546"/>
  </w:num>
  <w:num w:numId="547">
    <w:abstractNumId w:val="547"/>
  </w:num>
  <w:num w:numId="548">
    <w:abstractNumId w:val="548"/>
  </w:num>
  <w:num w:numId="549">
    <w:abstractNumId w:val="549"/>
  </w:num>
  <w:num w:numId="550">
    <w:abstractNumId w:val="550"/>
  </w:num>
  <w:num w:numId="551">
    <w:abstractNumId w:val="551"/>
  </w:num>
  <w:num w:numId="552">
    <w:abstractNumId w:val="552"/>
  </w:num>
  <w:num w:numId="553">
    <w:abstractNumId w:val="553"/>
  </w:num>
  <w:num w:numId="554">
    <w:abstractNumId w:val="554"/>
  </w:num>
  <w:num w:numId="555">
    <w:abstractNumId w:val="555"/>
  </w:num>
  <w:num w:numId="556">
    <w:abstractNumId w:val="556"/>
  </w:num>
  <w:num w:numId="557">
    <w:abstractNumId w:val="557"/>
  </w:num>
  <w:num w:numId="558">
    <w:abstractNumId w:val="558"/>
  </w:num>
  <w:num w:numId="559">
    <w:abstractNumId w:val="559"/>
  </w:num>
  <w:num w:numId="560">
    <w:abstractNumId w:val="560"/>
  </w:num>
  <w:num w:numId="561">
    <w:abstractNumId w:val="561"/>
  </w:num>
  <w:num w:numId="562">
    <w:abstractNumId w:val="562"/>
  </w:num>
  <w:num w:numId="563">
    <w:abstractNumId w:val="563"/>
  </w:num>
  <w:num w:numId="564">
    <w:abstractNumId w:val="564"/>
  </w:num>
  <w:num w:numId="565">
    <w:abstractNumId w:val="565"/>
  </w:num>
  <w:num w:numId="566">
    <w:abstractNumId w:val="566"/>
  </w:num>
  <w:num w:numId="567">
    <w:abstractNumId w:val="567"/>
  </w:num>
  <w:num w:numId="568">
    <w:abstractNumId w:val="568"/>
  </w:num>
  <w:num w:numId="569">
    <w:abstractNumId w:val="569"/>
  </w:num>
  <w:num w:numId="570">
    <w:abstractNumId w:val="570"/>
  </w:num>
  <w:num w:numId="571">
    <w:abstractNumId w:val="571"/>
  </w:num>
  <w:num w:numId="572">
    <w:abstractNumId w:val="572"/>
  </w:num>
  <w:num w:numId="573">
    <w:abstractNumId w:val="573"/>
  </w:num>
  <w:num w:numId="574">
    <w:abstractNumId w:val="574"/>
  </w:num>
  <w:num w:numId="575">
    <w:abstractNumId w:val="575"/>
  </w:num>
  <w:num w:numId="576">
    <w:abstractNumId w:val="576"/>
  </w:num>
  <w:num w:numId="577">
    <w:abstractNumId w:val="577"/>
  </w:num>
  <w:num w:numId="578">
    <w:abstractNumId w:val="578"/>
  </w:num>
  <w:num w:numId="579">
    <w:abstractNumId w:val="579"/>
  </w:num>
  <w:num w:numId="580">
    <w:abstractNumId w:val="580"/>
  </w:num>
  <w:num w:numId="581">
    <w:abstractNumId w:val="581"/>
  </w:num>
  <w:num w:numId="582">
    <w:abstractNumId w:val="582"/>
  </w:num>
  <w:num w:numId="583">
    <w:abstractNumId w:val="583"/>
  </w:num>
  <w:num w:numId="584">
    <w:abstractNumId w:val="584"/>
  </w:num>
  <w:num w:numId="585">
    <w:abstractNumId w:val="585"/>
  </w:num>
  <w:num w:numId="586">
    <w:abstractNumId w:val="586"/>
  </w:num>
  <w:num w:numId="587">
    <w:abstractNumId w:val="587"/>
  </w:num>
  <w:num w:numId="588">
    <w:abstractNumId w:val="588"/>
  </w:num>
  <w:num w:numId="589">
    <w:abstractNumId w:val="589"/>
  </w:num>
  <w:num w:numId="590">
    <w:abstractNumId w:val="590"/>
  </w:num>
  <w:num w:numId="591">
    <w:abstractNumId w:val="591"/>
  </w:num>
  <w:num w:numId="592">
    <w:abstractNumId w:val="592"/>
  </w:num>
  <w:num w:numId="593">
    <w:abstractNumId w:val="593"/>
  </w:num>
  <w:num w:numId="594">
    <w:abstractNumId w:val="594"/>
  </w:num>
  <w:num w:numId="595">
    <w:abstractNumId w:val="595"/>
  </w:num>
  <w:num w:numId="596">
    <w:abstractNumId w:val="596"/>
  </w:num>
  <w:num w:numId="597">
    <w:abstractNumId w:val="597"/>
  </w:num>
  <w:num w:numId="598">
    <w:abstractNumId w:val="598"/>
  </w:num>
  <w:num w:numId="599">
    <w:abstractNumId w:val="599"/>
  </w:num>
  <w:num w:numId="600">
    <w:abstractNumId w:val="600"/>
  </w:num>
  <w:num w:numId="601">
    <w:abstractNumId w:val="601"/>
  </w:num>
  <w:num w:numId="602">
    <w:abstractNumId w:val="602"/>
  </w:num>
  <w:num w:numId="603">
    <w:abstractNumId w:val="603"/>
  </w:num>
  <w:num w:numId="604">
    <w:abstractNumId w:val="604"/>
  </w:num>
  <w:num w:numId="605">
    <w:abstractNumId w:val="605"/>
  </w:num>
</w:numbering>
</file>

<file path=word/settings.xml><?xml version="1.0" encoding="utf-8"?>
<w:settings xmlns:w="http://schemas.openxmlformats.org/wordprocessingml/2006/main">
  <w:zoom w:percent="100"/>
  <w:defaultTabStop w:val="709"/>
  <w:autoHyphenation w:val="true"/>
  <w:hyphenationZone w:val="0"/>
  <w:compat>
    <w:adjustLineHeightInTable/>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AR PL SungtiL GB" w:cs="Noto Sans Devanagari"/>
        <w:sz w:val="24"/>
        <w:szCs w:val="24"/>
        <w:lang w:val="en-US" w:eastAsia="zh-CN" w:bidi="hi-IN"/>
      </w:rPr>
    </w:rPrDefault>
    <w:pPrDefault>
      <w:pPr>
        <w:suppressAutoHyphens w:val="true"/>
      </w:pPr>
    </w:pPrDefault>
  </w:docDefaults>
  <w:style w:type="paragraph" w:styleId="Normal">
    <w:name w:val="Normal"/>
    <w:qFormat/>
    <w:pPr>
      <w:widowControl w:val="false"/>
      <w:bidi w:val="0"/>
    </w:pPr>
    <w:rPr>
      <w:rFonts w:ascii="Liberation Serif" w:hAnsi="Liberation Serif" w:eastAsia="AR PL SungtiL GB" w:cs="Noto Sans Devanagari"/>
      <w:color w:val="auto"/>
      <w:sz w:val="24"/>
      <w:szCs w:val="24"/>
      <w:lang w:val="en-US" w:eastAsia="zh-CN" w:bidi="hi-IN"/>
    </w:rPr>
  </w:style>
  <w:style w:type="paragraph" w:styleId="Heading1">
    <w:name w:val="heading 1"/>
    <w:basedOn w:val="Heading"/>
    <w:next w:val="BodyText"/>
    <w:qFormat/>
    <w:pPr>
      <w:numPr>
        <w:ilvl w:val="0"/>
        <w:numId w:val="1"/>
      </w:numPr>
      <w:spacing w:before="240" w:after="120"/>
      <w:outlineLvl w:val="0"/>
    </w:pPr>
    <w:rPr>
      <w:b/>
      <w:bCs/>
      <w:sz w:val="36"/>
      <w:szCs w:val="36"/>
    </w:rPr>
  </w:style>
  <w:style w:type="paragraph" w:styleId="Heading2">
    <w:name w:val="heading 2"/>
    <w:basedOn w:val="Heading"/>
    <w:next w:val="BodyText"/>
    <w:qFormat/>
    <w:pPr>
      <w:numPr>
        <w:ilvl w:val="1"/>
        <w:numId w:val="1"/>
      </w:numPr>
      <w:spacing w:before="200" w:after="120"/>
      <w:outlineLvl w:val="1"/>
    </w:pPr>
    <w:rPr>
      <w:b/>
      <w:bCs/>
      <w:sz w:val="32"/>
      <w:szCs w:val="32"/>
    </w:rPr>
  </w:style>
  <w:style w:type="paragraph" w:styleId="Heading3">
    <w:name w:val="heading 3"/>
    <w:basedOn w:val="Heading"/>
    <w:next w:val="BodyText"/>
    <w:qFormat/>
    <w:pPr>
      <w:numPr>
        <w:ilvl w:val="2"/>
        <w:numId w:val="1"/>
      </w:numPr>
      <w:spacing w:before="140" w:after="120"/>
      <w:outlineLvl w:val="2"/>
    </w:pPr>
    <w:rPr>
      <w:b/>
      <w:bCs/>
      <w:sz w:val="28"/>
      <w:szCs w:val="28"/>
    </w:rPr>
  </w:style>
  <w:style w:type="paragraph" w:styleId="Heading4">
    <w:name w:val="heading 4"/>
    <w:basedOn w:val="Heading"/>
    <w:next w:val="BodyText"/>
    <w:qFormat/>
    <w:pPr>
      <w:numPr>
        <w:ilvl w:val="3"/>
        <w:numId w:val="1"/>
      </w:numPr>
      <w:spacing w:before="120" w:after="120"/>
      <w:outlineLvl w:val="3"/>
    </w:pPr>
    <w:rPr>
      <w:b/>
      <w:bCs/>
      <w:i/>
      <w:iCs/>
      <w:sz w:val="26"/>
      <w:szCs w:val="26"/>
    </w:rPr>
  </w:style>
  <w:style w:type="paragraph" w:styleId="Heading5">
    <w:name w:val="heading 5"/>
    <w:basedOn w:val="Heading"/>
    <w:next w:val="BodyText"/>
    <w:qFormat/>
    <w:pPr>
      <w:numPr>
        <w:ilvl w:val="4"/>
        <w:numId w:val="1"/>
      </w:numPr>
      <w:spacing w:before="120" w:after="60"/>
      <w:outlineLvl w:val="4"/>
    </w:pPr>
    <w:rPr>
      <w:b/>
      <w:bCs/>
      <w:sz w:val="24"/>
      <w:szCs w:val="24"/>
    </w:rPr>
  </w:style>
  <w:style w:type="character" w:styleId="Bullets">
    <w:name w:val="Bullets"/>
    <w:qFormat/>
    <w:rPr>
      <w:rFonts w:ascii="OpenSymbol" w:hAnsi="OpenSymbol" w:eastAsia="OpenSymbol" w:cs="OpenSymbol"/>
    </w:rPr>
  </w:style>
  <w:style w:type="character" w:styleId="Hyperlink">
    <w:name w:val="Hyperlink"/>
    <w:rPr>
      <w:color w:val="000080"/>
      <w:u w:val="single"/>
    </w:rPr>
  </w:style>
  <w:style w:type="character" w:styleId="NumberingSymbols">
    <w:name w:val="Numbering Symbols"/>
    <w:qFormat/>
    <w:rPr/>
  </w:style>
  <w:style w:type="paragraph" w:styleId="Heading">
    <w:name w:val="Heading"/>
    <w:basedOn w:val="Normal"/>
    <w:next w:val="BodyText"/>
    <w:qFormat/>
    <w:pPr>
      <w:keepNext w:val="true"/>
      <w:spacing w:before="240" w:after="120"/>
    </w:pPr>
    <w:rPr>
      <w:rFonts w:ascii="Liberation Sans" w:hAnsi="Liberation Sans" w:eastAsia="AR PL SungtiL GB"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HorizontalLine">
    <w:name w:val="Horizontal Line"/>
    <w:basedOn w:val="Normal"/>
    <w:next w:val="BodyText"/>
    <w:qFormat/>
    <w:pPr>
      <w:suppressLineNumbers/>
      <w:pBdr>
        <w:bottom w:val="double" w:sz="2" w:space="0" w:color="808080"/>
      </w:pBdr>
      <w:spacing w:before="0" w:after="283"/>
    </w:pPr>
    <w:rPr>
      <w:sz w:val="12"/>
      <w:szCs w:val="12"/>
    </w:rPr>
  </w:style>
  <w:style w:type="paragraph" w:styleId="PreformattedText">
    <w:name w:val="Preformatted Text"/>
    <w:basedOn w:val="Normal"/>
    <w:qFormat/>
    <w:pPr>
      <w:spacing w:before="0" w:after="0"/>
    </w:pPr>
    <w:rPr>
      <w:rFonts w:ascii="Liberation Mono" w:hAnsi="Liberation Mono" w:eastAsia="Liberation Mono" w:cs="Liberation Mono"/>
      <w:sz w:val="20"/>
      <w:szCs w:val="20"/>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BlockQuotation">
    <w:name w:val="Block Quotation"/>
    <w:basedOn w:val="Normal"/>
    <w:qFormat/>
    <w:pPr>
      <w:spacing w:before="0" w:after="283"/>
      <w:ind w:hanging="0" w:start="567" w:end="567"/>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LibreOffice/26.2.4.2$Linux_X86_64 LibreOffice_project/620$Build-2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
</cp:coreProperties>
</file>