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310" w:type="dxa"/>
        <w:jc w:val="center"/>
        <w:tblBorders>
          <w:top w:val="single" w:sz="18" w:space="0" w:color="00B0F0"/>
          <w:left w:val="single" w:sz="18" w:space="0" w:color="00B0F0"/>
          <w:bottom w:val="single" w:sz="18" w:space="0" w:color="00B0F0"/>
          <w:right w:val="single" w:sz="18" w:space="0" w:color="00B0F0"/>
          <w:insideH w:val="single" w:sz="18" w:space="0" w:color="00B0F0"/>
          <w:insideV w:val="single" w:sz="18" w:space="0" w:color="00B0F0"/>
        </w:tblBorders>
        <w:shd w:val="clear" w:color="auto" w:fill="DBDBDB" w:themeFill="accent3" w:themeFillTint="66"/>
        <w:tblLook w:val="04A0" w:firstRow="1" w:lastRow="0" w:firstColumn="1" w:lastColumn="0" w:noHBand="0" w:noVBand="1"/>
      </w:tblPr>
      <w:tblGrid>
        <w:gridCol w:w="1260"/>
        <w:gridCol w:w="1890"/>
        <w:gridCol w:w="2160"/>
      </w:tblGrid>
      <w:tr w:rsidR="005E1DD5" w:rsidRPr="005E1DD5" w14:paraId="46AC8A61" w14:textId="77777777">
        <w:trPr>
          <w:trHeight w:val="255"/>
          <w:jc w:val="center"/>
        </w:trPr>
        <w:tc>
          <w:tcPr>
            <w:tcW w:w="1260" w:type="dxa"/>
            <w:vMerge w:val="restart"/>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249C9C35" w14:textId="77777777" w:rsidR="005E1DD5" w:rsidRPr="005E1DD5" w:rsidRDefault="005E1DD5" w:rsidP="005E1DD5">
            <w:pPr>
              <w:rPr>
                <w:b/>
                <w:lang w:val="en-GB"/>
              </w:rPr>
            </w:pPr>
            <w:r w:rsidRPr="005E1DD5">
              <w:rPr>
                <w:b/>
                <w:lang w:val="en-GB"/>
              </w:rPr>
              <w:t>S. No.</w:t>
            </w:r>
          </w:p>
        </w:tc>
        <w:tc>
          <w:tcPr>
            <w:tcW w:w="4050" w:type="dxa"/>
            <w:gridSpan w:val="2"/>
            <w:tcBorders>
              <w:top w:val="single" w:sz="18" w:space="0" w:color="00B0F0"/>
              <w:left w:val="single" w:sz="18" w:space="0" w:color="00B0F0"/>
              <w:bottom w:val="single" w:sz="18" w:space="0" w:color="00B0F0"/>
              <w:right w:val="single" w:sz="18" w:space="0" w:color="00B0F0"/>
            </w:tcBorders>
            <w:shd w:val="clear" w:color="auto" w:fill="DBDBDB" w:themeFill="accent3" w:themeFillTint="66"/>
            <w:vAlign w:val="center"/>
            <w:hideMark/>
          </w:tcPr>
          <w:p w14:paraId="272161AA" w14:textId="77777777" w:rsidR="005E1DD5" w:rsidRPr="005E1DD5" w:rsidRDefault="005E1DD5" w:rsidP="005E1DD5">
            <w:pPr>
              <w:rPr>
                <w:b/>
                <w:lang w:val="en-GB"/>
              </w:rPr>
            </w:pPr>
            <w:r w:rsidRPr="005E1DD5">
              <w:rPr>
                <w:b/>
                <w:lang w:val="en-GB"/>
              </w:rPr>
              <w:t>Delivery time (in minutes)</w:t>
            </w:r>
          </w:p>
        </w:tc>
      </w:tr>
      <w:tr w:rsidR="005E1DD5" w:rsidRPr="005E1DD5" w14:paraId="52DE16FB" w14:textId="77777777">
        <w:trPr>
          <w:trHeight w:val="288"/>
          <w:jc w:val="center"/>
        </w:trPr>
        <w:tc>
          <w:tcPr>
            <w:tcW w:w="0" w:type="auto"/>
            <w:vMerge/>
            <w:tcBorders>
              <w:top w:val="single" w:sz="18" w:space="0" w:color="00B0F0"/>
              <w:left w:val="single" w:sz="18" w:space="0" w:color="00B0F0"/>
              <w:bottom w:val="single" w:sz="18" w:space="0" w:color="00B0F0"/>
              <w:right w:val="single" w:sz="18" w:space="0" w:color="00B0F0"/>
            </w:tcBorders>
            <w:shd w:val="clear" w:color="auto" w:fill="DBDBDB" w:themeFill="accent3" w:themeFillTint="66"/>
            <w:vAlign w:val="center"/>
            <w:hideMark/>
          </w:tcPr>
          <w:p w14:paraId="644579FC" w14:textId="77777777" w:rsidR="005E1DD5" w:rsidRPr="005E1DD5" w:rsidRDefault="005E1DD5" w:rsidP="005E1DD5">
            <w:pPr>
              <w:rPr>
                <w:b/>
                <w:lang w:val="en-GB"/>
              </w:rPr>
            </w:pP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vAlign w:val="center"/>
            <w:hideMark/>
          </w:tcPr>
          <w:p w14:paraId="5865B514" w14:textId="77777777" w:rsidR="005E1DD5" w:rsidRPr="005E1DD5" w:rsidRDefault="005E1DD5" w:rsidP="005E1DD5">
            <w:pPr>
              <w:rPr>
                <w:b/>
                <w:lang w:val="en-GB"/>
              </w:rPr>
            </w:pPr>
            <w:r w:rsidRPr="005E1DD5">
              <w:rPr>
                <w:b/>
                <w:lang w:val="en-GB"/>
              </w:rPr>
              <w:t>Local restaurant</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vAlign w:val="center"/>
            <w:hideMark/>
          </w:tcPr>
          <w:p w14:paraId="50E095C2" w14:textId="77777777" w:rsidR="005E1DD5" w:rsidRPr="005E1DD5" w:rsidRDefault="005E1DD5" w:rsidP="005E1DD5">
            <w:pPr>
              <w:rPr>
                <w:b/>
                <w:lang w:val="en-GB"/>
              </w:rPr>
            </w:pPr>
            <w:r w:rsidRPr="005E1DD5">
              <w:rPr>
                <w:b/>
                <w:lang w:val="en-GB"/>
              </w:rPr>
              <w:t>Branch of standard</w:t>
            </w:r>
          </w:p>
        </w:tc>
      </w:tr>
      <w:tr w:rsidR="005E1DD5" w:rsidRPr="005E1DD5" w14:paraId="60A54B80"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2D247D6B" w14:textId="77777777" w:rsidR="005E1DD5" w:rsidRPr="005E1DD5" w:rsidRDefault="005E1DD5" w:rsidP="005E1DD5">
            <w:pPr>
              <w:rPr>
                <w:lang w:val="en-GB"/>
              </w:rPr>
            </w:pPr>
            <w:r w:rsidRPr="005E1DD5">
              <w:rPr>
                <w:lang w:val="en-GB"/>
              </w:rPr>
              <w:t>1</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6BEC2A5D" w14:textId="77777777" w:rsidR="005E1DD5" w:rsidRPr="005E1DD5" w:rsidRDefault="005E1DD5" w:rsidP="005E1DD5">
            <w:pPr>
              <w:rPr>
                <w:lang w:val="en-GB"/>
              </w:rPr>
            </w:pPr>
            <w:r w:rsidRPr="005E1DD5">
              <w:rPr>
                <w:lang w:val="en-GB"/>
              </w:rPr>
              <w:t>16.4</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5E223056" w14:textId="77777777" w:rsidR="005E1DD5" w:rsidRPr="005E1DD5" w:rsidRDefault="005E1DD5" w:rsidP="005E1DD5">
            <w:pPr>
              <w:rPr>
                <w:lang w:val="en-GB"/>
              </w:rPr>
            </w:pPr>
            <w:r w:rsidRPr="005E1DD5">
              <w:rPr>
                <w:lang w:val="en-GB"/>
              </w:rPr>
              <w:t>20.4</w:t>
            </w:r>
          </w:p>
        </w:tc>
      </w:tr>
      <w:tr w:rsidR="005E1DD5" w:rsidRPr="005E1DD5" w14:paraId="24871FA8"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404E5BCB" w14:textId="77777777" w:rsidR="005E1DD5" w:rsidRPr="005E1DD5" w:rsidRDefault="005E1DD5" w:rsidP="005E1DD5">
            <w:pPr>
              <w:rPr>
                <w:lang w:val="en-GB"/>
              </w:rPr>
            </w:pPr>
            <w:r w:rsidRPr="005E1DD5">
              <w:rPr>
                <w:lang w:val="en-GB"/>
              </w:rPr>
              <w:t>2</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192462F9" w14:textId="77777777" w:rsidR="005E1DD5" w:rsidRPr="005E1DD5" w:rsidRDefault="005E1DD5" w:rsidP="005E1DD5">
            <w:pPr>
              <w:rPr>
                <w:lang w:val="en-GB"/>
              </w:rPr>
            </w:pPr>
            <w:r w:rsidRPr="005E1DD5">
              <w:rPr>
                <w:lang w:val="en-GB"/>
              </w:rPr>
              <w:t>15.0</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23F5B756" w14:textId="77777777" w:rsidR="005E1DD5" w:rsidRPr="005E1DD5" w:rsidRDefault="005E1DD5" w:rsidP="005E1DD5">
            <w:pPr>
              <w:rPr>
                <w:lang w:val="en-GB"/>
              </w:rPr>
            </w:pPr>
            <w:r w:rsidRPr="005E1DD5">
              <w:rPr>
                <w:lang w:val="en-GB"/>
              </w:rPr>
              <w:t>16.2</w:t>
            </w:r>
          </w:p>
        </w:tc>
      </w:tr>
      <w:tr w:rsidR="005E1DD5" w:rsidRPr="005E1DD5" w14:paraId="6E9A286B"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6ED63975" w14:textId="77777777" w:rsidR="005E1DD5" w:rsidRPr="005E1DD5" w:rsidRDefault="005E1DD5" w:rsidP="005E1DD5">
            <w:pPr>
              <w:rPr>
                <w:lang w:val="en-GB"/>
              </w:rPr>
            </w:pPr>
            <w:r w:rsidRPr="005E1DD5">
              <w:rPr>
                <w:lang w:val="en-GB"/>
              </w:rPr>
              <w:t>3</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2B673E02" w14:textId="77777777" w:rsidR="005E1DD5" w:rsidRPr="005E1DD5" w:rsidRDefault="005E1DD5" w:rsidP="005E1DD5">
            <w:pPr>
              <w:rPr>
                <w:lang w:val="en-GB"/>
              </w:rPr>
            </w:pPr>
            <w:r w:rsidRPr="005E1DD5">
              <w:rPr>
                <w:lang w:val="en-GB"/>
              </w:rPr>
              <w:t>17.5</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32C299FC" w14:textId="77777777" w:rsidR="005E1DD5" w:rsidRPr="005E1DD5" w:rsidRDefault="005E1DD5" w:rsidP="005E1DD5">
            <w:pPr>
              <w:rPr>
                <w:lang w:val="en-GB"/>
              </w:rPr>
            </w:pPr>
            <w:r w:rsidRPr="005E1DD5">
              <w:rPr>
                <w:lang w:val="en-GB"/>
              </w:rPr>
              <w:t>15.0</w:t>
            </w:r>
          </w:p>
        </w:tc>
      </w:tr>
      <w:tr w:rsidR="005E1DD5" w:rsidRPr="005E1DD5" w14:paraId="3913CC56"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2B0D82D7" w14:textId="77777777" w:rsidR="005E1DD5" w:rsidRPr="005E1DD5" w:rsidRDefault="005E1DD5" w:rsidP="005E1DD5">
            <w:pPr>
              <w:rPr>
                <w:lang w:val="en-GB"/>
              </w:rPr>
            </w:pPr>
            <w:r w:rsidRPr="005E1DD5">
              <w:rPr>
                <w:lang w:val="en-GB"/>
              </w:rPr>
              <w:t>4</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40613039" w14:textId="77777777" w:rsidR="005E1DD5" w:rsidRPr="005E1DD5" w:rsidRDefault="005E1DD5" w:rsidP="005E1DD5">
            <w:pPr>
              <w:rPr>
                <w:lang w:val="en-GB"/>
              </w:rPr>
            </w:pPr>
            <w:r w:rsidRPr="005E1DD5">
              <w:rPr>
                <w:lang w:val="en-GB"/>
              </w:rPr>
              <w:t>14.2</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6B83C46F" w14:textId="77777777" w:rsidR="005E1DD5" w:rsidRPr="005E1DD5" w:rsidRDefault="005E1DD5" w:rsidP="005E1DD5">
            <w:pPr>
              <w:rPr>
                <w:lang w:val="en-GB"/>
              </w:rPr>
            </w:pPr>
            <w:r w:rsidRPr="005E1DD5">
              <w:rPr>
                <w:lang w:val="en-GB"/>
              </w:rPr>
              <w:t>18.2</w:t>
            </w:r>
          </w:p>
        </w:tc>
      </w:tr>
      <w:tr w:rsidR="005E1DD5" w:rsidRPr="005E1DD5" w14:paraId="6F10A9EE"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4792DC61" w14:textId="77777777" w:rsidR="005E1DD5" w:rsidRPr="005E1DD5" w:rsidRDefault="005E1DD5" w:rsidP="005E1DD5">
            <w:pPr>
              <w:rPr>
                <w:lang w:val="en-GB"/>
              </w:rPr>
            </w:pPr>
            <w:r w:rsidRPr="005E1DD5">
              <w:rPr>
                <w:lang w:val="en-GB"/>
              </w:rPr>
              <w:t>5</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681D469C" w14:textId="77777777" w:rsidR="005E1DD5" w:rsidRPr="005E1DD5" w:rsidRDefault="005E1DD5" w:rsidP="005E1DD5">
            <w:pPr>
              <w:rPr>
                <w:lang w:val="en-GB"/>
              </w:rPr>
            </w:pPr>
            <w:r w:rsidRPr="005E1DD5">
              <w:rPr>
                <w:lang w:val="en-GB"/>
              </w:rPr>
              <w:t>20.0</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462AB28D" w14:textId="77777777" w:rsidR="005E1DD5" w:rsidRPr="005E1DD5" w:rsidRDefault="005E1DD5" w:rsidP="005E1DD5">
            <w:pPr>
              <w:rPr>
                <w:lang w:val="en-GB"/>
              </w:rPr>
            </w:pPr>
            <w:r w:rsidRPr="005E1DD5">
              <w:rPr>
                <w:lang w:val="en-GB"/>
              </w:rPr>
              <w:t>22.5</w:t>
            </w:r>
          </w:p>
        </w:tc>
      </w:tr>
      <w:tr w:rsidR="005E1DD5" w:rsidRPr="005E1DD5" w14:paraId="46747982"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6D540013" w14:textId="77777777" w:rsidR="005E1DD5" w:rsidRPr="005E1DD5" w:rsidRDefault="005E1DD5" w:rsidP="005E1DD5">
            <w:pPr>
              <w:rPr>
                <w:lang w:val="en-GB"/>
              </w:rPr>
            </w:pPr>
            <w:r w:rsidRPr="005E1DD5">
              <w:rPr>
                <w:lang w:val="en-GB"/>
              </w:rPr>
              <w:t>6</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4A93D967" w14:textId="77777777" w:rsidR="005E1DD5" w:rsidRPr="005E1DD5" w:rsidRDefault="005E1DD5" w:rsidP="005E1DD5">
            <w:pPr>
              <w:rPr>
                <w:lang w:val="en-GB"/>
              </w:rPr>
            </w:pPr>
            <w:r w:rsidRPr="005E1DD5">
              <w:rPr>
                <w:lang w:val="en-GB"/>
              </w:rPr>
              <w:t>15.4</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2508320A" w14:textId="77777777" w:rsidR="005E1DD5" w:rsidRPr="005E1DD5" w:rsidRDefault="005E1DD5" w:rsidP="005E1DD5">
            <w:pPr>
              <w:rPr>
                <w:lang w:val="en-GB"/>
              </w:rPr>
            </w:pPr>
            <w:r w:rsidRPr="005E1DD5">
              <w:rPr>
                <w:lang w:val="en-GB"/>
              </w:rPr>
              <w:t>16.2</w:t>
            </w:r>
          </w:p>
        </w:tc>
      </w:tr>
      <w:tr w:rsidR="005E1DD5" w:rsidRPr="005E1DD5" w14:paraId="18696F69"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7D663BD3" w14:textId="77777777" w:rsidR="005E1DD5" w:rsidRPr="005E1DD5" w:rsidRDefault="005E1DD5" w:rsidP="005E1DD5">
            <w:pPr>
              <w:rPr>
                <w:lang w:val="en-GB"/>
              </w:rPr>
            </w:pPr>
            <w:r w:rsidRPr="005E1DD5">
              <w:rPr>
                <w:lang w:val="en-GB"/>
              </w:rPr>
              <w:t>7</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5612186B" w14:textId="77777777" w:rsidR="005E1DD5" w:rsidRPr="005E1DD5" w:rsidRDefault="005E1DD5" w:rsidP="005E1DD5">
            <w:pPr>
              <w:rPr>
                <w:lang w:val="en-GB"/>
              </w:rPr>
            </w:pPr>
            <w:r w:rsidRPr="005E1DD5">
              <w:rPr>
                <w:lang w:val="en-GB"/>
              </w:rPr>
              <w:t>17.5</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0F3FAA00" w14:textId="77777777" w:rsidR="005E1DD5" w:rsidRPr="005E1DD5" w:rsidRDefault="005E1DD5" w:rsidP="005E1DD5">
            <w:pPr>
              <w:rPr>
                <w:lang w:val="en-GB"/>
              </w:rPr>
            </w:pPr>
            <w:r w:rsidRPr="005E1DD5">
              <w:rPr>
                <w:lang w:val="en-GB"/>
              </w:rPr>
              <w:t>20.0</w:t>
            </w:r>
          </w:p>
        </w:tc>
      </w:tr>
      <w:tr w:rsidR="005E1DD5" w:rsidRPr="005E1DD5" w14:paraId="400D286A"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1FE3C578" w14:textId="77777777" w:rsidR="005E1DD5" w:rsidRPr="005E1DD5" w:rsidRDefault="005E1DD5" w:rsidP="005E1DD5">
            <w:pPr>
              <w:rPr>
                <w:lang w:val="en-GB"/>
              </w:rPr>
            </w:pPr>
            <w:r w:rsidRPr="005E1DD5">
              <w:rPr>
                <w:lang w:val="en-GB"/>
              </w:rPr>
              <w:t>8</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001B5A86" w14:textId="77777777" w:rsidR="005E1DD5" w:rsidRPr="005E1DD5" w:rsidRDefault="005E1DD5" w:rsidP="005E1DD5">
            <w:pPr>
              <w:rPr>
                <w:lang w:val="en-GB"/>
              </w:rPr>
            </w:pPr>
            <w:r w:rsidRPr="005E1DD5">
              <w:rPr>
                <w:lang w:val="en-GB"/>
              </w:rPr>
              <w:t>14.1</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346C768F" w14:textId="77777777" w:rsidR="005E1DD5" w:rsidRPr="005E1DD5" w:rsidRDefault="005E1DD5" w:rsidP="005E1DD5">
            <w:pPr>
              <w:rPr>
                <w:lang w:val="en-GB"/>
              </w:rPr>
            </w:pPr>
            <w:r w:rsidRPr="005E1DD5">
              <w:rPr>
                <w:lang w:val="en-GB"/>
              </w:rPr>
              <w:t>15.0</w:t>
            </w:r>
          </w:p>
        </w:tc>
      </w:tr>
      <w:tr w:rsidR="005E1DD5" w:rsidRPr="005E1DD5" w14:paraId="24BE0776"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53D431EA" w14:textId="77777777" w:rsidR="005E1DD5" w:rsidRPr="005E1DD5" w:rsidRDefault="005E1DD5" w:rsidP="005E1DD5">
            <w:pPr>
              <w:rPr>
                <w:lang w:val="en-GB"/>
              </w:rPr>
            </w:pPr>
            <w:r w:rsidRPr="005E1DD5">
              <w:rPr>
                <w:lang w:val="en-GB"/>
              </w:rPr>
              <w:t>9</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0E8BBBD2" w14:textId="77777777" w:rsidR="005E1DD5" w:rsidRPr="005E1DD5" w:rsidRDefault="005E1DD5" w:rsidP="005E1DD5">
            <w:pPr>
              <w:rPr>
                <w:lang w:val="en-GB"/>
              </w:rPr>
            </w:pPr>
            <w:r w:rsidRPr="005E1DD5">
              <w:rPr>
                <w:lang w:val="en-GB"/>
              </w:rPr>
              <w:t>13.4</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21B12AA7" w14:textId="77777777" w:rsidR="005E1DD5" w:rsidRPr="005E1DD5" w:rsidRDefault="005E1DD5" w:rsidP="005E1DD5">
            <w:pPr>
              <w:rPr>
                <w:lang w:val="en-GB"/>
              </w:rPr>
            </w:pPr>
            <w:r w:rsidRPr="005E1DD5">
              <w:rPr>
                <w:lang w:val="en-GB"/>
              </w:rPr>
              <w:t>15.0</w:t>
            </w:r>
          </w:p>
        </w:tc>
      </w:tr>
      <w:tr w:rsidR="005E1DD5" w:rsidRPr="005E1DD5" w14:paraId="07E114A1"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2930F596" w14:textId="77777777" w:rsidR="005E1DD5" w:rsidRPr="005E1DD5" w:rsidRDefault="005E1DD5" w:rsidP="005E1DD5">
            <w:pPr>
              <w:rPr>
                <w:lang w:val="en-GB"/>
              </w:rPr>
            </w:pPr>
            <w:r w:rsidRPr="005E1DD5">
              <w:rPr>
                <w:lang w:val="en-GB"/>
              </w:rPr>
              <w:t>10</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564A4C6A" w14:textId="77777777" w:rsidR="005E1DD5" w:rsidRPr="005E1DD5" w:rsidRDefault="005E1DD5" w:rsidP="005E1DD5">
            <w:pPr>
              <w:rPr>
                <w:lang w:val="en-GB"/>
              </w:rPr>
            </w:pPr>
            <w:r w:rsidRPr="005E1DD5">
              <w:rPr>
                <w:lang w:val="en-GB"/>
              </w:rPr>
              <w:t>20.7</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7B625EF0" w14:textId="77777777" w:rsidR="005E1DD5" w:rsidRPr="005E1DD5" w:rsidRDefault="005E1DD5" w:rsidP="005E1DD5">
            <w:pPr>
              <w:rPr>
                <w:lang w:val="en-GB"/>
              </w:rPr>
            </w:pPr>
            <w:r w:rsidRPr="005E1DD5">
              <w:rPr>
                <w:lang w:val="en-GB"/>
              </w:rPr>
              <w:t>24.2</w:t>
            </w:r>
          </w:p>
        </w:tc>
      </w:tr>
      <w:tr w:rsidR="005E1DD5" w:rsidRPr="005E1DD5" w14:paraId="5F86BB92"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60E10647" w14:textId="77777777" w:rsidR="005E1DD5" w:rsidRPr="005E1DD5" w:rsidRDefault="005E1DD5" w:rsidP="005E1DD5">
            <w:pPr>
              <w:rPr>
                <w:lang w:val="en-GB"/>
              </w:rPr>
            </w:pPr>
            <w:r w:rsidRPr="005E1DD5">
              <w:rPr>
                <w:lang w:val="en-GB"/>
              </w:rPr>
              <w:t>11</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33BACEED" w14:textId="77777777" w:rsidR="005E1DD5" w:rsidRPr="005E1DD5" w:rsidRDefault="005E1DD5" w:rsidP="005E1DD5">
            <w:pPr>
              <w:rPr>
                <w:lang w:val="en-GB"/>
              </w:rPr>
            </w:pPr>
            <w:r w:rsidRPr="005E1DD5">
              <w:rPr>
                <w:lang w:val="en-GB"/>
              </w:rPr>
              <w:t>18.6</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20A11A9D" w14:textId="77777777" w:rsidR="005E1DD5" w:rsidRPr="005E1DD5" w:rsidRDefault="005E1DD5" w:rsidP="005E1DD5">
            <w:pPr>
              <w:rPr>
                <w:lang w:val="en-GB"/>
              </w:rPr>
            </w:pPr>
            <w:r w:rsidRPr="005E1DD5">
              <w:rPr>
                <w:lang w:val="en-GB"/>
              </w:rPr>
              <w:t>20.0</w:t>
            </w:r>
          </w:p>
        </w:tc>
      </w:tr>
      <w:tr w:rsidR="005E1DD5" w:rsidRPr="005E1DD5" w14:paraId="1AD8F3D1"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4ED6B544" w14:textId="77777777" w:rsidR="005E1DD5" w:rsidRPr="005E1DD5" w:rsidRDefault="005E1DD5" w:rsidP="005E1DD5">
            <w:pPr>
              <w:rPr>
                <w:lang w:val="en-GB"/>
              </w:rPr>
            </w:pPr>
            <w:r w:rsidRPr="005E1DD5">
              <w:rPr>
                <w:lang w:val="en-GB"/>
              </w:rPr>
              <w:t>12</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1DF4DAC1" w14:textId="77777777" w:rsidR="005E1DD5" w:rsidRPr="005E1DD5" w:rsidRDefault="005E1DD5" w:rsidP="005E1DD5">
            <w:pPr>
              <w:rPr>
                <w:lang w:val="en-GB"/>
              </w:rPr>
            </w:pPr>
            <w:r w:rsidRPr="005E1DD5">
              <w:rPr>
                <w:lang w:val="en-GB"/>
              </w:rPr>
              <w:t>20.0</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5578EAEA" w14:textId="77777777" w:rsidR="005E1DD5" w:rsidRPr="005E1DD5" w:rsidRDefault="005E1DD5" w:rsidP="005E1DD5">
            <w:pPr>
              <w:rPr>
                <w:lang w:val="en-GB"/>
              </w:rPr>
            </w:pPr>
            <w:r w:rsidRPr="005E1DD5">
              <w:rPr>
                <w:lang w:val="en-GB"/>
              </w:rPr>
              <w:t>20.0</w:t>
            </w:r>
          </w:p>
        </w:tc>
      </w:tr>
      <w:tr w:rsidR="005E1DD5" w:rsidRPr="005E1DD5" w14:paraId="1AC7382D"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100E667B" w14:textId="77777777" w:rsidR="005E1DD5" w:rsidRPr="005E1DD5" w:rsidRDefault="005E1DD5" w:rsidP="005E1DD5">
            <w:pPr>
              <w:rPr>
                <w:lang w:val="en-GB"/>
              </w:rPr>
            </w:pPr>
            <w:r w:rsidRPr="005E1DD5">
              <w:rPr>
                <w:lang w:val="en-GB"/>
              </w:rPr>
              <w:t>13</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137E3016" w14:textId="77777777" w:rsidR="005E1DD5" w:rsidRPr="005E1DD5" w:rsidRDefault="005E1DD5" w:rsidP="005E1DD5">
            <w:pPr>
              <w:rPr>
                <w:lang w:val="en-GB"/>
              </w:rPr>
            </w:pPr>
            <w:r w:rsidRPr="005E1DD5">
              <w:rPr>
                <w:lang w:val="en-GB"/>
              </w:rPr>
              <w:t>15.3</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6B0786B2" w14:textId="77777777" w:rsidR="005E1DD5" w:rsidRPr="005E1DD5" w:rsidRDefault="005E1DD5" w:rsidP="005E1DD5">
            <w:pPr>
              <w:rPr>
                <w:lang w:val="en-GB"/>
              </w:rPr>
            </w:pPr>
            <w:r w:rsidRPr="005E1DD5">
              <w:rPr>
                <w:lang w:val="en-GB"/>
              </w:rPr>
              <w:t>18.2</w:t>
            </w:r>
          </w:p>
        </w:tc>
      </w:tr>
      <w:tr w:rsidR="005E1DD5" w:rsidRPr="005E1DD5" w14:paraId="507F4C18" w14:textId="77777777">
        <w:trPr>
          <w:trHeight w:val="255"/>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67C2E432" w14:textId="77777777" w:rsidR="005E1DD5" w:rsidRPr="005E1DD5" w:rsidRDefault="005E1DD5" w:rsidP="005E1DD5">
            <w:pPr>
              <w:rPr>
                <w:lang w:val="en-GB"/>
              </w:rPr>
            </w:pPr>
            <w:r w:rsidRPr="005E1DD5">
              <w:rPr>
                <w:lang w:val="en-GB"/>
              </w:rPr>
              <w:t>14</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3AB947CD" w14:textId="77777777" w:rsidR="005E1DD5" w:rsidRPr="005E1DD5" w:rsidRDefault="005E1DD5" w:rsidP="005E1DD5">
            <w:pPr>
              <w:rPr>
                <w:lang w:val="en-GB"/>
              </w:rPr>
            </w:pPr>
            <w:r w:rsidRPr="005E1DD5">
              <w:rPr>
                <w:lang w:val="en-GB"/>
              </w:rPr>
              <w:t>15.0</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7104640D" w14:textId="77777777" w:rsidR="005E1DD5" w:rsidRPr="005E1DD5" w:rsidRDefault="005E1DD5" w:rsidP="005E1DD5">
            <w:pPr>
              <w:rPr>
                <w:lang w:val="en-GB"/>
              </w:rPr>
            </w:pPr>
            <w:r w:rsidRPr="005E1DD5">
              <w:rPr>
                <w:lang w:val="en-GB"/>
              </w:rPr>
              <w:t>19.5</w:t>
            </w:r>
          </w:p>
        </w:tc>
      </w:tr>
      <w:tr w:rsidR="005E1DD5" w:rsidRPr="005E1DD5" w14:paraId="63409DA5" w14:textId="77777777">
        <w:trPr>
          <w:trHeight w:val="300"/>
          <w:jc w:val="center"/>
        </w:trPr>
        <w:tc>
          <w:tcPr>
            <w:tcW w:w="12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3E971AD9" w14:textId="77777777" w:rsidR="005E1DD5" w:rsidRPr="005E1DD5" w:rsidRDefault="005E1DD5" w:rsidP="005E1DD5">
            <w:pPr>
              <w:rPr>
                <w:lang w:val="en-GB"/>
              </w:rPr>
            </w:pPr>
            <w:r w:rsidRPr="005E1DD5">
              <w:rPr>
                <w:lang w:val="en-GB"/>
              </w:rPr>
              <w:t>15</w:t>
            </w:r>
          </w:p>
        </w:tc>
        <w:tc>
          <w:tcPr>
            <w:tcW w:w="189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45EDC069" w14:textId="77777777" w:rsidR="005E1DD5" w:rsidRPr="005E1DD5" w:rsidRDefault="005E1DD5" w:rsidP="005E1DD5">
            <w:pPr>
              <w:rPr>
                <w:lang w:val="en-GB"/>
              </w:rPr>
            </w:pPr>
            <w:r w:rsidRPr="005E1DD5">
              <w:rPr>
                <w:lang w:val="en-GB"/>
              </w:rPr>
              <w:t>12.8</w:t>
            </w:r>
          </w:p>
        </w:tc>
        <w:tc>
          <w:tcPr>
            <w:tcW w:w="2160" w:type="dxa"/>
            <w:tcBorders>
              <w:top w:val="single" w:sz="18" w:space="0" w:color="00B0F0"/>
              <w:left w:val="single" w:sz="18" w:space="0" w:color="00B0F0"/>
              <w:bottom w:val="single" w:sz="18" w:space="0" w:color="00B0F0"/>
              <w:right w:val="single" w:sz="18" w:space="0" w:color="00B0F0"/>
            </w:tcBorders>
            <w:shd w:val="clear" w:color="auto" w:fill="DBDBDB" w:themeFill="accent3" w:themeFillTint="66"/>
            <w:noWrap/>
            <w:vAlign w:val="center"/>
            <w:hideMark/>
          </w:tcPr>
          <w:p w14:paraId="4CFB6438" w14:textId="77777777" w:rsidR="005E1DD5" w:rsidRPr="005E1DD5" w:rsidRDefault="005E1DD5" w:rsidP="005E1DD5">
            <w:pPr>
              <w:rPr>
                <w:lang w:val="en-GB"/>
              </w:rPr>
            </w:pPr>
            <w:r w:rsidRPr="005E1DD5">
              <w:rPr>
                <w:lang w:val="en-GB"/>
              </w:rPr>
              <w:t>20.0</w:t>
            </w:r>
          </w:p>
        </w:tc>
      </w:tr>
    </w:tbl>
    <w:p w14:paraId="157F90CA" w14:textId="77777777" w:rsidR="005E1DD5" w:rsidRDefault="005E1DD5" w:rsidP="005E1DD5"/>
    <w:p w14:paraId="383BD875" w14:textId="283BB445" w:rsidR="005E1DD5" w:rsidRDefault="005E1DD5" w:rsidP="005E1DD5">
      <w:r>
        <w:t>A local pizza restaurant and a branch of a branded pizza chain are located across the street from a university campus. The local pizza restaurant advertises that it delivers pizzas to the dormitories faster than the branded restaurant. In order to determine whether this advertisement is valid, some students of Statistics decide to order 15 pizzas from the local pizza restaurant and 15 pizzas from the branch of the branded pizza chain, at different times and record the delivery times (in minutes). The data are given in Table 4.</w:t>
      </w:r>
    </w:p>
    <w:p w14:paraId="6AEBCD9A" w14:textId="77777777" w:rsidR="005E1DD5" w:rsidRDefault="005E1DD5" w:rsidP="005E1DD5"/>
    <w:p w14:paraId="733B89A0" w14:textId="77777777" w:rsidR="005E1DD5" w:rsidRDefault="005E1DD5" w:rsidP="005E1DD5">
      <w:r>
        <w:t>Assuming that the delivery time is normally distributed in both local and branded restaurants, is there evidence that the mean delivery time for the local restaurant is less than the mean delivery time for the branded restaurant at 5% level of significance if:</w:t>
      </w:r>
    </w:p>
    <w:p w14:paraId="4E1BA28E" w14:textId="77777777" w:rsidR="005E1DD5" w:rsidRDefault="005E1DD5" w:rsidP="005E1DD5">
      <w:proofErr w:type="spellStart"/>
      <w:r>
        <w:t>i</w:t>
      </w:r>
      <w:proofErr w:type="spellEnd"/>
      <w:r>
        <w:t>) the standard deviations of the delivery time of the local pizza restaurant and the branded restaurant are known to be 2.5 and 3.0, respectively,</w:t>
      </w:r>
    </w:p>
    <w:p w14:paraId="1537FCED" w14:textId="77777777" w:rsidR="005E1DD5" w:rsidRDefault="005E1DD5" w:rsidP="005E1DD5">
      <w:r>
        <w:t>ii) the standard deviations of the delivery time of the local pizza restaurant and the branded restaurant are equal and not known, and</w:t>
      </w:r>
    </w:p>
    <w:p w14:paraId="2F6DD172" w14:textId="1FEED3AF" w:rsidR="006A218B" w:rsidRDefault="005E1DD5" w:rsidP="005E1DD5">
      <w:r>
        <w:lastRenderedPageBreak/>
        <w:t>iii) the students matched the samples for each of the 15 times that the pizzas were ordered and have one measurement from the local pizza restaurant and one from the of branded restaurant.</w:t>
      </w:r>
    </w:p>
    <w:sectPr w:rsidR="006A2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D5"/>
    <w:rsid w:val="00211F7C"/>
    <w:rsid w:val="00214986"/>
    <w:rsid w:val="005E1DD5"/>
    <w:rsid w:val="006A218B"/>
    <w:rsid w:val="00942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871E"/>
  <w15:chartTrackingRefBased/>
  <w15:docId w15:val="{79205259-BE40-4AB2-B145-B9FDEFB6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D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1D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1D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1D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D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D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1D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1D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1D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D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DD5"/>
    <w:rPr>
      <w:rFonts w:eastAsiaTheme="majorEastAsia" w:cstheme="majorBidi"/>
      <w:color w:val="272727" w:themeColor="text1" w:themeTint="D8"/>
    </w:rPr>
  </w:style>
  <w:style w:type="paragraph" w:styleId="Title">
    <w:name w:val="Title"/>
    <w:basedOn w:val="Normal"/>
    <w:next w:val="Normal"/>
    <w:link w:val="TitleChar"/>
    <w:uiPriority w:val="10"/>
    <w:qFormat/>
    <w:rsid w:val="005E1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DD5"/>
    <w:pPr>
      <w:spacing w:before="160"/>
      <w:jc w:val="center"/>
    </w:pPr>
    <w:rPr>
      <w:i/>
      <w:iCs/>
      <w:color w:val="404040" w:themeColor="text1" w:themeTint="BF"/>
    </w:rPr>
  </w:style>
  <w:style w:type="character" w:customStyle="1" w:styleId="QuoteChar">
    <w:name w:val="Quote Char"/>
    <w:basedOn w:val="DefaultParagraphFont"/>
    <w:link w:val="Quote"/>
    <w:uiPriority w:val="29"/>
    <w:rsid w:val="005E1DD5"/>
    <w:rPr>
      <w:i/>
      <w:iCs/>
      <w:color w:val="404040" w:themeColor="text1" w:themeTint="BF"/>
    </w:rPr>
  </w:style>
  <w:style w:type="paragraph" w:styleId="ListParagraph">
    <w:name w:val="List Paragraph"/>
    <w:basedOn w:val="Normal"/>
    <w:uiPriority w:val="34"/>
    <w:qFormat/>
    <w:rsid w:val="005E1DD5"/>
    <w:pPr>
      <w:ind w:left="720"/>
      <w:contextualSpacing/>
    </w:pPr>
  </w:style>
  <w:style w:type="character" w:styleId="IntenseEmphasis">
    <w:name w:val="Intense Emphasis"/>
    <w:basedOn w:val="DefaultParagraphFont"/>
    <w:uiPriority w:val="21"/>
    <w:qFormat/>
    <w:rsid w:val="005E1DD5"/>
    <w:rPr>
      <w:i/>
      <w:iCs/>
      <w:color w:val="2F5496" w:themeColor="accent1" w:themeShade="BF"/>
    </w:rPr>
  </w:style>
  <w:style w:type="paragraph" w:styleId="IntenseQuote">
    <w:name w:val="Intense Quote"/>
    <w:basedOn w:val="Normal"/>
    <w:next w:val="Normal"/>
    <w:link w:val="IntenseQuoteChar"/>
    <w:uiPriority w:val="30"/>
    <w:qFormat/>
    <w:rsid w:val="005E1D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DD5"/>
    <w:rPr>
      <w:i/>
      <w:iCs/>
      <w:color w:val="2F5496" w:themeColor="accent1" w:themeShade="BF"/>
    </w:rPr>
  </w:style>
  <w:style w:type="character" w:styleId="IntenseReference">
    <w:name w:val="Intense Reference"/>
    <w:basedOn w:val="DefaultParagraphFont"/>
    <w:uiPriority w:val="32"/>
    <w:qFormat/>
    <w:rsid w:val="005E1D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sanan</dc:creator>
  <cp:keywords/>
  <dc:description/>
  <cp:lastModifiedBy>arman sanan</cp:lastModifiedBy>
  <cp:revision>1</cp:revision>
  <dcterms:created xsi:type="dcterms:W3CDTF">2025-10-16T14:58:00Z</dcterms:created>
  <dcterms:modified xsi:type="dcterms:W3CDTF">2025-10-16T15:08:00Z</dcterms:modified>
</cp:coreProperties>
</file>