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 xml:space="preserve">1 </w:t>
      </w:r>
      <w:r>
        <w:rPr>
          <w:rFonts w:hint="eastAsia"/>
          <w:lang w:val="en-US" w:eastAsia="zh-CN"/>
        </w:rPr>
        <w:t>为什么要前后端分离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1）pc，APP，pad多端适应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2）SPA开发模式开始流行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3）前后端开发职责不清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4）开发效率问题，前后端互相等待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5）前端一直配合后端，能力受限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6）后台开发语言和模板高度耦合，导致开发语言严重依赖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前后端分离缺点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1）前后端学习门槛增加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2）数据依赖导致文档重要性增加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3）前端工作量加大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4）SEO（搜索引擎优化）难度加大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5）后端开发模式迁移成本增加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RESTful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API目前是前后端分离的最佳实践，意味着一种标准。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1）轻量级，直接通过HTTP协议（POST/GET/PUT/DELETE/PATCH/HEAD/OPTION），不需要额外的协议；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2）面向资源（url，uri，HTTP + 资源 的方法），一目了然，具有自解释性；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3）数据描述简单；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862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04601"/>
    <w:rsid w:val="31E430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小蒙</cp:lastModifiedBy>
  <dcterms:modified xsi:type="dcterms:W3CDTF">2018-01-31T11:21:19Z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