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9AFFF" w14:textId="77777777" w:rsidR="00672061" w:rsidRPr="00640591" w:rsidRDefault="00000000" w:rsidP="0088167B">
      <w:pPr>
        <w:spacing w:after="160"/>
        <w:jc w:val="center"/>
        <w:rPr>
          <w:rFonts w:ascii="Georgia" w:hAnsi="Georgia"/>
          <w:sz w:val="48"/>
          <w:szCs w:val="48"/>
        </w:rPr>
      </w:pPr>
      <w:r w:rsidRPr="00640591">
        <w:rPr>
          <w:rFonts w:ascii="Georgia" w:hAnsi="Georgia"/>
          <w:b/>
          <w:color w:val="0B2545"/>
          <w:sz w:val="48"/>
          <w:szCs w:val="48"/>
        </w:rPr>
        <w:t>Customer Segmentation &amp; Churn Pattern Analytics</w:t>
      </w:r>
    </w:p>
    <w:p w14:paraId="59019FBA" w14:textId="77777777" w:rsidR="00672061" w:rsidRDefault="00000000" w:rsidP="00640591">
      <w:pPr>
        <w:spacing w:after="0"/>
        <w:jc w:val="center"/>
        <w:rPr>
          <w:rFonts w:ascii="Georgia" w:hAnsi="Georgia"/>
          <w:color w:val="5D6B7A"/>
          <w:sz w:val="20"/>
          <w:szCs w:val="20"/>
        </w:rPr>
      </w:pPr>
      <w:r w:rsidRPr="00640591">
        <w:rPr>
          <w:rFonts w:ascii="Georgia" w:hAnsi="Georgia"/>
          <w:color w:val="5D6B7A"/>
          <w:sz w:val="20"/>
          <w:szCs w:val="20"/>
        </w:rPr>
        <w:t>European Banking | Exploratory Data Analysis, Insights and Recommendations</w:t>
      </w:r>
    </w:p>
    <w:p w14:paraId="03837F8D" w14:textId="77777777" w:rsidR="00640591" w:rsidRPr="00640591" w:rsidRDefault="00640591" w:rsidP="00640591">
      <w:pPr>
        <w:spacing w:after="0"/>
        <w:jc w:val="center"/>
        <w:rPr>
          <w:rFonts w:ascii="Georgia" w:hAnsi="Georgia"/>
          <w:sz w:val="20"/>
          <w:szCs w:val="20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30"/>
        <w:gridCol w:w="2850"/>
        <w:gridCol w:w="2340"/>
        <w:gridCol w:w="2340"/>
      </w:tblGrid>
      <w:tr w:rsidR="00672061" w:rsidRPr="00640591" w14:paraId="5612115E" w14:textId="77777777" w:rsidTr="00765351">
        <w:tc>
          <w:tcPr>
            <w:tcW w:w="183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99776" w14:textId="77777777" w:rsidR="00672061" w:rsidRPr="00640591" w:rsidRDefault="00000000" w:rsidP="00765351">
            <w:pPr>
              <w:spacing w:after="0"/>
              <w:jc w:val="center"/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b/>
                <w:color w:val="0B2545"/>
                <w:sz w:val="20"/>
                <w:szCs w:val="20"/>
              </w:rPr>
              <w:t>20.4%</w:t>
            </w:r>
          </w:p>
          <w:p w14:paraId="3E144B21" w14:textId="77777777" w:rsidR="00672061" w:rsidRPr="00640591" w:rsidRDefault="00000000" w:rsidP="00765351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color w:val="5D6B7A"/>
                <w:sz w:val="20"/>
                <w:szCs w:val="20"/>
              </w:rPr>
              <w:t>Overall churn</w:t>
            </w:r>
          </w:p>
        </w:tc>
        <w:tc>
          <w:tcPr>
            <w:tcW w:w="28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312D9" w14:textId="77777777" w:rsidR="00672061" w:rsidRPr="00640591" w:rsidRDefault="00000000" w:rsidP="00765351">
            <w:pPr>
              <w:spacing w:after="0"/>
              <w:jc w:val="center"/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b/>
                <w:color w:val="0B2545"/>
                <w:sz w:val="20"/>
                <w:szCs w:val="20"/>
              </w:rPr>
              <w:t>127,644</w:t>
            </w:r>
          </w:p>
          <w:p w14:paraId="4446CADA" w14:textId="77777777" w:rsidR="00672061" w:rsidRPr="00640591" w:rsidRDefault="00000000" w:rsidP="00765351">
            <w:pPr>
              <w:spacing w:after="0"/>
              <w:jc w:val="center"/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color w:val="5D6B7A"/>
                <w:sz w:val="20"/>
                <w:szCs w:val="20"/>
              </w:rPr>
              <w:t>Premium balance threshold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0D3A0" w14:textId="77777777" w:rsidR="00672061" w:rsidRPr="00640591" w:rsidRDefault="00000000" w:rsidP="00765351">
            <w:pPr>
              <w:spacing w:after="0"/>
              <w:jc w:val="center"/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b/>
                <w:color w:val="0B2545"/>
                <w:sz w:val="20"/>
                <w:szCs w:val="20"/>
              </w:rPr>
              <w:t>23.7%</w:t>
            </w:r>
          </w:p>
          <w:p w14:paraId="4E239770" w14:textId="77777777" w:rsidR="00672061" w:rsidRPr="00640591" w:rsidRDefault="00000000" w:rsidP="00765351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color w:val="5D6B7A"/>
                <w:sz w:val="20"/>
                <w:szCs w:val="20"/>
              </w:rPr>
              <w:t>Premium churn rate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57655" w14:textId="77777777" w:rsidR="00672061" w:rsidRPr="00640591" w:rsidRDefault="00000000" w:rsidP="00765351">
            <w:pPr>
              <w:spacing w:after="0"/>
              <w:jc w:val="center"/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b/>
                <w:color w:val="0B2545"/>
                <w:sz w:val="20"/>
                <w:szCs w:val="20"/>
              </w:rPr>
              <w:t>26.9%</w:t>
            </w:r>
          </w:p>
          <w:p w14:paraId="23498222" w14:textId="77777777" w:rsidR="00672061" w:rsidRPr="00640591" w:rsidRDefault="00000000" w:rsidP="00765351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color w:val="5D6B7A"/>
                <w:sz w:val="20"/>
                <w:szCs w:val="20"/>
              </w:rPr>
              <w:t>Inactive churn rate</w:t>
            </w:r>
          </w:p>
        </w:tc>
      </w:tr>
    </w:tbl>
    <w:p w14:paraId="0E3113C6" w14:textId="77777777" w:rsidR="00672061" w:rsidRPr="00640591" w:rsidRDefault="00000000">
      <w:pPr>
        <w:pStyle w:val="Heading1"/>
        <w:rPr>
          <w:rFonts w:ascii="Georgia" w:hAnsi="Georgia"/>
          <w:sz w:val="20"/>
          <w:szCs w:val="20"/>
        </w:rPr>
      </w:pPr>
      <w:r w:rsidRPr="00640591">
        <w:rPr>
          <w:rFonts w:ascii="Georgia" w:hAnsi="Georgia"/>
          <w:sz w:val="20"/>
          <w:szCs w:val="20"/>
        </w:rPr>
        <w:t>Executive Abstract</w:t>
      </w:r>
    </w:p>
    <w:p w14:paraId="0BD0577E" w14:textId="77777777" w:rsidR="00672061" w:rsidRPr="00640591" w:rsidRDefault="00000000" w:rsidP="0088167B">
      <w:pPr>
        <w:spacing w:after="120" w:line="264" w:lineRule="auto"/>
        <w:jc w:val="both"/>
        <w:rPr>
          <w:rFonts w:ascii="Georgia" w:hAnsi="Georgia"/>
          <w:sz w:val="20"/>
          <w:szCs w:val="20"/>
        </w:rPr>
      </w:pPr>
      <w:r w:rsidRPr="00640591">
        <w:rPr>
          <w:rFonts w:ascii="Georgia" w:hAnsi="Georgia"/>
          <w:sz w:val="20"/>
          <w:szCs w:val="20"/>
        </w:rPr>
        <w:t>This study examines churn across 10,000 European retail-bank customer records. The observed churn rate is 20.4%. Churn is not evenly distributed: it is elevated in Germany, among customers aged 46+, inactive customers, and customers with very high product counts. The findings support targeted retention and supervisory monitoring rather than broad, undifferentiated intervention.</w:t>
      </w:r>
    </w:p>
    <w:p w14:paraId="52B937F7" w14:textId="77777777" w:rsidR="00672061" w:rsidRPr="00640591" w:rsidRDefault="00000000">
      <w:pPr>
        <w:pStyle w:val="Heading1"/>
        <w:rPr>
          <w:rFonts w:ascii="Georgia" w:hAnsi="Georgia"/>
          <w:sz w:val="20"/>
          <w:szCs w:val="20"/>
        </w:rPr>
      </w:pPr>
      <w:r w:rsidRPr="00640591">
        <w:rPr>
          <w:rFonts w:ascii="Georgia" w:hAnsi="Georgia"/>
          <w:sz w:val="20"/>
          <w:szCs w:val="20"/>
        </w:rPr>
        <w:t>1. Research Scope and Questions</w:t>
      </w:r>
    </w:p>
    <w:p w14:paraId="26A4EB9A" w14:textId="77777777" w:rsidR="00672061" w:rsidRPr="00640591" w:rsidRDefault="00000000" w:rsidP="0088167B">
      <w:pPr>
        <w:spacing w:after="120" w:line="264" w:lineRule="auto"/>
        <w:jc w:val="both"/>
        <w:rPr>
          <w:rFonts w:ascii="Georgia" w:hAnsi="Georgia"/>
          <w:sz w:val="20"/>
          <w:szCs w:val="20"/>
        </w:rPr>
      </w:pPr>
      <w:r w:rsidRPr="00640591">
        <w:rPr>
          <w:rFonts w:ascii="Georgia" w:hAnsi="Georgia"/>
          <w:sz w:val="20"/>
          <w:szCs w:val="20"/>
        </w:rPr>
        <w:t>The analysis addresses three policy and management questions: which segments show the greatest probability of exit; whether geography and demographic characteristics concentrate risk; and whether churn could affect financially meaningful customer relationships.</w:t>
      </w:r>
    </w:p>
    <w:p w14:paraId="1FEF49DD" w14:textId="77777777" w:rsidR="00672061" w:rsidRPr="00640591" w:rsidRDefault="00000000">
      <w:pPr>
        <w:pStyle w:val="Heading1"/>
        <w:rPr>
          <w:rFonts w:ascii="Georgia" w:hAnsi="Georgia"/>
          <w:sz w:val="20"/>
          <w:szCs w:val="20"/>
        </w:rPr>
      </w:pPr>
      <w:r w:rsidRPr="00640591">
        <w:rPr>
          <w:rFonts w:ascii="Georgia" w:hAnsi="Georgia"/>
          <w:sz w:val="20"/>
          <w:szCs w:val="20"/>
        </w:rPr>
        <w:t>2. Data, Validation and Segmentation Method</w:t>
      </w:r>
    </w:p>
    <w:p w14:paraId="39F171BC" w14:textId="77777777" w:rsidR="00672061" w:rsidRPr="00640591" w:rsidRDefault="00000000" w:rsidP="0088167B">
      <w:pPr>
        <w:spacing w:after="120" w:line="264" w:lineRule="auto"/>
        <w:jc w:val="both"/>
        <w:rPr>
          <w:rFonts w:ascii="Georgia" w:hAnsi="Georgia"/>
          <w:sz w:val="20"/>
          <w:szCs w:val="20"/>
        </w:rPr>
      </w:pPr>
      <w:r w:rsidRPr="00640591">
        <w:rPr>
          <w:rFonts w:ascii="Georgia" w:hAnsi="Georgia"/>
          <w:sz w:val="20"/>
          <w:szCs w:val="20"/>
        </w:rPr>
        <w:t>The source file contains 10,000 records and 14 columns, including a 2025 reference year. CustomerId was checked for uniqueness; Surname was excluded from analysis; all fields had zero missing values. Binary fields HasCrCard, IsActiveMember and Exited were confirmed as 0/1. Exited=1 denotes churn.</w:t>
      </w:r>
    </w:p>
    <w:p w14:paraId="45AEA99A" w14:textId="77777777" w:rsidR="00D77186" w:rsidRDefault="00000000" w:rsidP="00D77186">
      <w:pPr>
        <w:spacing w:after="120" w:line="264" w:lineRule="auto"/>
        <w:jc w:val="both"/>
        <w:rPr>
          <w:rFonts w:ascii="Georgia" w:hAnsi="Georgia"/>
          <w:sz w:val="20"/>
          <w:szCs w:val="20"/>
        </w:rPr>
      </w:pPr>
      <w:r w:rsidRPr="00640591">
        <w:rPr>
          <w:rFonts w:ascii="Georgia" w:hAnsi="Georgia"/>
          <w:sz w:val="20"/>
          <w:szCs w:val="20"/>
        </w:rPr>
        <w:t>Segments are reproducible: age (&lt;30, 30-45, 46-60, 60+); credit score (low &lt;580, medium 580-700, high &gt;700); tenure (new 0-2, mid-term 3-6, long-term 7+); and balance (zero, low &gt;0-100k, high 100k+). Premium balance is defined as the top quartile of balances, at or above 127644.</w:t>
      </w:r>
    </w:p>
    <w:p w14:paraId="1EE18B9F" w14:textId="3F9B58E9" w:rsidR="00672061" w:rsidRPr="00640591" w:rsidRDefault="00000000" w:rsidP="00D77186">
      <w:pPr>
        <w:pStyle w:val="Heading1"/>
        <w:rPr>
          <w:rFonts w:ascii="Georgia" w:hAnsi="Georgia"/>
          <w:sz w:val="20"/>
          <w:szCs w:val="20"/>
        </w:rPr>
      </w:pPr>
      <w:r w:rsidRPr="00640591">
        <w:rPr>
          <w:rFonts w:ascii="Georgia" w:hAnsi="Georgia"/>
          <w:sz w:val="20"/>
          <w:szCs w:val="20"/>
        </w:rPr>
        <w:t>3. Overall and Geographic Findings</w:t>
      </w:r>
    </w:p>
    <w:p w14:paraId="4DB60E7B" w14:textId="77777777" w:rsidR="00672061" w:rsidRPr="00640591" w:rsidRDefault="00000000" w:rsidP="00E14D4E">
      <w:pPr>
        <w:jc w:val="center"/>
        <w:rPr>
          <w:rFonts w:ascii="Georgia" w:hAnsi="Georgia"/>
          <w:sz w:val="20"/>
          <w:szCs w:val="20"/>
        </w:rPr>
      </w:pPr>
      <w:r w:rsidRPr="00640591">
        <w:rPr>
          <w:rFonts w:ascii="Georgia" w:hAnsi="Georgia"/>
          <w:noProof/>
          <w:sz w:val="20"/>
          <w:szCs w:val="20"/>
        </w:rPr>
        <w:drawing>
          <wp:inline distT="0" distB="0" distL="0" distR="0" wp14:anchorId="0D9FB86D" wp14:editId="1397452F">
            <wp:extent cx="5029200" cy="24688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ography_chur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5682" cy="247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7950" w:type="dxa"/>
        <w:jc w:val="center"/>
        <w:tblLayout w:type="fixed"/>
        <w:tblLook w:val="04A0" w:firstRow="1" w:lastRow="0" w:firstColumn="1" w:lastColumn="0" w:noHBand="0" w:noVBand="1"/>
      </w:tblPr>
      <w:tblGrid>
        <w:gridCol w:w="1380"/>
        <w:gridCol w:w="1440"/>
        <w:gridCol w:w="1260"/>
        <w:gridCol w:w="1530"/>
        <w:gridCol w:w="2340"/>
      </w:tblGrid>
      <w:tr w:rsidR="00672061" w:rsidRPr="00640591" w14:paraId="40D678D8" w14:textId="77777777" w:rsidTr="00E14D4E">
        <w:trPr>
          <w:jc w:val="center"/>
        </w:trPr>
        <w:tc>
          <w:tcPr>
            <w:tcW w:w="13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6559B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b/>
                <w:color w:val="0B2545"/>
                <w:sz w:val="20"/>
                <w:szCs w:val="20"/>
              </w:rPr>
              <w:lastRenderedPageBreak/>
              <w:t>Geography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EFBBD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b/>
                <w:color w:val="0B2545"/>
                <w:sz w:val="20"/>
                <w:szCs w:val="20"/>
              </w:rPr>
              <w:t>Customers</w:t>
            </w:r>
          </w:p>
        </w:tc>
        <w:tc>
          <w:tcPr>
            <w:tcW w:w="1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C7918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b/>
                <w:color w:val="0B2545"/>
                <w:sz w:val="20"/>
                <w:szCs w:val="20"/>
              </w:rPr>
              <w:t>Churned</w:t>
            </w:r>
          </w:p>
        </w:tc>
        <w:tc>
          <w:tcPr>
            <w:tcW w:w="153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E7C3D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b/>
                <w:color w:val="0B2545"/>
                <w:sz w:val="20"/>
                <w:szCs w:val="20"/>
              </w:rPr>
              <w:t>Churn Rate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10700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b/>
                <w:color w:val="0B2545"/>
                <w:sz w:val="20"/>
                <w:szCs w:val="20"/>
              </w:rPr>
              <w:t>Churn Contribution</w:t>
            </w:r>
          </w:p>
        </w:tc>
      </w:tr>
      <w:tr w:rsidR="00672061" w:rsidRPr="00640591" w14:paraId="374F6460" w14:textId="77777777" w:rsidTr="00E14D4E">
        <w:trPr>
          <w:jc w:val="center"/>
        </w:trPr>
        <w:tc>
          <w:tcPr>
            <w:tcW w:w="1380" w:type="dxa"/>
          </w:tcPr>
          <w:p w14:paraId="7EE6DB3E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sz w:val="20"/>
                <w:szCs w:val="20"/>
              </w:rPr>
              <w:t>France</w:t>
            </w:r>
          </w:p>
        </w:tc>
        <w:tc>
          <w:tcPr>
            <w:tcW w:w="1440" w:type="dxa"/>
          </w:tcPr>
          <w:p w14:paraId="7975E57C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sz w:val="20"/>
                <w:szCs w:val="20"/>
              </w:rPr>
              <w:t>5,014</w:t>
            </w:r>
          </w:p>
        </w:tc>
        <w:tc>
          <w:tcPr>
            <w:tcW w:w="1260" w:type="dxa"/>
          </w:tcPr>
          <w:p w14:paraId="3AF1D1F0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sz w:val="20"/>
                <w:szCs w:val="20"/>
              </w:rPr>
              <w:t>810</w:t>
            </w:r>
          </w:p>
        </w:tc>
        <w:tc>
          <w:tcPr>
            <w:tcW w:w="1530" w:type="dxa"/>
          </w:tcPr>
          <w:p w14:paraId="6A0FC2D2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sz w:val="20"/>
                <w:szCs w:val="20"/>
              </w:rPr>
              <w:t>16.2%</w:t>
            </w:r>
          </w:p>
        </w:tc>
        <w:tc>
          <w:tcPr>
            <w:tcW w:w="2340" w:type="dxa"/>
          </w:tcPr>
          <w:p w14:paraId="79B1DBEF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sz w:val="20"/>
                <w:szCs w:val="20"/>
              </w:rPr>
              <w:t>39.8%</w:t>
            </w:r>
          </w:p>
        </w:tc>
      </w:tr>
      <w:tr w:rsidR="00672061" w:rsidRPr="00640591" w14:paraId="3355E4CC" w14:textId="77777777" w:rsidTr="00E14D4E">
        <w:trPr>
          <w:jc w:val="center"/>
        </w:trPr>
        <w:tc>
          <w:tcPr>
            <w:tcW w:w="1380" w:type="dxa"/>
          </w:tcPr>
          <w:p w14:paraId="7BCA76C9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sz w:val="20"/>
                <w:szCs w:val="20"/>
              </w:rPr>
              <w:t>Spain</w:t>
            </w:r>
          </w:p>
        </w:tc>
        <w:tc>
          <w:tcPr>
            <w:tcW w:w="1440" w:type="dxa"/>
          </w:tcPr>
          <w:p w14:paraId="213BFAE7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sz w:val="20"/>
                <w:szCs w:val="20"/>
              </w:rPr>
              <w:t>2,477</w:t>
            </w:r>
          </w:p>
        </w:tc>
        <w:tc>
          <w:tcPr>
            <w:tcW w:w="1260" w:type="dxa"/>
          </w:tcPr>
          <w:p w14:paraId="15152964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sz w:val="20"/>
                <w:szCs w:val="20"/>
              </w:rPr>
              <w:t>413</w:t>
            </w:r>
          </w:p>
        </w:tc>
        <w:tc>
          <w:tcPr>
            <w:tcW w:w="1530" w:type="dxa"/>
          </w:tcPr>
          <w:p w14:paraId="67E1A104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sz w:val="20"/>
                <w:szCs w:val="20"/>
              </w:rPr>
              <w:t>16.7%</w:t>
            </w:r>
          </w:p>
        </w:tc>
        <w:tc>
          <w:tcPr>
            <w:tcW w:w="2340" w:type="dxa"/>
          </w:tcPr>
          <w:p w14:paraId="55EAFF6D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sz w:val="20"/>
                <w:szCs w:val="20"/>
              </w:rPr>
              <w:t>20.3%</w:t>
            </w:r>
          </w:p>
        </w:tc>
      </w:tr>
      <w:tr w:rsidR="00672061" w:rsidRPr="00640591" w14:paraId="3150C44C" w14:textId="77777777" w:rsidTr="00E14D4E">
        <w:trPr>
          <w:jc w:val="center"/>
        </w:trPr>
        <w:tc>
          <w:tcPr>
            <w:tcW w:w="1380" w:type="dxa"/>
          </w:tcPr>
          <w:p w14:paraId="013724AE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sz w:val="20"/>
                <w:szCs w:val="20"/>
              </w:rPr>
              <w:t>Germany</w:t>
            </w:r>
          </w:p>
        </w:tc>
        <w:tc>
          <w:tcPr>
            <w:tcW w:w="1440" w:type="dxa"/>
          </w:tcPr>
          <w:p w14:paraId="3B86CE06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sz w:val="20"/>
                <w:szCs w:val="20"/>
              </w:rPr>
              <w:t>2,509</w:t>
            </w:r>
          </w:p>
        </w:tc>
        <w:tc>
          <w:tcPr>
            <w:tcW w:w="1260" w:type="dxa"/>
          </w:tcPr>
          <w:p w14:paraId="3D9A9978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sz w:val="20"/>
                <w:szCs w:val="20"/>
              </w:rPr>
              <w:t>814</w:t>
            </w:r>
          </w:p>
        </w:tc>
        <w:tc>
          <w:tcPr>
            <w:tcW w:w="1530" w:type="dxa"/>
          </w:tcPr>
          <w:p w14:paraId="6EFE5500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sz w:val="20"/>
                <w:szCs w:val="20"/>
              </w:rPr>
              <w:t>32.4%</w:t>
            </w:r>
          </w:p>
        </w:tc>
        <w:tc>
          <w:tcPr>
            <w:tcW w:w="2340" w:type="dxa"/>
          </w:tcPr>
          <w:p w14:paraId="2E0FDAFC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sz w:val="20"/>
                <w:szCs w:val="20"/>
              </w:rPr>
              <w:t>40.0%</w:t>
            </w:r>
          </w:p>
        </w:tc>
      </w:tr>
    </w:tbl>
    <w:p w14:paraId="6AB98013" w14:textId="77777777" w:rsidR="00D77186" w:rsidRDefault="00D77186" w:rsidP="0088167B">
      <w:pPr>
        <w:spacing w:after="120" w:line="264" w:lineRule="auto"/>
        <w:jc w:val="both"/>
        <w:rPr>
          <w:rFonts w:ascii="Georgia" w:hAnsi="Georgia"/>
          <w:sz w:val="20"/>
          <w:szCs w:val="20"/>
        </w:rPr>
      </w:pPr>
    </w:p>
    <w:p w14:paraId="02876DC8" w14:textId="2D45D2EC" w:rsidR="00672061" w:rsidRPr="00640591" w:rsidRDefault="00000000" w:rsidP="0088167B">
      <w:pPr>
        <w:spacing w:after="120" w:line="264" w:lineRule="auto"/>
        <w:jc w:val="both"/>
        <w:rPr>
          <w:rFonts w:ascii="Georgia" w:hAnsi="Georgia"/>
          <w:sz w:val="20"/>
          <w:szCs w:val="20"/>
        </w:rPr>
      </w:pPr>
      <w:r w:rsidRPr="00640591">
        <w:rPr>
          <w:rFonts w:ascii="Georgia" w:hAnsi="Georgia"/>
          <w:sz w:val="20"/>
          <w:szCs w:val="20"/>
        </w:rPr>
        <w:t>Germany has the highest churn rate (32.4%), followed by Spain and France. This is a relative-risk result, not evidence of causality; country comparisons should be monitored alongside product mix, local service experience and economic context.</w:t>
      </w:r>
    </w:p>
    <w:p w14:paraId="208B40CA" w14:textId="77777777" w:rsidR="00672061" w:rsidRPr="00640591" w:rsidRDefault="00000000">
      <w:pPr>
        <w:pStyle w:val="Heading1"/>
        <w:rPr>
          <w:rFonts w:ascii="Georgia" w:hAnsi="Georgia"/>
          <w:sz w:val="20"/>
          <w:szCs w:val="20"/>
        </w:rPr>
      </w:pPr>
      <w:r w:rsidRPr="00640591">
        <w:rPr>
          <w:rFonts w:ascii="Georgia" w:hAnsi="Georgia"/>
          <w:sz w:val="20"/>
          <w:szCs w:val="20"/>
        </w:rPr>
        <w:t>4. Demographic and Tenure Patterns</w:t>
      </w:r>
    </w:p>
    <w:p w14:paraId="19414288" w14:textId="77777777" w:rsidR="00672061" w:rsidRPr="00640591" w:rsidRDefault="00000000" w:rsidP="00D77186">
      <w:pPr>
        <w:jc w:val="center"/>
        <w:rPr>
          <w:rFonts w:ascii="Georgia" w:hAnsi="Georgia"/>
          <w:sz w:val="20"/>
          <w:szCs w:val="20"/>
        </w:rPr>
      </w:pPr>
      <w:r w:rsidRPr="00640591">
        <w:rPr>
          <w:rFonts w:ascii="Georgia" w:hAnsi="Georgia"/>
          <w:noProof/>
          <w:sz w:val="20"/>
          <w:szCs w:val="20"/>
        </w:rPr>
        <w:drawing>
          <wp:inline distT="0" distB="0" distL="0" distR="0" wp14:anchorId="27B5F8A6" wp14:editId="0B10B23A">
            <wp:extent cx="5806440" cy="28504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e_chur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5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207E9" w14:textId="77777777" w:rsidR="00672061" w:rsidRPr="00640591" w:rsidRDefault="00000000" w:rsidP="00D77186">
      <w:pPr>
        <w:jc w:val="center"/>
        <w:rPr>
          <w:rFonts w:ascii="Georgia" w:hAnsi="Georgia"/>
          <w:sz w:val="20"/>
          <w:szCs w:val="20"/>
        </w:rPr>
      </w:pPr>
      <w:r w:rsidRPr="00640591">
        <w:rPr>
          <w:rFonts w:ascii="Georgia" w:hAnsi="Georgia"/>
          <w:noProof/>
          <w:sz w:val="20"/>
          <w:szCs w:val="20"/>
        </w:rPr>
        <w:drawing>
          <wp:inline distT="0" distB="0" distL="0" distR="0" wp14:anchorId="1A921E35" wp14:editId="2DD9B8C2">
            <wp:extent cx="5044440" cy="2111837"/>
            <wp:effectExtent l="0" t="0" r="381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o_age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4232" cy="212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6405" w:type="dxa"/>
        <w:jc w:val="center"/>
        <w:tblLayout w:type="fixed"/>
        <w:tblLook w:val="04A0" w:firstRow="1" w:lastRow="0" w:firstColumn="1" w:lastColumn="0" w:noHBand="0" w:noVBand="1"/>
      </w:tblPr>
      <w:tblGrid>
        <w:gridCol w:w="1365"/>
        <w:gridCol w:w="1170"/>
        <w:gridCol w:w="990"/>
        <w:gridCol w:w="1170"/>
        <w:gridCol w:w="1710"/>
      </w:tblGrid>
      <w:tr w:rsidR="00672061" w:rsidRPr="00640591" w14:paraId="2A420532" w14:textId="77777777" w:rsidTr="00D77186">
        <w:trPr>
          <w:jc w:val="center"/>
        </w:trPr>
        <w:tc>
          <w:tcPr>
            <w:tcW w:w="136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671CE" w14:textId="3E1DC084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b/>
                <w:color w:val="0B2545"/>
                <w:sz w:val="20"/>
                <w:szCs w:val="20"/>
              </w:rPr>
              <w:t>Age</w:t>
            </w:r>
            <w:r w:rsidR="00D77186">
              <w:rPr>
                <w:rFonts w:ascii="Georgia" w:hAnsi="Georgia"/>
                <w:b/>
                <w:color w:val="0B2545"/>
                <w:sz w:val="20"/>
                <w:szCs w:val="20"/>
              </w:rPr>
              <w:t xml:space="preserve"> </w:t>
            </w:r>
            <w:r w:rsidRPr="00640591">
              <w:rPr>
                <w:rFonts w:ascii="Georgia" w:hAnsi="Georgia"/>
                <w:b/>
                <w:color w:val="0B2545"/>
                <w:sz w:val="20"/>
                <w:szCs w:val="20"/>
              </w:rPr>
              <w:t>Group</w:t>
            </w:r>
          </w:p>
        </w:tc>
        <w:tc>
          <w:tcPr>
            <w:tcW w:w="117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89E90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b/>
                <w:color w:val="0B2545"/>
                <w:sz w:val="20"/>
                <w:szCs w:val="20"/>
              </w:rPr>
              <w:t>Customers</w:t>
            </w:r>
          </w:p>
        </w:tc>
        <w:tc>
          <w:tcPr>
            <w:tcW w:w="99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7D306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b/>
                <w:color w:val="0B2545"/>
                <w:sz w:val="20"/>
                <w:szCs w:val="20"/>
              </w:rPr>
              <w:t>Churned</w:t>
            </w:r>
          </w:p>
        </w:tc>
        <w:tc>
          <w:tcPr>
            <w:tcW w:w="117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78FC9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b/>
                <w:color w:val="0B2545"/>
                <w:sz w:val="20"/>
                <w:szCs w:val="20"/>
              </w:rPr>
              <w:t>Churn Rate</w:t>
            </w:r>
          </w:p>
        </w:tc>
        <w:tc>
          <w:tcPr>
            <w:tcW w:w="17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3B635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b/>
                <w:color w:val="0B2545"/>
                <w:sz w:val="20"/>
                <w:szCs w:val="20"/>
              </w:rPr>
              <w:t>Churn Contribution</w:t>
            </w:r>
          </w:p>
        </w:tc>
      </w:tr>
      <w:tr w:rsidR="00672061" w:rsidRPr="00640591" w14:paraId="3128E1A9" w14:textId="77777777" w:rsidTr="00D77186">
        <w:trPr>
          <w:jc w:val="center"/>
        </w:trPr>
        <w:tc>
          <w:tcPr>
            <w:tcW w:w="1365" w:type="dxa"/>
          </w:tcPr>
          <w:p w14:paraId="41CE15E6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sz w:val="20"/>
                <w:szCs w:val="20"/>
              </w:rPr>
              <w:t>&lt;30</w:t>
            </w:r>
          </w:p>
        </w:tc>
        <w:tc>
          <w:tcPr>
            <w:tcW w:w="1170" w:type="dxa"/>
          </w:tcPr>
          <w:p w14:paraId="1A2ADE04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sz w:val="20"/>
                <w:szCs w:val="20"/>
              </w:rPr>
              <w:t>1,641</w:t>
            </w:r>
          </w:p>
        </w:tc>
        <w:tc>
          <w:tcPr>
            <w:tcW w:w="990" w:type="dxa"/>
          </w:tcPr>
          <w:p w14:paraId="79940189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sz w:val="20"/>
                <w:szCs w:val="20"/>
              </w:rPr>
              <w:t>124</w:t>
            </w:r>
          </w:p>
        </w:tc>
        <w:tc>
          <w:tcPr>
            <w:tcW w:w="1170" w:type="dxa"/>
          </w:tcPr>
          <w:p w14:paraId="3E0BECEA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sz w:val="20"/>
                <w:szCs w:val="20"/>
              </w:rPr>
              <w:t>7.6%</w:t>
            </w:r>
          </w:p>
        </w:tc>
        <w:tc>
          <w:tcPr>
            <w:tcW w:w="1710" w:type="dxa"/>
          </w:tcPr>
          <w:p w14:paraId="6A8CA87E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sz w:val="20"/>
                <w:szCs w:val="20"/>
              </w:rPr>
              <w:t>6.1%</w:t>
            </w:r>
          </w:p>
        </w:tc>
      </w:tr>
      <w:tr w:rsidR="00672061" w:rsidRPr="00640591" w14:paraId="1FCFB084" w14:textId="77777777" w:rsidTr="00D77186">
        <w:trPr>
          <w:jc w:val="center"/>
        </w:trPr>
        <w:tc>
          <w:tcPr>
            <w:tcW w:w="1365" w:type="dxa"/>
          </w:tcPr>
          <w:p w14:paraId="0865DBDA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sz w:val="20"/>
                <w:szCs w:val="20"/>
              </w:rPr>
              <w:t>30-45</w:t>
            </w:r>
          </w:p>
        </w:tc>
        <w:tc>
          <w:tcPr>
            <w:tcW w:w="1170" w:type="dxa"/>
          </w:tcPr>
          <w:p w14:paraId="46AFEA4D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sz w:val="20"/>
                <w:szCs w:val="20"/>
              </w:rPr>
              <w:t>6,248</w:t>
            </w:r>
          </w:p>
        </w:tc>
        <w:tc>
          <w:tcPr>
            <w:tcW w:w="990" w:type="dxa"/>
          </w:tcPr>
          <w:p w14:paraId="65BC56F9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sz w:val="20"/>
                <w:szCs w:val="20"/>
              </w:rPr>
              <w:t>956</w:t>
            </w:r>
          </w:p>
        </w:tc>
        <w:tc>
          <w:tcPr>
            <w:tcW w:w="1170" w:type="dxa"/>
          </w:tcPr>
          <w:p w14:paraId="056187D8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sz w:val="20"/>
                <w:szCs w:val="20"/>
              </w:rPr>
              <w:t>15.3%</w:t>
            </w:r>
          </w:p>
        </w:tc>
        <w:tc>
          <w:tcPr>
            <w:tcW w:w="1710" w:type="dxa"/>
          </w:tcPr>
          <w:p w14:paraId="09A526D7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sz w:val="20"/>
                <w:szCs w:val="20"/>
              </w:rPr>
              <w:t>46.9%</w:t>
            </w:r>
          </w:p>
        </w:tc>
      </w:tr>
      <w:tr w:rsidR="00672061" w:rsidRPr="00640591" w14:paraId="75C5CF25" w14:textId="77777777" w:rsidTr="00D77186">
        <w:trPr>
          <w:jc w:val="center"/>
        </w:trPr>
        <w:tc>
          <w:tcPr>
            <w:tcW w:w="1365" w:type="dxa"/>
          </w:tcPr>
          <w:p w14:paraId="7DB38A72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sz w:val="20"/>
                <w:szCs w:val="20"/>
              </w:rPr>
              <w:t>46-60</w:t>
            </w:r>
          </w:p>
        </w:tc>
        <w:tc>
          <w:tcPr>
            <w:tcW w:w="1170" w:type="dxa"/>
          </w:tcPr>
          <w:p w14:paraId="6BD33717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sz w:val="20"/>
                <w:szCs w:val="20"/>
              </w:rPr>
              <w:t>1,647</w:t>
            </w:r>
          </w:p>
        </w:tc>
        <w:tc>
          <w:tcPr>
            <w:tcW w:w="990" w:type="dxa"/>
          </w:tcPr>
          <w:p w14:paraId="20F55AFA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sz w:val="20"/>
                <w:szCs w:val="20"/>
              </w:rPr>
              <w:t>842</w:t>
            </w:r>
          </w:p>
        </w:tc>
        <w:tc>
          <w:tcPr>
            <w:tcW w:w="1170" w:type="dxa"/>
          </w:tcPr>
          <w:p w14:paraId="7FAFF8C4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sz w:val="20"/>
                <w:szCs w:val="20"/>
              </w:rPr>
              <w:t>51.1%</w:t>
            </w:r>
          </w:p>
        </w:tc>
        <w:tc>
          <w:tcPr>
            <w:tcW w:w="1710" w:type="dxa"/>
          </w:tcPr>
          <w:p w14:paraId="1CE77024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sz w:val="20"/>
                <w:szCs w:val="20"/>
              </w:rPr>
              <w:t>41.3%</w:t>
            </w:r>
          </w:p>
        </w:tc>
      </w:tr>
      <w:tr w:rsidR="00672061" w:rsidRPr="00640591" w14:paraId="1540BA72" w14:textId="77777777" w:rsidTr="00D77186">
        <w:trPr>
          <w:jc w:val="center"/>
        </w:trPr>
        <w:tc>
          <w:tcPr>
            <w:tcW w:w="1365" w:type="dxa"/>
          </w:tcPr>
          <w:p w14:paraId="40A8B5E1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sz w:val="20"/>
                <w:szCs w:val="20"/>
              </w:rPr>
              <w:t>60+</w:t>
            </w:r>
          </w:p>
        </w:tc>
        <w:tc>
          <w:tcPr>
            <w:tcW w:w="1170" w:type="dxa"/>
          </w:tcPr>
          <w:p w14:paraId="235640E5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sz w:val="20"/>
                <w:szCs w:val="20"/>
              </w:rPr>
              <w:t>464</w:t>
            </w:r>
          </w:p>
        </w:tc>
        <w:tc>
          <w:tcPr>
            <w:tcW w:w="990" w:type="dxa"/>
          </w:tcPr>
          <w:p w14:paraId="3F0467F5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sz w:val="20"/>
                <w:szCs w:val="20"/>
              </w:rPr>
              <w:t>115</w:t>
            </w:r>
          </w:p>
        </w:tc>
        <w:tc>
          <w:tcPr>
            <w:tcW w:w="1170" w:type="dxa"/>
          </w:tcPr>
          <w:p w14:paraId="271508E2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sz w:val="20"/>
                <w:szCs w:val="20"/>
              </w:rPr>
              <w:t>24.8%</w:t>
            </w:r>
          </w:p>
        </w:tc>
        <w:tc>
          <w:tcPr>
            <w:tcW w:w="1710" w:type="dxa"/>
          </w:tcPr>
          <w:p w14:paraId="6D0288A3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sz w:val="20"/>
                <w:szCs w:val="20"/>
              </w:rPr>
              <w:t>5.6%</w:t>
            </w:r>
          </w:p>
        </w:tc>
      </w:tr>
    </w:tbl>
    <w:p w14:paraId="0339FEA6" w14:textId="77777777" w:rsidR="0088167B" w:rsidRPr="00640591" w:rsidRDefault="0088167B">
      <w:pPr>
        <w:spacing w:after="120" w:line="264" w:lineRule="auto"/>
        <w:rPr>
          <w:rFonts w:ascii="Georgia" w:hAnsi="Georgia"/>
          <w:sz w:val="20"/>
          <w:szCs w:val="20"/>
        </w:rPr>
      </w:pPr>
    </w:p>
    <w:p w14:paraId="6F3D6A2C" w14:textId="2079FF0B" w:rsidR="00672061" w:rsidRPr="00640591" w:rsidRDefault="00000000" w:rsidP="0088167B">
      <w:pPr>
        <w:spacing w:after="120" w:line="264" w:lineRule="auto"/>
        <w:jc w:val="both"/>
        <w:rPr>
          <w:rFonts w:ascii="Georgia" w:hAnsi="Georgia"/>
          <w:sz w:val="20"/>
          <w:szCs w:val="20"/>
        </w:rPr>
      </w:pPr>
      <w:r w:rsidRPr="00640591">
        <w:rPr>
          <w:rFonts w:ascii="Georgia" w:hAnsi="Georgia"/>
          <w:sz w:val="20"/>
          <w:szCs w:val="20"/>
        </w:rPr>
        <w:lastRenderedPageBreak/>
        <w:t>Customers aged 46-60 have the highest rate (51.1%); the 60+ group also exceeds the portfolio average. The geography-age heatmap shows that risk is not explained by age alone, reinforcing the need for local segment monitoring.</w:t>
      </w:r>
    </w:p>
    <w:p w14:paraId="221F141F" w14:textId="77777777" w:rsidR="00672061" w:rsidRPr="00640591" w:rsidRDefault="00000000">
      <w:pPr>
        <w:pStyle w:val="Heading1"/>
        <w:rPr>
          <w:rFonts w:ascii="Georgia" w:hAnsi="Georgia"/>
          <w:sz w:val="20"/>
          <w:szCs w:val="20"/>
        </w:rPr>
      </w:pPr>
      <w:r w:rsidRPr="00640591">
        <w:rPr>
          <w:rFonts w:ascii="Georgia" w:hAnsi="Georgia"/>
          <w:sz w:val="20"/>
          <w:szCs w:val="20"/>
        </w:rPr>
        <w:t>5. Engagement, Products and Financial Profile</w:t>
      </w:r>
    </w:p>
    <w:p w14:paraId="1D539FBD" w14:textId="77777777" w:rsidR="00672061" w:rsidRPr="00640591" w:rsidRDefault="00000000">
      <w:pPr>
        <w:rPr>
          <w:rFonts w:ascii="Georgia" w:hAnsi="Georgia"/>
          <w:sz w:val="20"/>
          <w:szCs w:val="20"/>
        </w:rPr>
      </w:pPr>
      <w:r w:rsidRPr="00640591">
        <w:rPr>
          <w:rFonts w:ascii="Georgia" w:hAnsi="Georgia"/>
          <w:noProof/>
          <w:sz w:val="20"/>
          <w:szCs w:val="20"/>
        </w:rPr>
        <w:drawing>
          <wp:inline distT="0" distB="0" distL="0" distR="0" wp14:anchorId="252FC7F2" wp14:editId="35165EDD">
            <wp:extent cx="5806440" cy="285043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gagement_produc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5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3CB29" w14:textId="77777777" w:rsidR="00672061" w:rsidRPr="00640591" w:rsidRDefault="00000000">
      <w:pPr>
        <w:rPr>
          <w:rFonts w:ascii="Georgia" w:hAnsi="Georgia"/>
          <w:sz w:val="20"/>
          <w:szCs w:val="20"/>
        </w:rPr>
      </w:pPr>
      <w:r w:rsidRPr="00640591">
        <w:rPr>
          <w:rFonts w:ascii="Georgia" w:hAnsi="Georgia"/>
          <w:noProof/>
          <w:sz w:val="20"/>
          <w:szCs w:val="20"/>
        </w:rPr>
        <w:drawing>
          <wp:inline distT="0" distB="0" distL="0" distR="0" wp14:anchorId="364216DB" wp14:editId="2073AFD8">
            <wp:extent cx="5806440" cy="285043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mium_chur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5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124F6" w14:textId="300D17A3" w:rsidR="00D77186" w:rsidRDefault="00000000" w:rsidP="00D77186">
      <w:pPr>
        <w:spacing w:after="120" w:line="264" w:lineRule="auto"/>
        <w:jc w:val="both"/>
        <w:rPr>
          <w:rFonts w:ascii="Georgia" w:hAnsi="Georgia"/>
          <w:sz w:val="20"/>
          <w:szCs w:val="20"/>
        </w:rPr>
      </w:pPr>
      <w:r w:rsidRPr="00640591">
        <w:rPr>
          <w:rFonts w:ascii="Georgia" w:hAnsi="Georgia"/>
          <w:sz w:val="20"/>
          <w:szCs w:val="20"/>
        </w:rPr>
        <w:t>Inactive members churn at 26.9%, compared with 14.3% for active members. Product holding is non-linear: customers with 4 products have the highest observed rate (100.0%); this small segment should be investigated before generalising. Premium-balance customers churn at 23.7%, representing 592 exits and an average balance of 149,051.</w:t>
      </w:r>
    </w:p>
    <w:p w14:paraId="0A3E091A" w14:textId="77777777" w:rsidR="00D77186" w:rsidRDefault="00D77186" w:rsidP="00D77186">
      <w:pPr>
        <w:spacing w:after="120" w:line="264" w:lineRule="auto"/>
        <w:jc w:val="both"/>
        <w:rPr>
          <w:rFonts w:ascii="Georgia" w:hAnsi="Georgia"/>
          <w:sz w:val="20"/>
          <w:szCs w:val="20"/>
        </w:rPr>
      </w:pPr>
    </w:p>
    <w:p w14:paraId="4AF67B67" w14:textId="1491C6B7" w:rsidR="00672061" w:rsidRPr="00640591" w:rsidRDefault="00000000">
      <w:pPr>
        <w:pStyle w:val="Heading1"/>
        <w:rPr>
          <w:rFonts w:ascii="Georgia" w:hAnsi="Georgia"/>
          <w:sz w:val="20"/>
          <w:szCs w:val="20"/>
        </w:rPr>
      </w:pPr>
      <w:r w:rsidRPr="00640591">
        <w:rPr>
          <w:rFonts w:ascii="Georgia" w:hAnsi="Georgia"/>
          <w:sz w:val="20"/>
          <w:szCs w:val="20"/>
        </w:rPr>
        <w:lastRenderedPageBreak/>
        <w:t>6. Segment Insights</w:t>
      </w:r>
    </w:p>
    <w:p w14:paraId="6CE8F6C2" w14:textId="77777777" w:rsidR="00672061" w:rsidRPr="00640591" w:rsidRDefault="00000000" w:rsidP="0088167B">
      <w:pPr>
        <w:pStyle w:val="ListBullet"/>
        <w:spacing w:after="80" w:line="264" w:lineRule="auto"/>
        <w:jc w:val="both"/>
        <w:rPr>
          <w:rFonts w:ascii="Georgia" w:hAnsi="Georgia"/>
          <w:sz w:val="20"/>
          <w:szCs w:val="20"/>
        </w:rPr>
      </w:pPr>
      <w:r w:rsidRPr="00640591">
        <w:rPr>
          <w:rFonts w:ascii="Georgia" w:hAnsi="Georgia"/>
          <w:sz w:val="20"/>
          <w:szCs w:val="20"/>
        </w:rPr>
        <w:t>Geographic risk: Germany is the leading churn-rate geography, so a country-specific diagnosis is warranted.</w:t>
      </w:r>
    </w:p>
    <w:p w14:paraId="404F503C" w14:textId="77777777" w:rsidR="00672061" w:rsidRPr="00640591" w:rsidRDefault="00000000" w:rsidP="0088167B">
      <w:pPr>
        <w:pStyle w:val="ListBullet"/>
        <w:spacing w:after="80" w:line="264" w:lineRule="auto"/>
        <w:jc w:val="both"/>
        <w:rPr>
          <w:rFonts w:ascii="Georgia" w:hAnsi="Georgia"/>
          <w:sz w:val="20"/>
          <w:szCs w:val="20"/>
        </w:rPr>
      </w:pPr>
      <w:r w:rsidRPr="00640591">
        <w:rPr>
          <w:rFonts w:ascii="Georgia" w:hAnsi="Georgia"/>
          <w:sz w:val="20"/>
          <w:szCs w:val="20"/>
        </w:rPr>
        <w:t>Lifecycle risk: the highest age-band churn is concentrated among customers aged 46-60, not solely younger, more mobile customers.</w:t>
      </w:r>
    </w:p>
    <w:p w14:paraId="3DC5ED08" w14:textId="77777777" w:rsidR="00672061" w:rsidRPr="00640591" w:rsidRDefault="00000000" w:rsidP="0088167B">
      <w:pPr>
        <w:pStyle w:val="ListBullet"/>
        <w:spacing w:after="80" w:line="264" w:lineRule="auto"/>
        <w:jc w:val="both"/>
        <w:rPr>
          <w:rFonts w:ascii="Georgia" w:hAnsi="Georgia"/>
          <w:sz w:val="20"/>
          <w:szCs w:val="20"/>
        </w:rPr>
      </w:pPr>
      <w:r w:rsidRPr="00640591">
        <w:rPr>
          <w:rFonts w:ascii="Georgia" w:hAnsi="Georgia"/>
          <w:sz w:val="20"/>
          <w:szCs w:val="20"/>
        </w:rPr>
        <w:t>Engagement risk: inactivity has a 1.9x churn-rate multiple versus active membership.</w:t>
      </w:r>
    </w:p>
    <w:p w14:paraId="6D232093" w14:textId="77777777" w:rsidR="00672061" w:rsidRPr="00640591" w:rsidRDefault="00000000" w:rsidP="0088167B">
      <w:pPr>
        <w:pStyle w:val="ListBullet"/>
        <w:spacing w:after="80" w:line="264" w:lineRule="auto"/>
        <w:jc w:val="both"/>
        <w:rPr>
          <w:rFonts w:ascii="Georgia" w:hAnsi="Georgia"/>
          <w:sz w:val="20"/>
          <w:szCs w:val="20"/>
        </w:rPr>
      </w:pPr>
      <w:r w:rsidRPr="00640591">
        <w:rPr>
          <w:rFonts w:ascii="Georgia" w:hAnsi="Georgia"/>
          <w:sz w:val="20"/>
          <w:szCs w:val="20"/>
        </w:rPr>
        <w:t>Value risk: premium-balance churn is 23.7%; retention prioritisation should consider balance and likely relationship value, not volume alone.</w:t>
      </w:r>
    </w:p>
    <w:p w14:paraId="77A58AFB" w14:textId="77777777" w:rsidR="00672061" w:rsidRPr="00640591" w:rsidRDefault="00000000" w:rsidP="0088167B">
      <w:pPr>
        <w:pStyle w:val="ListBullet"/>
        <w:spacing w:after="80" w:line="264" w:lineRule="auto"/>
        <w:jc w:val="both"/>
        <w:rPr>
          <w:rFonts w:ascii="Georgia" w:hAnsi="Georgia"/>
          <w:sz w:val="20"/>
          <w:szCs w:val="20"/>
        </w:rPr>
      </w:pPr>
      <w:r w:rsidRPr="00640591">
        <w:rPr>
          <w:rFonts w:ascii="Georgia" w:hAnsi="Georgia"/>
          <w:sz w:val="20"/>
          <w:szCs w:val="20"/>
        </w:rPr>
        <w:t>Product-design signal: the outlier churn rate for four-product customers merits a service-journey and pricing review.</w:t>
      </w:r>
    </w:p>
    <w:p w14:paraId="24D1A876" w14:textId="77777777" w:rsidR="00672061" w:rsidRPr="00640591" w:rsidRDefault="00000000">
      <w:pPr>
        <w:pStyle w:val="Heading1"/>
        <w:rPr>
          <w:rFonts w:ascii="Georgia" w:hAnsi="Georgia"/>
          <w:sz w:val="20"/>
          <w:szCs w:val="20"/>
        </w:rPr>
      </w:pPr>
      <w:r w:rsidRPr="00640591">
        <w:rPr>
          <w:rFonts w:ascii="Georgia" w:hAnsi="Georgia"/>
          <w:sz w:val="20"/>
          <w:szCs w:val="20"/>
        </w:rPr>
        <w:t>7. Recommendations</w:t>
      </w:r>
    </w:p>
    <w:p w14:paraId="1A38724A" w14:textId="77777777" w:rsidR="00672061" w:rsidRPr="00640591" w:rsidRDefault="00000000" w:rsidP="0088167B">
      <w:pPr>
        <w:pStyle w:val="ListBullet"/>
        <w:spacing w:after="80" w:line="264" w:lineRule="auto"/>
        <w:jc w:val="both"/>
        <w:rPr>
          <w:rFonts w:ascii="Georgia" w:hAnsi="Georgia"/>
          <w:sz w:val="20"/>
          <w:szCs w:val="20"/>
        </w:rPr>
      </w:pPr>
      <w:r w:rsidRPr="00640591">
        <w:rPr>
          <w:rFonts w:ascii="Georgia" w:hAnsi="Georgia"/>
          <w:sz w:val="20"/>
          <w:szCs w:val="20"/>
        </w:rPr>
        <w:t>Deploy an early-warning retention list combining inactivity, age band, geography and high balance; offer a human outreach or a personalised digital re-engagement journey.</w:t>
      </w:r>
    </w:p>
    <w:p w14:paraId="028535F0" w14:textId="77777777" w:rsidR="00672061" w:rsidRPr="00640591" w:rsidRDefault="00000000" w:rsidP="0088167B">
      <w:pPr>
        <w:pStyle w:val="ListBullet"/>
        <w:spacing w:after="80" w:line="264" w:lineRule="auto"/>
        <w:jc w:val="both"/>
        <w:rPr>
          <w:rFonts w:ascii="Georgia" w:hAnsi="Georgia"/>
          <w:sz w:val="20"/>
          <w:szCs w:val="20"/>
        </w:rPr>
      </w:pPr>
      <w:r w:rsidRPr="00640591">
        <w:rPr>
          <w:rFonts w:ascii="Georgia" w:hAnsi="Georgia"/>
          <w:sz w:val="20"/>
          <w:szCs w:val="20"/>
        </w:rPr>
        <w:t>Commission a Germany service and product-friction review, with comparable journey metrics and complaint themes, before applying broad price or policy changes.</w:t>
      </w:r>
    </w:p>
    <w:p w14:paraId="4B72DC61" w14:textId="77777777" w:rsidR="00672061" w:rsidRPr="00640591" w:rsidRDefault="00000000" w:rsidP="0088167B">
      <w:pPr>
        <w:pStyle w:val="ListBullet"/>
        <w:spacing w:after="80" w:line="264" w:lineRule="auto"/>
        <w:jc w:val="both"/>
        <w:rPr>
          <w:rFonts w:ascii="Georgia" w:hAnsi="Georgia"/>
          <w:sz w:val="20"/>
          <w:szCs w:val="20"/>
        </w:rPr>
      </w:pPr>
      <w:r w:rsidRPr="00640591">
        <w:rPr>
          <w:rFonts w:ascii="Georgia" w:hAnsi="Georgia"/>
          <w:sz w:val="20"/>
          <w:szCs w:val="20"/>
        </w:rPr>
        <w:t>Create a premium-relationship safeguard: alert relationship teams when high-balance customers become inactive or show declines in product usage.</w:t>
      </w:r>
    </w:p>
    <w:p w14:paraId="107D44D1" w14:textId="77777777" w:rsidR="00672061" w:rsidRPr="00640591" w:rsidRDefault="00000000" w:rsidP="0088167B">
      <w:pPr>
        <w:pStyle w:val="ListBullet"/>
        <w:spacing w:after="80" w:line="264" w:lineRule="auto"/>
        <w:jc w:val="both"/>
        <w:rPr>
          <w:rFonts w:ascii="Georgia" w:hAnsi="Georgia"/>
          <w:sz w:val="20"/>
          <w:szCs w:val="20"/>
        </w:rPr>
      </w:pPr>
      <w:r w:rsidRPr="00640591">
        <w:rPr>
          <w:rFonts w:ascii="Georgia" w:hAnsi="Georgia"/>
          <w:sz w:val="20"/>
          <w:szCs w:val="20"/>
        </w:rPr>
        <w:t>Review the four-product customer journey for fee complexity, service handoffs and dissatisfaction; validate the result on a larger time window.</w:t>
      </w:r>
    </w:p>
    <w:p w14:paraId="30C5CCA9" w14:textId="77777777" w:rsidR="00672061" w:rsidRPr="00640591" w:rsidRDefault="00000000" w:rsidP="0088167B">
      <w:pPr>
        <w:pStyle w:val="ListBullet"/>
        <w:spacing w:after="80" w:line="264" w:lineRule="auto"/>
        <w:jc w:val="both"/>
        <w:rPr>
          <w:rFonts w:ascii="Georgia" w:hAnsi="Georgia"/>
          <w:sz w:val="20"/>
          <w:szCs w:val="20"/>
        </w:rPr>
      </w:pPr>
      <w:r w:rsidRPr="00640591">
        <w:rPr>
          <w:rFonts w:ascii="Georgia" w:hAnsi="Georgia"/>
          <w:sz w:val="20"/>
          <w:szCs w:val="20"/>
        </w:rPr>
        <w:t>Govern fairly: monitor false positives and outcomes by geography, gender and age; retain human review and do not use protected characteristics as the sole basis for adverse treatment.</w:t>
      </w:r>
    </w:p>
    <w:p w14:paraId="2F4934DB" w14:textId="77777777" w:rsidR="00672061" w:rsidRPr="00640591" w:rsidRDefault="00000000">
      <w:pPr>
        <w:pStyle w:val="Heading1"/>
        <w:rPr>
          <w:rFonts w:ascii="Georgia" w:hAnsi="Georgia"/>
          <w:sz w:val="20"/>
          <w:szCs w:val="20"/>
        </w:rPr>
      </w:pPr>
      <w:r w:rsidRPr="00640591">
        <w:rPr>
          <w:rFonts w:ascii="Georgia" w:hAnsi="Georgia"/>
          <w:sz w:val="20"/>
          <w:szCs w:val="20"/>
        </w:rPr>
        <w:t>8. Limitations and Next Steps</w:t>
      </w:r>
    </w:p>
    <w:p w14:paraId="267D77A6" w14:textId="77777777" w:rsidR="00672061" w:rsidRPr="00640591" w:rsidRDefault="00000000" w:rsidP="0088167B">
      <w:pPr>
        <w:spacing w:after="120" w:line="264" w:lineRule="auto"/>
        <w:jc w:val="both"/>
        <w:rPr>
          <w:rFonts w:ascii="Georgia" w:hAnsi="Georgia"/>
          <w:sz w:val="20"/>
          <w:szCs w:val="20"/>
        </w:rPr>
      </w:pPr>
      <w:r w:rsidRPr="00640591">
        <w:rPr>
          <w:rFonts w:ascii="Georgia" w:hAnsi="Georgia"/>
          <w:sz w:val="20"/>
          <w:szCs w:val="20"/>
        </w:rPr>
        <w:t>This is descriptive, cross-sectional EDA for a single reference year. It cannot establish causality, quantify lost revenue, or separate voluntary switching from other exit reasons. Next steps are to add monthly behaviour, transaction/activity measures, product fees, complaint/service data and intervention outcomes; then validate an interpretable churn model out-of-time.</w:t>
      </w:r>
    </w:p>
    <w:p w14:paraId="3663D6B9" w14:textId="77777777" w:rsidR="00672061" w:rsidRPr="00640591" w:rsidRDefault="00000000">
      <w:pPr>
        <w:pStyle w:val="Heading1"/>
        <w:rPr>
          <w:rFonts w:ascii="Georgia" w:hAnsi="Georgia"/>
          <w:sz w:val="20"/>
          <w:szCs w:val="20"/>
        </w:rPr>
      </w:pPr>
      <w:r w:rsidRPr="00640591">
        <w:rPr>
          <w:rFonts w:ascii="Georgia" w:hAnsi="Georgia"/>
          <w:sz w:val="20"/>
          <w:szCs w:val="20"/>
        </w:rPr>
        <w:t>Appendix: KPI Definitions</w:t>
      </w:r>
    </w:p>
    <w:tbl>
      <w:tblPr>
        <w:tblStyle w:val="TableGrid"/>
        <w:tblW w:w="8468" w:type="dxa"/>
        <w:jc w:val="center"/>
        <w:tblLayout w:type="fixed"/>
        <w:tblLook w:val="04A0" w:firstRow="1" w:lastRow="0" w:firstColumn="1" w:lastColumn="0" w:noHBand="0" w:noVBand="1"/>
      </w:tblPr>
      <w:tblGrid>
        <w:gridCol w:w="2280"/>
        <w:gridCol w:w="6188"/>
      </w:tblGrid>
      <w:tr w:rsidR="00672061" w:rsidRPr="00640591" w14:paraId="0C1DBB01" w14:textId="77777777" w:rsidTr="00D77186">
        <w:trPr>
          <w:jc w:val="center"/>
        </w:trPr>
        <w:tc>
          <w:tcPr>
            <w:tcW w:w="22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1529F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b/>
                <w:color w:val="0B2545"/>
                <w:sz w:val="20"/>
                <w:szCs w:val="20"/>
              </w:rPr>
              <w:t>KPI</w:t>
            </w:r>
          </w:p>
        </w:tc>
        <w:tc>
          <w:tcPr>
            <w:tcW w:w="61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B6852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b/>
                <w:color w:val="0B2545"/>
                <w:sz w:val="20"/>
                <w:szCs w:val="20"/>
              </w:rPr>
              <w:t>Definition</w:t>
            </w:r>
          </w:p>
        </w:tc>
      </w:tr>
      <w:tr w:rsidR="00672061" w:rsidRPr="00640591" w14:paraId="58144A26" w14:textId="77777777" w:rsidTr="00D77186">
        <w:trPr>
          <w:jc w:val="center"/>
        </w:trPr>
        <w:tc>
          <w:tcPr>
            <w:tcW w:w="2280" w:type="dxa"/>
          </w:tcPr>
          <w:p w14:paraId="6B9BC517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sz w:val="20"/>
                <w:szCs w:val="20"/>
              </w:rPr>
              <w:t>Overall churn rate</w:t>
            </w:r>
          </w:p>
        </w:tc>
        <w:tc>
          <w:tcPr>
            <w:tcW w:w="6188" w:type="dxa"/>
          </w:tcPr>
          <w:p w14:paraId="51E4F83E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sz w:val="20"/>
                <w:szCs w:val="20"/>
              </w:rPr>
              <w:t>Exited customers / all customers</w:t>
            </w:r>
          </w:p>
        </w:tc>
      </w:tr>
      <w:tr w:rsidR="00672061" w:rsidRPr="00640591" w14:paraId="593BB6B9" w14:textId="77777777" w:rsidTr="00D77186">
        <w:trPr>
          <w:jc w:val="center"/>
        </w:trPr>
        <w:tc>
          <w:tcPr>
            <w:tcW w:w="2280" w:type="dxa"/>
          </w:tcPr>
          <w:p w14:paraId="1D6D75AA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sz w:val="20"/>
                <w:szCs w:val="20"/>
              </w:rPr>
              <w:t>Segment churn rate</w:t>
            </w:r>
          </w:p>
        </w:tc>
        <w:tc>
          <w:tcPr>
            <w:tcW w:w="6188" w:type="dxa"/>
          </w:tcPr>
          <w:p w14:paraId="0B47B6C7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sz w:val="20"/>
                <w:szCs w:val="20"/>
              </w:rPr>
              <w:t>Exited customers in segment / customers in segment</w:t>
            </w:r>
          </w:p>
        </w:tc>
      </w:tr>
      <w:tr w:rsidR="00672061" w:rsidRPr="00640591" w14:paraId="261399C0" w14:textId="77777777" w:rsidTr="00D77186">
        <w:trPr>
          <w:jc w:val="center"/>
        </w:trPr>
        <w:tc>
          <w:tcPr>
            <w:tcW w:w="2280" w:type="dxa"/>
          </w:tcPr>
          <w:p w14:paraId="62DDCD84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sz w:val="20"/>
                <w:szCs w:val="20"/>
              </w:rPr>
              <w:t>Churn contribution</w:t>
            </w:r>
          </w:p>
        </w:tc>
        <w:tc>
          <w:tcPr>
            <w:tcW w:w="6188" w:type="dxa"/>
          </w:tcPr>
          <w:p w14:paraId="722239E2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sz w:val="20"/>
                <w:szCs w:val="20"/>
              </w:rPr>
              <w:t>Exited customers in segment / all exited customers</w:t>
            </w:r>
          </w:p>
        </w:tc>
      </w:tr>
      <w:tr w:rsidR="00672061" w:rsidRPr="00640591" w14:paraId="7AD76773" w14:textId="77777777" w:rsidTr="00D77186">
        <w:trPr>
          <w:jc w:val="center"/>
        </w:trPr>
        <w:tc>
          <w:tcPr>
            <w:tcW w:w="2280" w:type="dxa"/>
          </w:tcPr>
          <w:p w14:paraId="58FE1DF6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sz w:val="20"/>
                <w:szCs w:val="20"/>
              </w:rPr>
              <w:t>Premium churn rate</w:t>
            </w:r>
          </w:p>
        </w:tc>
        <w:tc>
          <w:tcPr>
            <w:tcW w:w="6188" w:type="dxa"/>
          </w:tcPr>
          <w:p w14:paraId="27D03D96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sz w:val="20"/>
                <w:szCs w:val="20"/>
              </w:rPr>
              <w:t>Exited premium-balance customers / premium-balance customers</w:t>
            </w:r>
          </w:p>
        </w:tc>
      </w:tr>
      <w:tr w:rsidR="00672061" w:rsidRPr="00640591" w14:paraId="1C565ACC" w14:textId="77777777" w:rsidTr="00D77186">
        <w:trPr>
          <w:jc w:val="center"/>
        </w:trPr>
        <w:tc>
          <w:tcPr>
            <w:tcW w:w="2280" w:type="dxa"/>
          </w:tcPr>
          <w:p w14:paraId="34A89D51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sz w:val="20"/>
                <w:szCs w:val="20"/>
              </w:rPr>
              <w:t xml:space="preserve">Engagement </w:t>
            </w:r>
            <w:proofErr w:type="gramStart"/>
            <w:r w:rsidRPr="00640591">
              <w:rPr>
                <w:rFonts w:ascii="Georgia" w:hAnsi="Georgia"/>
                <w:sz w:val="20"/>
                <w:szCs w:val="20"/>
              </w:rPr>
              <w:t>drop</w:t>
            </w:r>
            <w:proofErr w:type="gramEnd"/>
            <w:r w:rsidRPr="00640591">
              <w:rPr>
                <w:rFonts w:ascii="Georgia" w:hAnsi="Georgia"/>
                <w:sz w:val="20"/>
                <w:szCs w:val="20"/>
              </w:rPr>
              <w:t xml:space="preserve"> indicator</w:t>
            </w:r>
          </w:p>
        </w:tc>
        <w:tc>
          <w:tcPr>
            <w:tcW w:w="6188" w:type="dxa"/>
          </w:tcPr>
          <w:p w14:paraId="43A7EDB0" w14:textId="77777777" w:rsidR="00672061" w:rsidRPr="00640591" w:rsidRDefault="00000000">
            <w:pPr>
              <w:rPr>
                <w:rFonts w:ascii="Georgia" w:hAnsi="Georgia"/>
                <w:sz w:val="20"/>
                <w:szCs w:val="20"/>
              </w:rPr>
            </w:pPr>
            <w:r w:rsidRPr="00640591">
              <w:rPr>
                <w:rFonts w:ascii="Georgia" w:hAnsi="Georgia"/>
                <w:sz w:val="20"/>
                <w:szCs w:val="20"/>
              </w:rPr>
              <w:t>Inactive churn rate compared with active churn rate</w:t>
            </w:r>
          </w:p>
        </w:tc>
      </w:tr>
    </w:tbl>
    <w:p w14:paraId="37E60021" w14:textId="77777777" w:rsidR="00414CA3" w:rsidRPr="00640591" w:rsidRDefault="00414CA3">
      <w:pPr>
        <w:rPr>
          <w:rFonts w:ascii="Georgia" w:hAnsi="Georgia"/>
          <w:sz w:val="20"/>
          <w:szCs w:val="20"/>
        </w:rPr>
      </w:pPr>
    </w:p>
    <w:sectPr w:rsidR="00414CA3" w:rsidRPr="00640591" w:rsidSect="00640591">
      <w:headerReference w:type="default" r:id="rId13"/>
      <w:pgSz w:w="12240" w:h="15840"/>
      <w:pgMar w:top="1056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28A4C" w14:textId="77777777" w:rsidR="00414CA3" w:rsidRDefault="00414CA3">
      <w:pPr>
        <w:spacing w:after="0" w:line="240" w:lineRule="auto"/>
      </w:pPr>
      <w:r>
        <w:separator/>
      </w:r>
    </w:p>
  </w:endnote>
  <w:endnote w:type="continuationSeparator" w:id="0">
    <w:p w14:paraId="0A571D80" w14:textId="77777777" w:rsidR="00414CA3" w:rsidRDefault="00414C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51199" w14:textId="77777777" w:rsidR="00414CA3" w:rsidRDefault="00414CA3">
      <w:pPr>
        <w:spacing w:after="0" w:line="240" w:lineRule="auto"/>
      </w:pPr>
      <w:r>
        <w:separator/>
      </w:r>
    </w:p>
  </w:footnote>
  <w:footnote w:type="continuationSeparator" w:id="0">
    <w:p w14:paraId="68E2B69B" w14:textId="77777777" w:rsidR="00414CA3" w:rsidRDefault="00414C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F31D9" w14:textId="2827D104" w:rsidR="00672061" w:rsidRDefault="0067206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0886336">
    <w:abstractNumId w:val="8"/>
  </w:num>
  <w:num w:numId="2" w16cid:durableId="299238662">
    <w:abstractNumId w:val="6"/>
  </w:num>
  <w:num w:numId="3" w16cid:durableId="828592089">
    <w:abstractNumId w:val="5"/>
  </w:num>
  <w:num w:numId="4" w16cid:durableId="1654140228">
    <w:abstractNumId w:val="4"/>
  </w:num>
  <w:num w:numId="5" w16cid:durableId="245456492">
    <w:abstractNumId w:val="7"/>
  </w:num>
  <w:num w:numId="6" w16cid:durableId="886336142">
    <w:abstractNumId w:val="3"/>
  </w:num>
  <w:num w:numId="7" w16cid:durableId="1790584160">
    <w:abstractNumId w:val="2"/>
  </w:num>
  <w:num w:numId="8" w16cid:durableId="1909725614">
    <w:abstractNumId w:val="1"/>
  </w:num>
  <w:num w:numId="9" w16cid:durableId="94836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7DE"/>
    <w:rsid w:val="00274339"/>
    <w:rsid w:val="0029639D"/>
    <w:rsid w:val="00326F90"/>
    <w:rsid w:val="00414CA3"/>
    <w:rsid w:val="00640591"/>
    <w:rsid w:val="00672061"/>
    <w:rsid w:val="00765351"/>
    <w:rsid w:val="0088167B"/>
    <w:rsid w:val="00954788"/>
    <w:rsid w:val="00AA1D8D"/>
    <w:rsid w:val="00B47730"/>
    <w:rsid w:val="00CB0664"/>
    <w:rsid w:val="00CD72CC"/>
    <w:rsid w:val="00D77186"/>
    <w:rsid w:val="00E14D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B18EFB8"/>
  <w14:defaultImageDpi w14:val="300"/>
  <w15:docId w15:val="{679929EC-5B12-4FAA-B0C6-005D2712E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749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Vishwas Palankar</cp:lastModifiedBy>
  <cp:revision>9</cp:revision>
  <dcterms:created xsi:type="dcterms:W3CDTF">2013-12-23T23:15:00Z</dcterms:created>
  <dcterms:modified xsi:type="dcterms:W3CDTF">2026-08-01T09:14:00Z</dcterms:modified>
  <cp:category/>
</cp:coreProperties>
</file>